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732923" w14:textId="77777777" w:rsidR="007D5C9B" w:rsidRPr="00B049AA" w:rsidRDefault="00957657" w:rsidP="007D5C9B">
      <w:pPr>
        <w:ind w:left="2336"/>
        <w:rPr>
          <w:rFonts w:ascii="Times New Roman" w:eastAsia="Times New Roman" w:hAnsi="Times New Roman" w:cs="Times New Roman"/>
          <w:sz w:val="20"/>
          <w:szCs w:val="20"/>
        </w:rPr>
      </w:pPr>
      <w:r w:rsidRPr="00B049AA">
        <w:rPr>
          <w:noProof/>
          <w:lang w:eastAsia="es-HN"/>
        </w:rPr>
        <w:drawing>
          <wp:inline distT="0" distB="0" distL="0" distR="0" wp14:anchorId="3AE2E900" wp14:editId="2E11843C">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24FE086C" w14:textId="77777777" w:rsidR="007D5C9B" w:rsidRPr="00B049AA" w:rsidRDefault="007D5C9B" w:rsidP="007D5C9B">
      <w:pPr>
        <w:rPr>
          <w:rFonts w:ascii="Times New Roman" w:eastAsia="Times New Roman" w:hAnsi="Times New Roman" w:cs="Times New Roman"/>
          <w:sz w:val="20"/>
          <w:szCs w:val="20"/>
        </w:rPr>
      </w:pPr>
    </w:p>
    <w:p w14:paraId="4095CF81" w14:textId="77777777" w:rsidR="007D5C9B" w:rsidRPr="00B049AA" w:rsidRDefault="007D5C9B" w:rsidP="007D5C9B">
      <w:pPr>
        <w:spacing w:before="1"/>
        <w:rPr>
          <w:rFonts w:ascii="Times New Roman" w:eastAsia="Times New Roman" w:hAnsi="Times New Roman" w:cs="Times New Roman"/>
          <w:sz w:val="18"/>
          <w:szCs w:val="18"/>
        </w:rPr>
      </w:pPr>
    </w:p>
    <w:p w14:paraId="4E467183" w14:textId="77777777" w:rsidR="007D5C9B" w:rsidRPr="00B049AA" w:rsidRDefault="007D5C9B" w:rsidP="007D5C9B">
      <w:pPr>
        <w:jc w:val="center"/>
        <w:rPr>
          <w:rFonts w:ascii="Times New Roman" w:hAnsi="Times New Roman" w:cs="Times New Roman"/>
          <w:b/>
          <w:sz w:val="32"/>
          <w:szCs w:val="32"/>
        </w:rPr>
      </w:pPr>
      <w:r w:rsidRPr="00B049AA">
        <w:rPr>
          <w:rFonts w:ascii="Times New Roman" w:hAnsi="Times New Roman" w:cs="Times New Roman"/>
          <w:b/>
          <w:sz w:val="32"/>
          <w:szCs w:val="32"/>
        </w:rPr>
        <w:t>FACULTAD DE</w:t>
      </w:r>
      <w:r w:rsidRPr="00B049AA">
        <w:rPr>
          <w:rFonts w:ascii="Times New Roman" w:hAnsi="Times New Roman" w:cs="Times New Roman"/>
          <w:b/>
          <w:spacing w:val="-6"/>
          <w:sz w:val="32"/>
          <w:szCs w:val="32"/>
        </w:rPr>
        <w:t xml:space="preserve"> </w:t>
      </w:r>
      <w:r w:rsidRPr="00B049AA">
        <w:rPr>
          <w:rFonts w:ascii="Times New Roman" w:hAnsi="Times New Roman" w:cs="Times New Roman"/>
          <w:b/>
          <w:sz w:val="32"/>
          <w:szCs w:val="32"/>
        </w:rPr>
        <w:t>POSTGRADO</w:t>
      </w:r>
    </w:p>
    <w:p w14:paraId="7F7D8CC5" w14:textId="77777777" w:rsidR="007D5C9B" w:rsidRPr="00B049AA" w:rsidRDefault="007D5C9B" w:rsidP="007D5C9B">
      <w:pPr>
        <w:jc w:val="center"/>
        <w:rPr>
          <w:rFonts w:ascii="Times New Roman" w:hAnsi="Times New Roman" w:cs="Times New Roman"/>
          <w:b/>
          <w:sz w:val="32"/>
          <w:szCs w:val="32"/>
        </w:rPr>
      </w:pPr>
      <w:r w:rsidRPr="00B049AA">
        <w:rPr>
          <w:rFonts w:ascii="Times New Roman" w:hAnsi="Times New Roman" w:cs="Times New Roman"/>
          <w:b/>
          <w:sz w:val="32"/>
          <w:szCs w:val="32"/>
        </w:rPr>
        <w:t>T</w:t>
      </w:r>
      <w:r w:rsidR="006534B1" w:rsidRPr="00B049AA">
        <w:rPr>
          <w:rFonts w:ascii="Times New Roman" w:hAnsi="Times New Roman" w:cs="Times New Roman"/>
          <w:b/>
          <w:sz w:val="32"/>
          <w:szCs w:val="32"/>
        </w:rPr>
        <w:t>ESIS DE POSTGRADO</w:t>
      </w:r>
    </w:p>
    <w:p w14:paraId="0E8E6E23" w14:textId="77777777" w:rsidR="00F11352" w:rsidRPr="00B049AA" w:rsidRDefault="00F11352" w:rsidP="007D5C9B">
      <w:pPr>
        <w:jc w:val="center"/>
        <w:rPr>
          <w:rFonts w:ascii="Times New Roman" w:hAnsi="Times New Roman" w:cs="Times New Roman"/>
          <w:b/>
          <w:bCs/>
          <w:sz w:val="32"/>
          <w:szCs w:val="32"/>
        </w:rPr>
      </w:pPr>
    </w:p>
    <w:p w14:paraId="0923DEE7" w14:textId="23374189" w:rsidR="007D5C9B" w:rsidRPr="00B049AA" w:rsidRDefault="006534B1" w:rsidP="00F11352">
      <w:pPr>
        <w:jc w:val="center"/>
        <w:rPr>
          <w:rFonts w:ascii="Times New Roman" w:hAnsi="Times New Roman" w:cs="Times New Roman"/>
          <w:b/>
          <w:sz w:val="32"/>
          <w:szCs w:val="32"/>
        </w:rPr>
      </w:pPr>
      <w:r w:rsidRPr="00B049AA">
        <w:rPr>
          <w:rFonts w:ascii="Times New Roman" w:hAnsi="Times New Roman" w:cs="Times New Roman"/>
          <w:b/>
          <w:sz w:val="32"/>
          <w:szCs w:val="32"/>
        </w:rPr>
        <w:t>ANÁLISIS Y DESCOMPOSICIÓN DE LA TASA DE INTERÉS NOMINA</w:t>
      </w:r>
      <w:r w:rsidR="004E33CB">
        <w:rPr>
          <w:rFonts w:ascii="Times New Roman" w:hAnsi="Times New Roman" w:cs="Times New Roman"/>
          <w:b/>
          <w:sz w:val="32"/>
          <w:szCs w:val="32"/>
        </w:rPr>
        <w:t>L EN MONEDA NACIONAL COBRADA EN</w:t>
      </w:r>
      <w:r w:rsidRPr="00B049AA">
        <w:rPr>
          <w:rFonts w:ascii="Times New Roman" w:hAnsi="Times New Roman" w:cs="Times New Roman"/>
          <w:b/>
          <w:sz w:val="32"/>
          <w:szCs w:val="32"/>
        </w:rPr>
        <w:t xml:space="preserve"> LOS BANCOS COMERCIALES EN HONDURAS DURANTE EL PERÍODO 2019 </w:t>
      </w:r>
      <w:r w:rsidR="00E8429F" w:rsidRPr="00B049AA">
        <w:rPr>
          <w:rFonts w:ascii="Times New Roman" w:hAnsi="Times New Roman" w:cs="Times New Roman"/>
          <w:b/>
          <w:sz w:val="32"/>
          <w:szCs w:val="32"/>
        </w:rPr>
        <w:t>–</w:t>
      </w:r>
      <w:r w:rsidRPr="00B049AA">
        <w:rPr>
          <w:rFonts w:ascii="Times New Roman" w:hAnsi="Times New Roman" w:cs="Times New Roman"/>
          <w:b/>
          <w:sz w:val="32"/>
          <w:szCs w:val="32"/>
        </w:rPr>
        <w:t xml:space="preserve"> 2022</w:t>
      </w:r>
    </w:p>
    <w:p w14:paraId="402B0182" w14:textId="77777777" w:rsidR="007D5C9B" w:rsidRPr="00B049AA" w:rsidRDefault="007D5C9B" w:rsidP="007D5C9B">
      <w:pPr>
        <w:rPr>
          <w:rFonts w:ascii="Times New Roman" w:eastAsia="Times New Roman" w:hAnsi="Times New Roman" w:cs="Times New Roman"/>
        </w:rPr>
      </w:pPr>
    </w:p>
    <w:p w14:paraId="4CE5BDE7" w14:textId="77777777" w:rsidR="007D5C9B" w:rsidRPr="00B049AA" w:rsidRDefault="007D5C9B" w:rsidP="007D5C9B">
      <w:pPr>
        <w:spacing w:before="8"/>
        <w:rPr>
          <w:rFonts w:ascii="Times New Roman" w:eastAsia="Times New Roman" w:hAnsi="Times New Roman" w:cs="Times New Roman"/>
          <w:sz w:val="20"/>
          <w:szCs w:val="20"/>
        </w:rPr>
      </w:pPr>
    </w:p>
    <w:p w14:paraId="24B3336B" w14:textId="77777777" w:rsidR="007D5C9B" w:rsidRPr="00B049AA" w:rsidRDefault="007D5C9B" w:rsidP="007D5C9B">
      <w:pPr>
        <w:jc w:val="center"/>
        <w:rPr>
          <w:rFonts w:ascii="Times New Roman" w:hAnsi="Times New Roman" w:cs="Times New Roman"/>
          <w:b/>
          <w:sz w:val="32"/>
          <w:szCs w:val="32"/>
        </w:rPr>
      </w:pPr>
      <w:r w:rsidRPr="00B049AA">
        <w:rPr>
          <w:rFonts w:ascii="Times New Roman" w:hAnsi="Times New Roman" w:cs="Times New Roman"/>
          <w:b/>
          <w:sz w:val="32"/>
          <w:szCs w:val="32"/>
        </w:rPr>
        <w:t>SUSTENTADO POR:</w:t>
      </w:r>
    </w:p>
    <w:p w14:paraId="09C843F3" w14:textId="77777777" w:rsidR="007D5C9B" w:rsidRPr="00B049AA" w:rsidRDefault="007D5C9B" w:rsidP="007D5C9B">
      <w:pPr>
        <w:spacing w:before="1"/>
        <w:rPr>
          <w:rFonts w:ascii="Times New Roman" w:eastAsia="Times New Roman" w:hAnsi="Times New Roman" w:cs="Times New Roman"/>
          <w:b/>
          <w:bCs/>
          <w:sz w:val="47"/>
          <w:szCs w:val="47"/>
        </w:rPr>
      </w:pPr>
    </w:p>
    <w:p w14:paraId="62E37DF8" w14:textId="77777777" w:rsidR="007D5C9B" w:rsidRPr="00B049AA" w:rsidRDefault="007E2E80" w:rsidP="007D5C9B">
      <w:pPr>
        <w:ind w:left="557" w:right="393"/>
        <w:jc w:val="center"/>
        <w:rPr>
          <w:rFonts w:ascii="Times New Roman" w:hAnsi="Times New Roman"/>
          <w:b/>
          <w:sz w:val="32"/>
          <w:szCs w:val="32"/>
        </w:rPr>
      </w:pPr>
      <w:r w:rsidRPr="00B049AA">
        <w:rPr>
          <w:rFonts w:ascii="Times New Roman" w:hAnsi="Times New Roman"/>
          <w:b/>
          <w:sz w:val="32"/>
          <w:szCs w:val="32"/>
        </w:rPr>
        <w:t>BRENDA MARISOL FUENTES LÓPEZ</w:t>
      </w:r>
    </w:p>
    <w:p w14:paraId="4C6471E1" w14:textId="77777777" w:rsidR="007D5C9B" w:rsidRPr="00B049AA" w:rsidRDefault="007E2E80" w:rsidP="007D5C9B">
      <w:pPr>
        <w:ind w:left="557" w:right="393"/>
        <w:jc w:val="center"/>
        <w:rPr>
          <w:rFonts w:ascii="Times New Roman" w:eastAsia="Times New Roman" w:hAnsi="Times New Roman" w:cs="Times New Roman"/>
          <w:b/>
          <w:sz w:val="32"/>
          <w:szCs w:val="32"/>
        </w:rPr>
      </w:pPr>
      <w:r w:rsidRPr="00B049AA">
        <w:rPr>
          <w:rFonts w:ascii="Times New Roman" w:hAnsi="Times New Roman"/>
          <w:b/>
          <w:sz w:val="32"/>
          <w:szCs w:val="32"/>
        </w:rPr>
        <w:t>LILIAM MARÍA ZEPEDA MARTÍNEZ</w:t>
      </w:r>
    </w:p>
    <w:p w14:paraId="447195F6" w14:textId="77777777" w:rsidR="007D5C9B" w:rsidRPr="00B049AA" w:rsidRDefault="007D5C9B" w:rsidP="007D5C9B">
      <w:pPr>
        <w:rPr>
          <w:rFonts w:ascii="Times New Roman" w:eastAsia="Times New Roman" w:hAnsi="Times New Roman" w:cs="Times New Roman"/>
        </w:rPr>
      </w:pPr>
    </w:p>
    <w:p w14:paraId="5492D44F" w14:textId="77777777" w:rsidR="007D5C9B" w:rsidRPr="00B049AA" w:rsidRDefault="007D5C9B" w:rsidP="007D5C9B">
      <w:pPr>
        <w:jc w:val="center"/>
        <w:rPr>
          <w:rFonts w:ascii="Times New Roman" w:hAnsi="Times New Roman" w:cs="Times New Roman"/>
          <w:b/>
          <w:sz w:val="32"/>
          <w:szCs w:val="32"/>
        </w:rPr>
      </w:pPr>
    </w:p>
    <w:p w14:paraId="1FE7C1A7" w14:textId="77777777" w:rsidR="007D5C9B" w:rsidRPr="00B049AA" w:rsidRDefault="007D5C9B" w:rsidP="007D5C9B">
      <w:pPr>
        <w:jc w:val="center"/>
        <w:rPr>
          <w:rFonts w:ascii="Times New Roman" w:hAnsi="Times New Roman" w:cs="Times New Roman"/>
          <w:b/>
          <w:sz w:val="32"/>
          <w:szCs w:val="32"/>
        </w:rPr>
      </w:pPr>
      <w:r w:rsidRPr="00B049AA">
        <w:rPr>
          <w:rFonts w:ascii="Times New Roman" w:hAnsi="Times New Roman" w:cs="Times New Roman"/>
          <w:b/>
          <w:sz w:val="32"/>
          <w:szCs w:val="32"/>
        </w:rPr>
        <w:t>PREVIA INVESTIDURA AL TÍTULO DE</w:t>
      </w:r>
    </w:p>
    <w:p w14:paraId="18FCED2D" w14:textId="77777777" w:rsidR="007D5C9B" w:rsidRPr="00B049AA" w:rsidRDefault="007D5C9B" w:rsidP="007D5C9B">
      <w:pPr>
        <w:spacing w:before="4"/>
        <w:rPr>
          <w:rFonts w:ascii="Times New Roman" w:eastAsia="Times New Roman" w:hAnsi="Times New Roman" w:cs="Times New Roman"/>
          <w:b/>
          <w:bCs/>
          <w:sz w:val="47"/>
          <w:szCs w:val="47"/>
        </w:rPr>
      </w:pPr>
    </w:p>
    <w:p w14:paraId="3A239218" w14:textId="77777777" w:rsidR="007D5C9B" w:rsidRPr="00B049AA" w:rsidRDefault="007D5C9B" w:rsidP="004F47E1">
      <w:pPr>
        <w:ind w:left="557" w:right="388"/>
        <w:jc w:val="center"/>
        <w:rPr>
          <w:rFonts w:ascii="Times New Roman" w:hAnsi="Times New Roman"/>
          <w:b/>
          <w:sz w:val="32"/>
        </w:rPr>
      </w:pPr>
      <w:r w:rsidRPr="00B049AA">
        <w:rPr>
          <w:rFonts w:ascii="Times New Roman" w:hAnsi="Times New Roman" w:cs="Times New Roman"/>
          <w:b/>
          <w:sz w:val="32"/>
          <w:szCs w:val="32"/>
        </w:rPr>
        <w:t>MÁSTER EN</w:t>
      </w:r>
      <w:r w:rsidRPr="00B049AA">
        <w:rPr>
          <w:rFonts w:ascii="Times New Roman" w:hAnsi="Times New Roman"/>
          <w:b/>
          <w:sz w:val="32"/>
        </w:rPr>
        <w:t xml:space="preserve"> </w:t>
      </w:r>
      <w:r w:rsidR="004F47E1" w:rsidRPr="00B049AA">
        <w:rPr>
          <w:rFonts w:ascii="Times New Roman" w:hAnsi="Times New Roman"/>
          <w:b/>
          <w:sz w:val="32"/>
        </w:rPr>
        <w:t>FINANZAS</w:t>
      </w:r>
    </w:p>
    <w:p w14:paraId="01A865C9" w14:textId="77777777" w:rsidR="007D5C9B" w:rsidRPr="00B049AA" w:rsidRDefault="007D5C9B" w:rsidP="007D5C9B">
      <w:pPr>
        <w:rPr>
          <w:rFonts w:ascii="Times New Roman" w:eastAsia="Times New Roman" w:hAnsi="Times New Roman" w:cs="Times New Roman"/>
          <w:sz w:val="32"/>
          <w:szCs w:val="32"/>
        </w:rPr>
      </w:pPr>
    </w:p>
    <w:p w14:paraId="345572F0" w14:textId="77777777" w:rsidR="007D5C9B" w:rsidRPr="00B049AA" w:rsidRDefault="007D5C9B" w:rsidP="007D5C9B">
      <w:pPr>
        <w:rPr>
          <w:rFonts w:ascii="Times New Roman" w:eastAsia="Times New Roman" w:hAnsi="Times New Roman" w:cs="Times New Roman"/>
          <w:sz w:val="32"/>
          <w:szCs w:val="32"/>
        </w:rPr>
      </w:pPr>
    </w:p>
    <w:p w14:paraId="4D272D64" w14:textId="77777777" w:rsidR="007D5C9B" w:rsidRPr="00B049AA" w:rsidRDefault="007D5C9B" w:rsidP="007D5C9B">
      <w:pPr>
        <w:rPr>
          <w:rFonts w:ascii="Times New Roman" w:eastAsia="Times New Roman" w:hAnsi="Times New Roman" w:cs="Times New Roman"/>
          <w:sz w:val="32"/>
          <w:szCs w:val="32"/>
        </w:rPr>
      </w:pPr>
    </w:p>
    <w:p w14:paraId="73053040" w14:textId="77777777" w:rsidR="007D5C9B" w:rsidRPr="00B049AA" w:rsidRDefault="007D5C9B" w:rsidP="007D5C9B">
      <w:pPr>
        <w:spacing w:before="7"/>
        <w:rPr>
          <w:rFonts w:ascii="Times New Roman" w:eastAsia="Times New Roman" w:hAnsi="Times New Roman" w:cs="Times New Roman"/>
          <w:sz w:val="30"/>
          <w:szCs w:val="30"/>
        </w:rPr>
      </w:pPr>
    </w:p>
    <w:p w14:paraId="29190462" w14:textId="77777777" w:rsidR="007D5C9B" w:rsidRPr="00B049AA" w:rsidRDefault="004F47E1" w:rsidP="007D5C9B">
      <w:pPr>
        <w:jc w:val="center"/>
        <w:rPr>
          <w:rFonts w:ascii="Times New Roman" w:hAnsi="Times New Roman" w:cs="Times New Roman"/>
          <w:b/>
          <w:sz w:val="32"/>
          <w:szCs w:val="32"/>
        </w:rPr>
      </w:pPr>
      <w:r w:rsidRPr="00B049AA">
        <w:rPr>
          <w:rFonts w:ascii="Times New Roman" w:hAnsi="Times New Roman" w:cs="Times New Roman"/>
          <w:b/>
          <w:sz w:val="32"/>
          <w:szCs w:val="32"/>
        </w:rPr>
        <w:t>TEGUCIGALPA, M.D.C.</w:t>
      </w:r>
      <w:r w:rsidR="007D5C9B" w:rsidRPr="00B049AA">
        <w:rPr>
          <w:rFonts w:ascii="Times New Roman" w:hAnsi="Times New Roman" w:cs="Times New Roman"/>
          <w:b/>
          <w:sz w:val="32"/>
          <w:szCs w:val="32"/>
        </w:rPr>
        <w:t xml:space="preserve">, </w:t>
      </w:r>
      <w:r w:rsidRPr="00B049AA">
        <w:rPr>
          <w:rFonts w:ascii="Times New Roman" w:hAnsi="Times New Roman" w:cs="Times New Roman"/>
          <w:b/>
          <w:sz w:val="32"/>
          <w:szCs w:val="32"/>
        </w:rPr>
        <w:t>FRANCISCO MORAZÁN</w:t>
      </w:r>
      <w:r w:rsidR="007D5C9B" w:rsidRPr="00B049AA">
        <w:rPr>
          <w:rFonts w:ascii="Times New Roman" w:hAnsi="Times New Roman" w:cs="Times New Roman"/>
          <w:b/>
          <w:sz w:val="32"/>
          <w:szCs w:val="32"/>
        </w:rPr>
        <w:t xml:space="preserve">, HONDURAS, C.A. </w:t>
      </w:r>
    </w:p>
    <w:p w14:paraId="3FC9E444" w14:textId="77777777" w:rsidR="007D5C9B" w:rsidRPr="00B049AA" w:rsidRDefault="007D5C9B" w:rsidP="007D5C9B">
      <w:pPr>
        <w:spacing w:before="4"/>
        <w:rPr>
          <w:rFonts w:ascii="Times New Roman" w:hAnsi="Times New Roman" w:cs="Times New Roman"/>
          <w:b/>
          <w:sz w:val="32"/>
          <w:szCs w:val="32"/>
        </w:rPr>
      </w:pPr>
    </w:p>
    <w:p w14:paraId="3F46D52D" w14:textId="06513EDD" w:rsidR="007D5C9B" w:rsidRPr="00B049AA" w:rsidRDefault="001E5D6B" w:rsidP="007D5C9B">
      <w:pPr>
        <w:ind w:left="2074" w:right="1908"/>
        <w:jc w:val="center"/>
        <w:rPr>
          <w:rFonts w:ascii="Times New Roman" w:hAnsi="Times New Roman"/>
          <w:sz w:val="20"/>
        </w:rPr>
      </w:pPr>
      <w:r>
        <w:rPr>
          <w:rFonts w:ascii="Times New Roman" w:hAnsi="Times New Roman" w:cs="Times New Roman"/>
          <w:b/>
          <w:sz w:val="32"/>
          <w:szCs w:val="32"/>
        </w:rPr>
        <w:t>FEBRERO</w:t>
      </w:r>
      <w:r w:rsidR="007D5C9B" w:rsidRPr="00B049AA">
        <w:rPr>
          <w:rFonts w:ascii="Times New Roman" w:hAnsi="Times New Roman" w:cs="Times New Roman"/>
          <w:b/>
          <w:sz w:val="32"/>
          <w:szCs w:val="32"/>
        </w:rPr>
        <w:t xml:space="preserve">, </w:t>
      </w:r>
      <w:r w:rsidR="004F47E1" w:rsidRPr="00B049AA">
        <w:rPr>
          <w:rFonts w:ascii="Times New Roman" w:hAnsi="Times New Roman" w:cs="Times New Roman"/>
          <w:b/>
          <w:sz w:val="32"/>
          <w:szCs w:val="32"/>
        </w:rPr>
        <w:t>202</w:t>
      </w:r>
      <w:r w:rsidR="00802D4C">
        <w:rPr>
          <w:rFonts w:ascii="Times New Roman" w:hAnsi="Times New Roman" w:cs="Times New Roman"/>
          <w:b/>
          <w:sz w:val="32"/>
          <w:szCs w:val="32"/>
        </w:rPr>
        <w:t>4</w:t>
      </w:r>
      <w:r w:rsidR="007D5C9B" w:rsidRPr="00B049AA">
        <w:rPr>
          <w:rFonts w:ascii="Times New Roman" w:hAnsi="Times New Roman"/>
          <w:b/>
          <w:sz w:val="32"/>
        </w:rPr>
        <w:t xml:space="preserve"> </w:t>
      </w:r>
    </w:p>
    <w:p w14:paraId="1B6CFC56" w14:textId="77777777" w:rsidR="00737E89" w:rsidRDefault="00737E89" w:rsidP="006534B1">
      <w:pPr>
        <w:ind w:right="1908"/>
      </w:pPr>
      <w:r w:rsidRPr="00B049AA">
        <w:br w:type="page"/>
      </w:r>
    </w:p>
    <w:p w14:paraId="3B48AD6E" w14:textId="77777777" w:rsidR="00026295" w:rsidRDefault="00026295" w:rsidP="00026295">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lastRenderedPageBreak/>
        <w:t>UNIVERSIDAD TECNOLÓGICA CENTROAMERICANA</w:t>
      </w:r>
    </w:p>
    <w:p w14:paraId="6E322090" w14:textId="77777777" w:rsidR="00026295" w:rsidRPr="00D3123C" w:rsidRDefault="00026295" w:rsidP="00026295">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t>UNITEC</w:t>
      </w:r>
    </w:p>
    <w:p w14:paraId="141818B8" w14:textId="77777777" w:rsidR="00026295" w:rsidRDefault="00026295" w:rsidP="00026295">
      <w:pPr>
        <w:spacing w:before="19" w:line="360" w:lineRule="auto"/>
        <w:ind w:left="2074" w:right="1908"/>
        <w:jc w:val="center"/>
        <w:rPr>
          <w:rFonts w:ascii="Times New Roman"/>
          <w:b/>
          <w:sz w:val="32"/>
        </w:rPr>
      </w:pPr>
    </w:p>
    <w:p w14:paraId="7B790D9A" w14:textId="77777777" w:rsidR="00026295" w:rsidRDefault="00026295" w:rsidP="00026295">
      <w:pPr>
        <w:spacing w:before="19" w:line="360" w:lineRule="auto"/>
        <w:ind w:left="2074" w:right="1908"/>
        <w:jc w:val="center"/>
        <w:rPr>
          <w:rFonts w:ascii="Times New Roman"/>
          <w:b/>
          <w:sz w:val="32"/>
        </w:rPr>
      </w:pPr>
      <w:r w:rsidRPr="006F4460">
        <w:rPr>
          <w:rFonts w:ascii="Times New Roman"/>
          <w:b/>
          <w:sz w:val="32"/>
        </w:rPr>
        <w:t>FACULTAD DE POSTGRADO</w:t>
      </w:r>
    </w:p>
    <w:p w14:paraId="6E0BC713" w14:textId="77777777" w:rsidR="00026295" w:rsidRDefault="00026295" w:rsidP="00026295">
      <w:pPr>
        <w:spacing w:before="19" w:line="360" w:lineRule="auto"/>
        <w:ind w:left="2074" w:right="1908"/>
        <w:jc w:val="center"/>
        <w:rPr>
          <w:rFonts w:ascii="Times New Roman"/>
          <w:b/>
          <w:sz w:val="32"/>
        </w:rPr>
      </w:pPr>
    </w:p>
    <w:p w14:paraId="54E1271A" w14:textId="77777777" w:rsidR="00026295" w:rsidRPr="006F4460" w:rsidRDefault="00026295" w:rsidP="00026295">
      <w:pPr>
        <w:spacing w:before="19" w:line="360" w:lineRule="auto"/>
        <w:ind w:left="2074" w:right="1908"/>
        <w:jc w:val="center"/>
        <w:rPr>
          <w:rFonts w:ascii="Times New Roman" w:eastAsia="Times New Roman" w:hAnsi="Times New Roman" w:cs="Times New Roman"/>
          <w:sz w:val="32"/>
          <w:szCs w:val="32"/>
        </w:rPr>
      </w:pPr>
      <w:r w:rsidRPr="006F4460">
        <w:rPr>
          <w:rFonts w:ascii="Times New Roman"/>
          <w:b/>
          <w:sz w:val="32"/>
        </w:rPr>
        <w:t>AUTORIDADES</w:t>
      </w:r>
      <w:r w:rsidRPr="006F4460">
        <w:rPr>
          <w:rFonts w:ascii="Times New Roman"/>
          <w:b/>
          <w:spacing w:val="-9"/>
          <w:sz w:val="32"/>
        </w:rPr>
        <w:t xml:space="preserve"> </w:t>
      </w:r>
      <w:r w:rsidRPr="006F4460">
        <w:rPr>
          <w:rFonts w:ascii="Times New Roman"/>
          <w:b/>
          <w:sz w:val="32"/>
        </w:rPr>
        <w:t>UNIVERSITARIAS</w:t>
      </w:r>
    </w:p>
    <w:p w14:paraId="5CA5EC62" w14:textId="77777777" w:rsidR="00026295" w:rsidRPr="006F4460" w:rsidRDefault="00026295" w:rsidP="00026295">
      <w:pPr>
        <w:spacing w:line="360" w:lineRule="auto"/>
        <w:rPr>
          <w:rFonts w:ascii="Times New Roman" w:eastAsia="Times New Roman" w:hAnsi="Times New Roman" w:cs="Times New Roman"/>
          <w:b/>
          <w:bCs/>
          <w:sz w:val="32"/>
          <w:szCs w:val="32"/>
        </w:rPr>
      </w:pPr>
    </w:p>
    <w:p w14:paraId="646A4091" w14:textId="77777777" w:rsidR="00026295" w:rsidRPr="006F4460" w:rsidRDefault="00026295" w:rsidP="00026295">
      <w:pPr>
        <w:spacing w:before="187" w:line="360" w:lineRule="auto"/>
        <w:ind w:left="2073" w:right="1908"/>
        <w:jc w:val="center"/>
        <w:rPr>
          <w:rFonts w:ascii="Times New Roman" w:eastAsia="Times New Roman" w:hAnsi="Times New Roman" w:cs="Times New Roman"/>
          <w:sz w:val="32"/>
          <w:szCs w:val="32"/>
        </w:rPr>
      </w:pPr>
      <w:r w:rsidRPr="006F4460">
        <w:rPr>
          <w:rFonts w:ascii="Times New Roman"/>
          <w:b/>
          <w:sz w:val="32"/>
        </w:rPr>
        <w:t>RECTOR</w:t>
      </w:r>
      <w:r>
        <w:rPr>
          <w:rFonts w:ascii="Times New Roman"/>
          <w:b/>
          <w:sz w:val="32"/>
        </w:rPr>
        <w:t>A</w:t>
      </w:r>
    </w:p>
    <w:p w14:paraId="5B3BFA21" w14:textId="77777777" w:rsidR="00026295" w:rsidRDefault="00026295" w:rsidP="00026295">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rPr>
        <w:t>ROSALPINA RODR</w:t>
      </w:r>
      <w:r w:rsidRPr="00957657">
        <w:rPr>
          <w:rFonts w:ascii="Times New Roman"/>
          <w:b/>
          <w:sz w:val="32"/>
        </w:rPr>
        <w:t>Í</w:t>
      </w:r>
      <w:r w:rsidRPr="00957657">
        <w:rPr>
          <w:rFonts w:ascii="Times New Roman"/>
          <w:b/>
          <w:sz w:val="32"/>
        </w:rPr>
        <w:t>GUEZ</w:t>
      </w:r>
    </w:p>
    <w:p w14:paraId="26F79CB5" w14:textId="77777777" w:rsidR="00026295" w:rsidRDefault="00026295" w:rsidP="00026295">
      <w:pPr>
        <w:spacing w:line="360" w:lineRule="auto"/>
        <w:jc w:val="center"/>
        <w:rPr>
          <w:rFonts w:ascii="Times New Roman" w:eastAsia="Times New Roman" w:hAnsi="Times New Roman" w:cs="Times New Roman"/>
          <w:b/>
          <w:bCs/>
          <w:sz w:val="32"/>
          <w:szCs w:val="32"/>
          <w:lang w:val="es-MX"/>
        </w:rPr>
      </w:pPr>
    </w:p>
    <w:p w14:paraId="044381A2" w14:textId="77777777" w:rsidR="00026295" w:rsidRDefault="00026295" w:rsidP="00026295">
      <w:pPr>
        <w:spacing w:line="360" w:lineRule="auto"/>
        <w:jc w:val="center"/>
        <w:rPr>
          <w:rFonts w:ascii="Times New Roman" w:eastAsia="Times New Roman" w:hAnsi="Times New Roman" w:cs="Times New Roman"/>
          <w:b/>
          <w:bCs/>
          <w:sz w:val="32"/>
          <w:szCs w:val="32"/>
          <w:lang w:val="es-MX"/>
        </w:rPr>
      </w:pPr>
    </w:p>
    <w:p w14:paraId="2CD0C7F8" w14:textId="77777777" w:rsidR="00026295" w:rsidRPr="00DD1FCA" w:rsidRDefault="00026295" w:rsidP="00026295">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rPr>
        <w:t>VICERRECTOR ACADÉMICO NACIONAL</w:t>
      </w:r>
    </w:p>
    <w:p w14:paraId="60943DB3" w14:textId="77777777" w:rsidR="00026295" w:rsidRPr="006F4460" w:rsidRDefault="00026295" w:rsidP="00026295">
      <w:pPr>
        <w:spacing w:line="360" w:lineRule="auto"/>
        <w:jc w:val="center"/>
        <w:rPr>
          <w:rFonts w:ascii="Times New Roman" w:eastAsia="Times New Roman" w:hAnsi="Times New Roman" w:cs="Times New Roman"/>
          <w:b/>
          <w:bCs/>
          <w:sz w:val="32"/>
          <w:szCs w:val="32"/>
        </w:rPr>
      </w:pPr>
      <w:r w:rsidRPr="00957657">
        <w:rPr>
          <w:rFonts w:ascii="Times New Roman" w:eastAsia="Times New Roman" w:hAnsi="Times New Roman" w:cs="Times New Roman"/>
          <w:b/>
          <w:bCs/>
          <w:sz w:val="32"/>
          <w:szCs w:val="32"/>
        </w:rPr>
        <w:t xml:space="preserve">JAVIER </w:t>
      </w:r>
      <w:r>
        <w:rPr>
          <w:rFonts w:ascii="Times New Roman" w:eastAsia="Times New Roman" w:hAnsi="Times New Roman" w:cs="Times New Roman"/>
          <w:b/>
          <w:bCs/>
          <w:sz w:val="32"/>
          <w:szCs w:val="32"/>
        </w:rPr>
        <w:t xml:space="preserve">ABRAHAM </w:t>
      </w:r>
      <w:r w:rsidRPr="00957657">
        <w:rPr>
          <w:rFonts w:ascii="Times New Roman" w:eastAsia="Times New Roman" w:hAnsi="Times New Roman" w:cs="Times New Roman"/>
          <w:b/>
          <w:bCs/>
          <w:sz w:val="32"/>
          <w:szCs w:val="32"/>
        </w:rPr>
        <w:t>SALGADO</w:t>
      </w:r>
      <w:r>
        <w:rPr>
          <w:rFonts w:ascii="Times New Roman" w:eastAsia="Times New Roman" w:hAnsi="Times New Roman" w:cs="Times New Roman"/>
          <w:b/>
          <w:bCs/>
          <w:sz w:val="32"/>
          <w:szCs w:val="32"/>
        </w:rPr>
        <w:t xml:space="preserve"> LEZAMA</w:t>
      </w:r>
    </w:p>
    <w:p w14:paraId="320FD63E" w14:textId="77777777" w:rsidR="00026295" w:rsidRDefault="00026295" w:rsidP="00026295">
      <w:pPr>
        <w:spacing w:line="360" w:lineRule="auto"/>
        <w:ind w:left="2420" w:right="2254" w:hanging="3"/>
        <w:jc w:val="center"/>
        <w:rPr>
          <w:rFonts w:ascii="Times New Roman" w:hAnsi="Times New Roman"/>
          <w:b/>
          <w:sz w:val="32"/>
        </w:rPr>
      </w:pPr>
    </w:p>
    <w:p w14:paraId="249AD6AD" w14:textId="77777777" w:rsidR="00026295" w:rsidRDefault="00026295" w:rsidP="00026295">
      <w:pPr>
        <w:spacing w:line="360" w:lineRule="auto"/>
        <w:ind w:left="2420" w:right="2254" w:hanging="3"/>
        <w:jc w:val="center"/>
        <w:rPr>
          <w:rFonts w:ascii="Times New Roman" w:hAnsi="Times New Roman"/>
          <w:b/>
          <w:sz w:val="32"/>
        </w:rPr>
      </w:pPr>
    </w:p>
    <w:p w14:paraId="632A6FA1" w14:textId="77777777" w:rsidR="00026295" w:rsidRDefault="00026295" w:rsidP="00026295">
      <w:pPr>
        <w:spacing w:line="360" w:lineRule="auto"/>
        <w:ind w:left="2420" w:right="2254" w:hanging="3"/>
        <w:jc w:val="center"/>
        <w:rPr>
          <w:rFonts w:ascii="Times New Roman" w:hAnsi="Times New Roman"/>
          <w:b/>
          <w:sz w:val="32"/>
        </w:rPr>
      </w:pPr>
      <w:r w:rsidRPr="006F4460">
        <w:rPr>
          <w:rFonts w:ascii="Times New Roman" w:hAnsi="Times New Roman"/>
          <w:b/>
          <w:sz w:val="32"/>
        </w:rPr>
        <w:t xml:space="preserve">SECRETARIO GENERAL </w:t>
      </w:r>
      <w:r>
        <w:rPr>
          <w:rFonts w:ascii="Times New Roman" w:hAnsi="Times New Roman"/>
          <w:b/>
          <w:sz w:val="32"/>
        </w:rPr>
        <w:t>ROGER MARTÍNEZ MIRALDA</w:t>
      </w:r>
    </w:p>
    <w:p w14:paraId="6E0969F3" w14:textId="77777777" w:rsidR="00026295" w:rsidRDefault="00026295" w:rsidP="00026295">
      <w:pPr>
        <w:spacing w:line="360" w:lineRule="auto"/>
        <w:ind w:left="557" w:right="395"/>
        <w:jc w:val="center"/>
        <w:rPr>
          <w:rFonts w:ascii="Times New Roman"/>
          <w:b/>
          <w:sz w:val="32"/>
        </w:rPr>
      </w:pPr>
    </w:p>
    <w:p w14:paraId="7A326FC8" w14:textId="77777777" w:rsidR="00026295" w:rsidRDefault="00026295" w:rsidP="00026295">
      <w:pPr>
        <w:spacing w:line="360" w:lineRule="auto"/>
        <w:ind w:left="557" w:right="395"/>
        <w:jc w:val="center"/>
        <w:rPr>
          <w:rFonts w:ascii="Times New Roman"/>
          <w:b/>
          <w:sz w:val="32"/>
        </w:rPr>
      </w:pPr>
    </w:p>
    <w:p w14:paraId="7BF74A0F" w14:textId="77777777" w:rsidR="00026295" w:rsidRPr="00DD1FCA" w:rsidRDefault="00026295" w:rsidP="00026295">
      <w:pPr>
        <w:spacing w:line="360" w:lineRule="auto"/>
        <w:ind w:left="557" w:right="395"/>
        <w:jc w:val="center"/>
        <w:rPr>
          <w:rFonts w:ascii="Times New Roman" w:eastAsia="Times New Roman" w:hAnsi="Times New Roman" w:cs="Times New Roman"/>
          <w:sz w:val="32"/>
          <w:szCs w:val="32"/>
        </w:rPr>
      </w:pPr>
      <w:r>
        <w:rPr>
          <w:rFonts w:ascii="Times New Roman"/>
          <w:b/>
          <w:sz w:val="32"/>
        </w:rPr>
        <w:t>DIRECTORA NACIONAL</w:t>
      </w:r>
      <w:r w:rsidRPr="006F4460">
        <w:rPr>
          <w:rFonts w:ascii="Times New Roman"/>
          <w:b/>
          <w:sz w:val="32"/>
        </w:rPr>
        <w:t xml:space="preserve"> DE</w:t>
      </w:r>
      <w:r w:rsidRPr="006F4460">
        <w:rPr>
          <w:rFonts w:ascii="Times New Roman"/>
          <w:b/>
          <w:spacing w:val="-11"/>
          <w:sz w:val="32"/>
        </w:rPr>
        <w:t xml:space="preserve"> </w:t>
      </w:r>
      <w:r w:rsidRPr="006F4460">
        <w:rPr>
          <w:rFonts w:ascii="Times New Roman"/>
          <w:b/>
          <w:sz w:val="32"/>
        </w:rPr>
        <w:t>POSTGRADO</w:t>
      </w:r>
    </w:p>
    <w:p w14:paraId="4C8D7B2D" w14:textId="75E566E5" w:rsidR="00026295" w:rsidRPr="00F11352" w:rsidRDefault="00026295" w:rsidP="001E5D6B">
      <w:pPr>
        <w:widowControl/>
        <w:spacing w:after="160" w:line="360" w:lineRule="auto"/>
        <w:jc w:val="center"/>
        <w:rPr>
          <w:rFonts w:ascii="Times New Roman" w:hAnsi="Times New Roman" w:cs="Times New Roman"/>
          <w:sz w:val="20"/>
          <w:szCs w:val="20"/>
        </w:rPr>
      </w:pPr>
      <w:r>
        <w:rPr>
          <w:rFonts w:ascii="Times New Roman" w:hAnsi="Times New Roman"/>
          <w:b/>
          <w:sz w:val="32"/>
          <w:szCs w:val="32"/>
        </w:rPr>
        <w:t>ANA DEL CARMEN RETTALLY VARGAS</w:t>
      </w:r>
      <w:r>
        <w:rPr>
          <w:rFonts w:ascii="Times New Roman" w:hAnsi="Times New Roman" w:cs="Times New Roman"/>
          <w:sz w:val="20"/>
          <w:szCs w:val="20"/>
        </w:rPr>
        <w:br w:type="page"/>
      </w:r>
    </w:p>
    <w:p w14:paraId="6ABB5BCA" w14:textId="2C6B15FC" w:rsidR="00026295" w:rsidRDefault="00026295" w:rsidP="00026295">
      <w:pPr>
        <w:spacing w:before="177"/>
        <w:ind w:left="557" w:right="393"/>
        <w:jc w:val="center"/>
        <w:rPr>
          <w:rFonts w:ascii="Times New Roman" w:hAnsi="Times New Roman" w:cs="Times New Roman"/>
          <w:b/>
          <w:sz w:val="32"/>
        </w:rPr>
      </w:pPr>
      <w:r w:rsidRPr="00026295">
        <w:rPr>
          <w:rFonts w:ascii="Times New Roman" w:hAnsi="Times New Roman" w:cs="Times New Roman"/>
          <w:b/>
          <w:sz w:val="32"/>
        </w:rPr>
        <w:lastRenderedPageBreak/>
        <w:t>ANÁLISIS Y DESCOMPOSICIÓN DE LA TASA DE INTERÉS NOMINAL EN MONEDA NACIONAL COBRADA EN LOS BANCOS COMERCIALES EN HONDURAS DURANTE EL PERÍODO 2019 – 2022</w:t>
      </w:r>
    </w:p>
    <w:p w14:paraId="125D9D60" w14:textId="77777777" w:rsidR="00026295" w:rsidRPr="00F11352" w:rsidRDefault="00026295" w:rsidP="00026295">
      <w:pPr>
        <w:spacing w:before="177"/>
        <w:ind w:left="557" w:right="393"/>
        <w:jc w:val="center"/>
        <w:rPr>
          <w:rFonts w:ascii="Times New Roman" w:hAnsi="Times New Roman" w:cs="Times New Roman"/>
          <w:b/>
          <w:sz w:val="32"/>
        </w:rPr>
      </w:pPr>
    </w:p>
    <w:p w14:paraId="30BD4A8C" w14:textId="77777777" w:rsidR="00026295" w:rsidRPr="00D3123C" w:rsidRDefault="00026295" w:rsidP="00026295">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TRABAJO PRESENTADO EN CUMPLIMIENTO DE LOS REQUISITOS EXIGIDOS PARA OPTAR AL TÍTULO DE</w:t>
      </w:r>
    </w:p>
    <w:p w14:paraId="39A5175C" w14:textId="6B18945C" w:rsidR="00026295" w:rsidRPr="007D5C9B" w:rsidRDefault="00026295" w:rsidP="00026295">
      <w:pPr>
        <w:spacing w:before="177"/>
        <w:ind w:left="557" w:right="393"/>
        <w:jc w:val="center"/>
        <w:rPr>
          <w:rFonts w:ascii="Times New Roman" w:eastAsia="Times New Roman" w:hAnsi="Times New Roman" w:cs="Times New Roman"/>
          <w:b/>
          <w:sz w:val="32"/>
          <w:szCs w:val="32"/>
        </w:rPr>
      </w:pPr>
      <w:r w:rsidRPr="00D3123C">
        <w:rPr>
          <w:rFonts w:ascii="Times New Roman" w:hAnsi="Times New Roman" w:cs="Times New Roman"/>
          <w:b/>
          <w:sz w:val="32"/>
        </w:rPr>
        <w:t>MÁSTER EN</w:t>
      </w:r>
      <w:r>
        <w:rPr>
          <w:rFonts w:ascii="Times New Roman" w:hAnsi="Times New Roman"/>
          <w:b/>
          <w:sz w:val="32"/>
          <w:szCs w:val="32"/>
        </w:rPr>
        <w:t xml:space="preserve"> FINANZAS</w:t>
      </w:r>
    </w:p>
    <w:p w14:paraId="0D7DFBB7" w14:textId="77777777" w:rsidR="00026295" w:rsidRPr="006F4460" w:rsidRDefault="00026295" w:rsidP="00026295">
      <w:pPr>
        <w:rPr>
          <w:rFonts w:ascii="Times New Roman" w:eastAsia="Times New Roman" w:hAnsi="Times New Roman" w:cs="Times New Roman"/>
          <w:b/>
          <w:bCs/>
          <w:sz w:val="20"/>
          <w:szCs w:val="20"/>
        </w:rPr>
      </w:pPr>
    </w:p>
    <w:p w14:paraId="352E6669" w14:textId="77777777" w:rsidR="00026295" w:rsidRPr="006F4460" w:rsidRDefault="00026295" w:rsidP="00026295">
      <w:pPr>
        <w:rPr>
          <w:rFonts w:ascii="Times New Roman" w:eastAsia="Times New Roman" w:hAnsi="Times New Roman" w:cs="Times New Roman"/>
          <w:b/>
          <w:bCs/>
          <w:sz w:val="20"/>
          <w:szCs w:val="20"/>
        </w:rPr>
      </w:pPr>
    </w:p>
    <w:p w14:paraId="501B9632" w14:textId="77777777" w:rsidR="00026295" w:rsidRPr="006F4460" w:rsidRDefault="00026295" w:rsidP="00026295">
      <w:pPr>
        <w:rPr>
          <w:rFonts w:ascii="Times New Roman" w:eastAsia="Times New Roman" w:hAnsi="Times New Roman" w:cs="Times New Roman"/>
          <w:b/>
          <w:bCs/>
          <w:sz w:val="20"/>
          <w:szCs w:val="20"/>
        </w:rPr>
      </w:pPr>
    </w:p>
    <w:p w14:paraId="4D5DE404" w14:textId="77777777" w:rsidR="00026295" w:rsidRPr="006F4460" w:rsidRDefault="00026295" w:rsidP="00026295">
      <w:pPr>
        <w:spacing w:before="10"/>
        <w:rPr>
          <w:rFonts w:ascii="Times New Roman" w:eastAsia="Times New Roman" w:hAnsi="Times New Roman" w:cs="Times New Roman"/>
          <w:b/>
          <w:bCs/>
          <w:sz w:val="18"/>
          <w:szCs w:val="18"/>
        </w:rPr>
      </w:pPr>
    </w:p>
    <w:p w14:paraId="26013DDA" w14:textId="77777777" w:rsidR="00026295" w:rsidRPr="006F4460" w:rsidRDefault="00026295" w:rsidP="00026295">
      <w:pPr>
        <w:rPr>
          <w:rFonts w:ascii="Times New Roman" w:eastAsia="Times New Roman" w:hAnsi="Times New Roman" w:cs="Times New Roman"/>
          <w:b/>
          <w:bCs/>
          <w:sz w:val="20"/>
          <w:szCs w:val="20"/>
        </w:rPr>
      </w:pPr>
    </w:p>
    <w:p w14:paraId="18AEAA37" w14:textId="77777777" w:rsidR="00026295" w:rsidRPr="006F4460" w:rsidRDefault="00026295" w:rsidP="00026295">
      <w:pPr>
        <w:rPr>
          <w:rFonts w:ascii="Times New Roman" w:eastAsia="Times New Roman" w:hAnsi="Times New Roman" w:cs="Times New Roman"/>
          <w:b/>
          <w:bCs/>
          <w:sz w:val="20"/>
          <w:szCs w:val="20"/>
        </w:rPr>
      </w:pPr>
    </w:p>
    <w:p w14:paraId="7FC4C789" w14:textId="77777777" w:rsidR="00026295" w:rsidRPr="006F4460" w:rsidRDefault="00026295" w:rsidP="00026295">
      <w:pPr>
        <w:spacing w:before="9"/>
        <w:rPr>
          <w:rFonts w:ascii="Times New Roman" w:eastAsia="Times New Roman" w:hAnsi="Times New Roman" w:cs="Times New Roman"/>
          <w:b/>
          <w:bCs/>
          <w:sz w:val="18"/>
          <w:szCs w:val="18"/>
        </w:rPr>
      </w:pPr>
    </w:p>
    <w:p w14:paraId="3B27BE84" w14:textId="77777777" w:rsidR="00026295" w:rsidRPr="00D3123C" w:rsidRDefault="00026295" w:rsidP="00026295">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 xml:space="preserve">ASESOR </w:t>
      </w:r>
    </w:p>
    <w:p w14:paraId="7EC4AF95" w14:textId="77777777" w:rsidR="00026295" w:rsidRPr="006F4460" w:rsidRDefault="00026295" w:rsidP="00026295">
      <w:pPr>
        <w:spacing w:before="7"/>
        <w:rPr>
          <w:rFonts w:ascii="Times New Roman" w:eastAsia="Times New Roman" w:hAnsi="Times New Roman" w:cs="Times New Roman"/>
          <w:b/>
          <w:bCs/>
          <w:sz w:val="26"/>
          <w:szCs w:val="26"/>
        </w:rPr>
      </w:pPr>
    </w:p>
    <w:p w14:paraId="5A90DAF7" w14:textId="20E44C5A" w:rsidR="00026295" w:rsidRPr="00F11352" w:rsidRDefault="00BE26CA" w:rsidP="00026295">
      <w:pPr>
        <w:ind w:left="1586" w:right="1405"/>
        <w:jc w:val="center"/>
        <w:rPr>
          <w:rFonts w:ascii="Times New Roman" w:eastAsia="Times New Roman" w:hAnsi="Times New Roman" w:cs="Times New Roman"/>
          <w:sz w:val="32"/>
          <w:szCs w:val="32"/>
        </w:rPr>
      </w:pPr>
      <w:r>
        <w:rPr>
          <w:rFonts w:ascii="Times New Roman" w:hAnsi="Times New Roman"/>
          <w:b/>
          <w:sz w:val="32"/>
          <w:szCs w:val="32"/>
        </w:rPr>
        <w:t>OSCAR DONALDO MOLINA VALLADARES</w:t>
      </w:r>
    </w:p>
    <w:p w14:paraId="022D2F0B" w14:textId="77777777" w:rsidR="00026295" w:rsidRPr="006F4460" w:rsidRDefault="00026295" w:rsidP="00026295">
      <w:pPr>
        <w:rPr>
          <w:rFonts w:ascii="Times New Roman" w:eastAsia="Times New Roman" w:hAnsi="Times New Roman" w:cs="Times New Roman"/>
          <w:b/>
          <w:bCs/>
        </w:rPr>
      </w:pPr>
    </w:p>
    <w:p w14:paraId="1A726F66" w14:textId="77777777" w:rsidR="00026295" w:rsidRPr="006F4460" w:rsidRDefault="00026295" w:rsidP="00026295">
      <w:pPr>
        <w:rPr>
          <w:rFonts w:ascii="Times New Roman" w:eastAsia="Times New Roman" w:hAnsi="Times New Roman" w:cs="Times New Roman"/>
          <w:b/>
          <w:bCs/>
        </w:rPr>
      </w:pPr>
    </w:p>
    <w:p w14:paraId="33284A97" w14:textId="77777777" w:rsidR="00026295" w:rsidRPr="006F4460" w:rsidRDefault="00026295" w:rsidP="00026295">
      <w:pPr>
        <w:rPr>
          <w:rFonts w:ascii="Times New Roman" w:eastAsia="Times New Roman" w:hAnsi="Times New Roman" w:cs="Times New Roman"/>
          <w:b/>
          <w:bCs/>
        </w:rPr>
      </w:pPr>
    </w:p>
    <w:p w14:paraId="2BC2459E" w14:textId="77777777" w:rsidR="00026295" w:rsidRDefault="00026295" w:rsidP="00026295">
      <w:pPr>
        <w:spacing w:before="157" w:line="439" w:lineRule="auto"/>
        <w:ind w:left="1592" w:right="1405"/>
        <w:jc w:val="center"/>
        <w:rPr>
          <w:rFonts w:ascii="Times New Roman" w:hAnsi="Times New Roman"/>
          <w:b/>
          <w:sz w:val="32"/>
        </w:rPr>
      </w:pPr>
      <w:r w:rsidRPr="006F4460">
        <w:rPr>
          <w:rFonts w:ascii="Times New Roman" w:hAnsi="Times New Roman"/>
          <w:b/>
          <w:sz w:val="32"/>
        </w:rPr>
        <w:t xml:space="preserve">MIEMBROS DE LA TERNA: </w:t>
      </w:r>
    </w:p>
    <w:p w14:paraId="2C45830E" w14:textId="77777777" w:rsidR="001E5D6B" w:rsidRDefault="001E5D6B" w:rsidP="001E5D6B">
      <w:pPr>
        <w:ind w:left="1586" w:right="1405"/>
        <w:jc w:val="center"/>
        <w:rPr>
          <w:rFonts w:ascii="Times New Roman" w:hAnsi="Times New Roman"/>
          <w:b/>
          <w:sz w:val="32"/>
          <w:szCs w:val="32"/>
        </w:rPr>
      </w:pPr>
      <w:r>
        <w:rPr>
          <w:rFonts w:ascii="Times New Roman" w:hAnsi="Times New Roman"/>
          <w:b/>
          <w:sz w:val="32"/>
          <w:szCs w:val="32"/>
        </w:rPr>
        <w:t>SAMMY DE JESUS CASTRO MEJIA</w:t>
      </w:r>
    </w:p>
    <w:p w14:paraId="01C18030" w14:textId="77777777" w:rsidR="001E5D6B" w:rsidRDefault="001E5D6B" w:rsidP="001E5D6B">
      <w:pPr>
        <w:ind w:left="1586" w:right="1405"/>
        <w:jc w:val="center"/>
        <w:rPr>
          <w:rFonts w:ascii="Times New Roman" w:eastAsia="Times New Roman" w:hAnsi="Times New Roman" w:cs="Times New Roman"/>
          <w:sz w:val="32"/>
          <w:szCs w:val="32"/>
        </w:rPr>
      </w:pPr>
      <w:r>
        <w:rPr>
          <w:rFonts w:ascii="Times New Roman" w:hAnsi="Times New Roman"/>
          <w:b/>
          <w:sz w:val="32"/>
          <w:szCs w:val="32"/>
        </w:rPr>
        <w:t>RENE JAVIER SANTOS MUNGUIA</w:t>
      </w:r>
    </w:p>
    <w:p w14:paraId="775F6B94" w14:textId="77777777" w:rsidR="001E5D6B" w:rsidRDefault="001E5D6B" w:rsidP="001E5D6B">
      <w:pPr>
        <w:ind w:left="1586" w:right="1405"/>
        <w:jc w:val="center"/>
        <w:rPr>
          <w:rFonts w:ascii="Times New Roman" w:eastAsia="Times New Roman" w:hAnsi="Times New Roman" w:cs="Times New Roman"/>
          <w:sz w:val="32"/>
          <w:szCs w:val="32"/>
        </w:rPr>
      </w:pPr>
      <w:r>
        <w:rPr>
          <w:rFonts w:ascii="Times New Roman" w:hAnsi="Times New Roman"/>
          <w:b/>
          <w:sz w:val="32"/>
          <w:szCs w:val="32"/>
        </w:rPr>
        <w:t>DANIEL FERNANDO BENAVIDES AGUILAR</w:t>
      </w:r>
    </w:p>
    <w:p w14:paraId="50499CA0" w14:textId="1134A909" w:rsidR="00026295" w:rsidRPr="008042C6" w:rsidRDefault="00026295" w:rsidP="00026295">
      <w:pPr>
        <w:ind w:left="1586" w:right="1405"/>
        <w:jc w:val="center"/>
        <w:rPr>
          <w:rFonts w:ascii="Times New Roman" w:eastAsia="Times New Roman" w:hAnsi="Times New Roman" w:cs="Times New Roman"/>
          <w:color w:val="FF0000"/>
          <w:sz w:val="32"/>
          <w:szCs w:val="32"/>
        </w:rPr>
      </w:pPr>
    </w:p>
    <w:p w14:paraId="330A7C5E" w14:textId="77777777" w:rsidR="00026295" w:rsidRDefault="00026295" w:rsidP="00026295">
      <w:pPr>
        <w:ind w:left="1586" w:right="1405"/>
        <w:jc w:val="center"/>
        <w:rPr>
          <w:rFonts w:ascii="Times New Roman" w:eastAsia="Times New Roman" w:hAnsi="Times New Roman" w:cs="Times New Roman"/>
          <w:sz w:val="32"/>
          <w:szCs w:val="32"/>
        </w:rPr>
      </w:pPr>
    </w:p>
    <w:p w14:paraId="3451FE9C" w14:textId="77777777" w:rsidR="00026295" w:rsidRPr="00F11352" w:rsidRDefault="00026295" w:rsidP="00026295">
      <w:pPr>
        <w:ind w:left="1586" w:right="1405"/>
        <w:jc w:val="center"/>
        <w:rPr>
          <w:rFonts w:ascii="Times New Roman" w:eastAsia="Times New Roman" w:hAnsi="Times New Roman" w:cs="Times New Roman"/>
          <w:sz w:val="32"/>
          <w:szCs w:val="32"/>
        </w:rPr>
      </w:pPr>
    </w:p>
    <w:p w14:paraId="77A0A9B0" w14:textId="77777777" w:rsidR="00026295" w:rsidRDefault="00026295" w:rsidP="00026295">
      <w:pPr>
        <w:spacing w:before="2"/>
        <w:rPr>
          <w:rFonts w:ascii="Times New Roman" w:eastAsia="Times New Roman" w:hAnsi="Times New Roman" w:cs="Times New Roman"/>
          <w:sz w:val="32"/>
          <w:szCs w:val="32"/>
        </w:rPr>
      </w:pPr>
      <w:bookmarkStart w:id="0" w:name="_bookmark80"/>
      <w:bookmarkStart w:id="1" w:name="_bookmark81"/>
      <w:bookmarkEnd w:id="0"/>
      <w:bookmarkEnd w:id="1"/>
    </w:p>
    <w:p w14:paraId="6A37E3F9" w14:textId="77777777" w:rsidR="00BE26CA" w:rsidRDefault="00BE26CA" w:rsidP="00026295">
      <w:pPr>
        <w:spacing w:before="2"/>
        <w:rPr>
          <w:rFonts w:ascii="Times New Roman" w:eastAsia="Times New Roman" w:hAnsi="Times New Roman" w:cs="Times New Roman"/>
          <w:sz w:val="32"/>
          <w:szCs w:val="32"/>
        </w:rPr>
      </w:pPr>
    </w:p>
    <w:p w14:paraId="776F8AF7" w14:textId="77777777" w:rsidR="00BE26CA" w:rsidRDefault="00BE26CA" w:rsidP="00026295">
      <w:pPr>
        <w:spacing w:before="2"/>
        <w:rPr>
          <w:rFonts w:ascii="Times New Roman" w:eastAsia="Times New Roman" w:hAnsi="Times New Roman" w:cs="Times New Roman"/>
          <w:sz w:val="32"/>
          <w:szCs w:val="32"/>
        </w:rPr>
      </w:pPr>
    </w:p>
    <w:p w14:paraId="7A71BF8A" w14:textId="77777777" w:rsidR="00BE26CA" w:rsidRDefault="00BE26CA" w:rsidP="00026295">
      <w:pPr>
        <w:spacing w:before="2"/>
        <w:rPr>
          <w:rFonts w:ascii="Times New Roman" w:eastAsia="Times New Roman" w:hAnsi="Times New Roman" w:cs="Times New Roman"/>
          <w:sz w:val="32"/>
          <w:szCs w:val="32"/>
        </w:rPr>
      </w:pPr>
    </w:p>
    <w:p w14:paraId="71C3453C" w14:textId="77777777" w:rsidR="00026295" w:rsidRPr="00D3123C" w:rsidRDefault="00026295" w:rsidP="00026295">
      <w:pPr>
        <w:jc w:val="center"/>
        <w:rPr>
          <w:rFonts w:ascii="Times New Roman" w:hAnsi="Times New Roman" w:cs="Times New Roman"/>
          <w:b/>
          <w:bCs/>
          <w:sz w:val="32"/>
          <w:szCs w:val="32"/>
        </w:rPr>
      </w:pPr>
      <w:r w:rsidRPr="00D3123C">
        <w:rPr>
          <w:rFonts w:ascii="Times New Roman" w:hAnsi="Times New Roman" w:cs="Times New Roman"/>
          <w:b/>
          <w:sz w:val="32"/>
          <w:szCs w:val="32"/>
        </w:rPr>
        <w:lastRenderedPageBreak/>
        <w:t>DERECHOS DE</w:t>
      </w:r>
      <w:r w:rsidRPr="00D3123C">
        <w:rPr>
          <w:rFonts w:ascii="Times New Roman" w:hAnsi="Times New Roman" w:cs="Times New Roman"/>
          <w:b/>
          <w:spacing w:val="-5"/>
          <w:sz w:val="32"/>
          <w:szCs w:val="32"/>
        </w:rPr>
        <w:t xml:space="preserve"> </w:t>
      </w:r>
      <w:r w:rsidRPr="00D3123C">
        <w:rPr>
          <w:rFonts w:ascii="Times New Roman" w:hAnsi="Times New Roman" w:cs="Times New Roman"/>
          <w:b/>
          <w:sz w:val="32"/>
          <w:szCs w:val="32"/>
        </w:rPr>
        <w:t>AUTOR</w:t>
      </w:r>
    </w:p>
    <w:p w14:paraId="6B440FD2" w14:textId="77777777" w:rsidR="00026295" w:rsidRPr="006F4460" w:rsidRDefault="00026295" w:rsidP="00026295">
      <w:pPr>
        <w:rPr>
          <w:rFonts w:ascii="Times New Roman" w:eastAsia="Times New Roman" w:hAnsi="Times New Roman" w:cs="Times New Roman"/>
          <w:b/>
          <w:bCs/>
          <w:sz w:val="28"/>
          <w:szCs w:val="28"/>
        </w:rPr>
      </w:pPr>
    </w:p>
    <w:p w14:paraId="2D1FE367" w14:textId="77777777" w:rsidR="00026295" w:rsidRPr="006F4460" w:rsidRDefault="00026295" w:rsidP="00026295">
      <w:pPr>
        <w:rPr>
          <w:rFonts w:ascii="Times New Roman" w:eastAsia="Times New Roman" w:hAnsi="Times New Roman" w:cs="Times New Roman"/>
          <w:b/>
          <w:bCs/>
          <w:sz w:val="28"/>
          <w:szCs w:val="28"/>
        </w:rPr>
      </w:pPr>
    </w:p>
    <w:p w14:paraId="3B63A07D" w14:textId="77777777" w:rsidR="00026295" w:rsidRPr="006F4460" w:rsidRDefault="00026295" w:rsidP="00026295">
      <w:pPr>
        <w:rPr>
          <w:rFonts w:ascii="Times New Roman" w:eastAsia="Times New Roman" w:hAnsi="Times New Roman" w:cs="Times New Roman"/>
          <w:b/>
          <w:bCs/>
          <w:sz w:val="28"/>
          <w:szCs w:val="28"/>
        </w:rPr>
      </w:pPr>
    </w:p>
    <w:p w14:paraId="7810AC7B" w14:textId="77777777" w:rsidR="00026295" w:rsidRPr="006F4460" w:rsidRDefault="00026295" w:rsidP="00026295">
      <w:pPr>
        <w:rPr>
          <w:rFonts w:ascii="Times New Roman" w:eastAsia="Times New Roman" w:hAnsi="Times New Roman" w:cs="Times New Roman"/>
          <w:b/>
          <w:bCs/>
          <w:sz w:val="28"/>
          <w:szCs w:val="28"/>
        </w:rPr>
      </w:pPr>
    </w:p>
    <w:p w14:paraId="32B5D90E" w14:textId="77777777" w:rsidR="00026295" w:rsidRPr="006F4460" w:rsidRDefault="00026295" w:rsidP="00026295">
      <w:pPr>
        <w:rPr>
          <w:rFonts w:ascii="Times New Roman" w:eastAsia="Times New Roman" w:hAnsi="Times New Roman" w:cs="Times New Roman"/>
          <w:b/>
          <w:bCs/>
          <w:sz w:val="28"/>
          <w:szCs w:val="28"/>
        </w:rPr>
      </w:pPr>
    </w:p>
    <w:p w14:paraId="0554B6FF" w14:textId="77777777" w:rsidR="00026295" w:rsidRPr="006F4460" w:rsidRDefault="00026295" w:rsidP="00026295">
      <w:pPr>
        <w:rPr>
          <w:rFonts w:ascii="Times New Roman" w:eastAsia="Times New Roman" w:hAnsi="Times New Roman" w:cs="Times New Roman"/>
          <w:b/>
          <w:bCs/>
          <w:sz w:val="28"/>
          <w:szCs w:val="28"/>
        </w:rPr>
      </w:pPr>
    </w:p>
    <w:p w14:paraId="1DFCFE00" w14:textId="77777777" w:rsidR="00026295" w:rsidRPr="006F4460" w:rsidRDefault="00026295" w:rsidP="00026295">
      <w:pPr>
        <w:rPr>
          <w:rFonts w:ascii="Times New Roman" w:eastAsia="Times New Roman" w:hAnsi="Times New Roman" w:cs="Times New Roman"/>
          <w:b/>
          <w:bCs/>
          <w:sz w:val="28"/>
          <w:szCs w:val="28"/>
        </w:rPr>
      </w:pPr>
    </w:p>
    <w:p w14:paraId="0DA903AB" w14:textId="77777777" w:rsidR="00026295" w:rsidRPr="006F4460" w:rsidRDefault="00026295" w:rsidP="00026295">
      <w:pPr>
        <w:rPr>
          <w:rFonts w:ascii="Times New Roman" w:eastAsia="Times New Roman" w:hAnsi="Times New Roman" w:cs="Times New Roman"/>
          <w:b/>
          <w:bCs/>
          <w:sz w:val="28"/>
          <w:szCs w:val="28"/>
        </w:rPr>
      </w:pPr>
    </w:p>
    <w:p w14:paraId="27FE7D68" w14:textId="77777777" w:rsidR="00026295" w:rsidRPr="006F4460" w:rsidRDefault="00026295" w:rsidP="00026295">
      <w:pPr>
        <w:rPr>
          <w:rFonts w:ascii="Times New Roman" w:eastAsia="Times New Roman" w:hAnsi="Times New Roman" w:cs="Times New Roman"/>
          <w:b/>
          <w:bCs/>
          <w:sz w:val="28"/>
          <w:szCs w:val="28"/>
        </w:rPr>
      </w:pPr>
    </w:p>
    <w:p w14:paraId="691DC0CA" w14:textId="77777777" w:rsidR="00026295" w:rsidRPr="006F4460" w:rsidRDefault="00026295" w:rsidP="00026295">
      <w:pPr>
        <w:rPr>
          <w:rFonts w:ascii="Times New Roman" w:eastAsia="Times New Roman" w:hAnsi="Times New Roman" w:cs="Times New Roman"/>
          <w:b/>
          <w:bCs/>
          <w:sz w:val="28"/>
          <w:szCs w:val="28"/>
        </w:rPr>
      </w:pPr>
    </w:p>
    <w:p w14:paraId="357A068F" w14:textId="77777777" w:rsidR="00026295" w:rsidRPr="006F4460" w:rsidRDefault="00026295" w:rsidP="00026295">
      <w:pPr>
        <w:rPr>
          <w:rFonts w:ascii="Times New Roman" w:eastAsia="Times New Roman" w:hAnsi="Times New Roman" w:cs="Times New Roman"/>
          <w:b/>
          <w:bCs/>
          <w:sz w:val="28"/>
          <w:szCs w:val="28"/>
        </w:rPr>
      </w:pPr>
    </w:p>
    <w:p w14:paraId="255A7B7C" w14:textId="77777777" w:rsidR="00026295" w:rsidRPr="006F4460" w:rsidRDefault="00026295" w:rsidP="00026295">
      <w:pPr>
        <w:rPr>
          <w:rFonts w:ascii="Times New Roman" w:eastAsia="Times New Roman" w:hAnsi="Times New Roman" w:cs="Times New Roman"/>
          <w:b/>
          <w:bCs/>
          <w:sz w:val="28"/>
          <w:szCs w:val="28"/>
        </w:rPr>
      </w:pPr>
    </w:p>
    <w:p w14:paraId="1B400E3A" w14:textId="77777777" w:rsidR="00026295" w:rsidRPr="006F4460" w:rsidRDefault="00026295" w:rsidP="00026295">
      <w:pPr>
        <w:rPr>
          <w:rFonts w:ascii="Times New Roman" w:eastAsia="Times New Roman" w:hAnsi="Times New Roman" w:cs="Times New Roman"/>
          <w:b/>
          <w:bCs/>
          <w:sz w:val="28"/>
          <w:szCs w:val="28"/>
        </w:rPr>
      </w:pPr>
    </w:p>
    <w:p w14:paraId="036E9A2B" w14:textId="77777777" w:rsidR="00026295" w:rsidRPr="006F4460" w:rsidRDefault="00026295" w:rsidP="00026295">
      <w:pPr>
        <w:rPr>
          <w:rFonts w:ascii="Times New Roman" w:eastAsia="Times New Roman" w:hAnsi="Times New Roman" w:cs="Times New Roman"/>
          <w:b/>
          <w:bCs/>
          <w:sz w:val="28"/>
          <w:szCs w:val="28"/>
        </w:rPr>
      </w:pPr>
    </w:p>
    <w:p w14:paraId="451D27F5" w14:textId="77777777" w:rsidR="00026295" w:rsidRPr="006F4460" w:rsidRDefault="00026295" w:rsidP="00026295">
      <w:pPr>
        <w:spacing w:before="3"/>
        <w:rPr>
          <w:rFonts w:ascii="Times New Roman" w:eastAsia="Times New Roman" w:hAnsi="Times New Roman" w:cs="Times New Roman"/>
          <w:b/>
          <w:bCs/>
          <w:sz w:val="37"/>
          <w:szCs w:val="37"/>
        </w:rPr>
      </w:pPr>
    </w:p>
    <w:p w14:paraId="0A92AEA9" w14:textId="013A91CF" w:rsidR="00026295" w:rsidRPr="006F4460" w:rsidRDefault="00026295" w:rsidP="00026295">
      <w:pPr>
        <w:pStyle w:val="Textoindependiente"/>
        <w:ind w:left="3029" w:right="2473" w:firstLine="0"/>
        <w:jc w:val="center"/>
      </w:pPr>
      <w:r w:rsidRPr="006F4460">
        <w:t>© Copyright</w:t>
      </w:r>
      <w:r w:rsidRPr="006F4460">
        <w:rPr>
          <w:spacing w:val="-4"/>
        </w:rPr>
        <w:t xml:space="preserve"> </w:t>
      </w:r>
      <w:r>
        <w:t>202</w:t>
      </w:r>
      <w:r w:rsidR="00625B99">
        <w:t>4</w:t>
      </w:r>
    </w:p>
    <w:p w14:paraId="384335E7" w14:textId="1E20E9B6" w:rsidR="00026295" w:rsidRDefault="00BE26CA" w:rsidP="00026295">
      <w:pPr>
        <w:pStyle w:val="Textoindependiente"/>
        <w:spacing w:before="5"/>
        <w:ind w:left="3029" w:right="2470" w:firstLine="0"/>
        <w:jc w:val="center"/>
      </w:pPr>
      <w:r>
        <w:t>Brenda Marisol Fuentes López</w:t>
      </w:r>
    </w:p>
    <w:p w14:paraId="0577B4B7" w14:textId="42199330" w:rsidR="00026295" w:rsidRPr="006F4460" w:rsidRDefault="00BE26CA" w:rsidP="00026295">
      <w:pPr>
        <w:pStyle w:val="Textoindependiente"/>
        <w:spacing w:before="5"/>
        <w:ind w:left="3029" w:right="2470" w:firstLine="0"/>
        <w:jc w:val="center"/>
      </w:pPr>
      <w:r>
        <w:t>Liliam María Zepeda Martínez</w:t>
      </w:r>
    </w:p>
    <w:p w14:paraId="5C5C8321" w14:textId="77777777" w:rsidR="00026295" w:rsidRPr="006F4460" w:rsidRDefault="00026295" w:rsidP="00026295">
      <w:pPr>
        <w:rPr>
          <w:rFonts w:ascii="Times New Roman" w:eastAsia="Times New Roman" w:hAnsi="Times New Roman" w:cs="Times New Roman"/>
          <w:sz w:val="24"/>
          <w:szCs w:val="24"/>
        </w:rPr>
      </w:pPr>
    </w:p>
    <w:p w14:paraId="641F8119" w14:textId="77777777" w:rsidR="00026295" w:rsidRPr="006F4460" w:rsidRDefault="00026295" w:rsidP="00026295">
      <w:pPr>
        <w:rPr>
          <w:rFonts w:ascii="Times New Roman" w:eastAsia="Times New Roman" w:hAnsi="Times New Roman" w:cs="Times New Roman"/>
          <w:sz w:val="24"/>
          <w:szCs w:val="24"/>
        </w:rPr>
      </w:pPr>
    </w:p>
    <w:p w14:paraId="27A87C71" w14:textId="77777777" w:rsidR="00026295" w:rsidRPr="006F4460" w:rsidRDefault="00026295" w:rsidP="00026295">
      <w:pPr>
        <w:rPr>
          <w:rFonts w:ascii="Times New Roman" w:eastAsia="Times New Roman" w:hAnsi="Times New Roman" w:cs="Times New Roman"/>
          <w:sz w:val="24"/>
          <w:szCs w:val="24"/>
        </w:rPr>
      </w:pPr>
    </w:p>
    <w:p w14:paraId="05BAC529" w14:textId="77777777" w:rsidR="00026295" w:rsidRPr="006F4460" w:rsidRDefault="00026295" w:rsidP="00026295">
      <w:pPr>
        <w:rPr>
          <w:rFonts w:ascii="Times New Roman" w:eastAsia="Times New Roman" w:hAnsi="Times New Roman" w:cs="Times New Roman"/>
          <w:sz w:val="24"/>
          <w:szCs w:val="24"/>
        </w:rPr>
      </w:pPr>
    </w:p>
    <w:p w14:paraId="692A5BA8" w14:textId="77777777" w:rsidR="00026295" w:rsidRPr="006F4460" w:rsidRDefault="00026295" w:rsidP="00026295">
      <w:pPr>
        <w:rPr>
          <w:rFonts w:ascii="Times New Roman" w:eastAsia="Times New Roman" w:hAnsi="Times New Roman" w:cs="Times New Roman"/>
          <w:sz w:val="24"/>
          <w:szCs w:val="24"/>
        </w:rPr>
      </w:pPr>
    </w:p>
    <w:p w14:paraId="190B2ADA" w14:textId="77777777" w:rsidR="00026295" w:rsidRPr="006F4460" w:rsidRDefault="00026295" w:rsidP="00026295">
      <w:pPr>
        <w:rPr>
          <w:rFonts w:ascii="Times New Roman" w:eastAsia="Times New Roman" w:hAnsi="Times New Roman" w:cs="Times New Roman"/>
          <w:sz w:val="24"/>
          <w:szCs w:val="24"/>
        </w:rPr>
      </w:pPr>
    </w:p>
    <w:p w14:paraId="5C77B979" w14:textId="77777777" w:rsidR="00026295" w:rsidRPr="006F4460" w:rsidRDefault="00026295" w:rsidP="00026295">
      <w:pPr>
        <w:rPr>
          <w:rFonts w:ascii="Times New Roman" w:eastAsia="Times New Roman" w:hAnsi="Times New Roman" w:cs="Times New Roman"/>
          <w:sz w:val="24"/>
          <w:szCs w:val="24"/>
        </w:rPr>
      </w:pPr>
    </w:p>
    <w:p w14:paraId="78132D59" w14:textId="77777777" w:rsidR="00026295" w:rsidRPr="006F4460" w:rsidRDefault="00026295" w:rsidP="00026295">
      <w:pPr>
        <w:rPr>
          <w:rFonts w:ascii="Times New Roman" w:eastAsia="Times New Roman" w:hAnsi="Times New Roman" w:cs="Times New Roman"/>
          <w:sz w:val="24"/>
          <w:szCs w:val="24"/>
        </w:rPr>
      </w:pPr>
    </w:p>
    <w:p w14:paraId="12BF99BC" w14:textId="77777777" w:rsidR="00026295" w:rsidRPr="006F4460" w:rsidRDefault="00026295" w:rsidP="00026295">
      <w:pPr>
        <w:rPr>
          <w:rFonts w:ascii="Times New Roman" w:eastAsia="Times New Roman" w:hAnsi="Times New Roman" w:cs="Times New Roman"/>
          <w:sz w:val="24"/>
          <w:szCs w:val="24"/>
        </w:rPr>
      </w:pPr>
    </w:p>
    <w:p w14:paraId="5B797213" w14:textId="77777777" w:rsidR="00026295" w:rsidRPr="006F4460" w:rsidRDefault="00026295" w:rsidP="00026295">
      <w:pPr>
        <w:rPr>
          <w:rFonts w:ascii="Times New Roman" w:eastAsia="Times New Roman" w:hAnsi="Times New Roman" w:cs="Times New Roman"/>
          <w:sz w:val="24"/>
          <w:szCs w:val="24"/>
        </w:rPr>
      </w:pPr>
    </w:p>
    <w:p w14:paraId="5D1A2641" w14:textId="77777777" w:rsidR="00026295" w:rsidRPr="006F4460" w:rsidRDefault="00026295" w:rsidP="00026295">
      <w:pPr>
        <w:rPr>
          <w:rFonts w:ascii="Times New Roman" w:eastAsia="Times New Roman" w:hAnsi="Times New Roman" w:cs="Times New Roman"/>
          <w:sz w:val="24"/>
          <w:szCs w:val="24"/>
        </w:rPr>
      </w:pPr>
    </w:p>
    <w:p w14:paraId="4F3A8645" w14:textId="77777777" w:rsidR="00026295" w:rsidRPr="006F4460" w:rsidRDefault="00026295" w:rsidP="00026295">
      <w:pPr>
        <w:rPr>
          <w:rFonts w:ascii="Times New Roman" w:eastAsia="Times New Roman" w:hAnsi="Times New Roman" w:cs="Times New Roman"/>
          <w:sz w:val="24"/>
          <w:szCs w:val="24"/>
        </w:rPr>
      </w:pPr>
    </w:p>
    <w:p w14:paraId="133DEC2C" w14:textId="77777777" w:rsidR="00026295" w:rsidRPr="006F4460" w:rsidRDefault="00026295" w:rsidP="00026295">
      <w:pPr>
        <w:pStyle w:val="Textoindependiente"/>
        <w:spacing w:before="147"/>
        <w:ind w:left="3029" w:right="2470" w:firstLine="0"/>
        <w:jc w:val="center"/>
      </w:pPr>
      <w:r w:rsidRPr="006F4460">
        <w:t>Todos los derechos son</w:t>
      </w:r>
      <w:r w:rsidRPr="006F4460">
        <w:rPr>
          <w:spacing w:val="-8"/>
        </w:rPr>
        <w:t xml:space="preserve"> </w:t>
      </w:r>
      <w:r w:rsidRPr="006F4460">
        <w:t>reservados.</w:t>
      </w:r>
    </w:p>
    <w:p w14:paraId="499A0510" w14:textId="77777777" w:rsidR="00026295" w:rsidRPr="006F4460" w:rsidRDefault="00026295" w:rsidP="00026295">
      <w:pPr>
        <w:jc w:val="center"/>
        <w:sectPr w:rsidR="00026295" w:rsidRPr="006F4460" w:rsidSect="001E5D6B">
          <w:footerReference w:type="default" r:id="rId9"/>
          <w:pgSz w:w="12240" w:h="15840"/>
          <w:pgMar w:top="1417" w:right="1701" w:bottom="1417" w:left="1701" w:header="0" w:footer="1047" w:gutter="0"/>
          <w:cols w:space="720"/>
          <w:docGrid w:linePitch="299"/>
        </w:sectPr>
      </w:pPr>
    </w:p>
    <w:p w14:paraId="6D834A05" w14:textId="554EFF8E" w:rsidR="00026295" w:rsidRPr="006F4460" w:rsidRDefault="00026295" w:rsidP="00BE26CA">
      <w:pPr>
        <w:spacing w:line="360" w:lineRule="auto"/>
        <w:ind w:left="1168" w:right="792" w:firstLine="201"/>
        <w:jc w:val="center"/>
        <w:rPr>
          <w:rFonts w:ascii="Times New Roman" w:eastAsia="Times New Roman" w:hAnsi="Times New Roman" w:cs="Times New Roman"/>
          <w:sz w:val="28"/>
          <w:szCs w:val="28"/>
        </w:rPr>
      </w:pPr>
      <w:bookmarkStart w:id="2" w:name="_bookmark82"/>
      <w:bookmarkEnd w:id="2"/>
      <w:r w:rsidRPr="006F4460">
        <w:rPr>
          <w:rFonts w:ascii="Times New Roman" w:hAnsi="Times New Roman"/>
          <w:b/>
          <w:sz w:val="28"/>
        </w:rPr>
        <w:lastRenderedPageBreak/>
        <w:t xml:space="preserve">AUTORIZACIÓN DEL AUTOR(ES) PARA LA CONSULTA, </w:t>
      </w:r>
      <w:r w:rsidR="00BE26CA">
        <w:rPr>
          <w:rFonts w:ascii="Times New Roman" w:hAnsi="Times New Roman"/>
          <w:b/>
          <w:sz w:val="28"/>
        </w:rPr>
        <w:t>R</w:t>
      </w:r>
      <w:r w:rsidRPr="006F4460">
        <w:rPr>
          <w:rFonts w:ascii="Times New Roman" w:hAnsi="Times New Roman"/>
          <w:b/>
          <w:sz w:val="28"/>
        </w:rPr>
        <w:t>EPRODUCCIÓN PARCIAL O TOTAL Y</w:t>
      </w:r>
      <w:r w:rsidRPr="006F4460">
        <w:rPr>
          <w:rFonts w:ascii="Times New Roman" w:hAnsi="Times New Roman"/>
          <w:b/>
          <w:spacing w:val="-21"/>
          <w:sz w:val="28"/>
        </w:rPr>
        <w:t xml:space="preserve"> </w:t>
      </w:r>
      <w:r w:rsidRPr="006F4460">
        <w:rPr>
          <w:rFonts w:ascii="Times New Roman" w:hAnsi="Times New Roman"/>
          <w:b/>
          <w:sz w:val="28"/>
        </w:rPr>
        <w:t>PUBLICACIÓN</w:t>
      </w:r>
      <w:r w:rsidR="00BE26CA">
        <w:rPr>
          <w:rFonts w:ascii="Times New Roman" w:hAnsi="Times New Roman"/>
          <w:b/>
          <w:sz w:val="28"/>
        </w:rPr>
        <w:t xml:space="preserve"> </w:t>
      </w:r>
      <w:r w:rsidRPr="006F4460">
        <w:rPr>
          <w:rFonts w:ascii="Times New Roman" w:hAnsi="Times New Roman"/>
          <w:b/>
          <w:sz w:val="28"/>
        </w:rPr>
        <w:t>ELECTRÓNICA DEL TEXTO COMPLETO DE TESIS DE</w:t>
      </w:r>
      <w:r w:rsidRPr="006F4460">
        <w:rPr>
          <w:rFonts w:ascii="Times New Roman" w:hAnsi="Times New Roman"/>
          <w:b/>
          <w:spacing w:val="-12"/>
          <w:sz w:val="28"/>
        </w:rPr>
        <w:t xml:space="preserve"> </w:t>
      </w:r>
      <w:r w:rsidRPr="006F4460">
        <w:rPr>
          <w:rFonts w:ascii="Times New Roman" w:hAnsi="Times New Roman"/>
          <w:b/>
          <w:sz w:val="28"/>
        </w:rPr>
        <w:t>POSTGRADO</w:t>
      </w:r>
    </w:p>
    <w:p w14:paraId="60BB8A6A" w14:textId="77777777" w:rsidR="00026295" w:rsidRDefault="00026295" w:rsidP="00026295">
      <w:pPr>
        <w:pStyle w:val="Textoindependiente"/>
        <w:spacing w:before="159" w:line="480" w:lineRule="auto"/>
        <w:ind w:firstLine="0"/>
        <w:jc w:val="both"/>
      </w:pPr>
    </w:p>
    <w:p w14:paraId="15B9F43B" w14:textId="77777777" w:rsidR="00026295" w:rsidRPr="00957657" w:rsidRDefault="00026295" w:rsidP="00026295">
      <w:pPr>
        <w:spacing w:line="480" w:lineRule="auto"/>
        <w:rPr>
          <w:rFonts w:ascii="Times New Roman" w:hAnsi="Times New Roman" w:cs="Times New Roman"/>
        </w:rPr>
      </w:pPr>
      <w:r w:rsidRPr="00957657">
        <w:rPr>
          <w:rFonts w:ascii="Times New Roman" w:hAnsi="Times New Roman" w:cs="Times New Roman"/>
        </w:rPr>
        <w:t>Señores</w:t>
      </w:r>
      <w:bookmarkStart w:id="3" w:name="_Toc474331369"/>
    </w:p>
    <w:p w14:paraId="19DB283E" w14:textId="77777777" w:rsidR="00026295" w:rsidRPr="00957657" w:rsidRDefault="00026295" w:rsidP="00026295">
      <w:pPr>
        <w:spacing w:line="480" w:lineRule="auto"/>
        <w:rPr>
          <w:rFonts w:ascii="Times New Roman" w:eastAsia="Times New Roman" w:hAnsi="Times New Roman" w:cs="Times New Roman"/>
          <w:sz w:val="24"/>
          <w:szCs w:val="24"/>
        </w:rPr>
      </w:pPr>
      <w:r w:rsidRPr="00957657">
        <w:rPr>
          <w:rFonts w:ascii="Times New Roman" w:hAnsi="Times New Roman" w:cs="Times New Roman"/>
        </w:rPr>
        <w:t>CENTRO DE RECURSOS</w:t>
      </w:r>
      <w:r w:rsidRPr="00957657">
        <w:rPr>
          <w:rFonts w:ascii="Times New Roman" w:hAnsi="Times New Roman" w:cs="Times New Roman"/>
          <w:spacing w:val="-6"/>
        </w:rPr>
        <w:t xml:space="preserve"> </w:t>
      </w:r>
      <w:r w:rsidRPr="00957657">
        <w:rPr>
          <w:rFonts w:ascii="Times New Roman" w:hAnsi="Times New Roman" w:cs="Times New Roman"/>
        </w:rPr>
        <w:t>PARA</w:t>
      </w:r>
      <w:bookmarkEnd w:id="3"/>
      <w:r w:rsidRPr="00957657">
        <w:rPr>
          <w:rFonts w:ascii="Times New Roman" w:hAnsi="Times New Roman" w:cs="Times New Roman"/>
        </w:rPr>
        <w:t xml:space="preserve"> </w:t>
      </w:r>
      <w:r w:rsidRPr="00957657">
        <w:rPr>
          <w:rFonts w:ascii="Times New Roman" w:hAnsi="Times New Roman" w:cs="Times New Roman"/>
          <w:b/>
          <w:sz w:val="24"/>
        </w:rPr>
        <w:t>EL APRENDIZAJE Y LA INVESTIGACIÓN</w:t>
      </w:r>
      <w:r w:rsidRPr="00957657">
        <w:rPr>
          <w:rFonts w:ascii="Times New Roman" w:hAnsi="Times New Roman" w:cs="Times New Roman"/>
          <w:b/>
          <w:spacing w:val="-11"/>
          <w:sz w:val="24"/>
        </w:rPr>
        <w:t xml:space="preserve"> </w:t>
      </w:r>
      <w:r w:rsidRPr="00957657">
        <w:rPr>
          <w:rFonts w:ascii="Times New Roman" w:hAnsi="Times New Roman" w:cs="Times New Roman"/>
          <w:b/>
          <w:sz w:val="24"/>
        </w:rPr>
        <w:t>(CRAI)</w:t>
      </w:r>
      <w:r w:rsidRPr="00957657">
        <w:rPr>
          <w:rFonts w:ascii="Times New Roman" w:hAnsi="Times New Roman" w:cs="Times New Roman"/>
          <w:b/>
        </w:rPr>
        <w:t xml:space="preserve"> </w:t>
      </w:r>
      <w:r w:rsidRPr="00957657">
        <w:rPr>
          <w:rFonts w:ascii="Times New Roman" w:hAnsi="Times New Roman" w:cs="Times New Roman"/>
          <w:b/>
          <w:sz w:val="24"/>
        </w:rPr>
        <w:t>UNIVERSIDAD TECNOLÓGICA CENTROAMERICANA</w:t>
      </w:r>
      <w:r w:rsidRPr="00957657">
        <w:rPr>
          <w:rFonts w:ascii="Times New Roman" w:hAnsi="Times New Roman" w:cs="Times New Roman"/>
          <w:b/>
          <w:spacing w:val="-6"/>
          <w:sz w:val="24"/>
        </w:rPr>
        <w:t xml:space="preserve"> </w:t>
      </w:r>
      <w:r w:rsidRPr="00957657">
        <w:rPr>
          <w:rFonts w:ascii="Times New Roman" w:hAnsi="Times New Roman" w:cs="Times New Roman"/>
          <w:b/>
          <w:sz w:val="24"/>
        </w:rPr>
        <w:t>(UNITEC)</w:t>
      </w:r>
    </w:p>
    <w:p w14:paraId="07A39DD5" w14:textId="77777777" w:rsidR="00026295" w:rsidRPr="006F4460" w:rsidRDefault="00026295" w:rsidP="00026295">
      <w:pPr>
        <w:rPr>
          <w:rFonts w:ascii="Times New Roman" w:eastAsia="Times New Roman" w:hAnsi="Times New Roman" w:cs="Times New Roman"/>
          <w:sz w:val="24"/>
          <w:szCs w:val="24"/>
        </w:rPr>
      </w:pPr>
    </w:p>
    <w:p w14:paraId="2AEA968C" w14:textId="77777777" w:rsidR="00026295" w:rsidRPr="006F4460" w:rsidRDefault="00026295" w:rsidP="00026295">
      <w:pPr>
        <w:spacing w:before="5"/>
        <w:rPr>
          <w:rFonts w:ascii="Times New Roman" w:eastAsia="Times New Roman" w:hAnsi="Times New Roman" w:cs="Times New Roman"/>
          <w:sz w:val="19"/>
          <w:szCs w:val="19"/>
        </w:rPr>
      </w:pPr>
    </w:p>
    <w:p w14:paraId="049E4C1C" w14:textId="77777777" w:rsidR="00026295" w:rsidRPr="006F4460" w:rsidRDefault="00026295" w:rsidP="00026295">
      <w:pPr>
        <w:pStyle w:val="Textoindependiente"/>
        <w:spacing w:line="480" w:lineRule="auto"/>
        <w:ind w:firstLine="0"/>
        <w:jc w:val="both"/>
      </w:pPr>
      <w:r w:rsidRPr="006F4460">
        <w:t>Estimados</w:t>
      </w:r>
      <w:r w:rsidRPr="006F4460">
        <w:rPr>
          <w:spacing w:val="-4"/>
        </w:rPr>
        <w:t xml:space="preserve"> </w:t>
      </w:r>
      <w:r w:rsidRPr="006F4460">
        <w:t>Señores:</w:t>
      </w:r>
    </w:p>
    <w:p w14:paraId="47DA7A14" w14:textId="77777777" w:rsidR="00026295" w:rsidRPr="006F4460" w:rsidRDefault="00026295" w:rsidP="00026295">
      <w:pPr>
        <w:spacing w:line="480" w:lineRule="auto"/>
        <w:rPr>
          <w:rFonts w:ascii="Times New Roman" w:eastAsia="Times New Roman" w:hAnsi="Times New Roman" w:cs="Times New Roman"/>
          <w:sz w:val="24"/>
          <w:szCs w:val="24"/>
        </w:rPr>
      </w:pPr>
    </w:p>
    <w:p w14:paraId="238A3C0A" w14:textId="3CDCA227" w:rsidR="00026295" w:rsidRDefault="00471F46" w:rsidP="00026295">
      <w:pPr>
        <w:pStyle w:val="Textoindependiente"/>
        <w:tabs>
          <w:tab w:val="left" w:pos="1288"/>
          <w:tab w:val="left" w:pos="2642"/>
          <w:tab w:val="left" w:pos="6034"/>
          <w:tab w:val="left" w:pos="6418"/>
          <w:tab w:val="left" w:pos="9348"/>
        </w:tabs>
        <w:spacing w:line="480" w:lineRule="auto"/>
        <w:ind w:firstLine="0"/>
        <w:jc w:val="both"/>
      </w:pPr>
      <w:bookmarkStart w:id="4" w:name="_bookmark83"/>
      <w:bookmarkEnd w:id="4"/>
      <w:r>
        <w:t>Nosotros</w:t>
      </w:r>
      <w:r w:rsidR="00026295">
        <w:t xml:space="preserve">, </w:t>
      </w:r>
      <w:r>
        <w:t>BRENDA MARISOL FUENTES LÓPEZ y LILIAM MARÍA ZEPEDA MARTÍNEZ</w:t>
      </w:r>
      <w:r w:rsidR="00026295">
        <w:t xml:space="preserve">, </w:t>
      </w:r>
      <w:r w:rsidR="00026295" w:rsidRPr="006F4460">
        <w:t>de</w:t>
      </w:r>
      <w:r w:rsidR="00026295">
        <w:t xml:space="preserve"> </w:t>
      </w:r>
      <w:r w:rsidR="00026295" w:rsidRPr="006F4460">
        <w:t>Tegucigalpa,</w:t>
      </w:r>
      <w:r w:rsidR="00026295">
        <w:t xml:space="preserve"> autor</w:t>
      </w:r>
      <w:r>
        <w:t>es</w:t>
      </w:r>
      <w:r w:rsidR="00026295" w:rsidRPr="006F4460">
        <w:t xml:space="preserve"> del trabajo de postgrado titulado: </w:t>
      </w:r>
      <w:r w:rsidRPr="00471F46">
        <w:t>ANÁLISIS Y DESCOMPOSICIÓN DE LA TASA DE INTERÉS NOMINAL EN MONEDA NACIONAL COBRADA EN LOS BANCOS COMERCIALES EN HONDURAS DURANTE EL PERÍODO 2019 – 2022</w:t>
      </w:r>
      <w:r w:rsidR="00026295" w:rsidRPr="004E6A92">
        <w:t xml:space="preserve">, </w:t>
      </w:r>
      <w:r w:rsidR="00026295" w:rsidRPr="006F4460">
        <w:t>presentado</w:t>
      </w:r>
      <w:r w:rsidR="00026295" w:rsidRPr="004E6A92">
        <w:t xml:space="preserve"> </w:t>
      </w:r>
      <w:r w:rsidR="00026295" w:rsidRPr="006F4460">
        <w:t>y</w:t>
      </w:r>
      <w:r w:rsidR="00026295" w:rsidRPr="004E6A92">
        <w:t xml:space="preserve"> </w:t>
      </w:r>
      <w:r w:rsidR="00026295" w:rsidRPr="006F4460">
        <w:t>aprobado</w:t>
      </w:r>
      <w:r w:rsidR="00026295" w:rsidRPr="004E6A92">
        <w:t xml:space="preserve"> </w:t>
      </w:r>
      <w:r w:rsidR="00026295" w:rsidRPr="006F4460">
        <w:t xml:space="preserve">en </w:t>
      </w:r>
      <w:r w:rsidR="0036073A">
        <w:t>DICIEMBRE DE 2023</w:t>
      </w:r>
      <w:r w:rsidR="00026295" w:rsidRPr="006F4460">
        <w:t xml:space="preserve">, como requisito previo para optar al título de máster en </w:t>
      </w:r>
      <w:r w:rsidR="0036073A">
        <w:t>FINANZAS</w:t>
      </w:r>
      <w:r w:rsidR="00026295" w:rsidRPr="004E6A92">
        <w:t xml:space="preserve"> </w:t>
      </w:r>
      <w:r w:rsidR="00026295" w:rsidRPr="006F4460">
        <w:t xml:space="preserve">y reconociendo que la presentación del presente documento forma parte de los requerimientos establecidos del programa de maestrías de la Universidad Tecnológica Centroamericana (UNITEC), por </w:t>
      </w:r>
      <w:r w:rsidR="00026295">
        <w:t xml:space="preserve">este medio autorizo </w:t>
      </w:r>
      <w:r w:rsidR="00026295" w:rsidRPr="006F4460">
        <w:t xml:space="preserve">a las Bibliotecas de los Centros de Recursos para el Aprendizaje </w:t>
      </w:r>
      <w:r w:rsidR="00026295">
        <w:t xml:space="preserve">y la Investigación (CRAI) de </w:t>
      </w:r>
      <w:r w:rsidR="00026295" w:rsidRPr="006F4460">
        <w:t>UNITEC</w:t>
      </w:r>
      <w:r w:rsidR="00026295">
        <w:t>, para que con fines académicos</w:t>
      </w:r>
      <w:r w:rsidR="00026295" w:rsidRPr="006F4460">
        <w:t xml:space="preserve"> puedan libremente registrar, copiar o utilizar la información contenida en él, con</w:t>
      </w:r>
      <w:r w:rsidR="00026295" w:rsidRPr="004E6A92">
        <w:t xml:space="preserve"> </w:t>
      </w:r>
      <w:r w:rsidR="00026295" w:rsidRPr="006F4460">
        <w:t>fines educativos, investigativos o sociales de la siguiente</w:t>
      </w:r>
      <w:r w:rsidR="00026295" w:rsidRPr="004E6A92">
        <w:t xml:space="preserve"> </w:t>
      </w:r>
      <w:r w:rsidR="00026295" w:rsidRPr="006F4460">
        <w:t>manera:</w:t>
      </w:r>
    </w:p>
    <w:p w14:paraId="092E1F42" w14:textId="77777777" w:rsidR="00026295" w:rsidRPr="006F4460" w:rsidRDefault="00026295" w:rsidP="00026295">
      <w:pPr>
        <w:pStyle w:val="Textoindependiente"/>
        <w:tabs>
          <w:tab w:val="left" w:pos="1288"/>
          <w:tab w:val="left" w:pos="2642"/>
          <w:tab w:val="left" w:pos="6034"/>
          <w:tab w:val="left" w:pos="6418"/>
          <w:tab w:val="left" w:pos="9348"/>
        </w:tabs>
        <w:spacing w:line="480" w:lineRule="auto"/>
        <w:ind w:firstLine="0"/>
        <w:jc w:val="both"/>
      </w:pPr>
    </w:p>
    <w:p w14:paraId="4971CF5D" w14:textId="77777777" w:rsidR="00026295" w:rsidRPr="000369AE" w:rsidRDefault="00026295" w:rsidP="00026295">
      <w:pPr>
        <w:pStyle w:val="Prrafodelista"/>
        <w:numPr>
          <w:ilvl w:val="0"/>
          <w:numId w:val="1"/>
        </w:numPr>
        <w:tabs>
          <w:tab w:val="left" w:pos="362"/>
        </w:tabs>
        <w:spacing w:before="124" w:line="480" w:lineRule="auto"/>
        <w:ind w:right="108" w:hanging="283"/>
        <w:jc w:val="both"/>
        <w:rPr>
          <w:rFonts w:ascii="Times New Roman" w:eastAsia="Times New Roman" w:hAnsi="Times New Roman"/>
          <w:sz w:val="24"/>
          <w:szCs w:val="24"/>
        </w:rPr>
      </w:pPr>
      <w:r w:rsidRPr="000369AE">
        <w:rPr>
          <w:rFonts w:ascii="Times New Roman" w:eastAsia="Times New Roman" w:hAnsi="Times New Roman"/>
          <w:sz w:val="24"/>
          <w:szCs w:val="24"/>
        </w:rPr>
        <w:t xml:space="preserve">Los usuarios puedan consultar el contenido de este trabajo en las salas de estudio de la biblioteca </w:t>
      </w:r>
      <w:r w:rsidRPr="000369AE">
        <w:rPr>
          <w:rFonts w:ascii="Times New Roman" w:eastAsia="Times New Roman" w:hAnsi="Times New Roman"/>
          <w:sz w:val="24"/>
          <w:szCs w:val="24"/>
        </w:rPr>
        <w:lastRenderedPageBreak/>
        <w:t>y/o la página Web de la Universidad.</w:t>
      </w:r>
    </w:p>
    <w:p w14:paraId="2E2CF8F4" w14:textId="77777777" w:rsidR="00026295" w:rsidRDefault="00026295" w:rsidP="00026295">
      <w:pPr>
        <w:pStyle w:val="Prrafodelista"/>
        <w:numPr>
          <w:ilvl w:val="0"/>
          <w:numId w:val="1"/>
        </w:numPr>
        <w:tabs>
          <w:tab w:val="left" w:pos="370"/>
        </w:tabs>
        <w:spacing w:before="124" w:line="480" w:lineRule="auto"/>
        <w:ind w:right="110" w:hanging="283"/>
        <w:jc w:val="both"/>
        <w:rPr>
          <w:rFonts w:ascii="Times New Roman" w:eastAsia="Times New Roman" w:hAnsi="Times New Roman"/>
          <w:sz w:val="24"/>
          <w:szCs w:val="24"/>
        </w:rPr>
      </w:pPr>
      <w:r w:rsidRPr="008767D0">
        <w:rPr>
          <w:rFonts w:ascii="Times New Roman" w:eastAsia="Times New Roman" w:hAnsi="Times New Roman"/>
          <w:sz w:val="24"/>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0E577E23" w14:textId="77777777" w:rsidR="00026295" w:rsidRPr="008767D0" w:rsidRDefault="00026295" w:rsidP="00026295">
      <w:pPr>
        <w:pStyle w:val="Prrafodelista"/>
        <w:spacing w:line="480" w:lineRule="auto"/>
        <w:rPr>
          <w:rFonts w:ascii="Times New Roman" w:eastAsia="Times New Roman" w:hAnsi="Times New Roman"/>
          <w:sz w:val="24"/>
          <w:szCs w:val="24"/>
        </w:rPr>
      </w:pPr>
    </w:p>
    <w:p w14:paraId="4D8EC1DB" w14:textId="77777777" w:rsidR="00026295" w:rsidRPr="006F4460" w:rsidRDefault="00026295" w:rsidP="00026295">
      <w:pPr>
        <w:pStyle w:val="Textoindependiente"/>
        <w:spacing w:line="480" w:lineRule="auto"/>
        <w:ind w:right="103" w:firstLine="0"/>
        <w:jc w:val="both"/>
      </w:pPr>
      <w:r w:rsidRPr="006F4460">
        <w:t>De conformidad con lo establecido en los artículos 9.2, 18, 19, 35 y 62 de la Ley de Derechos de</w:t>
      </w:r>
      <w:r w:rsidRPr="006F4460">
        <w:rPr>
          <w:spacing w:val="-17"/>
        </w:rPr>
        <w:t xml:space="preserve"> </w:t>
      </w:r>
      <w:r w:rsidRPr="006F4460">
        <w:t>Autor</w:t>
      </w:r>
      <w:r w:rsidRPr="006F4460">
        <w:rPr>
          <w:spacing w:val="-12"/>
        </w:rPr>
        <w:t xml:space="preserve"> </w:t>
      </w:r>
      <w:r w:rsidRPr="006F4460">
        <w:t>y</w:t>
      </w:r>
      <w:r w:rsidRPr="006F4460">
        <w:rPr>
          <w:spacing w:val="-18"/>
        </w:rPr>
        <w:t xml:space="preserve"> </w:t>
      </w:r>
      <w:r w:rsidRPr="006F4460">
        <w:t>de</w:t>
      </w:r>
      <w:r w:rsidRPr="006F4460">
        <w:rPr>
          <w:spacing w:val="-17"/>
        </w:rPr>
        <w:t xml:space="preserve"> </w:t>
      </w:r>
      <w:r w:rsidRPr="006F4460">
        <w:t>los</w:t>
      </w:r>
      <w:r w:rsidRPr="006F4460">
        <w:rPr>
          <w:spacing w:val="-13"/>
        </w:rPr>
        <w:t xml:space="preserve"> </w:t>
      </w:r>
      <w:r w:rsidRPr="006F4460">
        <w:t>Derechos</w:t>
      </w:r>
      <w:r w:rsidRPr="006F4460">
        <w:rPr>
          <w:spacing w:val="-16"/>
        </w:rPr>
        <w:t xml:space="preserve"> </w:t>
      </w:r>
      <w:r w:rsidRPr="006F4460">
        <w:t>Conexos;</w:t>
      </w:r>
      <w:r w:rsidRPr="006F4460">
        <w:rPr>
          <w:spacing w:val="-15"/>
        </w:rPr>
        <w:t xml:space="preserve"> </w:t>
      </w:r>
      <w:r w:rsidRPr="006F4460">
        <w:t>los</w:t>
      </w:r>
      <w:r w:rsidRPr="006F4460">
        <w:rPr>
          <w:spacing w:val="-15"/>
        </w:rPr>
        <w:t xml:space="preserve"> </w:t>
      </w:r>
      <w:r w:rsidRPr="006F4460">
        <w:t>derechos</w:t>
      </w:r>
      <w:r w:rsidRPr="006F4460">
        <w:rPr>
          <w:spacing w:val="-13"/>
        </w:rPr>
        <w:t xml:space="preserve"> </w:t>
      </w:r>
      <w:r w:rsidRPr="006F4460">
        <w:t>morales</w:t>
      </w:r>
      <w:r w:rsidRPr="006F4460">
        <w:rPr>
          <w:spacing w:val="-16"/>
        </w:rPr>
        <w:t xml:space="preserve"> </w:t>
      </w:r>
      <w:r w:rsidRPr="006F4460">
        <w:t>pertenecen</w:t>
      </w:r>
      <w:r w:rsidRPr="006F4460">
        <w:rPr>
          <w:spacing w:val="-13"/>
        </w:rPr>
        <w:t xml:space="preserve"> </w:t>
      </w:r>
      <w:r w:rsidRPr="006F4460">
        <w:t>al</w:t>
      </w:r>
      <w:r w:rsidRPr="006F4460">
        <w:rPr>
          <w:spacing w:val="-15"/>
        </w:rPr>
        <w:t xml:space="preserve"> </w:t>
      </w:r>
      <w:r w:rsidRPr="006F4460">
        <w:t>autor</w:t>
      </w:r>
      <w:r w:rsidRPr="006F4460">
        <w:rPr>
          <w:spacing w:val="-12"/>
        </w:rPr>
        <w:t xml:space="preserve"> </w:t>
      </w:r>
      <w:r w:rsidRPr="006F4460">
        <w:t>y</w:t>
      </w:r>
      <w:r w:rsidRPr="006F4460">
        <w:rPr>
          <w:spacing w:val="-21"/>
        </w:rPr>
        <w:t xml:space="preserve"> </w:t>
      </w:r>
      <w:r w:rsidRPr="006F4460">
        <w:t>son</w:t>
      </w:r>
      <w:r w:rsidRPr="006F4460">
        <w:rPr>
          <w:spacing w:val="-16"/>
        </w:rPr>
        <w:t xml:space="preserve"> </w:t>
      </w:r>
      <w:r w:rsidRPr="006F4460">
        <w:t>personalísimos,</w:t>
      </w:r>
      <w:r>
        <w:t xml:space="preserve"> </w:t>
      </w:r>
      <w:r w:rsidRPr="006F4460">
        <w:t>irrenunciables, imprescriptibles e inalienables</w:t>
      </w:r>
      <w:r>
        <w:t>.</w:t>
      </w:r>
      <w:r w:rsidRPr="006F4460">
        <w:t xml:space="preserve"> </w:t>
      </w:r>
      <w:r>
        <w:t>A</w:t>
      </w:r>
      <w:r w:rsidRPr="006F4460">
        <w:t xml:space="preserve">simismo, </w:t>
      </w:r>
      <w:r>
        <w:t>el autor cede</w:t>
      </w:r>
      <w:r w:rsidRPr="006F4460">
        <w:t xml:space="preserve"> de forma ilimitada y exclusiva a UNITEC la titularidad de los derechos patrimoniales. Es entendido que cualquier copia o reproducción del presente documento con fines de lucro no está permitida sin previa autorización por escrito de parte de</w:t>
      </w:r>
      <w:r w:rsidRPr="006F4460">
        <w:rPr>
          <w:spacing w:val="-14"/>
        </w:rPr>
        <w:t xml:space="preserve"> </w:t>
      </w:r>
      <w:r w:rsidRPr="006F4460">
        <w:t>UNITEC.</w:t>
      </w:r>
    </w:p>
    <w:p w14:paraId="78AFD0C9" w14:textId="77777777" w:rsidR="00026295" w:rsidRPr="006F4460" w:rsidRDefault="00026295" w:rsidP="00026295">
      <w:pPr>
        <w:spacing w:line="480" w:lineRule="auto"/>
        <w:jc w:val="both"/>
        <w:sectPr w:rsidR="00026295" w:rsidRPr="006F4460">
          <w:pgSz w:w="12240" w:h="15840"/>
          <w:pgMar w:top="1220" w:right="1160" w:bottom="1240" w:left="1340" w:header="0" w:footer="1047" w:gutter="0"/>
          <w:cols w:space="720"/>
        </w:sectPr>
      </w:pPr>
    </w:p>
    <w:p w14:paraId="0BE9B43F" w14:textId="7762AF34" w:rsidR="00026295" w:rsidRPr="008767D0" w:rsidRDefault="00026295" w:rsidP="00026295">
      <w:pPr>
        <w:pStyle w:val="Textoindependiente"/>
        <w:tabs>
          <w:tab w:val="left" w:pos="2226"/>
          <w:tab w:val="left" w:pos="3239"/>
          <w:tab w:val="left" w:pos="8439"/>
        </w:tabs>
        <w:spacing w:before="126" w:line="480" w:lineRule="auto"/>
        <w:jc w:val="both"/>
        <w:rPr>
          <w:w w:val="33"/>
          <w:u w:val="single" w:color="000000"/>
        </w:rPr>
      </w:pPr>
      <w:r>
        <w:t>En fe de lo cual</w:t>
      </w:r>
      <w:r w:rsidRPr="006F4460">
        <w:t xml:space="preserve"> se suscribe el presente documento en la</w:t>
      </w:r>
      <w:r w:rsidRPr="008767D0">
        <w:t xml:space="preserve"> </w:t>
      </w:r>
      <w:r w:rsidRPr="006F4460">
        <w:t>ciudad</w:t>
      </w:r>
      <w:r w:rsidRPr="008767D0">
        <w:t xml:space="preserve"> </w:t>
      </w:r>
      <w:r w:rsidRPr="006F4460">
        <w:t>de</w:t>
      </w:r>
      <w:r w:rsidR="0036073A">
        <w:t xml:space="preserve"> TEGUCIGALPA, M.D.C.</w:t>
      </w:r>
      <w:r w:rsidRPr="008767D0">
        <w:t xml:space="preserve"> a los</w:t>
      </w:r>
      <w:r>
        <w:t xml:space="preserve"> </w:t>
      </w:r>
      <w:r w:rsidR="001E5D6B">
        <w:t>9</w:t>
      </w:r>
      <w:r w:rsidRPr="006F4460">
        <w:t xml:space="preserve"> días del</w:t>
      </w:r>
      <w:r w:rsidRPr="008767D0">
        <w:t xml:space="preserve"> </w:t>
      </w:r>
      <w:r w:rsidRPr="006F4460">
        <w:t>mes</w:t>
      </w:r>
      <w:r w:rsidRPr="008767D0">
        <w:t xml:space="preserve"> </w:t>
      </w:r>
      <w:r w:rsidRPr="006F4460">
        <w:t>de</w:t>
      </w:r>
      <w:r w:rsidR="0036073A">
        <w:t xml:space="preserve"> </w:t>
      </w:r>
      <w:r w:rsidR="001E5D6B">
        <w:t>FEBRERO</w:t>
      </w:r>
      <w:r w:rsidR="0036073A">
        <w:t xml:space="preserve"> </w:t>
      </w:r>
      <w:r>
        <w:t>del año</w:t>
      </w:r>
      <w:r w:rsidR="0036073A">
        <w:t xml:space="preserve"> 202</w:t>
      </w:r>
      <w:r w:rsidR="00625B99">
        <w:t>4</w:t>
      </w:r>
      <w:r w:rsidR="0036073A">
        <w:t>.</w:t>
      </w:r>
      <w:r w:rsidRPr="008767D0">
        <w:tab/>
      </w:r>
    </w:p>
    <w:p w14:paraId="1FB486DE" w14:textId="77777777" w:rsidR="00026295" w:rsidRPr="008767D0" w:rsidRDefault="00026295" w:rsidP="00026295">
      <w:pPr>
        <w:spacing w:line="480" w:lineRule="auto"/>
        <w:sectPr w:rsidR="00026295" w:rsidRPr="008767D0">
          <w:type w:val="continuous"/>
          <w:pgSz w:w="12240" w:h="15840"/>
          <w:pgMar w:top="1500" w:right="1160" w:bottom="280" w:left="1340" w:header="720" w:footer="720" w:gutter="0"/>
          <w:cols w:num="2" w:space="720" w:equalWidth="0">
            <w:col w:w="8460" w:space="67"/>
            <w:col w:w="1213"/>
          </w:cols>
        </w:sectPr>
      </w:pPr>
    </w:p>
    <w:p w14:paraId="4620F9CD" w14:textId="77777777" w:rsidR="00722788" w:rsidRPr="008767D0" w:rsidRDefault="00722788" w:rsidP="00026295">
      <w:pPr>
        <w:spacing w:line="480" w:lineRule="auto"/>
        <w:rPr>
          <w:rFonts w:ascii="Times New Roman" w:eastAsia="Times New Roman" w:hAnsi="Times New Roman" w:cs="Times New Roman"/>
          <w:sz w:val="20"/>
          <w:szCs w:val="20"/>
        </w:rPr>
      </w:pPr>
    </w:p>
    <w:p w14:paraId="3B878034" w14:textId="6A83D0FE" w:rsidR="00026295" w:rsidRPr="008767D0" w:rsidRDefault="00722788" w:rsidP="00722788">
      <w:pPr>
        <w:spacing w:line="48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722788">
        <w:rPr>
          <w:rFonts w:ascii="Times New Roman" w:eastAsia="Times New Roman" w:hAnsi="Times New Roman" w:cs="Times New Roman"/>
          <w:sz w:val="20"/>
          <w:szCs w:val="20"/>
        </w:rPr>
        <w:drawing>
          <wp:inline distT="0" distB="0" distL="0" distR="0" wp14:anchorId="35F48CB1" wp14:editId="01C6437D">
            <wp:extent cx="2429214" cy="1514686"/>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429214" cy="1514686"/>
                    </a:xfrm>
                    <a:prstGeom prst="rect">
                      <a:avLst/>
                    </a:prstGeom>
                  </pic:spPr>
                </pic:pic>
              </a:graphicData>
            </a:graphic>
          </wp:inline>
        </w:drawing>
      </w:r>
      <w:r>
        <w:rPr>
          <w:rFonts w:ascii="Times New Roman" w:eastAsia="Times New Roman" w:hAnsi="Times New Roman" w:cs="Times New Roman"/>
          <w:sz w:val="20"/>
          <w:szCs w:val="20"/>
        </w:rPr>
        <w:t xml:space="preserve">           </w:t>
      </w:r>
      <w:r w:rsidRPr="00722788">
        <w:rPr>
          <w:rFonts w:ascii="Times New Roman" w:eastAsia="Times New Roman" w:hAnsi="Times New Roman" w:cs="Times New Roman"/>
          <w:sz w:val="20"/>
          <w:szCs w:val="20"/>
        </w:rPr>
        <w:drawing>
          <wp:inline distT="0" distB="0" distL="0" distR="0" wp14:anchorId="0881F188" wp14:editId="6E553B95">
            <wp:extent cx="2238375" cy="156776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239529" cy="1568577"/>
                    </a:xfrm>
                    <a:prstGeom prst="rect">
                      <a:avLst/>
                    </a:prstGeom>
                  </pic:spPr>
                </pic:pic>
              </a:graphicData>
            </a:graphic>
          </wp:inline>
        </w:drawing>
      </w:r>
    </w:p>
    <w:p w14:paraId="4F9E4F61" w14:textId="07580D64" w:rsidR="0036073A" w:rsidRDefault="0036073A" w:rsidP="0086653C">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Brenda Marisol Fuentes López                   Liliam María Zepeda Martínez</w:t>
      </w:r>
    </w:p>
    <w:p w14:paraId="550461AA" w14:textId="03B0F843" w:rsidR="0036073A" w:rsidRPr="006F4460" w:rsidRDefault="0036073A" w:rsidP="0086653C">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12123034              </w:t>
      </w:r>
      <w:r w:rsidR="0086653C">
        <w:rPr>
          <w:rFonts w:ascii="Times New Roman" w:eastAsia="Times New Roman" w:hAnsi="Times New Roman" w:cs="Times New Roman"/>
          <w:b/>
          <w:bCs/>
          <w:sz w:val="24"/>
          <w:szCs w:val="24"/>
        </w:rPr>
        <w:t xml:space="preserve">  </w:t>
      </w:r>
      <w:r>
        <w:rPr>
          <w:rFonts w:ascii="Times New Roman" w:eastAsia="Times New Roman" w:hAnsi="Times New Roman" w:cs="Times New Roman"/>
          <w:b/>
          <w:bCs/>
          <w:sz w:val="24"/>
          <w:szCs w:val="24"/>
        </w:rPr>
        <w:t xml:space="preserve">                                          121230</w:t>
      </w:r>
      <w:r w:rsidR="0086653C">
        <w:rPr>
          <w:rFonts w:ascii="Times New Roman" w:eastAsia="Times New Roman" w:hAnsi="Times New Roman" w:cs="Times New Roman"/>
          <w:b/>
          <w:bCs/>
          <w:sz w:val="24"/>
          <w:szCs w:val="24"/>
        </w:rPr>
        <w:t>28</w:t>
      </w:r>
    </w:p>
    <w:p w14:paraId="1FE6FE86" w14:textId="77777777" w:rsidR="00722788" w:rsidRDefault="00722788" w:rsidP="00A31CE4">
      <w:pPr>
        <w:spacing w:line="480" w:lineRule="auto"/>
        <w:ind w:left="666"/>
        <w:rPr>
          <w:rFonts w:ascii="Times New Roman" w:hAnsi="Times New Roman"/>
          <w:b/>
          <w:sz w:val="24"/>
        </w:rPr>
      </w:pPr>
    </w:p>
    <w:p w14:paraId="2E1406A3" w14:textId="7A1C0489" w:rsidR="00026295" w:rsidRPr="006F4460" w:rsidRDefault="00026295" w:rsidP="00A31CE4">
      <w:pPr>
        <w:spacing w:line="480" w:lineRule="auto"/>
        <w:ind w:left="666"/>
        <w:rPr>
          <w:rFonts w:ascii="Times New Roman" w:eastAsia="Times New Roman" w:hAnsi="Times New Roman" w:cs="Times New Roman"/>
          <w:sz w:val="24"/>
          <w:szCs w:val="24"/>
        </w:rPr>
        <w:sectPr w:rsidR="00026295" w:rsidRPr="006F4460">
          <w:type w:val="continuous"/>
          <w:pgSz w:w="12240" w:h="15840"/>
          <w:pgMar w:top="1500" w:right="1160" w:bottom="280" w:left="1340" w:header="720" w:footer="720" w:gutter="0"/>
          <w:cols w:space="720"/>
        </w:sectPr>
      </w:pPr>
      <w:r w:rsidRPr="006F4460">
        <w:rPr>
          <w:rFonts w:ascii="Times New Roman" w:hAnsi="Times New Roman"/>
          <w:b/>
          <w:sz w:val="24"/>
        </w:rPr>
        <w:t xml:space="preserve">* La autorización firmada se </w:t>
      </w:r>
      <w:r>
        <w:rPr>
          <w:rFonts w:ascii="Times New Roman" w:hAnsi="Times New Roman"/>
          <w:b/>
          <w:sz w:val="24"/>
        </w:rPr>
        <w:t xml:space="preserve">encuentra adjunta a mí </w:t>
      </w:r>
      <w:r w:rsidRPr="006F4460">
        <w:rPr>
          <w:rFonts w:ascii="Times New Roman" w:hAnsi="Times New Roman"/>
          <w:b/>
          <w:sz w:val="24"/>
        </w:rPr>
        <w:t>expediente</w:t>
      </w:r>
      <w:r w:rsidR="00877A60">
        <w:rPr>
          <w:rFonts w:ascii="Times New Roman" w:eastAsia="Times New Roman" w:hAnsi="Times New Roman" w:cs="Times New Roman"/>
          <w:sz w:val="24"/>
          <w:szCs w:val="24"/>
        </w:rPr>
        <w:t>.</w:t>
      </w:r>
    </w:p>
    <w:p w14:paraId="6D33EF52" w14:textId="2E3E4C22" w:rsidR="00026295" w:rsidRPr="00877A60" w:rsidRDefault="00026295" w:rsidP="00877A60">
      <w:pPr>
        <w:spacing w:before="8"/>
        <w:jc w:val="center"/>
        <w:rPr>
          <w:rFonts w:ascii="Times New Roman" w:eastAsia="Times New Roman" w:hAnsi="Times New Roman" w:cs="Times New Roman"/>
          <w:sz w:val="10"/>
          <w:szCs w:val="10"/>
        </w:rPr>
      </w:pPr>
      <w:r>
        <w:rPr>
          <w:noProof/>
          <w:lang w:eastAsia="es-HN"/>
        </w:rPr>
        <w:lastRenderedPageBreak/>
        <w:drawing>
          <wp:inline distT="0" distB="0" distL="0" distR="0" wp14:anchorId="0C81D501" wp14:editId="6BD547F3">
            <wp:extent cx="2017058" cy="457200"/>
            <wp:effectExtent l="0" t="0" r="2540" b="0"/>
            <wp:docPr id="355486173" name="Imagen 355486173"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7C710AEE" w14:textId="77777777" w:rsidR="00026295" w:rsidRPr="006F4460" w:rsidRDefault="00026295" w:rsidP="00026295">
      <w:pPr>
        <w:spacing w:before="7"/>
        <w:rPr>
          <w:rFonts w:ascii="Times New Roman" w:eastAsia="Times New Roman" w:hAnsi="Times New Roman" w:cs="Times New Roman"/>
          <w:sz w:val="21"/>
          <w:szCs w:val="21"/>
        </w:rPr>
      </w:pPr>
    </w:p>
    <w:p w14:paraId="17BD4D44" w14:textId="77777777" w:rsidR="00026295" w:rsidRPr="00A55A07" w:rsidRDefault="00026295" w:rsidP="00026295">
      <w:pPr>
        <w:ind w:left="100"/>
        <w:jc w:val="center"/>
        <w:rPr>
          <w:rFonts w:ascii="Times New Roman" w:hAnsi="Times New Roman"/>
          <w:b/>
          <w:sz w:val="32"/>
          <w:szCs w:val="28"/>
        </w:rPr>
      </w:pPr>
      <w:bookmarkStart w:id="5" w:name="_Toc474331371"/>
      <w:r w:rsidRPr="00A55A07">
        <w:rPr>
          <w:rFonts w:ascii="Times New Roman" w:hAnsi="Times New Roman"/>
          <w:b/>
          <w:sz w:val="32"/>
          <w:szCs w:val="28"/>
        </w:rPr>
        <w:t>FACULTAD DE POSTGRADO</w:t>
      </w:r>
      <w:bookmarkEnd w:id="5"/>
    </w:p>
    <w:p w14:paraId="5449E678" w14:textId="77777777" w:rsidR="00026295" w:rsidRPr="006F4460" w:rsidRDefault="00026295" w:rsidP="00026295">
      <w:pPr>
        <w:spacing w:before="7"/>
        <w:rPr>
          <w:rFonts w:ascii="Times New Roman" w:eastAsia="Times New Roman" w:hAnsi="Times New Roman" w:cs="Times New Roman"/>
          <w:b/>
          <w:bCs/>
        </w:rPr>
      </w:pPr>
    </w:p>
    <w:p w14:paraId="618B766E" w14:textId="1E4E128C" w:rsidR="00026295" w:rsidRPr="006F4460" w:rsidRDefault="00523289" w:rsidP="00523289">
      <w:pPr>
        <w:jc w:val="center"/>
        <w:rPr>
          <w:rFonts w:ascii="Times New Roman" w:eastAsia="Times New Roman" w:hAnsi="Times New Roman" w:cs="Times New Roman"/>
          <w:b/>
          <w:bCs/>
          <w:sz w:val="24"/>
          <w:szCs w:val="24"/>
        </w:rPr>
      </w:pPr>
      <w:r w:rsidRPr="00523289">
        <w:rPr>
          <w:rFonts w:ascii="Times New Roman" w:hAnsi="Times New Roman"/>
          <w:b/>
          <w:sz w:val="32"/>
          <w:szCs w:val="28"/>
        </w:rPr>
        <w:t>ANÁLISIS Y DESCOMPOSICIÓN DE LA TASA DE INTERÉS NOMINAL EN MONEDA NACIONAL COBRADA EN LOS BANCOS COMERCIALES EN HONDURAS DURANTE EL PERÍODO 2019 – 2022</w:t>
      </w:r>
    </w:p>
    <w:p w14:paraId="3E4B56A4" w14:textId="77777777" w:rsidR="00026295" w:rsidRPr="006F4460" w:rsidRDefault="00026295" w:rsidP="00026295">
      <w:pPr>
        <w:spacing w:before="9"/>
        <w:rPr>
          <w:rFonts w:ascii="Times New Roman" w:eastAsia="Times New Roman" w:hAnsi="Times New Roman" w:cs="Times New Roman"/>
          <w:b/>
          <w:bCs/>
          <w:sz w:val="23"/>
          <w:szCs w:val="23"/>
        </w:rPr>
      </w:pPr>
    </w:p>
    <w:p w14:paraId="6B47B501" w14:textId="4C7911B3" w:rsidR="00026295" w:rsidRPr="00A55A07" w:rsidRDefault="00523289" w:rsidP="00BE1A31">
      <w:pPr>
        <w:ind w:left="2268" w:right="2555"/>
        <w:jc w:val="center"/>
        <w:rPr>
          <w:rFonts w:ascii="Times New Roman"/>
          <w:b/>
          <w:sz w:val="32"/>
          <w:szCs w:val="28"/>
        </w:rPr>
      </w:pPr>
      <w:r>
        <w:rPr>
          <w:rFonts w:ascii="Times New Roman"/>
          <w:b/>
          <w:sz w:val="32"/>
          <w:szCs w:val="28"/>
        </w:rPr>
        <w:t>Brenda Marisol Fuentes L</w:t>
      </w:r>
      <w:r>
        <w:rPr>
          <w:rFonts w:ascii="Times New Roman"/>
          <w:b/>
          <w:sz w:val="32"/>
          <w:szCs w:val="28"/>
        </w:rPr>
        <w:t>ó</w:t>
      </w:r>
      <w:r>
        <w:rPr>
          <w:rFonts w:ascii="Times New Roman"/>
          <w:b/>
          <w:sz w:val="32"/>
          <w:szCs w:val="28"/>
        </w:rPr>
        <w:t>pez</w:t>
      </w:r>
    </w:p>
    <w:p w14:paraId="5FDE0662" w14:textId="209D0C71" w:rsidR="00026295" w:rsidRDefault="00523289" w:rsidP="00BE1A31">
      <w:pPr>
        <w:ind w:left="2268" w:right="2555"/>
        <w:jc w:val="center"/>
        <w:rPr>
          <w:rFonts w:ascii="Times New Roman"/>
          <w:b/>
          <w:sz w:val="32"/>
          <w:szCs w:val="28"/>
        </w:rPr>
      </w:pPr>
      <w:r>
        <w:rPr>
          <w:rFonts w:ascii="Times New Roman"/>
          <w:b/>
          <w:sz w:val="32"/>
          <w:szCs w:val="28"/>
        </w:rPr>
        <w:t>Liliam Mar</w:t>
      </w:r>
      <w:r>
        <w:rPr>
          <w:rFonts w:ascii="Times New Roman"/>
          <w:b/>
          <w:sz w:val="32"/>
          <w:szCs w:val="28"/>
        </w:rPr>
        <w:t>í</w:t>
      </w:r>
      <w:r>
        <w:rPr>
          <w:rFonts w:ascii="Times New Roman"/>
          <w:b/>
          <w:sz w:val="32"/>
          <w:szCs w:val="28"/>
        </w:rPr>
        <w:t>a Zepeda Mart</w:t>
      </w:r>
      <w:r>
        <w:rPr>
          <w:rFonts w:ascii="Times New Roman"/>
          <w:b/>
          <w:sz w:val="32"/>
          <w:szCs w:val="28"/>
        </w:rPr>
        <w:t>í</w:t>
      </w:r>
      <w:r>
        <w:rPr>
          <w:rFonts w:ascii="Times New Roman"/>
          <w:b/>
          <w:sz w:val="32"/>
          <w:szCs w:val="28"/>
        </w:rPr>
        <w:t xml:space="preserve">nez </w:t>
      </w:r>
    </w:p>
    <w:p w14:paraId="2A80AE55" w14:textId="77777777" w:rsidR="00BE1A31" w:rsidRPr="006F4460" w:rsidRDefault="00BE1A31" w:rsidP="00B82D52">
      <w:pPr>
        <w:ind w:right="2555"/>
        <w:rPr>
          <w:rFonts w:ascii="Times New Roman" w:eastAsia="Times New Roman" w:hAnsi="Times New Roman" w:cs="Times New Roman"/>
          <w:b/>
          <w:bCs/>
          <w:sz w:val="24"/>
          <w:szCs w:val="24"/>
        </w:rPr>
      </w:pPr>
    </w:p>
    <w:p w14:paraId="380C4F7E" w14:textId="41970163" w:rsidR="00026295" w:rsidRDefault="00026295" w:rsidP="00877A60">
      <w:pPr>
        <w:ind w:left="4111"/>
        <w:rPr>
          <w:rFonts w:ascii="Times New Roman"/>
          <w:b/>
          <w:sz w:val="24"/>
        </w:rPr>
      </w:pPr>
      <w:r w:rsidRPr="006F4460">
        <w:rPr>
          <w:rFonts w:ascii="Times New Roman"/>
          <w:b/>
          <w:sz w:val="24"/>
        </w:rPr>
        <w:t>Resumen</w:t>
      </w:r>
    </w:p>
    <w:p w14:paraId="4B527834" w14:textId="77777777" w:rsidR="00026295" w:rsidRDefault="00026295" w:rsidP="00026295">
      <w:pPr>
        <w:rPr>
          <w:rFonts w:ascii="Times New Roman"/>
          <w:b/>
          <w:sz w:val="24"/>
        </w:rPr>
      </w:pPr>
    </w:p>
    <w:p w14:paraId="495D62A2" w14:textId="4EEA8300" w:rsidR="00B82D52" w:rsidRDefault="00F94755" w:rsidP="00B82D52">
      <w:pPr>
        <w:pStyle w:val="TextoPrincipal"/>
        <w:spacing w:line="360" w:lineRule="auto"/>
      </w:pPr>
      <w:r>
        <w:t>Este trabajo evalúa el nivel y los determinantes de las tasas de interés de préstamos al sector privado del sistema bancario</w:t>
      </w:r>
      <w:r w:rsidR="00812E6D">
        <w:t xml:space="preserve"> de Honduras</w:t>
      </w:r>
      <w:r w:rsidR="00C20569">
        <w:t xml:space="preserve"> durante el período 2019-2022, con el objetivo de determinar los factores que influenciaron el comportamiento de las tasas en dicho período</w:t>
      </w:r>
      <w:r>
        <w:t xml:space="preserve">. </w:t>
      </w:r>
      <w:r w:rsidR="005325DB">
        <w:t>En la investigación se utilizó un enfoque mixto, c</w:t>
      </w:r>
      <w:r w:rsidR="00C20569">
        <w:t xml:space="preserve">on ese fin, se </w:t>
      </w:r>
      <w:r w:rsidR="00877A60">
        <w:t>implementó</w:t>
      </w:r>
      <w:r w:rsidR="00C20569">
        <w:t xml:space="preserve"> un modelo aritmético lineal simple, para identificar </w:t>
      </w:r>
      <w:r w:rsidR="00877A60">
        <w:t>los principales componentes financieros, al tiempo que se llevaron a cabo entrevistas con expertos del sistema financiero para identificar los aspectos macroeconómicos que determinaron el comportamiento de las tasas. Los resultados sugieren que, l</w:t>
      </w:r>
      <w:r>
        <w:t>as tasas de interés activas en Honduras mostraron un comportamiento heterogéneo</w:t>
      </w:r>
      <w:r w:rsidR="00C20569">
        <w:t xml:space="preserve"> durante el período de análisis</w:t>
      </w:r>
      <w:r>
        <w:t>, con cierta tendencia hacia la baja. Dicho comportamiento, fue impulsado tanto por factores macroeconómicos, como ser las medidas de política monetaria y las operaciones del mercado abierto del Banco Central de Honduras (BCH) realizadas durante el período; así como, por factores internos del sistema bancario del país, donde destaca la alta contribución del componente de costos administrativos</w:t>
      </w:r>
      <w:r w:rsidR="00CD4511">
        <w:t xml:space="preserve">, los activos menos rentables y la cartera irregular, entre otros. Asimismo, las medidas de alivio financiero aplicadas de forma regulatoria durante la pandemia y los programas de apoyo al crédito a los sectores productivos del Gobierno, afectaron el comportamiento de las tasas activas durante el período. </w:t>
      </w:r>
      <w:r w:rsidR="00877A60">
        <w:t>En el contexto anterior, se considera pertinente una gestión eficiente de los costos administrativos del sistema financiero, que permita recudir el costo del crédito, en beneficio de los usuarios financieros</w:t>
      </w:r>
      <w:r w:rsidR="006067C5">
        <w:t xml:space="preserve"> y del sistema bancario en general.</w:t>
      </w:r>
    </w:p>
    <w:p w14:paraId="0F9ABFA1" w14:textId="38DE4993" w:rsidR="00026295" w:rsidRPr="006F4460" w:rsidRDefault="00026295" w:rsidP="002B16FA">
      <w:pPr>
        <w:pStyle w:val="TextoPrincipal"/>
        <w:spacing w:line="360" w:lineRule="auto"/>
        <w:ind w:firstLine="0"/>
        <w:rPr>
          <w:rFonts w:eastAsia="Times New Roman"/>
          <w:sz w:val="20"/>
          <w:szCs w:val="20"/>
        </w:rPr>
      </w:pPr>
      <w:r w:rsidRPr="006F4460">
        <w:rPr>
          <w:b/>
        </w:rPr>
        <w:t>Palabras</w:t>
      </w:r>
      <w:r w:rsidRPr="006F4460">
        <w:rPr>
          <w:b/>
          <w:spacing w:val="-4"/>
        </w:rPr>
        <w:t xml:space="preserve"> </w:t>
      </w:r>
      <w:r w:rsidRPr="006F4460">
        <w:rPr>
          <w:b/>
        </w:rPr>
        <w:t>claves:</w:t>
      </w:r>
      <w:r>
        <w:rPr>
          <w:b/>
        </w:rPr>
        <w:t xml:space="preserve"> (</w:t>
      </w:r>
      <w:r w:rsidR="006067C5">
        <w:rPr>
          <w:b/>
        </w:rPr>
        <w:t xml:space="preserve">sistema bancario, </w:t>
      </w:r>
      <w:r w:rsidR="00B82D52">
        <w:rPr>
          <w:b/>
        </w:rPr>
        <w:t>tasa de interés activa, costo del crédito</w:t>
      </w:r>
      <w:r w:rsidR="008F1EA3">
        <w:rPr>
          <w:b/>
        </w:rPr>
        <w:t>, costo de fondeo</w:t>
      </w:r>
      <w:r>
        <w:rPr>
          <w:b/>
        </w:rPr>
        <w:t>)</w:t>
      </w:r>
      <w:r w:rsidR="00B82D52">
        <w:rPr>
          <w:b/>
        </w:rPr>
        <w:t>.</w:t>
      </w:r>
    </w:p>
    <w:p w14:paraId="3EB63F5B" w14:textId="77777777" w:rsidR="00026295" w:rsidRPr="006F4460" w:rsidRDefault="00026295" w:rsidP="00026295">
      <w:pPr>
        <w:spacing w:before="8"/>
        <w:jc w:val="center"/>
        <w:rPr>
          <w:rFonts w:ascii="Times New Roman" w:eastAsia="Times New Roman" w:hAnsi="Times New Roman" w:cs="Times New Roman"/>
          <w:sz w:val="10"/>
          <w:szCs w:val="10"/>
        </w:rPr>
      </w:pPr>
      <w:r>
        <w:rPr>
          <w:noProof/>
          <w:lang w:eastAsia="es-HN"/>
        </w:rPr>
        <w:lastRenderedPageBreak/>
        <w:drawing>
          <wp:inline distT="0" distB="0" distL="0" distR="0" wp14:anchorId="70362525" wp14:editId="683BDD9F">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70A964EA" w14:textId="77777777" w:rsidR="00026295" w:rsidRPr="006F4460" w:rsidRDefault="00026295" w:rsidP="00026295">
      <w:pPr>
        <w:rPr>
          <w:rFonts w:ascii="Times New Roman" w:eastAsia="Times New Roman" w:hAnsi="Times New Roman" w:cs="Times New Roman"/>
          <w:sz w:val="24"/>
          <w:szCs w:val="24"/>
        </w:rPr>
      </w:pPr>
    </w:p>
    <w:p w14:paraId="2D916390" w14:textId="77777777" w:rsidR="00026295" w:rsidRPr="006F4460" w:rsidRDefault="00026295" w:rsidP="00026295">
      <w:pPr>
        <w:spacing w:before="7"/>
        <w:rPr>
          <w:rFonts w:ascii="Times New Roman" w:eastAsia="Times New Roman" w:hAnsi="Times New Roman" w:cs="Times New Roman"/>
          <w:sz w:val="21"/>
          <w:szCs w:val="21"/>
        </w:rPr>
      </w:pPr>
    </w:p>
    <w:p w14:paraId="3DA55D36" w14:textId="77777777" w:rsidR="00026295" w:rsidRPr="00E30BCB" w:rsidRDefault="00026295" w:rsidP="0002629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E30BCB">
        <w:rPr>
          <w:rFonts w:ascii="Times New Roman" w:eastAsia="Times New Roman" w:hAnsi="Times New Roman" w:cs="Times New Roman"/>
          <w:b/>
          <w:sz w:val="32"/>
          <w:szCs w:val="32"/>
          <w:lang w:val="en-US" w:eastAsia="es-HN"/>
        </w:rPr>
        <w:t>GRADUATE SCHOOL</w:t>
      </w:r>
    </w:p>
    <w:p w14:paraId="0BF5A88D" w14:textId="77777777" w:rsidR="00026295" w:rsidRPr="00E30BCB" w:rsidRDefault="00026295" w:rsidP="00026295">
      <w:pPr>
        <w:spacing w:before="7"/>
        <w:rPr>
          <w:rFonts w:ascii="Times New Roman" w:eastAsia="Times New Roman" w:hAnsi="Times New Roman" w:cs="Times New Roman"/>
          <w:b/>
          <w:bCs/>
          <w:lang w:val="en-US"/>
        </w:rPr>
      </w:pPr>
    </w:p>
    <w:p w14:paraId="16FA77DF" w14:textId="71E9B71F" w:rsidR="00026295" w:rsidRPr="00E30BCB" w:rsidRDefault="00655903" w:rsidP="00655903">
      <w:pPr>
        <w:jc w:val="center"/>
        <w:rPr>
          <w:rFonts w:ascii="Times New Roman" w:eastAsia="Times New Roman" w:hAnsi="Times New Roman" w:cs="Times New Roman"/>
          <w:b/>
          <w:bCs/>
          <w:sz w:val="24"/>
          <w:szCs w:val="24"/>
          <w:lang w:val="en-US"/>
        </w:rPr>
      </w:pPr>
      <w:r w:rsidRPr="00E30BCB">
        <w:rPr>
          <w:rFonts w:ascii="Times New Roman" w:hAnsi="Times New Roman"/>
          <w:b/>
          <w:sz w:val="32"/>
          <w:szCs w:val="28"/>
          <w:lang w:val="en-US"/>
        </w:rPr>
        <w:t>ANALYSIS AND DECOMPOSITION OF THE NOMINAL INTEREST RATE IN NATIONAL CURRENCY CHARGED IN COMMERCIAL BANKS IN HONDURAS DURING THE PERIOD 2019 – 2022</w:t>
      </w:r>
    </w:p>
    <w:p w14:paraId="21D5676D" w14:textId="77777777" w:rsidR="00026295" w:rsidRPr="00E30BCB" w:rsidRDefault="00026295" w:rsidP="00026295">
      <w:pPr>
        <w:spacing w:before="9"/>
        <w:rPr>
          <w:rFonts w:ascii="Times New Roman" w:eastAsia="Times New Roman" w:hAnsi="Times New Roman" w:cs="Times New Roman"/>
          <w:b/>
          <w:bCs/>
          <w:sz w:val="23"/>
          <w:szCs w:val="23"/>
          <w:lang w:val="en-US"/>
        </w:rPr>
      </w:pPr>
    </w:p>
    <w:p w14:paraId="008853E3" w14:textId="478FA895" w:rsidR="00655903" w:rsidRPr="00A55A07" w:rsidRDefault="00655903" w:rsidP="00655903">
      <w:pPr>
        <w:ind w:left="2268" w:right="2555"/>
        <w:jc w:val="center"/>
        <w:rPr>
          <w:rFonts w:ascii="Times New Roman"/>
          <w:b/>
          <w:sz w:val="32"/>
          <w:szCs w:val="28"/>
        </w:rPr>
      </w:pPr>
      <w:r>
        <w:rPr>
          <w:rFonts w:ascii="Times New Roman"/>
          <w:b/>
          <w:sz w:val="32"/>
          <w:szCs w:val="28"/>
        </w:rPr>
        <w:t>Brenda Marisol Fuentes L</w:t>
      </w:r>
      <w:r>
        <w:rPr>
          <w:rFonts w:ascii="Times New Roman"/>
          <w:b/>
          <w:sz w:val="32"/>
          <w:szCs w:val="28"/>
        </w:rPr>
        <w:t>ó</w:t>
      </w:r>
      <w:r>
        <w:rPr>
          <w:rFonts w:ascii="Times New Roman"/>
          <w:b/>
          <w:sz w:val="32"/>
          <w:szCs w:val="28"/>
        </w:rPr>
        <w:t>pez</w:t>
      </w:r>
    </w:p>
    <w:p w14:paraId="0906CE9C" w14:textId="77777777" w:rsidR="00655903" w:rsidRDefault="00655903" w:rsidP="00655903">
      <w:pPr>
        <w:ind w:left="2268" w:right="2555"/>
        <w:jc w:val="center"/>
        <w:rPr>
          <w:rFonts w:ascii="Times New Roman"/>
          <w:b/>
          <w:sz w:val="32"/>
          <w:szCs w:val="28"/>
        </w:rPr>
      </w:pPr>
      <w:r>
        <w:rPr>
          <w:rFonts w:ascii="Times New Roman"/>
          <w:b/>
          <w:sz w:val="32"/>
          <w:szCs w:val="28"/>
        </w:rPr>
        <w:t>Liliam Mar</w:t>
      </w:r>
      <w:r>
        <w:rPr>
          <w:rFonts w:ascii="Times New Roman"/>
          <w:b/>
          <w:sz w:val="32"/>
          <w:szCs w:val="28"/>
        </w:rPr>
        <w:t>í</w:t>
      </w:r>
      <w:r>
        <w:rPr>
          <w:rFonts w:ascii="Times New Roman"/>
          <w:b/>
          <w:sz w:val="32"/>
          <w:szCs w:val="28"/>
        </w:rPr>
        <w:t>a Zepeda Mart</w:t>
      </w:r>
      <w:r>
        <w:rPr>
          <w:rFonts w:ascii="Times New Roman"/>
          <w:b/>
          <w:sz w:val="32"/>
          <w:szCs w:val="28"/>
        </w:rPr>
        <w:t>í</w:t>
      </w:r>
      <w:r>
        <w:rPr>
          <w:rFonts w:ascii="Times New Roman"/>
          <w:b/>
          <w:sz w:val="32"/>
          <w:szCs w:val="28"/>
        </w:rPr>
        <w:t xml:space="preserve">nez </w:t>
      </w:r>
    </w:p>
    <w:p w14:paraId="0D802363" w14:textId="77777777" w:rsidR="00026295" w:rsidRPr="006F4460" w:rsidRDefault="00026295" w:rsidP="00026295">
      <w:pPr>
        <w:rPr>
          <w:rFonts w:ascii="Times New Roman" w:eastAsia="Times New Roman" w:hAnsi="Times New Roman" w:cs="Times New Roman"/>
          <w:b/>
          <w:bCs/>
          <w:sz w:val="24"/>
          <w:szCs w:val="24"/>
        </w:rPr>
      </w:pPr>
    </w:p>
    <w:p w14:paraId="07DA3654" w14:textId="77777777" w:rsidR="00026295" w:rsidRPr="00655903" w:rsidRDefault="00026295" w:rsidP="00026295">
      <w:pPr>
        <w:ind w:left="4363"/>
        <w:rPr>
          <w:rFonts w:ascii="Times New Roman"/>
          <w:b/>
          <w:sz w:val="24"/>
          <w:lang w:val="en-US"/>
        </w:rPr>
      </w:pPr>
      <w:r w:rsidRPr="00655903">
        <w:rPr>
          <w:rFonts w:ascii="Times New Roman"/>
          <w:b/>
          <w:sz w:val="24"/>
          <w:lang w:val="en-US"/>
        </w:rPr>
        <w:t>Abstract</w:t>
      </w:r>
    </w:p>
    <w:p w14:paraId="475C887E" w14:textId="77777777" w:rsidR="00655903" w:rsidRPr="00655903" w:rsidRDefault="00655903" w:rsidP="00026295">
      <w:pPr>
        <w:ind w:left="4363"/>
        <w:rPr>
          <w:rFonts w:ascii="Times New Roman" w:eastAsia="Times New Roman" w:hAnsi="Times New Roman" w:cs="Times New Roman"/>
          <w:sz w:val="24"/>
          <w:szCs w:val="24"/>
          <w:lang w:val="en-US"/>
        </w:rPr>
      </w:pPr>
    </w:p>
    <w:p w14:paraId="4CD05A84" w14:textId="7A7ED9AB" w:rsidR="003F2A58" w:rsidRPr="00AD2A65" w:rsidRDefault="003F2A58" w:rsidP="003F2A58">
      <w:pPr>
        <w:pStyle w:val="TextoPrincipal"/>
        <w:spacing w:line="360" w:lineRule="auto"/>
        <w:rPr>
          <w:lang w:val="en-US"/>
        </w:rPr>
      </w:pPr>
      <w:r w:rsidRPr="00AD2A65">
        <w:rPr>
          <w:lang w:val="en-US"/>
        </w:rPr>
        <w:t>This work evaluates the level and determinants of interest rates on loans to the private sector of the Honduran banking system during the period 2019-2022, with the objective of determining the factors that influenced the behavior of rates in said period. The research used a mixed approach, to this end, a simple linear arithmetic model was implemented to identify the main financial components, while interviews were carried out with experts from the financial system to identify the macroeconomic aspects that determined the behavior</w:t>
      </w:r>
      <w:r w:rsidR="00724A84">
        <w:rPr>
          <w:lang w:val="en-US"/>
        </w:rPr>
        <w:t xml:space="preserve"> </w:t>
      </w:r>
      <w:r w:rsidRPr="00AD2A65">
        <w:rPr>
          <w:lang w:val="en-US"/>
        </w:rPr>
        <w:t xml:space="preserve">of the rates. The results suggest that active interest rates in Honduras showed a heterogeneous behavior during the analysis period, with a certain downward trend. </w:t>
      </w:r>
      <w:r w:rsidRPr="003F2A58">
        <w:rPr>
          <w:lang w:val="en-US"/>
        </w:rPr>
        <w:t>This behavior was driven by both macroeconomic factors, such as monetary policy measures and open market operations of the Central Bank of Honduras carried out during the period; as well as, due to internal factors of the country's banking system, where the high contribution of administrative cost components, less profitable assets and the irregular portfolio, among others, stands out. Likewise, the financial relief</w:t>
      </w:r>
      <w:r w:rsidRPr="00AD2A65">
        <w:rPr>
          <w:lang w:val="en-US"/>
        </w:rPr>
        <w:t xml:space="preserve"> measures applied in a regulatory manner during the pandemic and the Government's credit support programs for productive sectors will affect the behavior of lending rates during the period. In the previous context, efficient management of the administrative costs of the financial system is considered relevant, which allows the cost of credit to be reduced, for the benefit of financial users and the banking system in general.</w:t>
      </w:r>
    </w:p>
    <w:p w14:paraId="393ECF23" w14:textId="17320828" w:rsidR="00026295" w:rsidRPr="008F1EA3" w:rsidRDefault="002A6025" w:rsidP="003F2A58">
      <w:pPr>
        <w:pStyle w:val="TextoPrincipal"/>
        <w:spacing w:line="360" w:lineRule="auto"/>
        <w:rPr>
          <w:b/>
          <w:bCs/>
          <w:lang w:val="en-US"/>
        </w:rPr>
        <w:sectPr w:rsidR="00026295" w:rsidRPr="008F1EA3" w:rsidSect="007D5C9B">
          <w:pgSz w:w="12240" w:h="15840" w:code="1"/>
          <w:pgMar w:top="1440" w:right="1440" w:bottom="1440" w:left="1440" w:header="709" w:footer="709" w:gutter="0"/>
          <w:cols w:space="708"/>
          <w:docGrid w:linePitch="360"/>
        </w:sectPr>
      </w:pPr>
      <w:r w:rsidRPr="008F1EA3">
        <w:rPr>
          <w:b/>
          <w:bCs/>
          <w:lang w:val="en-US"/>
        </w:rPr>
        <w:t>Keywords: (banking system, active interest rate, cost of credit</w:t>
      </w:r>
      <w:r w:rsidR="008F1EA3" w:rsidRPr="008F1EA3">
        <w:rPr>
          <w:b/>
          <w:bCs/>
          <w:lang w:val="en-US"/>
        </w:rPr>
        <w:t>, funding cost</w:t>
      </w:r>
      <w:r w:rsidRPr="008F1EA3">
        <w:rPr>
          <w:b/>
          <w:bCs/>
          <w:lang w:val="en-US"/>
        </w:rPr>
        <w:t>).</w:t>
      </w:r>
    </w:p>
    <w:p w14:paraId="399D5140" w14:textId="77777777" w:rsidR="00026295" w:rsidRPr="00C52E7B" w:rsidRDefault="00026295" w:rsidP="00026295">
      <w:pPr>
        <w:pStyle w:val="Ttulo1"/>
      </w:pPr>
      <w:bookmarkStart w:id="6" w:name="_Toc474331173"/>
      <w:bookmarkStart w:id="7" w:name="_Toc474331372"/>
      <w:bookmarkStart w:id="8" w:name="_Toc132615434"/>
      <w:bookmarkStart w:id="9" w:name="_Toc155066568"/>
      <w:r w:rsidRPr="00C52E7B">
        <w:lastRenderedPageBreak/>
        <w:t>DEDICATORIA</w:t>
      </w:r>
      <w:bookmarkEnd w:id="6"/>
      <w:bookmarkEnd w:id="7"/>
      <w:bookmarkEnd w:id="8"/>
      <w:bookmarkEnd w:id="9"/>
    </w:p>
    <w:p w14:paraId="475F845A" w14:textId="77777777" w:rsidR="007823AC" w:rsidRDefault="007823AC" w:rsidP="007823AC">
      <w:pPr>
        <w:widowControl/>
        <w:spacing w:line="360" w:lineRule="auto"/>
        <w:ind w:firstLine="567"/>
        <w:jc w:val="both"/>
        <w:rPr>
          <w:rFonts w:ascii="Times New Roman" w:eastAsia="Calibri" w:hAnsi="Times New Roman" w:cs="Times New Roman"/>
          <w:sz w:val="24"/>
        </w:rPr>
      </w:pPr>
    </w:p>
    <w:p w14:paraId="27D5ED6F" w14:textId="49DC6670" w:rsidR="007823AC" w:rsidRPr="007823AC" w:rsidRDefault="008042C6" w:rsidP="007823AC">
      <w:pPr>
        <w:widowControl/>
        <w:spacing w:line="360" w:lineRule="auto"/>
        <w:ind w:firstLine="567"/>
        <w:jc w:val="both"/>
        <w:rPr>
          <w:rFonts w:ascii="Times New Roman" w:eastAsia="Calibri" w:hAnsi="Times New Roman" w:cs="Times New Roman"/>
          <w:sz w:val="24"/>
        </w:rPr>
      </w:pPr>
      <w:r>
        <w:rPr>
          <w:rFonts w:ascii="Times New Roman" w:eastAsia="Calibri" w:hAnsi="Times New Roman" w:cs="Times New Roman"/>
          <w:sz w:val="24"/>
        </w:rPr>
        <w:t>A</w:t>
      </w:r>
      <w:r w:rsidR="007823AC">
        <w:rPr>
          <w:rFonts w:ascii="Times New Roman" w:eastAsia="Calibri" w:hAnsi="Times New Roman" w:cs="Times New Roman"/>
          <w:sz w:val="24"/>
        </w:rPr>
        <w:t xml:space="preserve"> mis amados padres, que siempre me apoyaron y animaron en esta etapa académica; a mis hermanas que son una luz en mi vida y mi mayor motivación; </w:t>
      </w:r>
      <w:r>
        <w:rPr>
          <w:rFonts w:ascii="Times New Roman" w:eastAsia="Calibri" w:hAnsi="Times New Roman" w:cs="Times New Roman"/>
          <w:sz w:val="24"/>
        </w:rPr>
        <w:t xml:space="preserve">y </w:t>
      </w:r>
      <w:r w:rsidR="007823AC">
        <w:rPr>
          <w:rFonts w:ascii="Times New Roman" w:eastAsia="Calibri" w:hAnsi="Times New Roman" w:cs="Times New Roman"/>
          <w:sz w:val="24"/>
        </w:rPr>
        <w:t xml:space="preserve">a mis adorables gatitos, que a su </w:t>
      </w:r>
      <w:r>
        <w:rPr>
          <w:rFonts w:ascii="Times New Roman" w:eastAsia="Calibri" w:hAnsi="Times New Roman" w:cs="Times New Roman"/>
          <w:sz w:val="24"/>
        </w:rPr>
        <w:t xml:space="preserve">dulce </w:t>
      </w:r>
      <w:r w:rsidR="007823AC">
        <w:rPr>
          <w:rFonts w:ascii="Times New Roman" w:eastAsia="Calibri" w:hAnsi="Times New Roman" w:cs="Times New Roman"/>
          <w:sz w:val="24"/>
        </w:rPr>
        <w:t>modo me acompañaron en este proceso</w:t>
      </w:r>
      <w:r>
        <w:rPr>
          <w:rFonts w:ascii="Times New Roman" w:eastAsia="Calibri" w:hAnsi="Times New Roman" w:cs="Times New Roman"/>
          <w:sz w:val="24"/>
        </w:rPr>
        <w:t>.</w:t>
      </w:r>
    </w:p>
    <w:p w14:paraId="291A4A6D" w14:textId="77777777" w:rsidR="008042C6" w:rsidRDefault="008042C6" w:rsidP="007823AC">
      <w:pPr>
        <w:widowControl/>
        <w:spacing w:line="360" w:lineRule="auto"/>
        <w:ind w:firstLine="567"/>
        <w:jc w:val="right"/>
        <w:rPr>
          <w:rFonts w:ascii="Times New Roman" w:eastAsia="Calibri" w:hAnsi="Times New Roman" w:cs="Times New Roman"/>
          <w:sz w:val="24"/>
        </w:rPr>
      </w:pPr>
    </w:p>
    <w:p w14:paraId="5502752B" w14:textId="2752A896" w:rsidR="007823AC" w:rsidRPr="007823AC" w:rsidRDefault="007823AC" w:rsidP="007823AC">
      <w:pPr>
        <w:widowControl/>
        <w:spacing w:line="360" w:lineRule="auto"/>
        <w:ind w:firstLine="567"/>
        <w:jc w:val="right"/>
        <w:rPr>
          <w:rFonts w:ascii="Times New Roman" w:eastAsia="Calibri" w:hAnsi="Times New Roman" w:cs="Times New Roman"/>
          <w:sz w:val="24"/>
        </w:rPr>
      </w:pPr>
      <w:r>
        <w:rPr>
          <w:rFonts w:ascii="Times New Roman" w:eastAsia="Calibri" w:hAnsi="Times New Roman" w:cs="Times New Roman"/>
          <w:sz w:val="24"/>
        </w:rPr>
        <w:t>Brenda Marisol Fuentes López</w:t>
      </w:r>
    </w:p>
    <w:p w14:paraId="5A55D527" w14:textId="77777777" w:rsidR="007823AC" w:rsidRDefault="007823AC" w:rsidP="007823AC">
      <w:pPr>
        <w:widowControl/>
        <w:spacing w:line="360" w:lineRule="auto"/>
        <w:ind w:firstLine="567"/>
        <w:jc w:val="both"/>
        <w:rPr>
          <w:rFonts w:ascii="Times New Roman" w:eastAsia="Calibri" w:hAnsi="Times New Roman" w:cs="Times New Roman"/>
          <w:sz w:val="24"/>
        </w:rPr>
      </w:pPr>
    </w:p>
    <w:p w14:paraId="2CD0B0D4" w14:textId="77777777" w:rsidR="007823AC" w:rsidRPr="007823AC" w:rsidRDefault="007823AC" w:rsidP="007823AC">
      <w:pPr>
        <w:widowControl/>
        <w:spacing w:line="360" w:lineRule="auto"/>
        <w:ind w:firstLine="567"/>
        <w:jc w:val="both"/>
        <w:rPr>
          <w:rFonts w:ascii="Times New Roman" w:eastAsia="Calibri" w:hAnsi="Times New Roman" w:cs="Times New Roman"/>
          <w:sz w:val="24"/>
        </w:rPr>
      </w:pPr>
    </w:p>
    <w:p w14:paraId="6D172ED6" w14:textId="60B060B6" w:rsidR="007823AC" w:rsidRPr="007823AC" w:rsidRDefault="007823AC" w:rsidP="007823AC">
      <w:pPr>
        <w:widowControl/>
        <w:spacing w:line="360" w:lineRule="auto"/>
        <w:ind w:firstLine="567"/>
        <w:jc w:val="both"/>
        <w:rPr>
          <w:rFonts w:ascii="Times New Roman" w:eastAsia="Calibri" w:hAnsi="Times New Roman" w:cs="Times New Roman"/>
          <w:color w:val="FF0000"/>
          <w:sz w:val="24"/>
        </w:rPr>
      </w:pPr>
      <w:r w:rsidRPr="00506D02">
        <w:rPr>
          <w:rFonts w:ascii="Times New Roman" w:eastAsia="Calibri" w:hAnsi="Times New Roman" w:cs="Times New Roman"/>
          <w:sz w:val="24"/>
          <w:szCs w:val="24"/>
        </w:rPr>
        <w:t>Dedic</w:t>
      </w:r>
      <w:r w:rsidR="00506D02" w:rsidRPr="00506D02">
        <w:rPr>
          <w:rFonts w:ascii="Times New Roman" w:hAnsi="Times New Roman" w:cs="Times New Roman"/>
          <w:sz w:val="24"/>
          <w:szCs w:val="24"/>
        </w:rPr>
        <w:t>o este logro a mis p</w:t>
      </w:r>
      <w:r w:rsidR="00506D02">
        <w:rPr>
          <w:rFonts w:ascii="Times New Roman" w:hAnsi="Times New Roman" w:cs="Times New Roman"/>
          <w:sz w:val="24"/>
          <w:szCs w:val="24"/>
        </w:rPr>
        <w:t xml:space="preserve">adres, quienes han sido mi faro, </w:t>
      </w:r>
      <w:r w:rsidR="00506D02" w:rsidRPr="00506D02">
        <w:rPr>
          <w:rFonts w:ascii="Times New Roman" w:hAnsi="Times New Roman" w:cs="Times New Roman"/>
          <w:sz w:val="24"/>
          <w:szCs w:val="24"/>
        </w:rPr>
        <w:t>siempre brindándome su amor incondicional y su inquebrantable apoyo. A mis hermanos, cuya complicidad ha sido mi mayor alegría en medio del ardu</w:t>
      </w:r>
      <w:r w:rsidR="00506D02">
        <w:rPr>
          <w:rFonts w:ascii="Times New Roman" w:hAnsi="Times New Roman" w:cs="Times New Roman"/>
          <w:sz w:val="24"/>
          <w:szCs w:val="24"/>
        </w:rPr>
        <w:t>o camino</w:t>
      </w:r>
      <w:r w:rsidR="00E75145">
        <w:rPr>
          <w:rFonts w:ascii="Times New Roman" w:hAnsi="Times New Roman" w:cs="Times New Roman"/>
          <w:sz w:val="24"/>
          <w:szCs w:val="24"/>
        </w:rPr>
        <w:t>, s</w:t>
      </w:r>
      <w:r w:rsidR="00506D02" w:rsidRPr="00506D02">
        <w:rPr>
          <w:rFonts w:ascii="Times New Roman" w:hAnsi="Times New Roman" w:cs="Times New Roman"/>
          <w:sz w:val="24"/>
          <w:szCs w:val="24"/>
        </w:rPr>
        <w:t xml:space="preserve">u presencia ha sido mi motivación constante. </w:t>
      </w:r>
    </w:p>
    <w:p w14:paraId="2A5FF0BF" w14:textId="466964E2" w:rsidR="008042C6" w:rsidRDefault="00E75145" w:rsidP="007823AC">
      <w:pPr>
        <w:widowControl/>
        <w:spacing w:line="360" w:lineRule="auto"/>
        <w:ind w:firstLine="567"/>
        <w:jc w:val="right"/>
        <w:rPr>
          <w:rFonts w:ascii="Times New Roman" w:eastAsia="Calibri" w:hAnsi="Times New Roman" w:cs="Times New Roman"/>
          <w:sz w:val="24"/>
        </w:rPr>
      </w:pPr>
      <w:r>
        <w:rPr>
          <w:rFonts w:ascii="Times New Roman" w:eastAsia="Calibri" w:hAnsi="Times New Roman" w:cs="Times New Roman"/>
          <w:sz w:val="24"/>
        </w:rPr>
        <w:tab/>
      </w:r>
      <w:r w:rsidR="007823AC" w:rsidRPr="007823AC">
        <w:rPr>
          <w:rFonts w:ascii="Times New Roman" w:eastAsia="Calibri" w:hAnsi="Times New Roman" w:cs="Times New Roman"/>
          <w:sz w:val="24"/>
        </w:rPr>
        <w:t xml:space="preserve">                                                                                             </w:t>
      </w:r>
    </w:p>
    <w:p w14:paraId="2D6CC16D" w14:textId="70A5F975" w:rsidR="007823AC" w:rsidRPr="007823AC" w:rsidRDefault="007823AC" w:rsidP="007823AC">
      <w:pPr>
        <w:widowControl/>
        <w:spacing w:line="360" w:lineRule="auto"/>
        <w:ind w:firstLine="567"/>
        <w:jc w:val="right"/>
        <w:rPr>
          <w:rFonts w:ascii="Times New Roman" w:eastAsia="Calibri" w:hAnsi="Times New Roman" w:cs="Times New Roman"/>
          <w:sz w:val="24"/>
        </w:rPr>
      </w:pPr>
      <w:r>
        <w:rPr>
          <w:rFonts w:ascii="Times New Roman" w:eastAsia="Calibri" w:hAnsi="Times New Roman" w:cs="Times New Roman"/>
          <w:sz w:val="24"/>
        </w:rPr>
        <w:t>Liliam María Zepeda Martínez</w:t>
      </w:r>
    </w:p>
    <w:p w14:paraId="6342CE6D" w14:textId="156A29F7" w:rsidR="00026295" w:rsidRDefault="00026295" w:rsidP="00026295">
      <w:pPr>
        <w:pStyle w:val="TextoPrincipal"/>
        <w:spacing w:line="360" w:lineRule="auto"/>
      </w:pPr>
      <w:r>
        <w:br w:type="page"/>
      </w:r>
    </w:p>
    <w:p w14:paraId="14F6250F" w14:textId="77777777" w:rsidR="00026295" w:rsidRDefault="00026295" w:rsidP="00026295">
      <w:pPr>
        <w:pStyle w:val="Ttulo1"/>
      </w:pPr>
      <w:r>
        <w:lastRenderedPageBreak/>
        <w:t xml:space="preserve"> </w:t>
      </w:r>
      <w:bookmarkStart w:id="10" w:name="_Toc474331174"/>
      <w:bookmarkStart w:id="11" w:name="_Toc474331373"/>
      <w:bookmarkStart w:id="12" w:name="_Toc132615435"/>
      <w:bookmarkStart w:id="13" w:name="_Toc155066569"/>
      <w:r>
        <w:t>AGRADECIMIENTO</w:t>
      </w:r>
      <w:bookmarkEnd w:id="10"/>
      <w:bookmarkEnd w:id="11"/>
      <w:bookmarkEnd w:id="12"/>
      <w:bookmarkEnd w:id="13"/>
    </w:p>
    <w:p w14:paraId="44D51225" w14:textId="77777777" w:rsidR="00234676" w:rsidRDefault="00234676" w:rsidP="00234676">
      <w:pPr>
        <w:spacing w:line="360" w:lineRule="auto"/>
        <w:ind w:firstLine="567"/>
        <w:rPr>
          <w:rFonts w:eastAsia="Calibri"/>
          <w:lang w:val="es-MX"/>
        </w:rPr>
      </w:pPr>
    </w:p>
    <w:p w14:paraId="0E04D8F9" w14:textId="46FC91A5" w:rsidR="00234676" w:rsidRPr="007774DC" w:rsidRDefault="00234676" w:rsidP="00234676">
      <w:pPr>
        <w:widowControl/>
        <w:spacing w:line="360" w:lineRule="auto"/>
        <w:ind w:firstLine="567"/>
        <w:jc w:val="both"/>
        <w:rPr>
          <w:rFonts w:eastAsia="Calibri"/>
          <w:lang w:val="es-MX"/>
        </w:rPr>
      </w:pPr>
      <w:r>
        <w:rPr>
          <w:rFonts w:ascii="Times New Roman" w:eastAsia="Calibri" w:hAnsi="Times New Roman" w:cs="Times New Roman"/>
          <w:sz w:val="24"/>
          <w:lang w:val="es-MX"/>
        </w:rPr>
        <w:t xml:space="preserve">En primer lugar, </w:t>
      </w:r>
      <w:r>
        <w:rPr>
          <w:rFonts w:ascii="Times New Roman" w:eastAsia="Calibri" w:hAnsi="Times New Roman" w:cs="Times New Roman"/>
          <w:sz w:val="24"/>
        </w:rPr>
        <w:t>a Dios por darme la paciencia y sabiduría requerida, a mi amada familia que son mi apoyo incondicional y mi mayor soporte</w:t>
      </w:r>
      <w:r w:rsidR="008042C6">
        <w:rPr>
          <w:rFonts w:ascii="Times New Roman" w:eastAsia="Calibri" w:hAnsi="Times New Roman" w:cs="Times New Roman"/>
          <w:sz w:val="24"/>
        </w:rPr>
        <w:t>,</w:t>
      </w:r>
      <w:r>
        <w:rPr>
          <w:rFonts w:ascii="Times New Roman" w:eastAsia="Calibri" w:hAnsi="Times New Roman" w:cs="Times New Roman"/>
          <w:sz w:val="24"/>
        </w:rPr>
        <w:t xml:space="preserve"> </w:t>
      </w:r>
      <w:r w:rsidRPr="007823AC">
        <w:rPr>
          <w:rFonts w:ascii="Times New Roman" w:eastAsia="Calibri" w:hAnsi="Times New Roman" w:cs="Times New Roman"/>
          <w:sz w:val="24"/>
        </w:rPr>
        <w:t xml:space="preserve">a todos aquellos que fueron parte en este camino de aprendizaje, </w:t>
      </w:r>
      <w:r>
        <w:rPr>
          <w:rFonts w:ascii="Times New Roman" w:eastAsia="Calibri" w:hAnsi="Times New Roman" w:cs="Times New Roman"/>
          <w:sz w:val="24"/>
        </w:rPr>
        <w:t xml:space="preserve">y </w:t>
      </w:r>
      <w:r w:rsidRPr="007823AC">
        <w:rPr>
          <w:rFonts w:ascii="Times New Roman" w:eastAsia="Calibri" w:hAnsi="Times New Roman" w:cs="Times New Roman"/>
          <w:sz w:val="24"/>
        </w:rPr>
        <w:t>a quienes brindaron su apoyo y palabras de aliento para poder finalizar esta etapa profesional de mi vida.</w:t>
      </w:r>
      <w:r w:rsidRPr="007774DC">
        <w:rPr>
          <w:rFonts w:eastAsia="Calibri"/>
          <w:lang w:val="es-MX"/>
        </w:rPr>
        <w:t xml:space="preserve"> </w:t>
      </w:r>
    </w:p>
    <w:p w14:paraId="6B047496" w14:textId="77777777" w:rsidR="00234676" w:rsidRPr="00234676" w:rsidRDefault="00234676" w:rsidP="00234676">
      <w:pPr>
        <w:widowControl/>
        <w:spacing w:line="360" w:lineRule="auto"/>
        <w:ind w:firstLine="567"/>
        <w:jc w:val="both"/>
        <w:rPr>
          <w:rFonts w:ascii="Times New Roman" w:eastAsia="Calibri" w:hAnsi="Times New Roman" w:cs="Times New Roman"/>
          <w:sz w:val="24"/>
          <w:lang w:val="es-MX"/>
        </w:rPr>
      </w:pPr>
    </w:p>
    <w:p w14:paraId="24F99E2C" w14:textId="5CC822BF" w:rsidR="00234676" w:rsidRPr="00234676" w:rsidRDefault="00234676" w:rsidP="00234676">
      <w:pPr>
        <w:widowControl/>
        <w:spacing w:line="360" w:lineRule="auto"/>
        <w:ind w:firstLine="567"/>
        <w:jc w:val="right"/>
        <w:rPr>
          <w:rFonts w:ascii="Times New Roman" w:eastAsia="Calibri" w:hAnsi="Times New Roman" w:cs="Times New Roman"/>
          <w:sz w:val="24"/>
          <w:lang w:val="es-MX"/>
        </w:rPr>
      </w:pPr>
      <w:r>
        <w:rPr>
          <w:rFonts w:ascii="Times New Roman" w:eastAsia="Calibri" w:hAnsi="Times New Roman" w:cs="Times New Roman"/>
          <w:sz w:val="24"/>
          <w:lang w:val="es-MX"/>
        </w:rPr>
        <w:t>Brenda Marisol Fuentes López</w:t>
      </w:r>
    </w:p>
    <w:p w14:paraId="04DCAB67" w14:textId="77777777" w:rsidR="00234676" w:rsidRPr="00234676" w:rsidRDefault="00234676" w:rsidP="00234676">
      <w:pPr>
        <w:widowControl/>
        <w:spacing w:line="360" w:lineRule="auto"/>
        <w:jc w:val="both"/>
        <w:rPr>
          <w:rFonts w:ascii="Times New Roman" w:eastAsia="Calibri" w:hAnsi="Times New Roman" w:cs="Times New Roman"/>
          <w:sz w:val="24"/>
          <w:lang w:val="es-MX"/>
        </w:rPr>
      </w:pPr>
    </w:p>
    <w:p w14:paraId="20A833A9" w14:textId="15F2D01B" w:rsidR="00234676" w:rsidRPr="00234676" w:rsidRDefault="00E75145" w:rsidP="00234676">
      <w:pPr>
        <w:widowControl/>
        <w:spacing w:line="360" w:lineRule="auto"/>
        <w:ind w:firstLine="567"/>
        <w:jc w:val="both"/>
        <w:rPr>
          <w:rFonts w:ascii="Times New Roman" w:eastAsia="Calibri" w:hAnsi="Times New Roman" w:cs="Times New Roman"/>
          <w:color w:val="FF0000"/>
          <w:sz w:val="24"/>
          <w:lang w:val="es-MX"/>
        </w:rPr>
      </w:pPr>
      <w:r w:rsidRPr="00E75145">
        <w:rPr>
          <w:rFonts w:ascii="Times New Roman" w:hAnsi="Times New Roman" w:cs="Times New Roman"/>
          <w:sz w:val="24"/>
          <w:szCs w:val="24"/>
        </w:rPr>
        <w:t xml:space="preserve">En primer lugar, mi gratitud se </w:t>
      </w:r>
      <w:r>
        <w:rPr>
          <w:rFonts w:ascii="Times New Roman" w:hAnsi="Times New Roman" w:cs="Times New Roman"/>
          <w:sz w:val="24"/>
          <w:szCs w:val="24"/>
        </w:rPr>
        <w:t>dirige</w:t>
      </w:r>
      <w:r w:rsidR="00234676" w:rsidRPr="00E75145">
        <w:rPr>
          <w:rFonts w:ascii="Times New Roman" w:eastAsia="Calibri" w:hAnsi="Times New Roman" w:cs="Times New Roman"/>
          <w:sz w:val="24"/>
          <w:szCs w:val="24"/>
          <w:lang w:val="es-MX"/>
        </w:rPr>
        <w:t xml:space="preserve"> a Dios por permitirme tener la capacidad de aprender y adaptarme en cualquier ámbito de estudio, por ser mi más grande sustento y comp</w:t>
      </w:r>
      <w:r>
        <w:rPr>
          <w:rFonts w:ascii="Times New Roman" w:eastAsia="Calibri" w:hAnsi="Times New Roman" w:cs="Times New Roman"/>
          <w:sz w:val="24"/>
          <w:szCs w:val="24"/>
          <w:lang w:val="es-MX"/>
        </w:rPr>
        <w:t>añía a lo largo de toda mi vida, a</w:t>
      </w:r>
      <w:r w:rsidR="00234676" w:rsidRPr="00E75145">
        <w:rPr>
          <w:rFonts w:ascii="Times New Roman" w:eastAsia="Calibri" w:hAnsi="Times New Roman" w:cs="Times New Roman"/>
          <w:sz w:val="24"/>
          <w:szCs w:val="24"/>
          <w:lang w:val="es-MX"/>
        </w:rPr>
        <w:t xml:space="preserve"> los que creyeron en mí y estuvieron siempre presentes para incentivarme a seguir, a mi padre, madre y hermanos que siempre han estado conmigo en todo momento</w:t>
      </w:r>
      <w:r w:rsidR="00234676" w:rsidRPr="00234676">
        <w:rPr>
          <w:rFonts w:ascii="Times New Roman" w:eastAsia="Calibri" w:hAnsi="Times New Roman" w:cs="Times New Roman"/>
          <w:color w:val="FF0000"/>
          <w:sz w:val="24"/>
          <w:lang w:val="es-MX"/>
        </w:rPr>
        <w:t>.</w:t>
      </w:r>
    </w:p>
    <w:p w14:paraId="6FD2986F" w14:textId="77777777" w:rsidR="00234676" w:rsidRPr="00234676" w:rsidRDefault="00234676" w:rsidP="00234676">
      <w:pPr>
        <w:widowControl/>
        <w:spacing w:line="360" w:lineRule="auto"/>
        <w:ind w:firstLine="567"/>
        <w:jc w:val="both"/>
        <w:rPr>
          <w:rFonts w:ascii="Times New Roman" w:eastAsia="Calibri" w:hAnsi="Times New Roman" w:cs="Times New Roman"/>
          <w:sz w:val="24"/>
          <w:lang w:val="es-MX"/>
        </w:rPr>
      </w:pPr>
    </w:p>
    <w:p w14:paraId="6257923B" w14:textId="3A509831" w:rsidR="00026295" w:rsidRDefault="00234676" w:rsidP="008042C6">
      <w:pPr>
        <w:widowControl/>
        <w:spacing w:line="360" w:lineRule="auto"/>
        <w:ind w:firstLine="567"/>
        <w:jc w:val="right"/>
      </w:pPr>
      <w:r w:rsidRPr="00234676">
        <w:rPr>
          <w:rFonts w:ascii="Times New Roman" w:eastAsia="Calibri" w:hAnsi="Times New Roman" w:cs="Times New Roman"/>
          <w:sz w:val="24"/>
          <w:lang w:val="es-MX"/>
        </w:rPr>
        <w:t xml:space="preserve">                                                                                           </w:t>
      </w:r>
      <w:r>
        <w:rPr>
          <w:rFonts w:ascii="Times New Roman" w:eastAsia="Calibri" w:hAnsi="Times New Roman" w:cs="Times New Roman"/>
          <w:sz w:val="24"/>
          <w:lang w:val="es-MX"/>
        </w:rPr>
        <w:t>Liliam María Zepeda Martínez</w:t>
      </w:r>
      <w:r w:rsidRPr="00234676">
        <w:rPr>
          <w:rFonts w:ascii="Times New Roman" w:eastAsia="Calibri" w:hAnsi="Times New Roman" w:cs="Times New Roman"/>
          <w:sz w:val="24"/>
          <w:lang w:val="es-MX"/>
        </w:rPr>
        <w:t xml:space="preserve">   </w:t>
      </w:r>
    </w:p>
    <w:p w14:paraId="1D26F4DE" w14:textId="77777777" w:rsidR="00026295" w:rsidRDefault="00026295" w:rsidP="00026295">
      <w:pPr>
        <w:ind w:right="1908"/>
      </w:pPr>
    </w:p>
    <w:p w14:paraId="200763DC" w14:textId="77777777" w:rsidR="008042C6" w:rsidRDefault="008042C6" w:rsidP="00026295">
      <w:pPr>
        <w:ind w:right="1908"/>
      </w:pPr>
    </w:p>
    <w:p w14:paraId="00178040" w14:textId="77777777" w:rsidR="00026295" w:rsidRDefault="00026295" w:rsidP="00026295">
      <w:pPr>
        <w:ind w:right="1908"/>
      </w:pPr>
    </w:p>
    <w:p w14:paraId="2A23366C" w14:textId="77777777" w:rsidR="00026295" w:rsidRDefault="00026295" w:rsidP="00026295">
      <w:pPr>
        <w:ind w:right="1908"/>
      </w:pPr>
    </w:p>
    <w:p w14:paraId="1FF1728C" w14:textId="77777777" w:rsidR="00026295" w:rsidRDefault="00026295" w:rsidP="00026295">
      <w:pPr>
        <w:ind w:right="1908"/>
      </w:pPr>
    </w:p>
    <w:p w14:paraId="5A31298D" w14:textId="77777777" w:rsidR="00026295" w:rsidRDefault="00026295" w:rsidP="00026295">
      <w:pPr>
        <w:ind w:right="1908"/>
      </w:pPr>
    </w:p>
    <w:p w14:paraId="35A70A8D" w14:textId="77777777" w:rsidR="00026295" w:rsidRDefault="00026295" w:rsidP="00026295">
      <w:pPr>
        <w:ind w:right="1908"/>
      </w:pPr>
    </w:p>
    <w:p w14:paraId="6B9C7030" w14:textId="77777777" w:rsidR="00026295" w:rsidRDefault="00026295" w:rsidP="00026295">
      <w:pPr>
        <w:ind w:right="1908"/>
      </w:pPr>
    </w:p>
    <w:p w14:paraId="7A204688" w14:textId="77777777" w:rsidR="00026295" w:rsidRDefault="00026295" w:rsidP="00026295">
      <w:pPr>
        <w:ind w:right="1908"/>
      </w:pPr>
    </w:p>
    <w:p w14:paraId="5D1F54DD" w14:textId="77777777" w:rsidR="00026295" w:rsidRDefault="00026295" w:rsidP="00026295">
      <w:pPr>
        <w:ind w:right="1908"/>
      </w:pPr>
    </w:p>
    <w:p w14:paraId="6D4C0C37" w14:textId="77777777" w:rsidR="006A01FC" w:rsidRDefault="006A01FC" w:rsidP="00026295">
      <w:pPr>
        <w:ind w:right="1908"/>
      </w:pPr>
    </w:p>
    <w:p w14:paraId="7F40D4E5" w14:textId="77777777" w:rsidR="006A01FC" w:rsidRDefault="006A01FC" w:rsidP="00026295">
      <w:pPr>
        <w:ind w:right="1908"/>
      </w:pPr>
    </w:p>
    <w:p w14:paraId="71E28AD9" w14:textId="77777777" w:rsidR="006A01FC" w:rsidRDefault="006A01FC" w:rsidP="00026295">
      <w:pPr>
        <w:ind w:right="1908"/>
      </w:pPr>
    </w:p>
    <w:p w14:paraId="5D88D0D7" w14:textId="77777777" w:rsidR="006A01FC" w:rsidRDefault="006A01FC" w:rsidP="00026295">
      <w:pPr>
        <w:ind w:right="1908"/>
      </w:pPr>
    </w:p>
    <w:p w14:paraId="3A9BAD7E" w14:textId="77777777" w:rsidR="00026295" w:rsidRDefault="00026295" w:rsidP="00026295">
      <w:pPr>
        <w:ind w:right="1908"/>
      </w:pPr>
    </w:p>
    <w:p w14:paraId="2E438BF5" w14:textId="77777777" w:rsidR="00026295" w:rsidRDefault="00026295" w:rsidP="00026295">
      <w:pPr>
        <w:ind w:right="1908"/>
      </w:pPr>
    </w:p>
    <w:p w14:paraId="3E5508E3" w14:textId="77777777" w:rsidR="00026295" w:rsidRDefault="00026295" w:rsidP="00026295">
      <w:pPr>
        <w:ind w:right="1908"/>
      </w:pPr>
    </w:p>
    <w:p w14:paraId="76FBF2B1" w14:textId="77777777" w:rsidR="00026295" w:rsidRDefault="00026295" w:rsidP="00026295">
      <w:pPr>
        <w:ind w:right="1908"/>
      </w:pPr>
    </w:p>
    <w:p w14:paraId="379F7B63" w14:textId="77777777" w:rsidR="00026295" w:rsidRDefault="00026295" w:rsidP="00026295">
      <w:pPr>
        <w:ind w:right="1908"/>
      </w:pPr>
    </w:p>
    <w:p w14:paraId="21B05AB4" w14:textId="77777777" w:rsidR="00026295" w:rsidRDefault="00026295" w:rsidP="00026295">
      <w:pPr>
        <w:ind w:right="1908"/>
      </w:pPr>
    </w:p>
    <w:p w14:paraId="1D8AD49C" w14:textId="77777777" w:rsidR="00026295" w:rsidRPr="00B049AA" w:rsidRDefault="00026295" w:rsidP="00026295">
      <w:pPr>
        <w:ind w:right="1908"/>
        <w:rPr>
          <w:rFonts w:ascii="Times New Roman" w:hAnsi="Times New Roman" w:cs="Times New Roman"/>
          <w:sz w:val="20"/>
          <w:szCs w:val="20"/>
        </w:rPr>
      </w:pPr>
    </w:p>
    <w:p w14:paraId="3F1932AE" w14:textId="77777777" w:rsidR="00737E89" w:rsidRPr="00B049AA" w:rsidRDefault="00737E89" w:rsidP="00737E89">
      <w:pPr>
        <w:pStyle w:val="Ttulo1"/>
      </w:pPr>
      <w:bookmarkStart w:id="14" w:name="_Toc474331175"/>
      <w:bookmarkStart w:id="15" w:name="_Toc474331374"/>
      <w:bookmarkStart w:id="16" w:name="_Toc155066570"/>
      <w:r w:rsidRPr="00B049AA">
        <w:lastRenderedPageBreak/>
        <w:t>ÍNDICE DE CONTENIDO</w:t>
      </w:r>
      <w:bookmarkEnd w:id="14"/>
      <w:bookmarkEnd w:id="15"/>
      <w:bookmarkEnd w:id="16"/>
    </w:p>
    <w:p w14:paraId="43B63942" w14:textId="0A216C4C" w:rsidR="00625B99" w:rsidRPr="00625B99" w:rsidRDefault="003F60B4">
      <w:pPr>
        <w:pStyle w:val="TDC1"/>
        <w:tabs>
          <w:tab w:val="right" w:leader="dot" w:pos="9350"/>
        </w:tabs>
        <w:rPr>
          <w:rFonts w:asciiTheme="minorHAnsi" w:eastAsiaTheme="minorEastAsia" w:hAnsiTheme="minorHAnsi"/>
          <w:noProof/>
          <w:sz w:val="22"/>
          <w:lang w:val="es-CO" w:eastAsia="es-CO"/>
        </w:rPr>
      </w:pPr>
      <w:r w:rsidRPr="00625B99">
        <w:fldChar w:fldCharType="begin"/>
      </w:r>
      <w:r w:rsidRPr="00625B99">
        <w:instrText xml:space="preserve"> TOC \o "1-4" \h \z \u </w:instrText>
      </w:r>
      <w:r w:rsidRPr="00625B99">
        <w:fldChar w:fldCharType="separate"/>
      </w:r>
      <w:hyperlink w:anchor="_Toc155066568" w:history="1">
        <w:r w:rsidR="00625B99" w:rsidRPr="00625B99">
          <w:rPr>
            <w:rStyle w:val="Hipervnculo"/>
            <w:noProof/>
          </w:rPr>
          <w:t>DEDICATORIA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_Toc155066568 \h </w:instrText>
        </w:r>
        <w:r w:rsidR="00625B99" w:rsidRPr="00625B99">
          <w:rPr>
            <w:noProof/>
            <w:webHidden/>
          </w:rPr>
        </w:r>
        <w:r w:rsidR="00625B99" w:rsidRPr="00625B99">
          <w:rPr>
            <w:noProof/>
            <w:webHidden/>
          </w:rPr>
          <w:fldChar w:fldCharType="separate"/>
        </w:r>
        <w:r w:rsidR="00625B99" w:rsidRPr="00625B99">
          <w:rPr>
            <w:noProof/>
            <w:webHidden/>
          </w:rPr>
          <w:t>ix</w:t>
        </w:r>
        <w:r w:rsidR="00625B99" w:rsidRPr="00625B99">
          <w:rPr>
            <w:noProof/>
            <w:webHidden/>
          </w:rPr>
          <w:fldChar w:fldCharType="end"/>
        </w:r>
      </w:hyperlink>
    </w:p>
    <w:p w14:paraId="40BF61F5" w14:textId="06319FF1" w:rsidR="00625B99" w:rsidRPr="00625B99" w:rsidRDefault="00B027F6">
      <w:pPr>
        <w:pStyle w:val="TDC1"/>
        <w:tabs>
          <w:tab w:val="right" w:leader="dot" w:pos="9350"/>
        </w:tabs>
        <w:rPr>
          <w:rFonts w:asciiTheme="minorHAnsi" w:eastAsiaTheme="minorEastAsia" w:hAnsiTheme="minorHAnsi"/>
          <w:noProof/>
          <w:sz w:val="22"/>
          <w:lang w:val="es-CO" w:eastAsia="es-CO"/>
        </w:rPr>
      </w:pPr>
      <w:hyperlink w:anchor="_Toc155066569" w:history="1">
        <w:r w:rsidR="00625B99" w:rsidRPr="00625B99">
          <w:rPr>
            <w:rStyle w:val="Hipervnculo"/>
            <w:noProof/>
          </w:rPr>
          <w:t>AGRADECIMIENTO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_Toc155066569 \h </w:instrText>
        </w:r>
        <w:r w:rsidR="00625B99" w:rsidRPr="00625B99">
          <w:rPr>
            <w:noProof/>
            <w:webHidden/>
          </w:rPr>
        </w:r>
        <w:r w:rsidR="00625B99" w:rsidRPr="00625B99">
          <w:rPr>
            <w:noProof/>
            <w:webHidden/>
          </w:rPr>
          <w:fldChar w:fldCharType="separate"/>
        </w:r>
        <w:r w:rsidR="00625B99" w:rsidRPr="00625B99">
          <w:rPr>
            <w:noProof/>
            <w:webHidden/>
          </w:rPr>
          <w:t>x</w:t>
        </w:r>
        <w:r w:rsidR="00625B99" w:rsidRPr="00625B99">
          <w:rPr>
            <w:noProof/>
            <w:webHidden/>
          </w:rPr>
          <w:fldChar w:fldCharType="end"/>
        </w:r>
      </w:hyperlink>
    </w:p>
    <w:p w14:paraId="091DCAB3" w14:textId="7C9DB8D8" w:rsidR="00625B99" w:rsidRPr="00625B99" w:rsidRDefault="00B027F6">
      <w:pPr>
        <w:pStyle w:val="TDC1"/>
        <w:tabs>
          <w:tab w:val="right" w:leader="dot" w:pos="9350"/>
        </w:tabs>
        <w:rPr>
          <w:rFonts w:asciiTheme="minorHAnsi" w:eastAsiaTheme="minorEastAsia" w:hAnsiTheme="minorHAnsi"/>
          <w:noProof/>
          <w:sz w:val="22"/>
          <w:lang w:val="es-CO" w:eastAsia="es-CO"/>
        </w:rPr>
      </w:pPr>
      <w:hyperlink w:anchor="_Toc155066570" w:history="1">
        <w:r w:rsidR="00625B99" w:rsidRPr="00625B99">
          <w:rPr>
            <w:rStyle w:val="Hipervnculo"/>
            <w:noProof/>
          </w:rPr>
          <w:t>ÍNDICE DE CONTENIDO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_Toc155066570 \h </w:instrText>
        </w:r>
        <w:r w:rsidR="00625B99" w:rsidRPr="00625B99">
          <w:rPr>
            <w:noProof/>
            <w:webHidden/>
          </w:rPr>
        </w:r>
        <w:r w:rsidR="00625B99" w:rsidRPr="00625B99">
          <w:rPr>
            <w:noProof/>
            <w:webHidden/>
          </w:rPr>
          <w:fldChar w:fldCharType="separate"/>
        </w:r>
        <w:r w:rsidR="00625B99" w:rsidRPr="00625B99">
          <w:rPr>
            <w:noProof/>
            <w:webHidden/>
          </w:rPr>
          <w:t>xi</w:t>
        </w:r>
        <w:r w:rsidR="00625B99" w:rsidRPr="00625B99">
          <w:rPr>
            <w:noProof/>
            <w:webHidden/>
          </w:rPr>
          <w:fldChar w:fldCharType="end"/>
        </w:r>
      </w:hyperlink>
    </w:p>
    <w:p w14:paraId="56F5EE92" w14:textId="792F9DB4" w:rsidR="00625B99" w:rsidRPr="00625B99" w:rsidRDefault="00B027F6">
      <w:pPr>
        <w:pStyle w:val="TDC1"/>
        <w:tabs>
          <w:tab w:val="right" w:leader="dot" w:pos="9350"/>
        </w:tabs>
        <w:rPr>
          <w:rFonts w:asciiTheme="minorHAnsi" w:eastAsiaTheme="minorEastAsia" w:hAnsiTheme="minorHAnsi"/>
          <w:noProof/>
          <w:sz w:val="22"/>
          <w:lang w:val="es-CO" w:eastAsia="es-CO"/>
        </w:rPr>
      </w:pPr>
      <w:hyperlink w:anchor="_Toc155066571" w:history="1">
        <w:r w:rsidR="00625B99" w:rsidRPr="00625B99">
          <w:rPr>
            <w:rStyle w:val="Hipervnculo"/>
            <w:noProof/>
          </w:rPr>
          <w:t>CAPÍTULO I. PLANTEAMIENTO DE LA INVESTIGACIÓN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_Toc155066571 \h </w:instrText>
        </w:r>
        <w:r w:rsidR="00625B99" w:rsidRPr="00625B99">
          <w:rPr>
            <w:noProof/>
            <w:webHidden/>
          </w:rPr>
        </w:r>
        <w:r w:rsidR="00625B99" w:rsidRPr="00625B99">
          <w:rPr>
            <w:noProof/>
            <w:webHidden/>
          </w:rPr>
          <w:fldChar w:fldCharType="separate"/>
        </w:r>
        <w:r w:rsidR="00625B99" w:rsidRPr="00625B99">
          <w:rPr>
            <w:noProof/>
            <w:webHidden/>
          </w:rPr>
          <w:t>1</w:t>
        </w:r>
        <w:r w:rsidR="00625B99" w:rsidRPr="00625B99">
          <w:rPr>
            <w:noProof/>
            <w:webHidden/>
          </w:rPr>
          <w:fldChar w:fldCharType="end"/>
        </w:r>
      </w:hyperlink>
    </w:p>
    <w:p w14:paraId="33CE4410" w14:textId="78EE3E3B"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572" w:history="1">
        <w:r w:rsidR="00625B99" w:rsidRPr="00625B99">
          <w:rPr>
            <w:rStyle w:val="Hipervnculo"/>
            <w:noProof/>
          </w:rPr>
          <w:t>1.1</w:t>
        </w:r>
        <w:r w:rsidR="00625B99" w:rsidRPr="00625B99">
          <w:rPr>
            <w:rFonts w:asciiTheme="minorHAnsi" w:eastAsiaTheme="minorEastAsia" w:hAnsiTheme="minorHAnsi"/>
            <w:noProof/>
            <w:sz w:val="22"/>
            <w:lang w:val="es-CO" w:eastAsia="es-CO"/>
          </w:rPr>
          <w:tab/>
        </w:r>
        <w:r w:rsidR="00625B99" w:rsidRPr="00625B99">
          <w:rPr>
            <w:rStyle w:val="Hipervnculo"/>
            <w:noProof/>
          </w:rPr>
          <w:t>INTRODUCCIÓN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_Toc155066572 \h </w:instrText>
        </w:r>
        <w:r w:rsidR="00625B99" w:rsidRPr="00625B99">
          <w:rPr>
            <w:noProof/>
            <w:webHidden/>
          </w:rPr>
        </w:r>
        <w:r w:rsidR="00625B99" w:rsidRPr="00625B99">
          <w:rPr>
            <w:noProof/>
            <w:webHidden/>
          </w:rPr>
          <w:fldChar w:fldCharType="separate"/>
        </w:r>
        <w:r w:rsidR="00625B99" w:rsidRPr="00625B99">
          <w:rPr>
            <w:noProof/>
            <w:webHidden/>
          </w:rPr>
          <w:t>1</w:t>
        </w:r>
        <w:r w:rsidR="00625B99" w:rsidRPr="00625B99">
          <w:rPr>
            <w:noProof/>
            <w:webHidden/>
          </w:rPr>
          <w:fldChar w:fldCharType="end"/>
        </w:r>
      </w:hyperlink>
    </w:p>
    <w:p w14:paraId="0B15D84E" w14:textId="103D1BE2"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573" w:history="1">
        <w:r w:rsidR="00625B99" w:rsidRPr="00625B99">
          <w:rPr>
            <w:rStyle w:val="Hipervnculo"/>
            <w:noProof/>
          </w:rPr>
          <w:t>1.2</w:t>
        </w:r>
        <w:r w:rsidR="00625B99" w:rsidRPr="00625B99">
          <w:rPr>
            <w:rFonts w:asciiTheme="minorHAnsi" w:eastAsiaTheme="minorEastAsia" w:hAnsiTheme="minorHAnsi"/>
            <w:noProof/>
            <w:sz w:val="22"/>
            <w:lang w:val="es-CO" w:eastAsia="es-CO"/>
          </w:rPr>
          <w:tab/>
        </w:r>
        <w:r w:rsidR="00625B99" w:rsidRPr="00625B99">
          <w:rPr>
            <w:rStyle w:val="Hipervnculo"/>
            <w:noProof/>
          </w:rPr>
          <w:t>ANTECEDENTES DEL PROBLEMA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_Toc155066573 \h </w:instrText>
        </w:r>
        <w:r w:rsidR="00625B99" w:rsidRPr="00625B99">
          <w:rPr>
            <w:noProof/>
            <w:webHidden/>
          </w:rPr>
        </w:r>
        <w:r w:rsidR="00625B99" w:rsidRPr="00625B99">
          <w:rPr>
            <w:noProof/>
            <w:webHidden/>
          </w:rPr>
          <w:fldChar w:fldCharType="separate"/>
        </w:r>
        <w:r w:rsidR="00625B99" w:rsidRPr="00625B99">
          <w:rPr>
            <w:noProof/>
            <w:webHidden/>
          </w:rPr>
          <w:t>1</w:t>
        </w:r>
        <w:r w:rsidR="00625B99" w:rsidRPr="00625B99">
          <w:rPr>
            <w:noProof/>
            <w:webHidden/>
          </w:rPr>
          <w:fldChar w:fldCharType="end"/>
        </w:r>
      </w:hyperlink>
    </w:p>
    <w:p w14:paraId="6017EE8B" w14:textId="0DBD82AC"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574" w:history="1">
        <w:r w:rsidR="00625B99" w:rsidRPr="00625B99">
          <w:rPr>
            <w:rStyle w:val="Hipervnculo"/>
            <w:noProof/>
          </w:rPr>
          <w:t>1.3 DEFINICIÓN DEL PROBLEMA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_Toc155066574 \h </w:instrText>
        </w:r>
        <w:r w:rsidR="00625B99" w:rsidRPr="00625B99">
          <w:rPr>
            <w:noProof/>
            <w:webHidden/>
          </w:rPr>
        </w:r>
        <w:r w:rsidR="00625B99" w:rsidRPr="00625B99">
          <w:rPr>
            <w:noProof/>
            <w:webHidden/>
          </w:rPr>
          <w:fldChar w:fldCharType="separate"/>
        </w:r>
        <w:r w:rsidR="00625B99" w:rsidRPr="00625B99">
          <w:rPr>
            <w:noProof/>
            <w:webHidden/>
          </w:rPr>
          <w:t>3</w:t>
        </w:r>
        <w:r w:rsidR="00625B99" w:rsidRPr="00625B99">
          <w:rPr>
            <w:noProof/>
            <w:webHidden/>
          </w:rPr>
          <w:fldChar w:fldCharType="end"/>
        </w:r>
      </w:hyperlink>
    </w:p>
    <w:p w14:paraId="11272BE8" w14:textId="53BD3188"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575" w:history="1">
        <w:r w:rsidR="00625B99" w:rsidRPr="00625B99">
          <w:rPr>
            <w:rStyle w:val="Hipervnculo"/>
            <w:rFonts w:cs="Times New Roman"/>
            <w:bCs/>
            <w:noProof/>
          </w:rPr>
          <w:t>1.3.1 ENUNCIADO DEL PROBLEMA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_Toc155066575 \h </w:instrText>
        </w:r>
        <w:r w:rsidR="00625B99" w:rsidRPr="00625B99">
          <w:rPr>
            <w:noProof/>
            <w:webHidden/>
          </w:rPr>
        </w:r>
        <w:r w:rsidR="00625B99" w:rsidRPr="00625B99">
          <w:rPr>
            <w:noProof/>
            <w:webHidden/>
          </w:rPr>
          <w:fldChar w:fldCharType="separate"/>
        </w:r>
        <w:r w:rsidR="00625B99" w:rsidRPr="00625B99">
          <w:rPr>
            <w:noProof/>
            <w:webHidden/>
          </w:rPr>
          <w:t>3</w:t>
        </w:r>
        <w:r w:rsidR="00625B99" w:rsidRPr="00625B99">
          <w:rPr>
            <w:noProof/>
            <w:webHidden/>
          </w:rPr>
          <w:fldChar w:fldCharType="end"/>
        </w:r>
      </w:hyperlink>
    </w:p>
    <w:p w14:paraId="26CC1BDB" w14:textId="6F31B8A0"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576" w:history="1">
        <w:r w:rsidR="00625B99" w:rsidRPr="00625B99">
          <w:rPr>
            <w:rStyle w:val="Hipervnculo"/>
            <w:bCs/>
            <w:noProof/>
          </w:rPr>
          <w:t>1.3.2 FORMULACIÓN DEL PROBLEMA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_Toc155066576 \h </w:instrText>
        </w:r>
        <w:r w:rsidR="00625B99" w:rsidRPr="00625B99">
          <w:rPr>
            <w:noProof/>
            <w:webHidden/>
          </w:rPr>
        </w:r>
        <w:r w:rsidR="00625B99" w:rsidRPr="00625B99">
          <w:rPr>
            <w:noProof/>
            <w:webHidden/>
          </w:rPr>
          <w:fldChar w:fldCharType="separate"/>
        </w:r>
        <w:r w:rsidR="00625B99" w:rsidRPr="00625B99">
          <w:rPr>
            <w:noProof/>
            <w:webHidden/>
          </w:rPr>
          <w:t>4</w:t>
        </w:r>
        <w:r w:rsidR="00625B99" w:rsidRPr="00625B99">
          <w:rPr>
            <w:noProof/>
            <w:webHidden/>
          </w:rPr>
          <w:fldChar w:fldCharType="end"/>
        </w:r>
      </w:hyperlink>
    </w:p>
    <w:p w14:paraId="7F55595A" w14:textId="12A64F68"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577" w:history="1">
        <w:r w:rsidR="00625B99" w:rsidRPr="00625B99">
          <w:rPr>
            <w:rStyle w:val="Hipervnculo"/>
            <w:bCs/>
            <w:noProof/>
          </w:rPr>
          <w:t>1.3.3 PREGUNTAS DE INVESTIGACIÓN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_Toc155066577 \h </w:instrText>
        </w:r>
        <w:r w:rsidR="00625B99" w:rsidRPr="00625B99">
          <w:rPr>
            <w:noProof/>
            <w:webHidden/>
          </w:rPr>
        </w:r>
        <w:r w:rsidR="00625B99" w:rsidRPr="00625B99">
          <w:rPr>
            <w:noProof/>
            <w:webHidden/>
          </w:rPr>
          <w:fldChar w:fldCharType="separate"/>
        </w:r>
        <w:r w:rsidR="00625B99" w:rsidRPr="00625B99">
          <w:rPr>
            <w:noProof/>
            <w:webHidden/>
          </w:rPr>
          <w:t>4</w:t>
        </w:r>
        <w:r w:rsidR="00625B99" w:rsidRPr="00625B99">
          <w:rPr>
            <w:noProof/>
            <w:webHidden/>
          </w:rPr>
          <w:fldChar w:fldCharType="end"/>
        </w:r>
      </w:hyperlink>
    </w:p>
    <w:p w14:paraId="0851C5C3" w14:textId="63AAA72E"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578" w:history="1">
        <w:r w:rsidR="00625B99" w:rsidRPr="00625B99">
          <w:rPr>
            <w:rStyle w:val="Hipervnculo"/>
            <w:noProof/>
          </w:rPr>
          <w:t>1.4 OBJETIVOS DEL PROYECTO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_Toc155066578 \h </w:instrText>
        </w:r>
        <w:r w:rsidR="00625B99" w:rsidRPr="00625B99">
          <w:rPr>
            <w:noProof/>
            <w:webHidden/>
          </w:rPr>
        </w:r>
        <w:r w:rsidR="00625B99" w:rsidRPr="00625B99">
          <w:rPr>
            <w:noProof/>
            <w:webHidden/>
          </w:rPr>
          <w:fldChar w:fldCharType="separate"/>
        </w:r>
        <w:r w:rsidR="00625B99" w:rsidRPr="00625B99">
          <w:rPr>
            <w:noProof/>
            <w:webHidden/>
          </w:rPr>
          <w:t>4</w:t>
        </w:r>
        <w:r w:rsidR="00625B99" w:rsidRPr="00625B99">
          <w:rPr>
            <w:noProof/>
            <w:webHidden/>
          </w:rPr>
          <w:fldChar w:fldCharType="end"/>
        </w:r>
      </w:hyperlink>
    </w:p>
    <w:p w14:paraId="441C8B41" w14:textId="2E471722"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579" w:history="1">
        <w:r w:rsidR="00625B99" w:rsidRPr="00625B99">
          <w:rPr>
            <w:rStyle w:val="Hipervnculo"/>
            <w:bCs/>
            <w:noProof/>
          </w:rPr>
          <w:t>1.4.1 OBJETIVO GENERAL</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_Toc155066579 \h </w:instrText>
        </w:r>
        <w:r w:rsidR="00625B99" w:rsidRPr="00625B99">
          <w:rPr>
            <w:noProof/>
            <w:webHidden/>
          </w:rPr>
        </w:r>
        <w:r w:rsidR="00625B99" w:rsidRPr="00625B99">
          <w:rPr>
            <w:noProof/>
            <w:webHidden/>
          </w:rPr>
          <w:fldChar w:fldCharType="separate"/>
        </w:r>
        <w:r w:rsidR="00625B99" w:rsidRPr="00625B99">
          <w:rPr>
            <w:noProof/>
            <w:webHidden/>
          </w:rPr>
          <w:t>4</w:t>
        </w:r>
        <w:r w:rsidR="00625B99" w:rsidRPr="00625B99">
          <w:rPr>
            <w:noProof/>
            <w:webHidden/>
          </w:rPr>
          <w:fldChar w:fldCharType="end"/>
        </w:r>
      </w:hyperlink>
    </w:p>
    <w:p w14:paraId="1617060C" w14:textId="0E2E988B"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580" w:history="1">
        <w:r w:rsidR="00625B99" w:rsidRPr="00625B99">
          <w:rPr>
            <w:rStyle w:val="Hipervnculo"/>
            <w:bCs/>
            <w:noProof/>
          </w:rPr>
          <w:t>1.4.2 OBJETIVO ESPECIFICOS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_Toc155066580 \h </w:instrText>
        </w:r>
        <w:r w:rsidR="00625B99" w:rsidRPr="00625B99">
          <w:rPr>
            <w:noProof/>
            <w:webHidden/>
          </w:rPr>
        </w:r>
        <w:r w:rsidR="00625B99" w:rsidRPr="00625B99">
          <w:rPr>
            <w:noProof/>
            <w:webHidden/>
          </w:rPr>
          <w:fldChar w:fldCharType="separate"/>
        </w:r>
        <w:r w:rsidR="00625B99" w:rsidRPr="00625B99">
          <w:rPr>
            <w:noProof/>
            <w:webHidden/>
          </w:rPr>
          <w:t>4</w:t>
        </w:r>
        <w:r w:rsidR="00625B99" w:rsidRPr="00625B99">
          <w:rPr>
            <w:noProof/>
            <w:webHidden/>
          </w:rPr>
          <w:fldChar w:fldCharType="end"/>
        </w:r>
      </w:hyperlink>
    </w:p>
    <w:p w14:paraId="0C4FAE23" w14:textId="6762D702"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581" w:history="1">
        <w:r w:rsidR="00625B99" w:rsidRPr="00625B99">
          <w:rPr>
            <w:rStyle w:val="Hipervnculo"/>
            <w:noProof/>
          </w:rPr>
          <w:t>1.5 JUSTIFICACIÓN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_Toc155066581 \h </w:instrText>
        </w:r>
        <w:r w:rsidR="00625B99" w:rsidRPr="00625B99">
          <w:rPr>
            <w:noProof/>
            <w:webHidden/>
          </w:rPr>
        </w:r>
        <w:r w:rsidR="00625B99" w:rsidRPr="00625B99">
          <w:rPr>
            <w:noProof/>
            <w:webHidden/>
          </w:rPr>
          <w:fldChar w:fldCharType="separate"/>
        </w:r>
        <w:r w:rsidR="00625B99" w:rsidRPr="00625B99">
          <w:rPr>
            <w:noProof/>
            <w:webHidden/>
          </w:rPr>
          <w:t>5</w:t>
        </w:r>
        <w:r w:rsidR="00625B99" w:rsidRPr="00625B99">
          <w:rPr>
            <w:noProof/>
            <w:webHidden/>
          </w:rPr>
          <w:fldChar w:fldCharType="end"/>
        </w:r>
      </w:hyperlink>
    </w:p>
    <w:p w14:paraId="67D83BE5" w14:textId="2523682A" w:rsidR="00625B99" w:rsidRPr="00625B99" w:rsidRDefault="00B027F6">
      <w:pPr>
        <w:pStyle w:val="TDC1"/>
        <w:tabs>
          <w:tab w:val="right" w:leader="dot" w:pos="9350"/>
        </w:tabs>
        <w:rPr>
          <w:rFonts w:asciiTheme="minorHAnsi" w:eastAsiaTheme="minorEastAsia" w:hAnsiTheme="minorHAnsi"/>
          <w:noProof/>
          <w:sz w:val="22"/>
          <w:lang w:val="es-CO" w:eastAsia="es-CO"/>
        </w:rPr>
      </w:pPr>
      <w:hyperlink w:anchor="_Toc155066582" w:history="1">
        <w:r w:rsidR="00625B99" w:rsidRPr="00625B99">
          <w:rPr>
            <w:rStyle w:val="Hipervnculo"/>
            <w:noProof/>
          </w:rPr>
          <w:t>CAPÍTULO II. MARCO TEÓRICO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_Toc155066582 \h </w:instrText>
        </w:r>
        <w:r w:rsidR="00625B99" w:rsidRPr="00625B99">
          <w:rPr>
            <w:noProof/>
            <w:webHidden/>
          </w:rPr>
        </w:r>
        <w:r w:rsidR="00625B99" w:rsidRPr="00625B99">
          <w:rPr>
            <w:noProof/>
            <w:webHidden/>
          </w:rPr>
          <w:fldChar w:fldCharType="separate"/>
        </w:r>
        <w:r w:rsidR="00625B99" w:rsidRPr="00625B99">
          <w:rPr>
            <w:noProof/>
            <w:webHidden/>
          </w:rPr>
          <w:t>8</w:t>
        </w:r>
        <w:r w:rsidR="00625B99" w:rsidRPr="00625B99">
          <w:rPr>
            <w:noProof/>
            <w:webHidden/>
          </w:rPr>
          <w:fldChar w:fldCharType="end"/>
        </w:r>
      </w:hyperlink>
    </w:p>
    <w:p w14:paraId="6D7EAF75" w14:textId="6B81CD38"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583" w:history="1">
        <w:r w:rsidR="00625B99" w:rsidRPr="00625B99">
          <w:rPr>
            <w:rStyle w:val="Hipervnculo"/>
            <w:noProof/>
          </w:rPr>
          <w:t>2.1</w:t>
        </w:r>
        <w:r w:rsidR="00625B99" w:rsidRPr="00625B99">
          <w:rPr>
            <w:rFonts w:asciiTheme="minorHAnsi" w:eastAsiaTheme="minorEastAsia" w:hAnsiTheme="minorHAnsi"/>
            <w:noProof/>
            <w:sz w:val="22"/>
            <w:lang w:val="es-CO" w:eastAsia="es-CO"/>
          </w:rPr>
          <w:tab/>
        </w:r>
        <w:r w:rsidR="00625B99" w:rsidRPr="00625B99">
          <w:rPr>
            <w:rStyle w:val="Hipervnculo"/>
            <w:noProof/>
          </w:rPr>
          <w:t>ANÁLISIS DE LA SITUACIÓN ACTUAL.</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_Toc155066583 \h </w:instrText>
        </w:r>
        <w:r w:rsidR="00625B99" w:rsidRPr="00625B99">
          <w:rPr>
            <w:noProof/>
            <w:webHidden/>
          </w:rPr>
        </w:r>
        <w:r w:rsidR="00625B99" w:rsidRPr="00625B99">
          <w:rPr>
            <w:noProof/>
            <w:webHidden/>
          </w:rPr>
          <w:fldChar w:fldCharType="separate"/>
        </w:r>
        <w:r w:rsidR="00625B99" w:rsidRPr="00625B99">
          <w:rPr>
            <w:noProof/>
            <w:webHidden/>
          </w:rPr>
          <w:t>8</w:t>
        </w:r>
        <w:r w:rsidR="00625B99" w:rsidRPr="00625B99">
          <w:rPr>
            <w:noProof/>
            <w:webHidden/>
          </w:rPr>
          <w:fldChar w:fldCharType="end"/>
        </w:r>
      </w:hyperlink>
    </w:p>
    <w:p w14:paraId="301E1198" w14:textId="7E34D4D5"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84" w:history="1">
        <w:r w:rsidR="00625B99" w:rsidRPr="00625B99">
          <w:rPr>
            <w:rStyle w:val="Hipervnculo"/>
            <w:noProof/>
          </w:rPr>
          <w:t>2.1.1</w:t>
        </w:r>
        <w:r w:rsidR="00625B99" w:rsidRPr="00625B99">
          <w:rPr>
            <w:rFonts w:asciiTheme="minorHAnsi" w:eastAsiaTheme="minorEastAsia" w:hAnsiTheme="minorHAnsi"/>
            <w:noProof/>
            <w:sz w:val="22"/>
            <w:lang w:val="es-CO" w:eastAsia="es-CO"/>
          </w:rPr>
          <w:tab/>
        </w:r>
        <w:r w:rsidR="00625B99" w:rsidRPr="00625B99">
          <w:rPr>
            <w:rStyle w:val="Hipervnculo"/>
            <w:noProof/>
          </w:rPr>
          <w:t>MACROENTORNO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_Toc155066584 \h </w:instrText>
        </w:r>
        <w:r w:rsidR="00625B99" w:rsidRPr="00625B99">
          <w:rPr>
            <w:noProof/>
            <w:webHidden/>
          </w:rPr>
        </w:r>
        <w:r w:rsidR="00625B99" w:rsidRPr="00625B99">
          <w:rPr>
            <w:noProof/>
            <w:webHidden/>
          </w:rPr>
          <w:fldChar w:fldCharType="separate"/>
        </w:r>
        <w:r w:rsidR="00625B99" w:rsidRPr="00625B99">
          <w:rPr>
            <w:noProof/>
            <w:webHidden/>
          </w:rPr>
          <w:t>8</w:t>
        </w:r>
        <w:r w:rsidR="00625B99" w:rsidRPr="00625B99">
          <w:rPr>
            <w:noProof/>
            <w:webHidden/>
          </w:rPr>
          <w:fldChar w:fldCharType="end"/>
        </w:r>
      </w:hyperlink>
    </w:p>
    <w:p w14:paraId="0C95B1E3" w14:textId="1587E5D2"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85" w:history="1">
        <w:r w:rsidR="00625B99" w:rsidRPr="00625B99">
          <w:rPr>
            <w:rStyle w:val="Hipervnculo"/>
            <w:noProof/>
          </w:rPr>
          <w:t>2.1.2</w:t>
        </w:r>
        <w:r w:rsidR="00625B99" w:rsidRPr="00625B99">
          <w:rPr>
            <w:rFonts w:asciiTheme="minorHAnsi" w:eastAsiaTheme="minorEastAsia" w:hAnsiTheme="minorHAnsi"/>
            <w:noProof/>
            <w:sz w:val="22"/>
            <w:lang w:val="es-CO" w:eastAsia="es-CO"/>
          </w:rPr>
          <w:tab/>
        </w:r>
        <w:r w:rsidR="00625B99" w:rsidRPr="00625B99">
          <w:rPr>
            <w:rStyle w:val="Hipervnculo"/>
            <w:noProof/>
          </w:rPr>
          <w:t>MESOENTORNO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_Toc155066585 \h </w:instrText>
        </w:r>
        <w:r w:rsidR="00625B99" w:rsidRPr="00625B99">
          <w:rPr>
            <w:noProof/>
            <w:webHidden/>
          </w:rPr>
        </w:r>
        <w:r w:rsidR="00625B99" w:rsidRPr="00625B99">
          <w:rPr>
            <w:noProof/>
            <w:webHidden/>
          </w:rPr>
          <w:fldChar w:fldCharType="separate"/>
        </w:r>
        <w:r w:rsidR="00625B99" w:rsidRPr="00625B99">
          <w:rPr>
            <w:noProof/>
            <w:webHidden/>
          </w:rPr>
          <w:t>10</w:t>
        </w:r>
        <w:r w:rsidR="00625B99" w:rsidRPr="00625B99">
          <w:rPr>
            <w:noProof/>
            <w:webHidden/>
          </w:rPr>
          <w:fldChar w:fldCharType="end"/>
        </w:r>
      </w:hyperlink>
    </w:p>
    <w:p w14:paraId="65D617BF" w14:textId="41DC9D6E"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86" w:history="1">
        <w:r w:rsidR="00625B99" w:rsidRPr="00625B99">
          <w:rPr>
            <w:rStyle w:val="Hipervnculo"/>
            <w:noProof/>
          </w:rPr>
          <w:t>2.1.3</w:t>
        </w:r>
        <w:r w:rsidR="00625B99" w:rsidRPr="00625B99">
          <w:rPr>
            <w:rFonts w:asciiTheme="minorHAnsi" w:eastAsiaTheme="minorEastAsia" w:hAnsiTheme="minorHAnsi"/>
            <w:noProof/>
            <w:sz w:val="22"/>
            <w:lang w:val="es-CO" w:eastAsia="es-CO"/>
          </w:rPr>
          <w:tab/>
        </w:r>
        <w:r w:rsidR="00625B99" w:rsidRPr="00625B99">
          <w:rPr>
            <w:rStyle w:val="Hipervnculo"/>
            <w:noProof/>
          </w:rPr>
          <w:t>MICROENTORNO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_Toc155066586 \h </w:instrText>
        </w:r>
        <w:r w:rsidR="00625B99" w:rsidRPr="00625B99">
          <w:rPr>
            <w:noProof/>
            <w:webHidden/>
          </w:rPr>
        </w:r>
        <w:r w:rsidR="00625B99" w:rsidRPr="00625B99">
          <w:rPr>
            <w:noProof/>
            <w:webHidden/>
          </w:rPr>
          <w:fldChar w:fldCharType="separate"/>
        </w:r>
        <w:r w:rsidR="00625B99" w:rsidRPr="00625B99">
          <w:rPr>
            <w:noProof/>
            <w:webHidden/>
          </w:rPr>
          <w:t>12</w:t>
        </w:r>
        <w:r w:rsidR="00625B99" w:rsidRPr="00625B99">
          <w:rPr>
            <w:noProof/>
            <w:webHidden/>
          </w:rPr>
          <w:fldChar w:fldCharType="end"/>
        </w:r>
      </w:hyperlink>
    </w:p>
    <w:p w14:paraId="6159E2C3" w14:textId="454B3F44"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587" w:history="1">
        <w:r w:rsidR="00625B99" w:rsidRPr="00625B99">
          <w:rPr>
            <w:rStyle w:val="Hipervnculo"/>
            <w:noProof/>
          </w:rPr>
          <w:t>2.2</w:t>
        </w:r>
        <w:r w:rsidR="00625B99" w:rsidRPr="00625B99">
          <w:rPr>
            <w:rFonts w:asciiTheme="minorHAnsi" w:eastAsiaTheme="minorEastAsia" w:hAnsiTheme="minorHAnsi"/>
            <w:noProof/>
            <w:sz w:val="22"/>
            <w:lang w:val="es-CO" w:eastAsia="es-CO"/>
          </w:rPr>
          <w:tab/>
        </w:r>
        <w:r w:rsidR="00625B99" w:rsidRPr="00625B99">
          <w:rPr>
            <w:rStyle w:val="Hipervnculo"/>
            <w:noProof/>
          </w:rPr>
          <w:t>CONCEPTUALIZACIÓN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_Toc155066587 \h </w:instrText>
        </w:r>
        <w:r w:rsidR="00625B99" w:rsidRPr="00625B99">
          <w:rPr>
            <w:noProof/>
            <w:webHidden/>
          </w:rPr>
        </w:r>
        <w:r w:rsidR="00625B99" w:rsidRPr="00625B99">
          <w:rPr>
            <w:noProof/>
            <w:webHidden/>
          </w:rPr>
          <w:fldChar w:fldCharType="separate"/>
        </w:r>
        <w:r w:rsidR="00625B99" w:rsidRPr="00625B99">
          <w:rPr>
            <w:noProof/>
            <w:webHidden/>
          </w:rPr>
          <w:t>12</w:t>
        </w:r>
        <w:r w:rsidR="00625B99" w:rsidRPr="00625B99">
          <w:rPr>
            <w:noProof/>
            <w:webHidden/>
          </w:rPr>
          <w:fldChar w:fldCharType="end"/>
        </w:r>
      </w:hyperlink>
    </w:p>
    <w:p w14:paraId="505D2DA7" w14:textId="574BF498"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88" w:history="1">
        <w:r w:rsidR="00625B99" w:rsidRPr="00625B99">
          <w:rPr>
            <w:rStyle w:val="Hipervnculo"/>
            <w:noProof/>
          </w:rPr>
          <w:t>2.2.1</w:t>
        </w:r>
        <w:r w:rsidR="00625B99" w:rsidRPr="00625B99">
          <w:rPr>
            <w:rFonts w:asciiTheme="minorHAnsi" w:eastAsiaTheme="minorEastAsia" w:hAnsiTheme="minorHAnsi"/>
            <w:noProof/>
            <w:sz w:val="22"/>
            <w:lang w:val="es-CO" w:eastAsia="es-CO"/>
          </w:rPr>
          <w:tab/>
        </w:r>
        <w:r w:rsidR="00625B99" w:rsidRPr="00625B99">
          <w:rPr>
            <w:rStyle w:val="Hipervnculo"/>
            <w:noProof/>
          </w:rPr>
          <w:t>BANCA CENTRAL</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_Toc155066588 \h </w:instrText>
        </w:r>
        <w:r w:rsidR="00625B99" w:rsidRPr="00625B99">
          <w:rPr>
            <w:noProof/>
            <w:webHidden/>
          </w:rPr>
        </w:r>
        <w:r w:rsidR="00625B99" w:rsidRPr="00625B99">
          <w:rPr>
            <w:noProof/>
            <w:webHidden/>
          </w:rPr>
          <w:fldChar w:fldCharType="separate"/>
        </w:r>
        <w:r w:rsidR="00625B99" w:rsidRPr="00625B99">
          <w:rPr>
            <w:noProof/>
            <w:webHidden/>
          </w:rPr>
          <w:t>12</w:t>
        </w:r>
        <w:r w:rsidR="00625B99" w:rsidRPr="00625B99">
          <w:rPr>
            <w:noProof/>
            <w:webHidden/>
          </w:rPr>
          <w:fldChar w:fldCharType="end"/>
        </w:r>
      </w:hyperlink>
    </w:p>
    <w:p w14:paraId="21AD3F34" w14:textId="79F2E550"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89" w:history="1">
        <w:r w:rsidR="00625B99" w:rsidRPr="00625B99">
          <w:rPr>
            <w:rStyle w:val="Hipervnculo"/>
            <w:noProof/>
          </w:rPr>
          <w:t>2.2.2</w:t>
        </w:r>
        <w:r w:rsidR="00625B99" w:rsidRPr="00625B99">
          <w:rPr>
            <w:rFonts w:asciiTheme="minorHAnsi" w:eastAsiaTheme="minorEastAsia" w:hAnsiTheme="minorHAnsi"/>
            <w:noProof/>
            <w:sz w:val="22"/>
            <w:lang w:val="es-CO" w:eastAsia="es-CO"/>
          </w:rPr>
          <w:tab/>
        </w:r>
        <w:r w:rsidR="00625B99" w:rsidRPr="00625B99">
          <w:rPr>
            <w:rStyle w:val="Hipervnculo"/>
            <w:noProof/>
          </w:rPr>
          <w:t>POLÍTICA MONETARIA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_Toc155066589 \h </w:instrText>
        </w:r>
        <w:r w:rsidR="00625B99" w:rsidRPr="00625B99">
          <w:rPr>
            <w:noProof/>
            <w:webHidden/>
          </w:rPr>
        </w:r>
        <w:r w:rsidR="00625B99" w:rsidRPr="00625B99">
          <w:rPr>
            <w:noProof/>
            <w:webHidden/>
          </w:rPr>
          <w:fldChar w:fldCharType="separate"/>
        </w:r>
        <w:r w:rsidR="00625B99" w:rsidRPr="00625B99">
          <w:rPr>
            <w:noProof/>
            <w:webHidden/>
          </w:rPr>
          <w:t>13</w:t>
        </w:r>
        <w:r w:rsidR="00625B99" w:rsidRPr="00625B99">
          <w:rPr>
            <w:noProof/>
            <w:webHidden/>
          </w:rPr>
          <w:fldChar w:fldCharType="end"/>
        </w:r>
      </w:hyperlink>
    </w:p>
    <w:p w14:paraId="0E5E7813" w14:textId="3C1C63C9"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90" w:history="1">
        <w:r w:rsidR="00625B99" w:rsidRPr="00625B99">
          <w:rPr>
            <w:rStyle w:val="Hipervnculo"/>
            <w:noProof/>
          </w:rPr>
          <w:t>2.2.3</w:t>
        </w:r>
        <w:r w:rsidR="00625B99" w:rsidRPr="00625B99">
          <w:rPr>
            <w:rFonts w:asciiTheme="minorHAnsi" w:eastAsiaTheme="minorEastAsia" w:hAnsiTheme="minorHAnsi"/>
            <w:noProof/>
            <w:sz w:val="22"/>
            <w:lang w:val="es-CO" w:eastAsia="es-CO"/>
          </w:rPr>
          <w:tab/>
        </w:r>
        <w:r w:rsidR="00625B99" w:rsidRPr="00625B99">
          <w:rPr>
            <w:rStyle w:val="Hipervnculo"/>
            <w:noProof/>
          </w:rPr>
          <w:t>TASA DE POLÍTICA MONETARIA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_Toc155066590 \h </w:instrText>
        </w:r>
        <w:r w:rsidR="00625B99" w:rsidRPr="00625B99">
          <w:rPr>
            <w:noProof/>
            <w:webHidden/>
          </w:rPr>
        </w:r>
        <w:r w:rsidR="00625B99" w:rsidRPr="00625B99">
          <w:rPr>
            <w:noProof/>
            <w:webHidden/>
          </w:rPr>
          <w:fldChar w:fldCharType="separate"/>
        </w:r>
        <w:r w:rsidR="00625B99" w:rsidRPr="00625B99">
          <w:rPr>
            <w:noProof/>
            <w:webHidden/>
          </w:rPr>
          <w:t>13</w:t>
        </w:r>
        <w:r w:rsidR="00625B99" w:rsidRPr="00625B99">
          <w:rPr>
            <w:noProof/>
            <w:webHidden/>
          </w:rPr>
          <w:fldChar w:fldCharType="end"/>
        </w:r>
      </w:hyperlink>
    </w:p>
    <w:p w14:paraId="59311DA2" w14:textId="68FFD9A8"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91" w:history="1">
        <w:r w:rsidR="00625B99" w:rsidRPr="00625B99">
          <w:rPr>
            <w:rStyle w:val="Hipervnculo"/>
            <w:noProof/>
          </w:rPr>
          <w:t>2.2.4</w:t>
        </w:r>
        <w:r w:rsidR="00625B99" w:rsidRPr="00625B99">
          <w:rPr>
            <w:rFonts w:asciiTheme="minorHAnsi" w:eastAsiaTheme="minorEastAsia" w:hAnsiTheme="minorHAnsi"/>
            <w:noProof/>
            <w:sz w:val="22"/>
            <w:lang w:val="es-CO" w:eastAsia="es-CO"/>
          </w:rPr>
          <w:tab/>
        </w:r>
        <w:r w:rsidR="00625B99" w:rsidRPr="00625B99">
          <w:rPr>
            <w:rStyle w:val="Hipervnculo"/>
            <w:noProof/>
          </w:rPr>
          <w:t>INVERSIONES OBLIGATORIAS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_Toc155066591 \h </w:instrText>
        </w:r>
        <w:r w:rsidR="00625B99" w:rsidRPr="00625B99">
          <w:rPr>
            <w:noProof/>
            <w:webHidden/>
          </w:rPr>
        </w:r>
        <w:r w:rsidR="00625B99" w:rsidRPr="00625B99">
          <w:rPr>
            <w:noProof/>
            <w:webHidden/>
          </w:rPr>
          <w:fldChar w:fldCharType="separate"/>
        </w:r>
        <w:r w:rsidR="00625B99" w:rsidRPr="00625B99">
          <w:rPr>
            <w:noProof/>
            <w:webHidden/>
          </w:rPr>
          <w:t>14</w:t>
        </w:r>
        <w:r w:rsidR="00625B99" w:rsidRPr="00625B99">
          <w:rPr>
            <w:noProof/>
            <w:webHidden/>
          </w:rPr>
          <w:fldChar w:fldCharType="end"/>
        </w:r>
      </w:hyperlink>
    </w:p>
    <w:p w14:paraId="4C4ABA8D" w14:textId="370A6D93"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92" w:history="1">
        <w:r w:rsidR="00625B99" w:rsidRPr="00625B99">
          <w:rPr>
            <w:rStyle w:val="Hipervnculo"/>
            <w:noProof/>
          </w:rPr>
          <w:t>2.2.5</w:t>
        </w:r>
        <w:r w:rsidR="00625B99" w:rsidRPr="00625B99">
          <w:rPr>
            <w:rFonts w:asciiTheme="minorHAnsi" w:eastAsiaTheme="minorEastAsia" w:hAnsiTheme="minorHAnsi"/>
            <w:noProof/>
            <w:sz w:val="22"/>
            <w:lang w:val="es-CO" w:eastAsia="es-CO"/>
          </w:rPr>
          <w:tab/>
        </w:r>
        <w:r w:rsidR="00625B99" w:rsidRPr="00625B99">
          <w:rPr>
            <w:rStyle w:val="Hipervnculo"/>
            <w:noProof/>
          </w:rPr>
          <w:t>TASA DE INTERES NOMINAL</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_Toc155066592 \h </w:instrText>
        </w:r>
        <w:r w:rsidR="00625B99" w:rsidRPr="00625B99">
          <w:rPr>
            <w:noProof/>
            <w:webHidden/>
          </w:rPr>
        </w:r>
        <w:r w:rsidR="00625B99" w:rsidRPr="00625B99">
          <w:rPr>
            <w:noProof/>
            <w:webHidden/>
          </w:rPr>
          <w:fldChar w:fldCharType="separate"/>
        </w:r>
        <w:r w:rsidR="00625B99" w:rsidRPr="00625B99">
          <w:rPr>
            <w:noProof/>
            <w:webHidden/>
          </w:rPr>
          <w:t>14</w:t>
        </w:r>
        <w:r w:rsidR="00625B99" w:rsidRPr="00625B99">
          <w:rPr>
            <w:noProof/>
            <w:webHidden/>
          </w:rPr>
          <w:fldChar w:fldCharType="end"/>
        </w:r>
      </w:hyperlink>
    </w:p>
    <w:p w14:paraId="69E37FDF" w14:textId="7BFB49A4"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93" w:history="1">
        <w:r w:rsidR="00625B99" w:rsidRPr="00625B99">
          <w:rPr>
            <w:rStyle w:val="Hipervnculo"/>
            <w:noProof/>
          </w:rPr>
          <w:t>2.2.6</w:t>
        </w:r>
        <w:r w:rsidR="00625B99" w:rsidRPr="00625B99">
          <w:rPr>
            <w:rFonts w:asciiTheme="minorHAnsi" w:eastAsiaTheme="minorEastAsia" w:hAnsiTheme="minorHAnsi"/>
            <w:noProof/>
            <w:sz w:val="22"/>
            <w:lang w:val="es-CO" w:eastAsia="es-CO"/>
          </w:rPr>
          <w:tab/>
        </w:r>
        <w:r w:rsidR="00625B99" w:rsidRPr="00625B99">
          <w:rPr>
            <w:rStyle w:val="Hipervnculo"/>
            <w:noProof/>
          </w:rPr>
          <w:t>ENCAJE</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_Toc155066593 \h </w:instrText>
        </w:r>
        <w:r w:rsidR="00625B99" w:rsidRPr="00625B99">
          <w:rPr>
            <w:noProof/>
            <w:webHidden/>
          </w:rPr>
        </w:r>
        <w:r w:rsidR="00625B99" w:rsidRPr="00625B99">
          <w:rPr>
            <w:noProof/>
            <w:webHidden/>
          </w:rPr>
          <w:fldChar w:fldCharType="separate"/>
        </w:r>
        <w:r w:rsidR="00625B99" w:rsidRPr="00625B99">
          <w:rPr>
            <w:noProof/>
            <w:webHidden/>
          </w:rPr>
          <w:t>14</w:t>
        </w:r>
        <w:r w:rsidR="00625B99" w:rsidRPr="00625B99">
          <w:rPr>
            <w:noProof/>
            <w:webHidden/>
          </w:rPr>
          <w:fldChar w:fldCharType="end"/>
        </w:r>
      </w:hyperlink>
    </w:p>
    <w:p w14:paraId="57AD873F" w14:textId="6AD98F73"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94" w:history="1">
        <w:r w:rsidR="00625B99" w:rsidRPr="00625B99">
          <w:rPr>
            <w:rStyle w:val="Hipervnculo"/>
            <w:noProof/>
          </w:rPr>
          <w:t>2.2.7</w:t>
        </w:r>
        <w:r w:rsidR="00625B99" w:rsidRPr="00625B99">
          <w:rPr>
            <w:rFonts w:asciiTheme="minorHAnsi" w:eastAsiaTheme="minorEastAsia" w:hAnsiTheme="minorHAnsi"/>
            <w:noProof/>
            <w:sz w:val="22"/>
            <w:lang w:val="es-CO" w:eastAsia="es-CO"/>
          </w:rPr>
          <w:tab/>
        </w:r>
        <w:r w:rsidR="00625B99" w:rsidRPr="00625B99">
          <w:rPr>
            <w:rStyle w:val="Hipervnculo"/>
            <w:noProof/>
          </w:rPr>
          <w:t>INFLACIÓN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_Toc155066594 \h </w:instrText>
        </w:r>
        <w:r w:rsidR="00625B99" w:rsidRPr="00625B99">
          <w:rPr>
            <w:noProof/>
            <w:webHidden/>
          </w:rPr>
        </w:r>
        <w:r w:rsidR="00625B99" w:rsidRPr="00625B99">
          <w:rPr>
            <w:noProof/>
            <w:webHidden/>
          </w:rPr>
          <w:fldChar w:fldCharType="separate"/>
        </w:r>
        <w:r w:rsidR="00625B99" w:rsidRPr="00625B99">
          <w:rPr>
            <w:noProof/>
            <w:webHidden/>
          </w:rPr>
          <w:t>14</w:t>
        </w:r>
        <w:r w:rsidR="00625B99" w:rsidRPr="00625B99">
          <w:rPr>
            <w:noProof/>
            <w:webHidden/>
          </w:rPr>
          <w:fldChar w:fldCharType="end"/>
        </w:r>
      </w:hyperlink>
    </w:p>
    <w:p w14:paraId="372A51AE" w14:textId="5FC2BA8F"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95" w:history="1">
        <w:r w:rsidR="00625B99" w:rsidRPr="00625B99">
          <w:rPr>
            <w:rStyle w:val="Hipervnculo"/>
            <w:noProof/>
          </w:rPr>
          <w:t>2.2.8</w:t>
        </w:r>
        <w:r w:rsidR="00625B99" w:rsidRPr="00625B99">
          <w:rPr>
            <w:rFonts w:asciiTheme="minorHAnsi" w:eastAsiaTheme="minorEastAsia" w:hAnsiTheme="minorHAnsi"/>
            <w:noProof/>
            <w:sz w:val="22"/>
            <w:lang w:val="es-CO" w:eastAsia="es-CO"/>
          </w:rPr>
          <w:tab/>
        </w:r>
        <w:r w:rsidR="00625B99" w:rsidRPr="00625B99">
          <w:rPr>
            <w:rStyle w:val="Hipervnculo"/>
            <w:noProof/>
          </w:rPr>
          <w:t>LIQUIDEZ</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_Toc155066595 \h </w:instrText>
        </w:r>
        <w:r w:rsidR="00625B99" w:rsidRPr="00625B99">
          <w:rPr>
            <w:noProof/>
            <w:webHidden/>
          </w:rPr>
        </w:r>
        <w:r w:rsidR="00625B99" w:rsidRPr="00625B99">
          <w:rPr>
            <w:noProof/>
            <w:webHidden/>
          </w:rPr>
          <w:fldChar w:fldCharType="separate"/>
        </w:r>
        <w:r w:rsidR="00625B99" w:rsidRPr="00625B99">
          <w:rPr>
            <w:noProof/>
            <w:webHidden/>
          </w:rPr>
          <w:t>15</w:t>
        </w:r>
        <w:r w:rsidR="00625B99" w:rsidRPr="00625B99">
          <w:rPr>
            <w:noProof/>
            <w:webHidden/>
          </w:rPr>
          <w:fldChar w:fldCharType="end"/>
        </w:r>
      </w:hyperlink>
    </w:p>
    <w:p w14:paraId="6D8C5939" w14:textId="41EF6C12"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96" w:history="1">
        <w:r w:rsidR="00625B99" w:rsidRPr="00625B99">
          <w:rPr>
            <w:rStyle w:val="Hipervnculo"/>
            <w:noProof/>
          </w:rPr>
          <w:t>2.2.9</w:t>
        </w:r>
        <w:r w:rsidR="00625B99" w:rsidRPr="00625B99">
          <w:rPr>
            <w:rFonts w:asciiTheme="minorHAnsi" w:eastAsiaTheme="minorEastAsia" w:hAnsiTheme="minorHAnsi"/>
            <w:noProof/>
            <w:sz w:val="22"/>
            <w:lang w:val="es-CO" w:eastAsia="es-CO"/>
          </w:rPr>
          <w:tab/>
        </w:r>
        <w:r w:rsidR="00625B99" w:rsidRPr="00625B99">
          <w:rPr>
            <w:rStyle w:val="Hipervnculo"/>
            <w:noProof/>
          </w:rPr>
          <w:t>SISTEMA FINANCIERO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_Toc155066596 \h </w:instrText>
        </w:r>
        <w:r w:rsidR="00625B99" w:rsidRPr="00625B99">
          <w:rPr>
            <w:noProof/>
            <w:webHidden/>
          </w:rPr>
        </w:r>
        <w:r w:rsidR="00625B99" w:rsidRPr="00625B99">
          <w:rPr>
            <w:noProof/>
            <w:webHidden/>
          </w:rPr>
          <w:fldChar w:fldCharType="separate"/>
        </w:r>
        <w:r w:rsidR="00625B99" w:rsidRPr="00625B99">
          <w:rPr>
            <w:noProof/>
            <w:webHidden/>
          </w:rPr>
          <w:t>15</w:t>
        </w:r>
        <w:r w:rsidR="00625B99" w:rsidRPr="00625B99">
          <w:rPr>
            <w:noProof/>
            <w:webHidden/>
          </w:rPr>
          <w:fldChar w:fldCharType="end"/>
        </w:r>
      </w:hyperlink>
    </w:p>
    <w:p w14:paraId="3C47D7D1" w14:textId="63A20551"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97" w:history="1">
        <w:r w:rsidR="00625B99" w:rsidRPr="00625B99">
          <w:rPr>
            <w:rStyle w:val="Hipervnculo"/>
            <w:noProof/>
          </w:rPr>
          <w:t>2.2.10</w:t>
        </w:r>
        <w:r w:rsidR="00625B99" w:rsidRPr="00625B99">
          <w:rPr>
            <w:rFonts w:asciiTheme="minorHAnsi" w:eastAsiaTheme="minorEastAsia" w:hAnsiTheme="minorHAnsi"/>
            <w:noProof/>
            <w:sz w:val="22"/>
            <w:lang w:val="es-CO" w:eastAsia="es-CO"/>
          </w:rPr>
          <w:tab/>
        </w:r>
        <w:r w:rsidR="00625B99" w:rsidRPr="00625B99">
          <w:rPr>
            <w:rStyle w:val="Hipervnculo"/>
            <w:noProof/>
          </w:rPr>
          <w:t>BANCOS COMERCIALES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_Toc155066597 \h </w:instrText>
        </w:r>
        <w:r w:rsidR="00625B99" w:rsidRPr="00625B99">
          <w:rPr>
            <w:noProof/>
            <w:webHidden/>
          </w:rPr>
        </w:r>
        <w:r w:rsidR="00625B99" w:rsidRPr="00625B99">
          <w:rPr>
            <w:noProof/>
            <w:webHidden/>
          </w:rPr>
          <w:fldChar w:fldCharType="separate"/>
        </w:r>
        <w:r w:rsidR="00625B99" w:rsidRPr="00625B99">
          <w:rPr>
            <w:noProof/>
            <w:webHidden/>
          </w:rPr>
          <w:t>15</w:t>
        </w:r>
        <w:r w:rsidR="00625B99" w:rsidRPr="00625B99">
          <w:rPr>
            <w:noProof/>
            <w:webHidden/>
          </w:rPr>
          <w:fldChar w:fldCharType="end"/>
        </w:r>
      </w:hyperlink>
    </w:p>
    <w:p w14:paraId="2B2F4D5C" w14:textId="26FF59BF"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98" w:history="1">
        <w:r w:rsidR="00625B99" w:rsidRPr="00625B99">
          <w:rPr>
            <w:rStyle w:val="Hipervnculo"/>
            <w:noProof/>
          </w:rPr>
          <w:t>2.2.11</w:t>
        </w:r>
        <w:r w:rsidR="00625B99" w:rsidRPr="00625B99">
          <w:rPr>
            <w:rFonts w:asciiTheme="minorHAnsi" w:eastAsiaTheme="minorEastAsia" w:hAnsiTheme="minorHAnsi"/>
            <w:noProof/>
            <w:sz w:val="22"/>
            <w:lang w:val="es-CO" w:eastAsia="es-CO"/>
          </w:rPr>
          <w:tab/>
        </w:r>
        <w:r w:rsidR="00625B99" w:rsidRPr="00625B99">
          <w:rPr>
            <w:rStyle w:val="Hipervnculo"/>
            <w:noProof/>
          </w:rPr>
          <w:t>ACTIVOS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_Toc155066598 \h </w:instrText>
        </w:r>
        <w:r w:rsidR="00625B99" w:rsidRPr="00625B99">
          <w:rPr>
            <w:noProof/>
            <w:webHidden/>
          </w:rPr>
        </w:r>
        <w:r w:rsidR="00625B99" w:rsidRPr="00625B99">
          <w:rPr>
            <w:noProof/>
            <w:webHidden/>
          </w:rPr>
          <w:fldChar w:fldCharType="separate"/>
        </w:r>
        <w:r w:rsidR="00625B99" w:rsidRPr="00625B99">
          <w:rPr>
            <w:noProof/>
            <w:webHidden/>
          </w:rPr>
          <w:t>16</w:t>
        </w:r>
        <w:r w:rsidR="00625B99" w:rsidRPr="00625B99">
          <w:rPr>
            <w:noProof/>
            <w:webHidden/>
          </w:rPr>
          <w:fldChar w:fldCharType="end"/>
        </w:r>
      </w:hyperlink>
    </w:p>
    <w:p w14:paraId="50B7937E" w14:textId="36D17F18"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599" w:history="1">
        <w:r w:rsidR="00625B99" w:rsidRPr="00625B99">
          <w:rPr>
            <w:rStyle w:val="Hipervnculo"/>
            <w:noProof/>
          </w:rPr>
          <w:t>2.2.12</w:t>
        </w:r>
        <w:r w:rsidR="00625B99" w:rsidRPr="00625B99">
          <w:rPr>
            <w:rFonts w:asciiTheme="minorHAnsi" w:eastAsiaTheme="minorEastAsia" w:hAnsiTheme="minorHAnsi"/>
            <w:noProof/>
            <w:sz w:val="22"/>
            <w:lang w:val="es-CO" w:eastAsia="es-CO"/>
          </w:rPr>
          <w:tab/>
        </w:r>
        <w:r w:rsidR="00625B99" w:rsidRPr="00625B99">
          <w:rPr>
            <w:rStyle w:val="Hipervnculo"/>
            <w:noProof/>
          </w:rPr>
          <w:t>PASIVOS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_Toc155066599 \h </w:instrText>
        </w:r>
        <w:r w:rsidR="00625B99" w:rsidRPr="00625B99">
          <w:rPr>
            <w:noProof/>
            <w:webHidden/>
          </w:rPr>
        </w:r>
        <w:r w:rsidR="00625B99" w:rsidRPr="00625B99">
          <w:rPr>
            <w:noProof/>
            <w:webHidden/>
          </w:rPr>
          <w:fldChar w:fldCharType="separate"/>
        </w:r>
        <w:r w:rsidR="00625B99" w:rsidRPr="00625B99">
          <w:rPr>
            <w:noProof/>
            <w:webHidden/>
          </w:rPr>
          <w:t>16</w:t>
        </w:r>
        <w:r w:rsidR="00625B99" w:rsidRPr="00625B99">
          <w:rPr>
            <w:noProof/>
            <w:webHidden/>
          </w:rPr>
          <w:fldChar w:fldCharType="end"/>
        </w:r>
      </w:hyperlink>
    </w:p>
    <w:p w14:paraId="2DA23725" w14:textId="0419228D"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00" w:history="1">
        <w:r w:rsidR="00625B99" w:rsidRPr="00625B99">
          <w:rPr>
            <w:rStyle w:val="Hipervnculo"/>
            <w:noProof/>
          </w:rPr>
          <w:t>2.2.13</w:t>
        </w:r>
        <w:r w:rsidR="00625B99" w:rsidRPr="00625B99">
          <w:rPr>
            <w:rFonts w:asciiTheme="minorHAnsi" w:eastAsiaTheme="minorEastAsia" w:hAnsiTheme="minorHAnsi"/>
            <w:noProof/>
            <w:sz w:val="22"/>
            <w:lang w:val="es-CO" w:eastAsia="es-CO"/>
          </w:rPr>
          <w:tab/>
        </w:r>
        <w:r w:rsidR="00625B99" w:rsidRPr="00625B99">
          <w:rPr>
            <w:rStyle w:val="Hipervnculo"/>
            <w:noProof/>
          </w:rPr>
          <w:t>TASAS DE INTERÉS ACTIVA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_Toc155066600 \h </w:instrText>
        </w:r>
        <w:r w:rsidR="00625B99" w:rsidRPr="00625B99">
          <w:rPr>
            <w:noProof/>
            <w:webHidden/>
          </w:rPr>
        </w:r>
        <w:r w:rsidR="00625B99" w:rsidRPr="00625B99">
          <w:rPr>
            <w:noProof/>
            <w:webHidden/>
          </w:rPr>
          <w:fldChar w:fldCharType="separate"/>
        </w:r>
        <w:r w:rsidR="00625B99" w:rsidRPr="00625B99">
          <w:rPr>
            <w:noProof/>
            <w:webHidden/>
          </w:rPr>
          <w:t>16</w:t>
        </w:r>
        <w:r w:rsidR="00625B99" w:rsidRPr="00625B99">
          <w:rPr>
            <w:noProof/>
            <w:webHidden/>
          </w:rPr>
          <w:fldChar w:fldCharType="end"/>
        </w:r>
      </w:hyperlink>
    </w:p>
    <w:p w14:paraId="432A4F46" w14:textId="46BCC0DC"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01" w:history="1">
        <w:r w:rsidR="00625B99" w:rsidRPr="00625B99">
          <w:rPr>
            <w:rStyle w:val="Hipervnculo"/>
            <w:noProof/>
          </w:rPr>
          <w:t>2.2.14</w:t>
        </w:r>
        <w:r w:rsidR="00625B99" w:rsidRPr="00625B99">
          <w:rPr>
            <w:rFonts w:asciiTheme="minorHAnsi" w:eastAsiaTheme="minorEastAsia" w:hAnsiTheme="minorHAnsi"/>
            <w:noProof/>
            <w:sz w:val="22"/>
            <w:lang w:val="es-CO" w:eastAsia="es-CO"/>
          </w:rPr>
          <w:tab/>
        </w:r>
        <w:r w:rsidR="00625B99" w:rsidRPr="00625B99">
          <w:rPr>
            <w:rStyle w:val="Hipervnculo"/>
            <w:noProof/>
          </w:rPr>
          <w:t>TASAS DE INTERÉS PASIVA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_Toc155066601 \h </w:instrText>
        </w:r>
        <w:r w:rsidR="00625B99" w:rsidRPr="00625B99">
          <w:rPr>
            <w:noProof/>
            <w:webHidden/>
          </w:rPr>
        </w:r>
        <w:r w:rsidR="00625B99" w:rsidRPr="00625B99">
          <w:rPr>
            <w:noProof/>
            <w:webHidden/>
          </w:rPr>
          <w:fldChar w:fldCharType="separate"/>
        </w:r>
        <w:r w:rsidR="00625B99" w:rsidRPr="00625B99">
          <w:rPr>
            <w:noProof/>
            <w:webHidden/>
          </w:rPr>
          <w:t>17</w:t>
        </w:r>
        <w:r w:rsidR="00625B99" w:rsidRPr="00625B99">
          <w:rPr>
            <w:noProof/>
            <w:webHidden/>
          </w:rPr>
          <w:fldChar w:fldCharType="end"/>
        </w:r>
      </w:hyperlink>
    </w:p>
    <w:p w14:paraId="492FF92F" w14:textId="50FA6BF3"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02" w:history="1">
        <w:r w:rsidR="00625B99" w:rsidRPr="00625B99">
          <w:rPr>
            <w:rStyle w:val="Hipervnculo"/>
            <w:noProof/>
          </w:rPr>
          <w:t>2.2.15</w:t>
        </w:r>
        <w:r w:rsidR="00625B99" w:rsidRPr="00625B99">
          <w:rPr>
            <w:rFonts w:asciiTheme="minorHAnsi" w:eastAsiaTheme="minorEastAsia" w:hAnsiTheme="minorHAnsi"/>
            <w:noProof/>
            <w:sz w:val="22"/>
            <w:lang w:val="es-CO" w:eastAsia="es-CO"/>
          </w:rPr>
          <w:tab/>
        </w:r>
        <w:r w:rsidR="00625B99" w:rsidRPr="00625B99">
          <w:rPr>
            <w:rStyle w:val="Hipervnculo"/>
            <w:noProof/>
          </w:rPr>
          <w:t>COSTO DE FONDEO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_Toc155066602 \h </w:instrText>
        </w:r>
        <w:r w:rsidR="00625B99" w:rsidRPr="00625B99">
          <w:rPr>
            <w:noProof/>
            <w:webHidden/>
          </w:rPr>
        </w:r>
        <w:r w:rsidR="00625B99" w:rsidRPr="00625B99">
          <w:rPr>
            <w:noProof/>
            <w:webHidden/>
          </w:rPr>
          <w:fldChar w:fldCharType="separate"/>
        </w:r>
        <w:r w:rsidR="00625B99" w:rsidRPr="00625B99">
          <w:rPr>
            <w:noProof/>
            <w:webHidden/>
          </w:rPr>
          <w:t>17</w:t>
        </w:r>
        <w:r w:rsidR="00625B99" w:rsidRPr="00625B99">
          <w:rPr>
            <w:noProof/>
            <w:webHidden/>
          </w:rPr>
          <w:fldChar w:fldCharType="end"/>
        </w:r>
      </w:hyperlink>
    </w:p>
    <w:p w14:paraId="50776839" w14:textId="57772959"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03" w:history="1">
        <w:r w:rsidR="00625B99" w:rsidRPr="00625B99">
          <w:rPr>
            <w:rStyle w:val="Hipervnculo"/>
            <w:noProof/>
          </w:rPr>
          <w:t>2.2.16</w:t>
        </w:r>
        <w:r w:rsidR="00625B99" w:rsidRPr="00625B99">
          <w:rPr>
            <w:rFonts w:asciiTheme="minorHAnsi" w:eastAsiaTheme="minorEastAsia" w:hAnsiTheme="minorHAnsi"/>
            <w:noProof/>
            <w:sz w:val="22"/>
            <w:lang w:val="es-CO" w:eastAsia="es-CO"/>
          </w:rPr>
          <w:tab/>
        </w:r>
        <w:r w:rsidR="00625B99" w:rsidRPr="00625B99">
          <w:rPr>
            <w:rStyle w:val="Hipervnculo"/>
            <w:noProof/>
          </w:rPr>
          <w:t>CARTERA IRREGULAR</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_Toc155066603 \h </w:instrText>
        </w:r>
        <w:r w:rsidR="00625B99" w:rsidRPr="00625B99">
          <w:rPr>
            <w:noProof/>
            <w:webHidden/>
          </w:rPr>
        </w:r>
        <w:r w:rsidR="00625B99" w:rsidRPr="00625B99">
          <w:rPr>
            <w:noProof/>
            <w:webHidden/>
          </w:rPr>
          <w:fldChar w:fldCharType="separate"/>
        </w:r>
        <w:r w:rsidR="00625B99" w:rsidRPr="00625B99">
          <w:rPr>
            <w:noProof/>
            <w:webHidden/>
          </w:rPr>
          <w:t>17</w:t>
        </w:r>
        <w:r w:rsidR="00625B99" w:rsidRPr="00625B99">
          <w:rPr>
            <w:noProof/>
            <w:webHidden/>
          </w:rPr>
          <w:fldChar w:fldCharType="end"/>
        </w:r>
      </w:hyperlink>
    </w:p>
    <w:p w14:paraId="0FE63EFB" w14:textId="5E938037"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04" w:history="1">
        <w:r w:rsidR="00625B99" w:rsidRPr="00625B99">
          <w:rPr>
            <w:rStyle w:val="Hipervnculo"/>
            <w:noProof/>
          </w:rPr>
          <w:t>2.2.17</w:t>
        </w:r>
        <w:r w:rsidR="00625B99" w:rsidRPr="00625B99">
          <w:rPr>
            <w:rFonts w:asciiTheme="minorHAnsi" w:eastAsiaTheme="minorEastAsia" w:hAnsiTheme="minorHAnsi"/>
            <w:noProof/>
            <w:sz w:val="22"/>
            <w:lang w:val="es-CO" w:eastAsia="es-CO"/>
          </w:rPr>
          <w:tab/>
        </w:r>
        <w:r w:rsidR="00625B99" w:rsidRPr="00625B99">
          <w:rPr>
            <w:rStyle w:val="Hipervnculo"/>
            <w:noProof/>
          </w:rPr>
          <w:t>CRÉDITO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_Toc155066604 \h </w:instrText>
        </w:r>
        <w:r w:rsidR="00625B99" w:rsidRPr="00625B99">
          <w:rPr>
            <w:noProof/>
            <w:webHidden/>
          </w:rPr>
        </w:r>
        <w:r w:rsidR="00625B99" w:rsidRPr="00625B99">
          <w:rPr>
            <w:noProof/>
            <w:webHidden/>
          </w:rPr>
          <w:fldChar w:fldCharType="separate"/>
        </w:r>
        <w:r w:rsidR="00625B99" w:rsidRPr="00625B99">
          <w:rPr>
            <w:noProof/>
            <w:webHidden/>
          </w:rPr>
          <w:t>17</w:t>
        </w:r>
        <w:r w:rsidR="00625B99" w:rsidRPr="00625B99">
          <w:rPr>
            <w:noProof/>
            <w:webHidden/>
          </w:rPr>
          <w:fldChar w:fldCharType="end"/>
        </w:r>
      </w:hyperlink>
    </w:p>
    <w:p w14:paraId="0F0AE8B8" w14:textId="29647797"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05" w:history="1">
        <w:r w:rsidR="00625B99" w:rsidRPr="00625B99">
          <w:rPr>
            <w:rStyle w:val="Hipervnculo"/>
            <w:noProof/>
          </w:rPr>
          <w:t>2.2.18</w:t>
        </w:r>
        <w:r w:rsidR="00625B99" w:rsidRPr="00625B99">
          <w:rPr>
            <w:rFonts w:asciiTheme="minorHAnsi" w:eastAsiaTheme="minorEastAsia" w:hAnsiTheme="minorHAnsi"/>
            <w:noProof/>
            <w:sz w:val="22"/>
            <w:lang w:val="es-CO" w:eastAsia="es-CO"/>
          </w:rPr>
          <w:tab/>
        </w:r>
        <w:r w:rsidR="00625B99" w:rsidRPr="00625B99">
          <w:rPr>
            <w:rStyle w:val="Hipervnculo"/>
            <w:noProof/>
          </w:rPr>
          <w:t>COSTO DE OPORTUNIDAD</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_Toc155066605 \h </w:instrText>
        </w:r>
        <w:r w:rsidR="00625B99" w:rsidRPr="00625B99">
          <w:rPr>
            <w:noProof/>
            <w:webHidden/>
          </w:rPr>
        </w:r>
        <w:r w:rsidR="00625B99" w:rsidRPr="00625B99">
          <w:rPr>
            <w:noProof/>
            <w:webHidden/>
          </w:rPr>
          <w:fldChar w:fldCharType="separate"/>
        </w:r>
        <w:r w:rsidR="00625B99" w:rsidRPr="00625B99">
          <w:rPr>
            <w:noProof/>
            <w:webHidden/>
          </w:rPr>
          <w:t>17</w:t>
        </w:r>
        <w:r w:rsidR="00625B99" w:rsidRPr="00625B99">
          <w:rPr>
            <w:noProof/>
            <w:webHidden/>
          </w:rPr>
          <w:fldChar w:fldCharType="end"/>
        </w:r>
      </w:hyperlink>
    </w:p>
    <w:p w14:paraId="308EA3E6" w14:textId="1ACFA2C2"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06" w:history="1">
        <w:r w:rsidR="00625B99" w:rsidRPr="00625B99">
          <w:rPr>
            <w:rStyle w:val="Hipervnculo"/>
            <w:noProof/>
          </w:rPr>
          <w:t>2.2.19</w:t>
        </w:r>
        <w:r w:rsidR="00625B99" w:rsidRPr="00625B99">
          <w:rPr>
            <w:rFonts w:asciiTheme="minorHAnsi" w:eastAsiaTheme="minorEastAsia" w:hAnsiTheme="minorHAnsi"/>
            <w:noProof/>
            <w:sz w:val="22"/>
            <w:lang w:val="es-CO" w:eastAsia="es-CO"/>
          </w:rPr>
          <w:tab/>
        </w:r>
        <w:r w:rsidR="00625B99" w:rsidRPr="00625B99">
          <w:rPr>
            <w:rStyle w:val="Hipervnculo"/>
            <w:noProof/>
          </w:rPr>
          <w:t>RENTABILIDAD FINANCIERA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_Toc155066606 \h </w:instrText>
        </w:r>
        <w:r w:rsidR="00625B99" w:rsidRPr="00625B99">
          <w:rPr>
            <w:noProof/>
            <w:webHidden/>
          </w:rPr>
        </w:r>
        <w:r w:rsidR="00625B99" w:rsidRPr="00625B99">
          <w:rPr>
            <w:noProof/>
            <w:webHidden/>
          </w:rPr>
          <w:fldChar w:fldCharType="separate"/>
        </w:r>
        <w:r w:rsidR="00625B99" w:rsidRPr="00625B99">
          <w:rPr>
            <w:noProof/>
            <w:webHidden/>
          </w:rPr>
          <w:t>18</w:t>
        </w:r>
        <w:r w:rsidR="00625B99" w:rsidRPr="00625B99">
          <w:rPr>
            <w:noProof/>
            <w:webHidden/>
          </w:rPr>
          <w:fldChar w:fldCharType="end"/>
        </w:r>
      </w:hyperlink>
    </w:p>
    <w:p w14:paraId="6B328C36" w14:textId="0C1683CE"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07" w:history="1">
        <w:r w:rsidR="00625B99" w:rsidRPr="00625B99">
          <w:rPr>
            <w:rStyle w:val="Hipervnculo"/>
            <w:noProof/>
          </w:rPr>
          <w:t>2.2.20</w:t>
        </w:r>
        <w:r w:rsidR="00625B99" w:rsidRPr="00625B99">
          <w:rPr>
            <w:rFonts w:asciiTheme="minorHAnsi" w:eastAsiaTheme="minorEastAsia" w:hAnsiTheme="minorHAnsi"/>
            <w:noProof/>
            <w:sz w:val="22"/>
            <w:lang w:val="es-CO" w:eastAsia="es-CO"/>
          </w:rPr>
          <w:tab/>
        </w:r>
        <w:r w:rsidR="00625B99" w:rsidRPr="00625B99">
          <w:rPr>
            <w:rStyle w:val="Hipervnculo"/>
            <w:noProof/>
          </w:rPr>
          <w:t>COSTOS DE INTERMEDIACIÓN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_Toc155066607 \h </w:instrText>
        </w:r>
        <w:r w:rsidR="00625B99" w:rsidRPr="00625B99">
          <w:rPr>
            <w:noProof/>
            <w:webHidden/>
          </w:rPr>
        </w:r>
        <w:r w:rsidR="00625B99" w:rsidRPr="00625B99">
          <w:rPr>
            <w:noProof/>
            <w:webHidden/>
          </w:rPr>
          <w:fldChar w:fldCharType="separate"/>
        </w:r>
        <w:r w:rsidR="00625B99" w:rsidRPr="00625B99">
          <w:rPr>
            <w:noProof/>
            <w:webHidden/>
          </w:rPr>
          <w:t>18</w:t>
        </w:r>
        <w:r w:rsidR="00625B99" w:rsidRPr="00625B99">
          <w:rPr>
            <w:noProof/>
            <w:webHidden/>
          </w:rPr>
          <w:fldChar w:fldCharType="end"/>
        </w:r>
      </w:hyperlink>
    </w:p>
    <w:p w14:paraId="0D39F5C5" w14:textId="12243A00"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08" w:history="1">
        <w:r w:rsidR="00625B99" w:rsidRPr="00625B99">
          <w:rPr>
            <w:rStyle w:val="Hipervnculo"/>
            <w:noProof/>
          </w:rPr>
          <w:t>2.2.21</w:t>
        </w:r>
        <w:r w:rsidR="00625B99" w:rsidRPr="00625B99">
          <w:rPr>
            <w:rFonts w:asciiTheme="minorHAnsi" w:eastAsiaTheme="minorEastAsia" w:hAnsiTheme="minorHAnsi"/>
            <w:noProof/>
            <w:sz w:val="22"/>
            <w:lang w:val="es-CO" w:eastAsia="es-CO"/>
          </w:rPr>
          <w:tab/>
        </w:r>
        <w:r w:rsidR="00625B99" w:rsidRPr="00625B99">
          <w:rPr>
            <w:rStyle w:val="Hipervnculo"/>
            <w:noProof/>
          </w:rPr>
          <w:t>ACTIVOS NO RENTABLES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_Toc155066608 \h </w:instrText>
        </w:r>
        <w:r w:rsidR="00625B99" w:rsidRPr="00625B99">
          <w:rPr>
            <w:noProof/>
            <w:webHidden/>
          </w:rPr>
        </w:r>
        <w:r w:rsidR="00625B99" w:rsidRPr="00625B99">
          <w:rPr>
            <w:noProof/>
            <w:webHidden/>
          </w:rPr>
          <w:fldChar w:fldCharType="separate"/>
        </w:r>
        <w:r w:rsidR="00625B99" w:rsidRPr="00625B99">
          <w:rPr>
            <w:noProof/>
            <w:webHidden/>
          </w:rPr>
          <w:t>18</w:t>
        </w:r>
        <w:r w:rsidR="00625B99" w:rsidRPr="00625B99">
          <w:rPr>
            <w:noProof/>
            <w:webHidden/>
          </w:rPr>
          <w:fldChar w:fldCharType="end"/>
        </w:r>
      </w:hyperlink>
    </w:p>
    <w:p w14:paraId="03964DAD" w14:textId="0EA6488C"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09" w:history="1">
        <w:r w:rsidR="00625B99" w:rsidRPr="00625B99">
          <w:rPr>
            <w:rStyle w:val="Hipervnculo"/>
            <w:noProof/>
          </w:rPr>
          <w:t>2.2.22</w:t>
        </w:r>
        <w:r w:rsidR="00625B99" w:rsidRPr="00625B99">
          <w:rPr>
            <w:rFonts w:asciiTheme="minorHAnsi" w:eastAsiaTheme="minorEastAsia" w:hAnsiTheme="minorHAnsi"/>
            <w:noProof/>
            <w:sz w:val="22"/>
            <w:lang w:val="es-CO" w:eastAsia="es-CO"/>
          </w:rPr>
          <w:tab/>
        </w:r>
        <w:r w:rsidR="00625B99" w:rsidRPr="00625B99">
          <w:rPr>
            <w:rStyle w:val="Hipervnculo"/>
            <w:noProof/>
          </w:rPr>
          <w:t>APALANCAMIENTO FINANCIERO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_Toc155066609 \h </w:instrText>
        </w:r>
        <w:r w:rsidR="00625B99" w:rsidRPr="00625B99">
          <w:rPr>
            <w:noProof/>
            <w:webHidden/>
          </w:rPr>
        </w:r>
        <w:r w:rsidR="00625B99" w:rsidRPr="00625B99">
          <w:rPr>
            <w:noProof/>
            <w:webHidden/>
          </w:rPr>
          <w:fldChar w:fldCharType="separate"/>
        </w:r>
        <w:r w:rsidR="00625B99" w:rsidRPr="00625B99">
          <w:rPr>
            <w:noProof/>
            <w:webHidden/>
          </w:rPr>
          <w:t>19</w:t>
        </w:r>
        <w:r w:rsidR="00625B99" w:rsidRPr="00625B99">
          <w:rPr>
            <w:noProof/>
            <w:webHidden/>
          </w:rPr>
          <w:fldChar w:fldCharType="end"/>
        </w:r>
      </w:hyperlink>
    </w:p>
    <w:p w14:paraId="382EA7C9" w14:textId="520529BD"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610" w:history="1">
        <w:r w:rsidR="00625B99" w:rsidRPr="00625B99">
          <w:rPr>
            <w:rStyle w:val="Hipervnculo"/>
            <w:noProof/>
          </w:rPr>
          <w:t>2.3</w:t>
        </w:r>
        <w:r w:rsidR="00625B99" w:rsidRPr="00625B99">
          <w:rPr>
            <w:rFonts w:asciiTheme="minorHAnsi" w:eastAsiaTheme="minorEastAsia" w:hAnsiTheme="minorHAnsi"/>
            <w:noProof/>
            <w:sz w:val="22"/>
            <w:lang w:val="es-CO" w:eastAsia="es-CO"/>
          </w:rPr>
          <w:tab/>
        </w:r>
        <w:r w:rsidR="00625B99" w:rsidRPr="00625B99">
          <w:rPr>
            <w:rStyle w:val="Hipervnculo"/>
            <w:noProof/>
          </w:rPr>
          <w:t>TEORÍAS DE SUSTENTO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_Toc155066610 \h </w:instrText>
        </w:r>
        <w:r w:rsidR="00625B99" w:rsidRPr="00625B99">
          <w:rPr>
            <w:noProof/>
            <w:webHidden/>
          </w:rPr>
        </w:r>
        <w:r w:rsidR="00625B99" w:rsidRPr="00625B99">
          <w:rPr>
            <w:noProof/>
            <w:webHidden/>
          </w:rPr>
          <w:fldChar w:fldCharType="separate"/>
        </w:r>
        <w:r w:rsidR="00625B99" w:rsidRPr="00625B99">
          <w:rPr>
            <w:noProof/>
            <w:webHidden/>
          </w:rPr>
          <w:t>19</w:t>
        </w:r>
        <w:r w:rsidR="00625B99" w:rsidRPr="00625B99">
          <w:rPr>
            <w:noProof/>
            <w:webHidden/>
          </w:rPr>
          <w:fldChar w:fldCharType="end"/>
        </w:r>
      </w:hyperlink>
    </w:p>
    <w:p w14:paraId="70E79DDD" w14:textId="7B8600C1"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11" w:history="1">
        <w:r w:rsidR="00625B99" w:rsidRPr="00625B99">
          <w:rPr>
            <w:rStyle w:val="Hipervnculo"/>
            <w:noProof/>
          </w:rPr>
          <w:t>2.3.1</w:t>
        </w:r>
        <w:r w:rsidR="00625B99" w:rsidRPr="00625B99">
          <w:rPr>
            <w:rFonts w:asciiTheme="minorHAnsi" w:eastAsiaTheme="minorEastAsia" w:hAnsiTheme="minorHAnsi"/>
            <w:noProof/>
            <w:sz w:val="22"/>
            <w:lang w:val="es-CO" w:eastAsia="es-CO"/>
          </w:rPr>
          <w:tab/>
        </w:r>
        <w:r w:rsidR="00625B99" w:rsidRPr="00625B99">
          <w:rPr>
            <w:rStyle w:val="Hipervnculo"/>
            <w:noProof/>
          </w:rPr>
          <w:t>TEORÍA DE LOS FONDOS PRESTABLES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_Toc155066611 \h </w:instrText>
        </w:r>
        <w:r w:rsidR="00625B99" w:rsidRPr="00625B99">
          <w:rPr>
            <w:noProof/>
            <w:webHidden/>
          </w:rPr>
        </w:r>
        <w:r w:rsidR="00625B99" w:rsidRPr="00625B99">
          <w:rPr>
            <w:noProof/>
            <w:webHidden/>
          </w:rPr>
          <w:fldChar w:fldCharType="separate"/>
        </w:r>
        <w:r w:rsidR="00625B99" w:rsidRPr="00625B99">
          <w:rPr>
            <w:noProof/>
            <w:webHidden/>
          </w:rPr>
          <w:t>19</w:t>
        </w:r>
        <w:r w:rsidR="00625B99" w:rsidRPr="00625B99">
          <w:rPr>
            <w:noProof/>
            <w:webHidden/>
          </w:rPr>
          <w:fldChar w:fldCharType="end"/>
        </w:r>
      </w:hyperlink>
    </w:p>
    <w:p w14:paraId="00A00AF2" w14:textId="372AB9D9"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12" w:history="1">
        <w:r w:rsidR="00625B99" w:rsidRPr="00625B99">
          <w:rPr>
            <w:rStyle w:val="Hipervnculo"/>
            <w:noProof/>
          </w:rPr>
          <w:t>2.3.2</w:t>
        </w:r>
        <w:r w:rsidR="00625B99" w:rsidRPr="00625B99">
          <w:rPr>
            <w:rFonts w:asciiTheme="minorHAnsi" w:eastAsiaTheme="minorEastAsia" w:hAnsiTheme="minorHAnsi"/>
            <w:noProof/>
            <w:sz w:val="22"/>
            <w:lang w:val="es-CO" w:eastAsia="es-CO"/>
          </w:rPr>
          <w:tab/>
        </w:r>
        <w:r w:rsidR="00625B99" w:rsidRPr="00625B99">
          <w:rPr>
            <w:rStyle w:val="Hipervnculo"/>
            <w:noProof/>
          </w:rPr>
          <w:t>TEORÍA DE LA PREFERENCIA DE LA LIQUIDEZ DE KEYNES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_Toc155066612 \h </w:instrText>
        </w:r>
        <w:r w:rsidR="00625B99" w:rsidRPr="00625B99">
          <w:rPr>
            <w:noProof/>
            <w:webHidden/>
          </w:rPr>
        </w:r>
        <w:r w:rsidR="00625B99" w:rsidRPr="00625B99">
          <w:rPr>
            <w:noProof/>
            <w:webHidden/>
          </w:rPr>
          <w:fldChar w:fldCharType="separate"/>
        </w:r>
        <w:r w:rsidR="00625B99" w:rsidRPr="00625B99">
          <w:rPr>
            <w:noProof/>
            <w:webHidden/>
          </w:rPr>
          <w:t>22</w:t>
        </w:r>
        <w:r w:rsidR="00625B99" w:rsidRPr="00625B99">
          <w:rPr>
            <w:noProof/>
            <w:webHidden/>
          </w:rPr>
          <w:fldChar w:fldCharType="end"/>
        </w:r>
      </w:hyperlink>
    </w:p>
    <w:p w14:paraId="16D08982" w14:textId="073CE94E"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13" w:history="1">
        <w:r w:rsidR="00625B99" w:rsidRPr="00625B99">
          <w:rPr>
            <w:rStyle w:val="Hipervnculo"/>
            <w:noProof/>
          </w:rPr>
          <w:t>2.3.3</w:t>
        </w:r>
        <w:r w:rsidR="00625B99" w:rsidRPr="00625B99">
          <w:rPr>
            <w:rFonts w:asciiTheme="minorHAnsi" w:eastAsiaTheme="minorEastAsia" w:hAnsiTheme="minorHAnsi"/>
            <w:noProof/>
            <w:sz w:val="22"/>
            <w:lang w:val="es-CO" w:eastAsia="es-CO"/>
          </w:rPr>
          <w:tab/>
        </w:r>
        <w:r w:rsidR="00625B99" w:rsidRPr="00625B99">
          <w:rPr>
            <w:rStyle w:val="Hipervnculo"/>
            <w:noProof/>
          </w:rPr>
          <w:t>METODOLOGÍAS DESARROLLADAS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_Toc155066613 \h </w:instrText>
        </w:r>
        <w:r w:rsidR="00625B99" w:rsidRPr="00625B99">
          <w:rPr>
            <w:noProof/>
            <w:webHidden/>
          </w:rPr>
        </w:r>
        <w:r w:rsidR="00625B99" w:rsidRPr="00625B99">
          <w:rPr>
            <w:noProof/>
            <w:webHidden/>
          </w:rPr>
          <w:fldChar w:fldCharType="separate"/>
        </w:r>
        <w:r w:rsidR="00625B99" w:rsidRPr="00625B99">
          <w:rPr>
            <w:noProof/>
            <w:webHidden/>
          </w:rPr>
          <w:t>23</w:t>
        </w:r>
        <w:r w:rsidR="00625B99" w:rsidRPr="00625B99">
          <w:rPr>
            <w:noProof/>
            <w:webHidden/>
          </w:rPr>
          <w:fldChar w:fldCharType="end"/>
        </w:r>
      </w:hyperlink>
    </w:p>
    <w:p w14:paraId="5937FE6B" w14:textId="4C564C6F"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614" w:history="1">
        <w:r w:rsidR="00625B99" w:rsidRPr="00625B99">
          <w:rPr>
            <w:rStyle w:val="Hipervnculo"/>
            <w:noProof/>
          </w:rPr>
          <w:t>2.4</w:t>
        </w:r>
        <w:r w:rsidR="00625B99" w:rsidRPr="00625B99">
          <w:rPr>
            <w:rFonts w:asciiTheme="minorHAnsi" w:eastAsiaTheme="minorEastAsia" w:hAnsiTheme="minorHAnsi"/>
            <w:noProof/>
            <w:sz w:val="22"/>
            <w:lang w:val="es-CO" w:eastAsia="es-CO"/>
          </w:rPr>
          <w:tab/>
        </w:r>
        <w:r w:rsidR="00625B99" w:rsidRPr="00625B99">
          <w:rPr>
            <w:rStyle w:val="Hipervnculo"/>
            <w:noProof/>
          </w:rPr>
          <w:t>MARCO LEGAL</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_Toc155066614 \h </w:instrText>
        </w:r>
        <w:r w:rsidR="00625B99" w:rsidRPr="00625B99">
          <w:rPr>
            <w:noProof/>
            <w:webHidden/>
          </w:rPr>
        </w:r>
        <w:r w:rsidR="00625B99" w:rsidRPr="00625B99">
          <w:rPr>
            <w:noProof/>
            <w:webHidden/>
          </w:rPr>
          <w:fldChar w:fldCharType="separate"/>
        </w:r>
        <w:r w:rsidR="00625B99" w:rsidRPr="00625B99">
          <w:rPr>
            <w:noProof/>
            <w:webHidden/>
          </w:rPr>
          <w:t>26</w:t>
        </w:r>
        <w:r w:rsidR="00625B99" w:rsidRPr="00625B99">
          <w:rPr>
            <w:noProof/>
            <w:webHidden/>
          </w:rPr>
          <w:fldChar w:fldCharType="end"/>
        </w:r>
      </w:hyperlink>
    </w:p>
    <w:p w14:paraId="54282B12" w14:textId="5A2FE702" w:rsidR="00625B99" w:rsidRPr="00625B99" w:rsidRDefault="00B027F6">
      <w:pPr>
        <w:pStyle w:val="TDC1"/>
        <w:tabs>
          <w:tab w:val="right" w:leader="dot" w:pos="9350"/>
        </w:tabs>
        <w:rPr>
          <w:rFonts w:asciiTheme="minorHAnsi" w:eastAsiaTheme="minorEastAsia" w:hAnsiTheme="minorHAnsi"/>
          <w:noProof/>
          <w:sz w:val="22"/>
          <w:lang w:val="es-CO" w:eastAsia="es-CO"/>
        </w:rPr>
      </w:pPr>
      <w:hyperlink w:anchor="_Toc155066615" w:history="1">
        <w:r w:rsidR="00625B99" w:rsidRPr="00625B99">
          <w:rPr>
            <w:rStyle w:val="Hipervnculo"/>
            <w:rFonts w:eastAsia="Calibri" w:cs="Times New Roman"/>
            <w:bCs/>
            <w:noProof/>
          </w:rPr>
          <w:t>CAPÍTULO III. METODOLOGÍA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_Toc155066615 \h </w:instrText>
        </w:r>
        <w:r w:rsidR="00625B99" w:rsidRPr="00625B99">
          <w:rPr>
            <w:noProof/>
            <w:webHidden/>
          </w:rPr>
        </w:r>
        <w:r w:rsidR="00625B99" w:rsidRPr="00625B99">
          <w:rPr>
            <w:noProof/>
            <w:webHidden/>
          </w:rPr>
          <w:fldChar w:fldCharType="separate"/>
        </w:r>
        <w:r w:rsidR="00625B99" w:rsidRPr="00625B99">
          <w:rPr>
            <w:noProof/>
            <w:webHidden/>
          </w:rPr>
          <w:t>35</w:t>
        </w:r>
        <w:r w:rsidR="00625B99" w:rsidRPr="00625B99">
          <w:rPr>
            <w:noProof/>
            <w:webHidden/>
          </w:rPr>
          <w:fldChar w:fldCharType="end"/>
        </w:r>
      </w:hyperlink>
    </w:p>
    <w:p w14:paraId="24092BC1" w14:textId="56FAD524"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16" w:history="1">
        <w:r w:rsidR="00625B99" w:rsidRPr="00625B99">
          <w:rPr>
            <w:rStyle w:val="Hipervnculo"/>
            <w:rFonts w:eastAsia="Calibri" w:cs="Calibri"/>
            <w:noProof/>
            <w:lang w:eastAsia="es-HN"/>
          </w:rPr>
          <w:t>3.1 CONGRUENCIA METODOLÓGICA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_Toc155066616 \h </w:instrText>
        </w:r>
        <w:r w:rsidR="00625B99" w:rsidRPr="00625B99">
          <w:rPr>
            <w:noProof/>
            <w:webHidden/>
          </w:rPr>
        </w:r>
        <w:r w:rsidR="00625B99" w:rsidRPr="00625B99">
          <w:rPr>
            <w:noProof/>
            <w:webHidden/>
          </w:rPr>
          <w:fldChar w:fldCharType="separate"/>
        </w:r>
        <w:r w:rsidR="00625B99" w:rsidRPr="00625B99">
          <w:rPr>
            <w:noProof/>
            <w:webHidden/>
          </w:rPr>
          <w:t>35</w:t>
        </w:r>
        <w:r w:rsidR="00625B99" w:rsidRPr="00625B99">
          <w:rPr>
            <w:noProof/>
            <w:webHidden/>
          </w:rPr>
          <w:fldChar w:fldCharType="end"/>
        </w:r>
      </w:hyperlink>
    </w:p>
    <w:p w14:paraId="0EE05944" w14:textId="2DEB230E"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17" w:history="1">
        <w:r w:rsidR="00625B99" w:rsidRPr="00625B99">
          <w:rPr>
            <w:rStyle w:val="Hipervnculo"/>
            <w:rFonts w:eastAsia="Calibri" w:cs="Calibri"/>
            <w:noProof/>
            <w:lang w:eastAsia="es-HN"/>
          </w:rPr>
          <w:t>3.1.1 MATRIZ METODOLÓGICA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_Toc155066617 \h </w:instrText>
        </w:r>
        <w:r w:rsidR="00625B99" w:rsidRPr="00625B99">
          <w:rPr>
            <w:noProof/>
            <w:webHidden/>
          </w:rPr>
        </w:r>
        <w:r w:rsidR="00625B99" w:rsidRPr="00625B99">
          <w:rPr>
            <w:noProof/>
            <w:webHidden/>
          </w:rPr>
          <w:fldChar w:fldCharType="separate"/>
        </w:r>
        <w:r w:rsidR="00625B99" w:rsidRPr="00625B99">
          <w:rPr>
            <w:noProof/>
            <w:webHidden/>
          </w:rPr>
          <w:t>35</w:t>
        </w:r>
        <w:r w:rsidR="00625B99" w:rsidRPr="00625B99">
          <w:rPr>
            <w:noProof/>
            <w:webHidden/>
          </w:rPr>
          <w:fldChar w:fldCharType="end"/>
        </w:r>
      </w:hyperlink>
    </w:p>
    <w:p w14:paraId="4FCD4A7D" w14:textId="1F52CD23"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18" w:history="1">
        <w:r w:rsidR="00625B99" w:rsidRPr="00625B99">
          <w:rPr>
            <w:rStyle w:val="Hipervnculo"/>
            <w:rFonts w:eastAsia="Calibri" w:cs="Calibri"/>
            <w:noProof/>
            <w:lang w:eastAsia="es-HN"/>
          </w:rPr>
          <w:t>3.1.2 ESQUEMA DE LAS VARIABLES DE INVESTIGACIÓN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_Toc155066618 \h </w:instrText>
        </w:r>
        <w:r w:rsidR="00625B99" w:rsidRPr="00625B99">
          <w:rPr>
            <w:noProof/>
            <w:webHidden/>
          </w:rPr>
        </w:r>
        <w:r w:rsidR="00625B99" w:rsidRPr="00625B99">
          <w:rPr>
            <w:noProof/>
            <w:webHidden/>
          </w:rPr>
          <w:fldChar w:fldCharType="separate"/>
        </w:r>
        <w:r w:rsidR="00625B99" w:rsidRPr="00625B99">
          <w:rPr>
            <w:noProof/>
            <w:webHidden/>
          </w:rPr>
          <w:t>37</w:t>
        </w:r>
        <w:r w:rsidR="00625B99" w:rsidRPr="00625B99">
          <w:rPr>
            <w:noProof/>
            <w:webHidden/>
          </w:rPr>
          <w:fldChar w:fldCharType="end"/>
        </w:r>
      </w:hyperlink>
    </w:p>
    <w:p w14:paraId="11AF6D83" w14:textId="68910C4C"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19" w:history="1">
        <w:r w:rsidR="00625B99" w:rsidRPr="00625B99">
          <w:rPr>
            <w:rStyle w:val="Hipervnculo"/>
            <w:rFonts w:eastAsia="Calibri" w:cs="Calibri"/>
            <w:noProof/>
            <w:lang w:eastAsia="es-HN"/>
          </w:rPr>
          <w:t>3.1.3 OPERACIONALIZACIÓN DE LAS VARIABLES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_Toc155066619 \h </w:instrText>
        </w:r>
        <w:r w:rsidR="00625B99" w:rsidRPr="00625B99">
          <w:rPr>
            <w:noProof/>
            <w:webHidden/>
          </w:rPr>
        </w:r>
        <w:r w:rsidR="00625B99" w:rsidRPr="00625B99">
          <w:rPr>
            <w:noProof/>
            <w:webHidden/>
          </w:rPr>
          <w:fldChar w:fldCharType="separate"/>
        </w:r>
        <w:r w:rsidR="00625B99" w:rsidRPr="00625B99">
          <w:rPr>
            <w:noProof/>
            <w:webHidden/>
          </w:rPr>
          <w:t>37</w:t>
        </w:r>
        <w:r w:rsidR="00625B99" w:rsidRPr="00625B99">
          <w:rPr>
            <w:noProof/>
            <w:webHidden/>
          </w:rPr>
          <w:fldChar w:fldCharType="end"/>
        </w:r>
      </w:hyperlink>
    </w:p>
    <w:p w14:paraId="1208F4BD" w14:textId="3B271923"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20" w:history="1">
        <w:r w:rsidR="00625B99" w:rsidRPr="00625B99">
          <w:rPr>
            <w:rStyle w:val="Hipervnculo"/>
            <w:rFonts w:eastAsia="Calibri" w:cs="Calibri"/>
            <w:noProof/>
            <w:lang w:eastAsia="es-HN"/>
          </w:rPr>
          <w:t>3.1.4 HIPÓTESIS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_Toc155066620 \h </w:instrText>
        </w:r>
        <w:r w:rsidR="00625B99" w:rsidRPr="00625B99">
          <w:rPr>
            <w:noProof/>
            <w:webHidden/>
          </w:rPr>
        </w:r>
        <w:r w:rsidR="00625B99" w:rsidRPr="00625B99">
          <w:rPr>
            <w:noProof/>
            <w:webHidden/>
          </w:rPr>
          <w:fldChar w:fldCharType="separate"/>
        </w:r>
        <w:r w:rsidR="00625B99" w:rsidRPr="00625B99">
          <w:rPr>
            <w:noProof/>
            <w:webHidden/>
          </w:rPr>
          <w:t>41</w:t>
        </w:r>
        <w:r w:rsidR="00625B99" w:rsidRPr="00625B99">
          <w:rPr>
            <w:noProof/>
            <w:webHidden/>
          </w:rPr>
          <w:fldChar w:fldCharType="end"/>
        </w:r>
      </w:hyperlink>
    </w:p>
    <w:p w14:paraId="7CA1A856" w14:textId="7AD16BCB"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21" w:history="1">
        <w:r w:rsidR="00625B99" w:rsidRPr="00625B99">
          <w:rPr>
            <w:rStyle w:val="Hipervnculo"/>
            <w:rFonts w:eastAsia="Calibri" w:cs="Calibri"/>
            <w:noProof/>
            <w:lang w:eastAsia="es-HN"/>
          </w:rPr>
          <w:t>3.2 ENFOQUE Y MÉTODOS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_Toc155066621 \h </w:instrText>
        </w:r>
        <w:r w:rsidR="00625B99" w:rsidRPr="00625B99">
          <w:rPr>
            <w:noProof/>
            <w:webHidden/>
          </w:rPr>
        </w:r>
        <w:r w:rsidR="00625B99" w:rsidRPr="00625B99">
          <w:rPr>
            <w:noProof/>
            <w:webHidden/>
          </w:rPr>
          <w:fldChar w:fldCharType="separate"/>
        </w:r>
        <w:r w:rsidR="00625B99" w:rsidRPr="00625B99">
          <w:rPr>
            <w:noProof/>
            <w:webHidden/>
          </w:rPr>
          <w:t>41</w:t>
        </w:r>
        <w:r w:rsidR="00625B99" w:rsidRPr="00625B99">
          <w:rPr>
            <w:noProof/>
            <w:webHidden/>
          </w:rPr>
          <w:fldChar w:fldCharType="end"/>
        </w:r>
      </w:hyperlink>
    </w:p>
    <w:p w14:paraId="60C3D57D" w14:textId="768AED08"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22" w:history="1">
        <w:r w:rsidR="00625B99" w:rsidRPr="00625B99">
          <w:rPr>
            <w:rStyle w:val="Hipervnculo"/>
            <w:rFonts w:eastAsia="Calibri" w:cs="Calibri"/>
            <w:noProof/>
            <w:lang w:eastAsia="es-HN"/>
          </w:rPr>
          <w:t>3.3 DISEÑO DE LA INVESTIGACIÓN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_Toc155066622 \h </w:instrText>
        </w:r>
        <w:r w:rsidR="00625B99" w:rsidRPr="00625B99">
          <w:rPr>
            <w:noProof/>
            <w:webHidden/>
          </w:rPr>
        </w:r>
        <w:r w:rsidR="00625B99" w:rsidRPr="00625B99">
          <w:rPr>
            <w:noProof/>
            <w:webHidden/>
          </w:rPr>
          <w:fldChar w:fldCharType="separate"/>
        </w:r>
        <w:r w:rsidR="00625B99" w:rsidRPr="00625B99">
          <w:rPr>
            <w:noProof/>
            <w:webHidden/>
          </w:rPr>
          <w:t>42</w:t>
        </w:r>
        <w:r w:rsidR="00625B99" w:rsidRPr="00625B99">
          <w:rPr>
            <w:noProof/>
            <w:webHidden/>
          </w:rPr>
          <w:fldChar w:fldCharType="end"/>
        </w:r>
      </w:hyperlink>
    </w:p>
    <w:p w14:paraId="53E20C21" w14:textId="7AB3E2CB"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23" w:history="1">
        <w:r w:rsidR="00625B99" w:rsidRPr="00625B99">
          <w:rPr>
            <w:rStyle w:val="Hipervnculo"/>
            <w:rFonts w:eastAsia="Calibri" w:cs="Calibri"/>
            <w:noProof/>
            <w:lang w:eastAsia="es-HN"/>
          </w:rPr>
          <w:t>3.3.1 POBLACIÓN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_Toc155066623 \h </w:instrText>
        </w:r>
        <w:r w:rsidR="00625B99" w:rsidRPr="00625B99">
          <w:rPr>
            <w:noProof/>
            <w:webHidden/>
          </w:rPr>
        </w:r>
        <w:r w:rsidR="00625B99" w:rsidRPr="00625B99">
          <w:rPr>
            <w:noProof/>
            <w:webHidden/>
          </w:rPr>
          <w:fldChar w:fldCharType="separate"/>
        </w:r>
        <w:r w:rsidR="00625B99" w:rsidRPr="00625B99">
          <w:rPr>
            <w:noProof/>
            <w:webHidden/>
          </w:rPr>
          <w:t>42</w:t>
        </w:r>
        <w:r w:rsidR="00625B99" w:rsidRPr="00625B99">
          <w:rPr>
            <w:noProof/>
            <w:webHidden/>
          </w:rPr>
          <w:fldChar w:fldCharType="end"/>
        </w:r>
      </w:hyperlink>
    </w:p>
    <w:p w14:paraId="21F82129" w14:textId="311DB313"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24" w:history="1">
        <w:r w:rsidR="00625B99" w:rsidRPr="00625B99">
          <w:rPr>
            <w:rStyle w:val="Hipervnculo"/>
            <w:rFonts w:eastAsia="Calibri" w:cs="Calibri"/>
            <w:noProof/>
            <w:lang w:eastAsia="es-HN"/>
          </w:rPr>
          <w:t>3.3.3 MUESTRA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_Toc155066624 \h </w:instrText>
        </w:r>
        <w:r w:rsidR="00625B99" w:rsidRPr="00625B99">
          <w:rPr>
            <w:noProof/>
            <w:webHidden/>
          </w:rPr>
        </w:r>
        <w:r w:rsidR="00625B99" w:rsidRPr="00625B99">
          <w:rPr>
            <w:noProof/>
            <w:webHidden/>
          </w:rPr>
          <w:fldChar w:fldCharType="separate"/>
        </w:r>
        <w:r w:rsidR="00625B99" w:rsidRPr="00625B99">
          <w:rPr>
            <w:noProof/>
            <w:webHidden/>
          </w:rPr>
          <w:t>42</w:t>
        </w:r>
        <w:r w:rsidR="00625B99" w:rsidRPr="00625B99">
          <w:rPr>
            <w:noProof/>
            <w:webHidden/>
          </w:rPr>
          <w:fldChar w:fldCharType="end"/>
        </w:r>
      </w:hyperlink>
    </w:p>
    <w:p w14:paraId="471CED33" w14:textId="739F1F45"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25" w:history="1">
        <w:r w:rsidR="00625B99" w:rsidRPr="00625B99">
          <w:rPr>
            <w:rStyle w:val="Hipervnculo"/>
            <w:rFonts w:eastAsia="Calibri" w:cs="Calibri"/>
            <w:noProof/>
            <w:lang w:eastAsia="es-HN"/>
          </w:rPr>
          <w:t>3.3.3.1 TÉCNICAS DE MUESTREO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_Toc155066625 \h </w:instrText>
        </w:r>
        <w:r w:rsidR="00625B99" w:rsidRPr="00625B99">
          <w:rPr>
            <w:noProof/>
            <w:webHidden/>
          </w:rPr>
        </w:r>
        <w:r w:rsidR="00625B99" w:rsidRPr="00625B99">
          <w:rPr>
            <w:noProof/>
            <w:webHidden/>
          </w:rPr>
          <w:fldChar w:fldCharType="separate"/>
        </w:r>
        <w:r w:rsidR="00625B99" w:rsidRPr="00625B99">
          <w:rPr>
            <w:noProof/>
            <w:webHidden/>
          </w:rPr>
          <w:t>43</w:t>
        </w:r>
        <w:r w:rsidR="00625B99" w:rsidRPr="00625B99">
          <w:rPr>
            <w:noProof/>
            <w:webHidden/>
          </w:rPr>
          <w:fldChar w:fldCharType="end"/>
        </w:r>
      </w:hyperlink>
    </w:p>
    <w:p w14:paraId="3BC4860F" w14:textId="585A965A"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26" w:history="1">
        <w:r w:rsidR="00625B99" w:rsidRPr="00625B99">
          <w:rPr>
            <w:rStyle w:val="Hipervnculo"/>
            <w:rFonts w:eastAsia="Calibri" w:cs="Calibri"/>
            <w:noProof/>
            <w:lang w:eastAsia="es-HN"/>
          </w:rPr>
          <w:t>3.4 TÉCNICAS, INSTRUMENTOS Y PROCEDIMIENTOS APLICADOS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_Toc155066626 \h </w:instrText>
        </w:r>
        <w:r w:rsidR="00625B99" w:rsidRPr="00625B99">
          <w:rPr>
            <w:noProof/>
            <w:webHidden/>
          </w:rPr>
        </w:r>
        <w:r w:rsidR="00625B99" w:rsidRPr="00625B99">
          <w:rPr>
            <w:noProof/>
            <w:webHidden/>
          </w:rPr>
          <w:fldChar w:fldCharType="separate"/>
        </w:r>
        <w:r w:rsidR="00625B99" w:rsidRPr="00625B99">
          <w:rPr>
            <w:noProof/>
            <w:webHidden/>
          </w:rPr>
          <w:t>43</w:t>
        </w:r>
        <w:r w:rsidR="00625B99" w:rsidRPr="00625B99">
          <w:rPr>
            <w:noProof/>
            <w:webHidden/>
          </w:rPr>
          <w:fldChar w:fldCharType="end"/>
        </w:r>
      </w:hyperlink>
    </w:p>
    <w:p w14:paraId="7D57C0B1" w14:textId="7676D0A5"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27" w:history="1">
        <w:r w:rsidR="00625B99" w:rsidRPr="00625B99">
          <w:rPr>
            <w:rStyle w:val="Hipervnculo"/>
            <w:rFonts w:eastAsia="Calibri" w:cs="Calibri"/>
            <w:noProof/>
            <w:lang w:eastAsia="es-HN"/>
          </w:rPr>
          <w:t>3.4.1 TÉCNICAS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_Toc155066627 \h </w:instrText>
        </w:r>
        <w:r w:rsidR="00625B99" w:rsidRPr="00625B99">
          <w:rPr>
            <w:noProof/>
            <w:webHidden/>
          </w:rPr>
        </w:r>
        <w:r w:rsidR="00625B99" w:rsidRPr="00625B99">
          <w:rPr>
            <w:noProof/>
            <w:webHidden/>
          </w:rPr>
          <w:fldChar w:fldCharType="separate"/>
        </w:r>
        <w:r w:rsidR="00625B99" w:rsidRPr="00625B99">
          <w:rPr>
            <w:noProof/>
            <w:webHidden/>
          </w:rPr>
          <w:t>43</w:t>
        </w:r>
        <w:r w:rsidR="00625B99" w:rsidRPr="00625B99">
          <w:rPr>
            <w:noProof/>
            <w:webHidden/>
          </w:rPr>
          <w:fldChar w:fldCharType="end"/>
        </w:r>
      </w:hyperlink>
    </w:p>
    <w:p w14:paraId="2A883EF0" w14:textId="7B4AF42C"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28" w:history="1">
        <w:r w:rsidR="00625B99" w:rsidRPr="00625B99">
          <w:rPr>
            <w:rStyle w:val="Hipervnculo"/>
            <w:rFonts w:eastAsia="Calibri" w:cs="Calibri"/>
            <w:noProof/>
            <w:lang w:eastAsia="es-HN"/>
          </w:rPr>
          <w:t>3.4.1.1 GRUPO FOCAL</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_Toc155066628 \h </w:instrText>
        </w:r>
        <w:r w:rsidR="00625B99" w:rsidRPr="00625B99">
          <w:rPr>
            <w:noProof/>
            <w:webHidden/>
          </w:rPr>
        </w:r>
        <w:r w:rsidR="00625B99" w:rsidRPr="00625B99">
          <w:rPr>
            <w:noProof/>
            <w:webHidden/>
          </w:rPr>
          <w:fldChar w:fldCharType="separate"/>
        </w:r>
        <w:r w:rsidR="00625B99" w:rsidRPr="00625B99">
          <w:rPr>
            <w:noProof/>
            <w:webHidden/>
          </w:rPr>
          <w:t>43</w:t>
        </w:r>
        <w:r w:rsidR="00625B99" w:rsidRPr="00625B99">
          <w:rPr>
            <w:noProof/>
            <w:webHidden/>
          </w:rPr>
          <w:fldChar w:fldCharType="end"/>
        </w:r>
      </w:hyperlink>
    </w:p>
    <w:p w14:paraId="47E341BF" w14:textId="11D9228A"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29" w:history="1">
        <w:r w:rsidR="00625B99" w:rsidRPr="00625B99">
          <w:rPr>
            <w:rStyle w:val="Hipervnculo"/>
            <w:rFonts w:eastAsia="Calibri" w:cs="Calibri"/>
            <w:noProof/>
            <w:lang w:eastAsia="es-HN"/>
          </w:rPr>
          <w:t>3.4.1.2 REVISIÓN SISTEMATICA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_Toc155066629 \h </w:instrText>
        </w:r>
        <w:r w:rsidR="00625B99" w:rsidRPr="00625B99">
          <w:rPr>
            <w:noProof/>
            <w:webHidden/>
          </w:rPr>
        </w:r>
        <w:r w:rsidR="00625B99" w:rsidRPr="00625B99">
          <w:rPr>
            <w:noProof/>
            <w:webHidden/>
          </w:rPr>
          <w:fldChar w:fldCharType="separate"/>
        </w:r>
        <w:r w:rsidR="00625B99" w:rsidRPr="00625B99">
          <w:rPr>
            <w:noProof/>
            <w:webHidden/>
          </w:rPr>
          <w:t>43</w:t>
        </w:r>
        <w:r w:rsidR="00625B99" w:rsidRPr="00625B99">
          <w:rPr>
            <w:noProof/>
            <w:webHidden/>
          </w:rPr>
          <w:fldChar w:fldCharType="end"/>
        </w:r>
      </w:hyperlink>
    </w:p>
    <w:p w14:paraId="745E1DF1" w14:textId="17C10DAF"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30" w:history="1">
        <w:r w:rsidR="00625B99" w:rsidRPr="00625B99">
          <w:rPr>
            <w:rStyle w:val="Hipervnculo"/>
            <w:rFonts w:eastAsia="Calibri" w:cs="Calibri"/>
            <w:noProof/>
            <w:lang w:eastAsia="es-HN"/>
          </w:rPr>
          <w:t>3.4.2 INSTRUMENTOS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_Toc155066630 \h </w:instrText>
        </w:r>
        <w:r w:rsidR="00625B99" w:rsidRPr="00625B99">
          <w:rPr>
            <w:noProof/>
            <w:webHidden/>
          </w:rPr>
        </w:r>
        <w:r w:rsidR="00625B99" w:rsidRPr="00625B99">
          <w:rPr>
            <w:noProof/>
            <w:webHidden/>
          </w:rPr>
          <w:fldChar w:fldCharType="separate"/>
        </w:r>
        <w:r w:rsidR="00625B99" w:rsidRPr="00625B99">
          <w:rPr>
            <w:noProof/>
            <w:webHidden/>
          </w:rPr>
          <w:t>43</w:t>
        </w:r>
        <w:r w:rsidR="00625B99" w:rsidRPr="00625B99">
          <w:rPr>
            <w:noProof/>
            <w:webHidden/>
          </w:rPr>
          <w:fldChar w:fldCharType="end"/>
        </w:r>
      </w:hyperlink>
    </w:p>
    <w:p w14:paraId="59AF936C" w14:textId="1BFA2784"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31" w:history="1">
        <w:r w:rsidR="00625B99" w:rsidRPr="00625B99">
          <w:rPr>
            <w:rStyle w:val="Hipervnculo"/>
            <w:rFonts w:eastAsia="Calibri" w:cs="Calibri"/>
            <w:noProof/>
            <w:lang w:eastAsia="es-HN"/>
          </w:rPr>
          <w:t>3.4.2.1 ENTREVISTA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_Toc155066631 \h </w:instrText>
        </w:r>
        <w:r w:rsidR="00625B99" w:rsidRPr="00625B99">
          <w:rPr>
            <w:noProof/>
            <w:webHidden/>
          </w:rPr>
        </w:r>
        <w:r w:rsidR="00625B99" w:rsidRPr="00625B99">
          <w:rPr>
            <w:noProof/>
            <w:webHidden/>
          </w:rPr>
          <w:fldChar w:fldCharType="separate"/>
        </w:r>
        <w:r w:rsidR="00625B99" w:rsidRPr="00625B99">
          <w:rPr>
            <w:noProof/>
            <w:webHidden/>
          </w:rPr>
          <w:t>44</w:t>
        </w:r>
        <w:r w:rsidR="00625B99" w:rsidRPr="00625B99">
          <w:rPr>
            <w:noProof/>
            <w:webHidden/>
          </w:rPr>
          <w:fldChar w:fldCharType="end"/>
        </w:r>
      </w:hyperlink>
    </w:p>
    <w:p w14:paraId="3FB76D3A" w14:textId="443833AE"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32" w:history="1">
        <w:r w:rsidR="00625B99" w:rsidRPr="00625B99">
          <w:rPr>
            <w:rStyle w:val="Hipervnculo"/>
            <w:rFonts w:eastAsia="Calibri" w:cs="Calibri"/>
            <w:noProof/>
            <w:lang w:eastAsia="es-HN"/>
          </w:rPr>
          <w:t>3.4.2.2 FICHA TÉCNICA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_Toc155066632 \h </w:instrText>
        </w:r>
        <w:r w:rsidR="00625B99" w:rsidRPr="00625B99">
          <w:rPr>
            <w:noProof/>
            <w:webHidden/>
          </w:rPr>
        </w:r>
        <w:r w:rsidR="00625B99" w:rsidRPr="00625B99">
          <w:rPr>
            <w:noProof/>
            <w:webHidden/>
          </w:rPr>
          <w:fldChar w:fldCharType="separate"/>
        </w:r>
        <w:r w:rsidR="00625B99" w:rsidRPr="00625B99">
          <w:rPr>
            <w:noProof/>
            <w:webHidden/>
          </w:rPr>
          <w:t>45</w:t>
        </w:r>
        <w:r w:rsidR="00625B99" w:rsidRPr="00625B99">
          <w:rPr>
            <w:noProof/>
            <w:webHidden/>
          </w:rPr>
          <w:fldChar w:fldCharType="end"/>
        </w:r>
      </w:hyperlink>
    </w:p>
    <w:p w14:paraId="7AE61F7C" w14:textId="48724413"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33" w:history="1">
        <w:r w:rsidR="00625B99" w:rsidRPr="00625B99">
          <w:rPr>
            <w:rStyle w:val="Hipervnculo"/>
            <w:rFonts w:eastAsia="Calibri" w:cs="Calibri"/>
            <w:noProof/>
            <w:lang w:eastAsia="es-HN"/>
          </w:rPr>
          <w:t>3.4.3 PROCEDIMIENTOS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_Toc155066633 \h </w:instrText>
        </w:r>
        <w:r w:rsidR="00625B99" w:rsidRPr="00625B99">
          <w:rPr>
            <w:noProof/>
            <w:webHidden/>
          </w:rPr>
        </w:r>
        <w:r w:rsidR="00625B99" w:rsidRPr="00625B99">
          <w:rPr>
            <w:noProof/>
            <w:webHidden/>
          </w:rPr>
          <w:fldChar w:fldCharType="separate"/>
        </w:r>
        <w:r w:rsidR="00625B99" w:rsidRPr="00625B99">
          <w:rPr>
            <w:noProof/>
            <w:webHidden/>
          </w:rPr>
          <w:t>45</w:t>
        </w:r>
        <w:r w:rsidR="00625B99" w:rsidRPr="00625B99">
          <w:rPr>
            <w:noProof/>
            <w:webHidden/>
          </w:rPr>
          <w:fldChar w:fldCharType="end"/>
        </w:r>
      </w:hyperlink>
    </w:p>
    <w:p w14:paraId="6952DAF2" w14:textId="5CDD921B"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34" w:history="1">
        <w:r w:rsidR="00625B99" w:rsidRPr="00625B99">
          <w:rPr>
            <w:rStyle w:val="Hipervnculo"/>
            <w:rFonts w:eastAsia="Calibri" w:cs="Calibri"/>
            <w:noProof/>
            <w:lang w:eastAsia="es-HN"/>
          </w:rPr>
          <w:t>3.4.3.1 ENTREVISTA CON GRUPO FOCAL</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_Toc155066634 \h </w:instrText>
        </w:r>
        <w:r w:rsidR="00625B99" w:rsidRPr="00625B99">
          <w:rPr>
            <w:noProof/>
            <w:webHidden/>
          </w:rPr>
        </w:r>
        <w:r w:rsidR="00625B99" w:rsidRPr="00625B99">
          <w:rPr>
            <w:noProof/>
            <w:webHidden/>
          </w:rPr>
          <w:fldChar w:fldCharType="separate"/>
        </w:r>
        <w:r w:rsidR="00625B99" w:rsidRPr="00625B99">
          <w:rPr>
            <w:noProof/>
            <w:webHidden/>
          </w:rPr>
          <w:t>45</w:t>
        </w:r>
        <w:r w:rsidR="00625B99" w:rsidRPr="00625B99">
          <w:rPr>
            <w:noProof/>
            <w:webHidden/>
          </w:rPr>
          <w:fldChar w:fldCharType="end"/>
        </w:r>
      </w:hyperlink>
    </w:p>
    <w:p w14:paraId="2AA65C58" w14:textId="47555588"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35" w:history="1">
        <w:r w:rsidR="00625B99" w:rsidRPr="00625B99">
          <w:rPr>
            <w:rStyle w:val="Hipervnculo"/>
            <w:rFonts w:eastAsia="Calibri" w:cs="Calibri"/>
            <w:noProof/>
            <w:lang w:eastAsia="es-HN"/>
          </w:rPr>
          <w:t>3.4.3.2 RECOPILACIÓN DE DATOS CON FICHA TÉCNICA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_Toc155066635 \h </w:instrText>
        </w:r>
        <w:r w:rsidR="00625B99" w:rsidRPr="00625B99">
          <w:rPr>
            <w:noProof/>
            <w:webHidden/>
          </w:rPr>
        </w:r>
        <w:r w:rsidR="00625B99" w:rsidRPr="00625B99">
          <w:rPr>
            <w:noProof/>
            <w:webHidden/>
          </w:rPr>
          <w:fldChar w:fldCharType="separate"/>
        </w:r>
        <w:r w:rsidR="00625B99" w:rsidRPr="00625B99">
          <w:rPr>
            <w:noProof/>
            <w:webHidden/>
          </w:rPr>
          <w:t>46</w:t>
        </w:r>
        <w:r w:rsidR="00625B99" w:rsidRPr="00625B99">
          <w:rPr>
            <w:noProof/>
            <w:webHidden/>
          </w:rPr>
          <w:fldChar w:fldCharType="end"/>
        </w:r>
      </w:hyperlink>
    </w:p>
    <w:p w14:paraId="4B315B0F" w14:textId="303BEBFA"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36" w:history="1">
        <w:r w:rsidR="00625B99" w:rsidRPr="00625B99">
          <w:rPr>
            <w:rStyle w:val="Hipervnculo"/>
            <w:rFonts w:cs="Times New Roman"/>
            <w:noProof/>
            <w:lang w:val="es-MX"/>
          </w:rPr>
          <w:t>3.5 FUENTE DE INFORMACION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_Toc155066636 \h </w:instrText>
        </w:r>
        <w:r w:rsidR="00625B99" w:rsidRPr="00625B99">
          <w:rPr>
            <w:noProof/>
            <w:webHidden/>
          </w:rPr>
        </w:r>
        <w:r w:rsidR="00625B99" w:rsidRPr="00625B99">
          <w:rPr>
            <w:noProof/>
            <w:webHidden/>
          </w:rPr>
          <w:fldChar w:fldCharType="separate"/>
        </w:r>
        <w:r w:rsidR="00625B99" w:rsidRPr="00625B99">
          <w:rPr>
            <w:noProof/>
            <w:webHidden/>
          </w:rPr>
          <w:t>47</w:t>
        </w:r>
        <w:r w:rsidR="00625B99" w:rsidRPr="00625B99">
          <w:rPr>
            <w:noProof/>
            <w:webHidden/>
          </w:rPr>
          <w:fldChar w:fldCharType="end"/>
        </w:r>
      </w:hyperlink>
    </w:p>
    <w:p w14:paraId="3F7F260A" w14:textId="177485D1"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37" w:history="1">
        <w:r w:rsidR="00625B99" w:rsidRPr="00625B99">
          <w:rPr>
            <w:rStyle w:val="Hipervnculo"/>
            <w:rFonts w:eastAsia="Times New Roman" w:cs="Times New Roman"/>
            <w:noProof/>
            <w:lang w:val="es-MX" w:eastAsia="es-ES"/>
          </w:rPr>
          <w:t>3.5.1 FUENTES PRIMARIAS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_Toc155066637 \h </w:instrText>
        </w:r>
        <w:r w:rsidR="00625B99" w:rsidRPr="00625B99">
          <w:rPr>
            <w:noProof/>
            <w:webHidden/>
          </w:rPr>
        </w:r>
        <w:r w:rsidR="00625B99" w:rsidRPr="00625B99">
          <w:rPr>
            <w:noProof/>
            <w:webHidden/>
          </w:rPr>
          <w:fldChar w:fldCharType="separate"/>
        </w:r>
        <w:r w:rsidR="00625B99" w:rsidRPr="00625B99">
          <w:rPr>
            <w:noProof/>
            <w:webHidden/>
          </w:rPr>
          <w:t>47</w:t>
        </w:r>
        <w:r w:rsidR="00625B99" w:rsidRPr="00625B99">
          <w:rPr>
            <w:noProof/>
            <w:webHidden/>
          </w:rPr>
          <w:fldChar w:fldCharType="end"/>
        </w:r>
      </w:hyperlink>
    </w:p>
    <w:p w14:paraId="0BE33470" w14:textId="2EE6B0AD"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38" w:history="1">
        <w:r w:rsidR="00625B99" w:rsidRPr="00625B99">
          <w:rPr>
            <w:rStyle w:val="Hipervnculo"/>
            <w:rFonts w:eastAsia="Times New Roman" w:cs="Times New Roman"/>
            <w:noProof/>
            <w:lang w:val="es-MX" w:eastAsia="es-ES"/>
          </w:rPr>
          <w:t>3.5.2 FUENTES SECUNDARIAS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_Toc155066638 \h </w:instrText>
        </w:r>
        <w:r w:rsidR="00625B99" w:rsidRPr="00625B99">
          <w:rPr>
            <w:noProof/>
            <w:webHidden/>
          </w:rPr>
        </w:r>
        <w:r w:rsidR="00625B99" w:rsidRPr="00625B99">
          <w:rPr>
            <w:noProof/>
            <w:webHidden/>
          </w:rPr>
          <w:fldChar w:fldCharType="separate"/>
        </w:r>
        <w:r w:rsidR="00625B99" w:rsidRPr="00625B99">
          <w:rPr>
            <w:noProof/>
            <w:webHidden/>
          </w:rPr>
          <w:t>47</w:t>
        </w:r>
        <w:r w:rsidR="00625B99" w:rsidRPr="00625B99">
          <w:rPr>
            <w:noProof/>
            <w:webHidden/>
          </w:rPr>
          <w:fldChar w:fldCharType="end"/>
        </w:r>
      </w:hyperlink>
    </w:p>
    <w:p w14:paraId="265F6842" w14:textId="3F45CEBA" w:rsidR="00625B99" w:rsidRPr="00625B99" w:rsidRDefault="00B027F6">
      <w:pPr>
        <w:pStyle w:val="TDC1"/>
        <w:tabs>
          <w:tab w:val="right" w:leader="dot" w:pos="9350"/>
        </w:tabs>
        <w:rPr>
          <w:rFonts w:asciiTheme="minorHAnsi" w:eastAsiaTheme="minorEastAsia" w:hAnsiTheme="minorHAnsi"/>
          <w:noProof/>
          <w:sz w:val="22"/>
          <w:lang w:val="es-CO" w:eastAsia="es-CO"/>
        </w:rPr>
      </w:pPr>
      <w:hyperlink w:anchor="_Toc155066639" w:history="1">
        <w:r w:rsidR="00625B99" w:rsidRPr="00625B99">
          <w:rPr>
            <w:rStyle w:val="Hipervnculo"/>
            <w:rFonts w:eastAsia="Calibri" w:cs="Times New Roman"/>
            <w:bCs/>
            <w:noProof/>
          </w:rPr>
          <w:t>CAPITULO IV. RESULTADOS Y ANÁLISIS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_Toc155066639 \h </w:instrText>
        </w:r>
        <w:r w:rsidR="00625B99" w:rsidRPr="00625B99">
          <w:rPr>
            <w:noProof/>
            <w:webHidden/>
          </w:rPr>
        </w:r>
        <w:r w:rsidR="00625B99" w:rsidRPr="00625B99">
          <w:rPr>
            <w:noProof/>
            <w:webHidden/>
          </w:rPr>
          <w:fldChar w:fldCharType="separate"/>
        </w:r>
        <w:r w:rsidR="00625B99" w:rsidRPr="00625B99">
          <w:rPr>
            <w:noProof/>
            <w:webHidden/>
          </w:rPr>
          <w:t>48</w:t>
        </w:r>
        <w:r w:rsidR="00625B99" w:rsidRPr="00625B99">
          <w:rPr>
            <w:noProof/>
            <w:webHidden/>
          </w:rPr>
          <w:fldChar w:fldCharType="end"/>
        </w:r>
      </w:hyperlink>
    </w:p>
    <w:p w14:paraId="352F6EF7" w14:textId="7EA172D3"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40" w:history="1">
        <w:r w:rsidR="00625B99" w:rsidRPr="00625B99">
          <w:rPr>
            <w:rStyle w:val="Hipervnculo"/>
            <w:rFonts w:eastAsia="Calibri" w:cs="Calibri"/>
            <w:noProof/>
            <w:lang w:eastAsia="es-HN"/>
          </w:rPr>
          <w:t>4.1 INFORME DE PROCESO DE RECOLECCIÓN DE DATOS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_Toc155066640 \h </w:instrText>
        </w:r>
        <w:r w:rsidR="00625B99" w:rsidRPr="00625B99">
          <w:rPr>
            <w:noProof/>
            <w:webHidden/>
          </w:rPr>
        </w:r>
        <w:r w:rsidR="00625B99" w:rsidRPr="00625B99">
          <w:rPr>
            <w:noProof/>
            <w:webHidden/>
          </w:rPr>
          <w:fldChar w:fldCharType="separate"/>
        </w:r>
        <w:r w:rsidR="00625B99" w:rsidRPr="00625B99">
          <w:rPr>
            <w:noProof/>
            <w:webHidden/>
          </w:rPr>
          <w:t>48</w:t>
        </w:r>
        <w:r w:rsidR="00625B99" w:rsidRPr="00625B99">
          <w:rPr>
            <w:noProof/>
            <w:webHidden/>
          </w:rPr>
          <w:fldChar w:fldCharType="end"/>
        </w:r>
      </w:hyperlink>
    </w:p>
    <w:p w14:paraId="77C0BC0A" w14:textId="56561B56"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41" w:history="1">
        <w:r w:rsidR="00625B99" w:rsidRPr="00625B99">
          <w:rPr>
            <w:rStyle w:val="Hipervnculo"/>
            <w:rFonts w:eastAsia="Calibri" w:cs="Calibri"/>
            <w:noProof/>
            <w:lang w:eastAsia="es-HN"/>
          </w:rPr>
          <w:t>4.2 RESULTADOS Y ANALISIS DE LAS TECNICAS APLICADAS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_Toc155066641 \h </w:instrText>
        </w:r>
        <w:r w:rsidR="00625B99" w:rsidRPr="00625B99">
          <w:rPr>
            <w:noProof/>
            <w:webHidden/>
          </w:rPr>
        </w:r>
        <w:r w:rsidR="00625B99" w:rsidRPr="00625B99">
          <w:rPr>
            <w:noProof/>
            <w:webHidden/>
          </w:rPr>
          <w:fldChar w:fldCharType="separate"/>
        </w:r>
        <w:r w:rsidR="00625B99" w:rsidRPr="00625B99">
          <w:rPr>
            <w:noProof/>
            <w:webHidden/>
          </w:rPr>
          <w:t>49</w:t>
        </w:r>
        <w:r w:rsidR="00625B99" w:rsidRPr="00625B99">
          <w:rPr>
            <w:noProof/>
            <w:webHidden/>
          </w:rPr>
          <w:fldChar w:fldCharType="end"/>
        </w:r>
      </w:hyperlink>
    </w:p>
    <w:p w14:paraId="37FAC252" w14:textId="2921F5F7"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42" w:history="1">
        <w:r w:rsidR="00625B99" w:rsidRPr="00625B99">
          <w:rPr>
            <w:rStyle w:val="Hipervnculo"/>
            <w:rFonts w:eastAsia="Times New Roman" w:cs="Times New Roman"/>
            <w:noProof/>
            <w:lang w:val="es-MX" w:eastAsia="es-ES"/>
          </w:rPr>
          <w:t>4.2.1 CARTERA PREVISIONADA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_Toc155066642 \h </w:instrText>
        </w:r>
        <w:r w:rsidR="00625B99" w:rsidRPr="00625B99">
          <w:rPr>
            <w:noProof/>
            <w:webHidden/>
          </w:rPr>
        </w:r>
        <w:r w:rsidR="00625B99" w:rsidRPr="00625B99">
          <w:rPr>
            <w:noProof/>
            <w:webHidden/>
          </w:rPr>
          <w:fldChar w:fldCharType="separate"/>
        </w:r>
        <w:r w:rsidR="00625B99" w:rsidRPr="00625B99">
          <w:rPr>
            <w:noProof/>
            <w:webHidden/>
          </w:rPr>
          <w:t>50</w:t>
        </w:r>
        <w:r w:rsidR="00625B99" w:rsidRPr="00625B99">
          <w:rPr>
            <w:noProof/>
            <w:webHidden/>
          </w:rPr>
          <w:fldChar w:fldCharType="end"/>
        </w:r>
      </w:hyperlink>
    </w:p>
    <w:p w14:paraId="29FD92D7" w14:textId="40D5DBB4"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43" w:history="1">
        <w:r w:rsidR="00625B99" w:rsidRPr="00625B99">
          <w:rPr>
            <w:rStyle w:val="Hipervnculo"/>
            <w:rFonts w:eastAsia="Times New Roman" w:cs="Times New Roman"/>
            <w:noProof/>
            <w:lang w:val="es-MX" w:eastAsia="es-ES"/>
          </w:rPr>
          <w:t>4.2.2 TASA DE INTERÉS ACTIVA IMPLÍCITA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_Toc155066643 \h </w:instrText>
        </w:r>
        <w:r w:rsidR="00625B99" w:rsidRPr="00625B99">
          <w:rPr>
            <w:noProof/>
            <w:webHidden/>
          </w:rPr>
        </w:r>
        <w:r w:rsidR="00625B99" w:rsidRPr="00625B99">
          <w:rPr>
            <w:noProof/>
            <w:webHidden/>
          </w:rPr>
          <w:fldChar w:fldCharType="separate"/>
        </w:r>
        <w:r w:rsidR="00625B99" w:rsidRPr="00625B99">
          <w:rPr>
            <w:noProof/>
            <w:webHidden/>
          </w:rPr>
          <w:t>51</w:t>
        </w:r>
        <w:r w:rsidR="00625B99" w:rsidRPr="00625B99">
          <w:rPr>
            <w:noProof/>
            <w:webHidden/>
          </w:rPr>
          <w:fldChar w:fldCharType="end"/>
        </w:r>
      </w:hyperlink>
    </w:p>
    <w:p w14:paraId="7FF70DC8" w14:textId="30AE722F"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44" w:history="1">
        <w:r w:rsidR="00625B99" w:rsidRPr="00625B99">
          <w:rPr>
            <w:rStyle w:val="Hipervnculo"/>
            <w:rFonts w:eastAsia="Times New Roman" w:cs="Times New Roman"/>
            <w:noProof/>
            <w:lang w:val="es-MX" w:eastAsia="es-ES"/>
          </w:rPr>
          <w:t>4.2.3. COMPONENTE DE FONDEO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_Toc155066644 \h </w:instrText>
        </w:r>
        <w:r w:rsidR="00625B99" w:rsidRPr="00625B99">
          <w:rPr>
            <w:noProof/>
            <w:webHidden/>
          </w:rPr>
        </w:r>
        <w:r w:rsidR="00625B99" w:rsidRPr="00625B99">
          <w:rPr>
            <w:noProof/>
            <w:webHidden/>
          </w:rPr>
          <w:fldChar w:fldCharType="separate"/>
        </w:r>
        <w:r w:rsidR="00625B99" w:rsidRPr="00625B99">
          <w:rPr>
            <w:noProof/>
            <w:webHidden/>
          </w:rPr>
          <w:t>51</w:t>
        </w:r>
        <w:r w:rsidR="00625B99" w:rsidRPr="00625B99">
          <w:rPr>
            <w:noProof/>
            <w:webHidden/>
          </w:rPr>
          <w:fldChar w:fldCharType="end"/>
        </w:r>
      </w:hyperlink>
    </w:p>
    <w:p w14:paraId="43D89D07" w14:textId="1B1A98C7"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45" w:history="1">
        <w:r w:rsidR="00625B99" w:rsidRPr="00625B99">
          <w:rPr>
            <w:rStyle w:val="Hipervnculo"/>
            <w:rFonts w:eastAsia="Times New Roman" w:cs="Times New Roman"/>
            <w:noProof/>
            <w:lang w:val="es-MX" w:eastAsia="es-ES"/>
          </w:rPr>
          <w:t>4.2.4 APALANCAMIENTO FINANCIERO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_Toc155066645 \h </w:instrText>
        </w:r>
        <w:r w:rsidR="00625B99" w:rsidRPr="00625B99">
          <w:rPr>
            <w:noProof/>
            <w:webHidden/>
          </w:rPr>
        </w:r>
        <w:r w:rsidR="00625B99" w:rsidRPr="00625B99">
          <w:rPr>
            <w:noProof/>
            <w:webHidden/>
          </w:rPr>
          <w:fldChar w:fldCharType="separate"/>
        </w:r>
        <w:r w:rsidR="00625B99" w:rsidRPr="00625B99">
          <w:rPr>
            <w:noProof/>
            <w:webHidden/>
          </w:rPr>
          <w:t>52</w:t>
        </w:r>
        <w:r w:rsidR="00625B99" w:rsidRPr="00625B99">
          <w:rPr>
            <w:noProof/>
            <w:webHidden/>
          </w:rPr>
          <w:fldChar w:fldCharType="end"/>
        </w:r>
      </w:hyperlink>
    </w:p>
    <w:p w14:paraId="680CFA9E" w14:textId="24A5A0AE"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46" w:history="1">
        <w:r w:rsidR="00625B99" w:rsidRPr="00625B99">
          <w:rPr>
            <w:rStyle w:val="Hipervnculo"/>
            <w:rFonts w:eastAsia="Times New Roman" w:cs="Times New Roman"/>
            <w:noProof/>
            <w:lang w:val="es-MX" w:eastAsia="es-ES"/>
          </w:rPr>
          <w:t>4.2.5 COSTOS ADMINISTRATIVOS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_Toc155066646 \h </w:instrText>
        </w:r>
        <w:r w:rsidR="00625B99" w:rsidRPr="00625B99">
          <w:rPr>
            <w:noProof/>
            <w:webHidden/>
          </w:rPr>
        </w:r>
        <w:r w:rsidR="00625B99" w:rsidRPr="00625B99">
          <w:rPr>
            <w:noProof/>
            <w:webHidden/>
          </w:rPr>
          <w:fldChar w:fldCharType="separate"/>
        </w:r>
        <w:r w:rsidR="00625B99" w:rsidRPr="00625B99">
          <w:rPr>
            <w:noProof/>
            <w:webHidden/>
          </w:rPr>
          <w:t>53</w:t>
        </w:r>
        <w:r w:rsidR="00625B99" w:rsidRPr="00625B99">
          <w:rPr>
            <w:noProof/>
            <w:webHidden/>
          </w:rPr>
          <w:fldChar w:fldCharType="end"/>
        </w:r>
      </w:hyperlink>
    </w:p>
    <w:p w14:paraId="54F780E0" w14:textId="63FA363D"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47" w:history="1">
        <w:r w:rsidR="00625B99" w:rsidRPr="00625B99">
          <w:rPr>
            <w:rStyle w:val="Hipervnculo"/>
            <w:rFonts w:eastAsia="Times New Roman" w:cs="Times New Roman"/>
            <w:noProof/>
            <w:lang w:val="es-MX" w:eastAsia="es-ES"/>
          </w:rPr>
          <w:t>4.2.6 ANÁLISIS INTEGRAL: COSTO DEL CRÉDITO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_Toc155066647 \h </w:instrText>
        </w:r>
        <w:r w:rsidR="00625B99" w:rsidRPr="00625B99">
          <w:rPr>
            <w:noProof/>
            <w:webHidden/>
          </w:rPr>
        </w:r>
        <w:r w:rsidR="00625B99" w:rsidRPr="00625B99">
          <w:rPr>
            <w:noProof/>
            <w:webHidden/>
          </w:rPr>
          <w:fldChar w:fldCharType="separate"/>
        </w:r>
        <w:r w:rsidR="00625B99" w:rsidRPr="00625B99">
          <w:rPr>
            <w:noProof/>
            <w:webHidden/>
          </w:rPr>
          <w:t>54</w:t>
        </w:r>
        <w:r w:rsidR="00625B99" w:rsidRPr="00625B99">
          <w:rPr>
            <w:noProof/>
            <w:webHidden/>
          </w:rPr>
          <w:fldChar w:fldCharType="end"/>
        </w:r>
      </w:hyperlink>
    </w:p>
    <w:p w14:paraId="3617E66B" w14:textId="6F4DF54A"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48" w:history="1">
        <w:r w:rsidR="00625B99" w:rsidRPr="00625B99">
          <w:rPr>
            <w:rStyle w:val="Hipervnculo"/>
            <w:rFonts w:eastAsia="Calibri" w:cs="Calibri"/>
            <w:noProof/>
            <w:lang w:eastAsia="es-HN"/>
          </w:rPr>
          <w:t>4.3 RESULTADOS Y ANÁLISIS DE LOS DATOS ENCONTRADOS CON OTRAS TÉCNICAS: ANÁLISIS CUALITATIVO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_Toc155066648 \h </w:instrText>
        </w:r>
        <w:r w:rsidR="00625B99" w:rsidRPr="00625B99">
          <w:rPr>
            <w:noProof/>
            <w:webHidden/>
          </w:rPr>
        </w:r>
        <w:r w:rsidR="00625B99" w:rsidRPr="00625B99">
          <w:rPr>
            <w:noProof/>
            <w:webHidden/>
          </w:rPr>
          <w:fldChar w:fldCharType="separate"/>
        </w:r>
        <w:r w:rsidR="00625B99" w:rsidRPr="00625B99">
          <w:rPr>
            <w:noProof/>
            <w:webHidden/>
          </w:rPr>
          <w:t>57</w:t>
        </w:r>
        <w:r w:rsidR="00625B99" w:rsidRPr="00625B99">
          <w:rPr>
            <w:noProof/>
            <w:webHidden/>
          </w:rPr>
          <w:fldChar w:fldCharType="end"/>
        </w:r>
      </w:hyperlink>
    </w:p>
    <w:p w14:paraId="4DEF76EE" w14:textId="703E4618" w:rsidR="00625B99" w:rsidRPr="00625B99" w:rsidRDefault="00B027F6">
      <w:pPr>
        <w:pStyle w:val="TDC1"/>
        <w:tabs>
          <w:tab w:val="right" w:leader="dot" w:pos="9350"/>
        </w:tabs>
        <w:rPr>
          <w:rFonts w:asciiTheme="minorHAnsi" w:eastAsiaTheme="minorEastAsia" w:hAnsiTheme="minorHAnsi"/>
          <w:noProof/>
          <w:sz w:val="22"/>
          <w:lang w:val="es-CO" w:eastAsia="es-CO"/>
        </w:rPr>
      </w:pPr>
      <w:hyperlink w:anchor="_Toc155066649" w:history="1">
        <w:r w:rsidR="00625B99" w:rsidRPr="00625B99">
          <w:rPr>
            <w:rStyle w:val="Hipervnculo"/>
            <w:noProof/>
            <w:lang w:eastAsia="es-ES"/>
          </w:rPr>
          <w:t>CAPITULO V. CONCLUSIONES Y RECOMENDACIONES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_Toc155066649 \h </w:instrText>
        </w:r>
        <w:r w:rsidR="00625B99" w:rsidRPr="00625B99">
          <w:rPr>
            <w:noProof/>
            <w:webHidden/>
          </w:rPr>
        </w:r>
        <w:r w:rsidR="00625B99" w:rsidRPr="00625B99">
          <w:rPr>
            <w:noProof/>
            <w:webHidden/>
          </w:rPr>
          <w:fldChar w:fldCharType="separate"/>
        </w:r>
        <w:r w:rsidR="00625B99" w:rsidRPr="00625B99">
          <w:rPr>
            <w:noProof/>
            <w:webHidden/>
          </w:rPr>
          <w:t>63</w:t>
        </w:r>
        <w:r w:rsidR="00625B99" w:rsidRPr="00625B99">
          <w:rPr>
            <w:noProof/>
            <w:webHidden/>
          </w:rPr>
          <w:fldChar w:fldCharType="end"/>
        </w:r>
      </w:hyperlink>
    </w:p>
    <w:p w14:paraId="76B25D0D" w14:textId="7D3CC50C"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50" w:history="1">
        <w:r w:rsidR="00625B99" w:rsidRPr="00625B99">
          <w:rPr>
            <w:rStyle w:val="Hipervnculo"/>
            <w:rFonts w:eastAsia="Calibri" w:cs="Calibri"/>
            <w:noProof/>
            <w:lang w:eastAsia="es-HN"/>
          </w:rPr>
          <w:t>5.1 CONCLUSIONES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_Toc155066650 \h </w:instrText>
        </w:r>
        <w:r w:rsidR="00625B99" w:rsidRPr="00625B99">
          <w:rPr>
            <w:noProof/>
            <w:webHidden/>
          </w:rPr>
        </w:r>
        <w:r w:rsidR="00625B99" w:rsidRPr="00625B99">
          <w:rPr>
            <w:noProof/>
            <w:webHidden/>
          </w:rPr>
          <w:fldChar w:fldCharType="separate"/>
        </w:r>
        <w:r w:rsidR="00625B99" w:rsidRPr="00625B99">
          <w:rPr>
            <w:noProof/>
            <w:webHidden/>
          </w:rPr>
          <w:t>63</w:t>
        </w:r>
        <w:r w:rsidR="00625B99" w:rsidRPr="00625B99">
          <w:rPr>
            <w:noProof/>
            <w:webHidden/>
          </w:rPr>
          <w:fldChar w:fldCharType="end"/>
        </w:r>
      </w:hyperlink>
    </w:p>
    <w:p w14:paraId="33A8BEB3" w14:textId="651C31C8" w:rsidR="00625B99" w:rsidRPr="00625B99" w:rsidRDefault="00B027F6">
      <w:pPr>
        <w:pStyle w:val="TDC2"/>
        <w:tabs>
          <w:tab w:val="right" w:leader="dot" w:pos="9350"/>
        </w:tabs>
        <w:rPr>
          <w:rFonts w:asciiTheme="minorHAnsi" w:eastAsiaTheme="minorEastAsia" w:hAnsiTheme="minorHAnsi"/>
          <w:noProof/>
          <w:sz w:val="22"/>
          <w:lang w:val="es-CO" w:eastAsia="es-CO"/>
        </w:rPr>
      </w:pPr>
      <w:hyperlink w:anchor="_Toc155066651" w:history="1">
        <w:r w:rsidR="00625B99" w:rsidRPr="00625B99">
          <w:rPr>
            <w:rStyle w:val="Hipervnculo"/>
            <w:rFonts w:eastAsia="Calibri" w:cs="Calibri"/>
            <w:noProof/>
            <w:lang w:eastAsia="es-HN"/>
          </w:rPr>
          <w:t>5.2 RECOMEDACIONES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_Toc155066651 \h </w:instrText>
        </w:r>
        <w:r w:rsidR="00625B99" w:rsidRPr="00625B99">
          <w:rPr>
            <w:noProof/>
            <w:webHidden/>
          </w:rPr>
        </w:r>
        <w:r w:rsidR="00625B99" w:rsidRPr="00625B99">
          <w:rPr>
            <w:noProof/>
            <w:webHidden/>
          </w:rPr>
          <w:fldChar w:fldCharType="separate"/>
        </w:r>
        <w:r w:rsidR="00625B99" w:rsidRPr="00625B99">
          <w:rPr>
            <w:noProof/>
            <w:webHidden/>
          </w:rPr>
          <w:t>64</w:t>
        </w:r>
        <w:r w:rsidR="00625B99" w:rsidRPr="00625B99">
          <w:rPr>
            <w:noProof/>
            <w:webHidden/>
          </w:rPr>
          <w:fldChar w:fldCharType="end"/>
        </w:r>
      </w:hyperlink>
    </w:p>
    <w:p w14:paraId="6BA89FFB" w14:textId="22723D2A" w:rsidR="00625B99" w:rsidRPr="00625B99" w:rsidRDefault="00B027F6">
      <w:pPr>
        <w:pStyle w:val="TDC1"/>
        <w:tabs>
          <w:tab w:val="right" w:leader="dot" w:pos="9350"/>
        </w:tabs>
        <w:rPr>
          <w:rFonts w:asciiTheme="minorHAnsi" w:eastAsiaTheme="minorEastAsia" w:hAnsiTheme="minorHAnsi"/>
          <w:noProof/>
          <w:sz w:val="22"/>
          <w:lang w:val="es-CO" w:eastAsia="es-CO"/>
        </w:rPr>
      </w:pPr>
      <w:hyperlink w:anchor="_Toc155066652" w:history="1">
        <w:r w:rsidR="00625B99" w:rsidRPr="00625B99">
          <w:rPr>
            <w:rStyle w:val="Hipervnculo"/>
            <w:noProof/>
          </w:rPr>
          <w:t>CAPÍTULO VI. APLICABILIDAD</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_Toc155066652 \h </w:instrText>
        </w:r>
        <w:r w:rsidR="00625B99" w:rsidRPr="00625B99">
          <w:rPr>
            <w:noProof/>
            <w:webHidden/>
          </w:rPr>
        </w:r>
        <w:r w:rsidR="00625B99" w:rsidRPr="00625B99">
          <w:rPr>
            <w:noProof/>
            <w:webHidden/>
          </w:rPr>
          <w:fldChar w:fldCharType="separate"/>
        </w:r>
        <w:r w:rsidR="00625B99" w:rsidRPr="00625B99">
          <w:rPr>
            <w:noProof/>
            <w:webHidden/>
          </w:rPr>
          <w:t>66</w:t>
        </w:r>
        <w:r w:rsidR="00625B99" w:rsidRPr="00625B99">
          <w:rPr>
            <w:noProof/>
            <w:webHidden/>
          </w:rPr>
          <w:fldChar w:fldCharType="end"/>
        </w:r>
      </w:hyperlink>
    </w:p>
    <w:p w14:paraId="3F0E60E9" w14:textId="50C2EAC5"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654" w:history="1">
        <w:r w:rsidR="00625B99" w:rsidRPr="00625B99">
          <w:rPr>
            <w:rStyle w:val="Hipervnculo"/>
            <w:noProof/>
          </w:rPr>
          <w:t>6.1</w:t>
        </w:r>
        <w:r w:rsidR="00625B99" w:rsidRPr="00625B99">
          <w:rPr>
            <w:rFonts w:asciiTheme="minorHAnsi" w:eastAsiaTheme="minorEastAsia" w:hAnsiTheme="minorHAnsi"/>
            <w:noProof/>
            <w:sz w:val="22"/>
            <w:lang w:val="es-CO" w:eastAsia="es-CO"/>
          </w:rPr>
          <w:tab/>
        </w:r>
        <w:r w:rsidR="00625B99" w:rsidRPr="00625B99">
          <w:rPr>
            <w:rStyle w:val="Hipervnculo"/>
            <w:noProof/>
          </w:rPr>
          <w:t>NOMBRE DE LA PROPUESTA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_Toc155066654 \h </w:instrText>
        </w:r>
        <w:r w:rsidR="00625B99" w:rsidRPr="00625B99">
          <w:rPr>
            <w:noProof/>
            <w:webHidden/>
          </w:rPr>
        </w:r>
        <w:r w:rsidR="00625B99" w:rsidRPr="00625B99">
          <w:rPr>
            <w:noProof/>
            <w:webHidden/>
          </w:rPr>
          <w:fldChar w:fldCharType="separate"/>
        </w:r>
        <w:r w:rsidR="00625B99" w:rsidRPr="00625B99">
          <w:rPr>
            <w:noProof/>
            <w:webHidden/>
          </w:rPr>
          <w:t>66</w:t>
        </w:r>
        <w:r w:rsidR="00625B99" w:rsidRPr="00625B99">
          <w:rPr>
            <w:noProof/>
            <w:webHidden/>
          </w:rPr>
          <w:fldChar w:fldCharType="end"/>
        </w:r>
      </w:hyperlink>
    </w:p>
    <w:p w14:paraId="25A8A6E2" w14:textId="2F99AC9B"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55" w:history="1">
        <w:r w:rsidR="00625B99" w:rsidRPr="00625B99">
          <w:rPr>
            <w:rStyle w:val="Hipervnculo"/>
            <w:rFonts w:eastAsia="Times New Roman" w:cs="Times New Roman"/>
            <w:noProof/>
            <w:lang w:val="es-MX" w:eastAsia="es-ES"/>
          </w:rPr>
          <w:t>6.1.1 OBJETIVO GENERAL</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_Toc155066655 \h </w:instrText>
        </w:r>
        <w:r w:rsidR="00625B99" w:rsidRPr="00625B99">
          <w:rPr>
            <w:noProof/>
            <w:webHidden/>
          </w:rPr>
        </w:r>
        <w:r w:rsidR="00625B99" w:rsidRPr="00625B99">
          <w:rPr>
            <w:noProof/>
            <w:webHidden/>
          </w:rPr>
          <w:fldChar w:fldCharType="separate"/>
        </w:r>
        <w:r w:rsidR="00625B99" w:rsidRPr="00625B99">
          <w:rPr>
            <w:noProof/>
            <w:webHidden/>
          </w:rPr>
          <w:t>66</w:t>
        </w:r>
        <w:r w:rsidR="00625B99" w:rsidRPr="00625B99">
          <w:rPr>
            <w:noProof/>
            <w:webHidden/>
          </w:rPr>
          <w:fldChar w:fldCharType="end"/>
        </w:r>
      </w:hyperlink>
    </w:p>
    <w:p w14:paraId="5216F694" w14:textId="7DFCA474" w:rsidR="00625B99" w:rsidRPr="00625B99" w:rsidRDefault="00B027F6">
      <w:pPr>
        <w:pStyle w:val="TDC3"/>
        <w:tabs>
          <w:tab w:val="right" w:leader="dot" w:pos="9350"/>
        </w:tabs>
        <w:rPr>
          <w:rFonts w:asciiTheme="minorHAnsi" w:eastAsiaTheme="minorEastAsia" w:hAnsiTheme="minorHAnsi"/>
          <w:noProof/>
          <w:sz w:val="22"/>
          <w:lang w:val="es-CO" w:eastAsia="es-CO"/>
        </w:rPr>
      </w:pPr>
      <w:hyperlink w:anchor="_Toc155066656" w:history="1">
        <w:r w:rsidR="00625B99" w:rsidRPr="00625B99">
          <w:rPr>
            <w:rStyle w:val="Hipervnculo"/>
            <w:rFonts w:eastAsia="Times New Roman" w:cs="Times New Roman"/>
            <w:noProof/>
            <w:lang w:val="es-MX" w:eastAsia="es-ES"/>
          </w:rPr>
          <w:t>6.1.2 OBJETIVOS ESPECIFICOS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_Toc155066656 \h </w:instrText>
        </w:r>
        <w:r w:rsidR="00625B99" w:rsidRPr="00625B99">
          <w:rPr>
            <w:noProof/>
            <w:webHidden/>
          </w:rPr>
        </w:r>
        <w:r w:rsidR="00625B99" w:rsidRPr="00625B99">
          <w:rPr>
            <w:noProof/>
            <w:webHidden/>
          </w:rPr>
          <w:fldChar w:fldCharType="separate"/>
        </w:r>
        <w:r w:rsidR="00625B99" w:rsidRPr="00625B99">
          <w:rPr>
            <w:noProof/>
            <w:webHidden/>
          </w:rPr>
          <w:t>66</w:t>
        </w:r>
        <w:r w:rsidR="00625B99" w:rsidRPr="00625B99">
          <w:rPr>
            <w:noProof/>
            <w:webHidden/>
          </w:rPr>
          <w:fldChar w:fldCharType="end"/>
        </w:r>
      </w:hyperlink>
    </w:p>
    <w:p w14:paraId="55FE7ABC" w14:textId="6895D37B"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657" w:history="1">
        <w:r w:rsidR="00625B99" w:rsidRPr="00625B99">
          <w:rPr>
            <w:rStyle w:val="Hipervnculo"/>
            <w:noProof/>
          </w:rPr>
          <w:t>6.2</w:t>
        </w:r>
        <w:r w:rsidR="00625B99" w:rsidRPr="00625B99">
          <w:rPr>
            <w:rFonts w:asciiTheme="minorHAnsi" w:eastAsiaTheme="minorEastAsia" w:hAnsiTheme="minorHAnsi"/>
            <w:noProof/>
            <w:sz w:val="22"/>
            <w:lang w:val="es-CO" w:eastAsia="es-CO"/>
          </w:rPr>
          <w:tab/>
        </w:r>
        <w:r w:rsidR="00625B99" w:rsidRPr="00625B99">
          <w:rPr>
            <w:rStyle w:val="Hipervnculo"/>
            <w:noProof/>
          </w:rPr>
          <w:t>JUSTIFICACIÓN DE LA PROPUESTA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_Toc155066657 \h </w:instrText>
        </w:r>
        <w:r w:rsidR="00625B99" w:rsidRPr="00625B99">
          <w:rPr>
            <w:noProof/>
            <w:webHidden/>
          </w:rPr>
        </w:r>
        <w:r w:rsidR="00625B99" w:rsidRPr="00625B99">
          <w:rPr>
            <w:noProof/>
            <w:webHidden/>
          </w:rPr>
          <w:fldChar w:fldCharType="separate"/>
        </w:r>
        <w:r w:rsidR="00625B99" w:rsidRPr="00625B99">
          <w:rPr>
            <w:noProof/>
            <w:webHidden/>
          </w:rPr>
          <w:t>66</w:t>
        </w:r>
        <w:r w:rsidR="00625B99" w:rsidRPr="00625B99">
          <w:rPr>
            <w:noProof/>
            <w:webHidden/>
          </w:rPr>
          <w:fldChar w:fldCharType="end"/>
        </w:r>
      </w:hyperlink>
    </w:p>
    <w:p w14:paraId="1EB75883" w14:textId="46805C65"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658" w:history="1">
        <w:r w:rsidR="00625B99" w:rsidRPr="00625B99">
          <w:rPr>
            <w:rStyle w:val="Hipervnculo"/>
            <w:noProof/>
          </w:rPr>
          <w:t>6.3</w:t>
        </w:r>
        <w:r w:rsidR="00625B99" w:rsidRPr="00625B99">
          <w:rPr>
            <w:rFonts w:asciiTheme="minorHAnsi" w:eastAsiaTheme="minorEastAsia" w:hAnsiTheme="minorHAnsi"/>
            <w:noProof/>
            <w:sz w:val="22"/>
            <w:lang w:val="es-CO" w:eastAsia="es-CO"/>
          </w:rPr>
          <w:tab/>
        </w:r>
        <w:r w:rsidR="00625B99" w:rsidRPr="00625B99">
          <w:rPr>
            <w:rStyle w:val="Hipervnculo"/>
            <w:noProof/>
          </w:rPr>
          <w:t>ALCANCE DE LA PROPUESTA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_Toc155066658 \h </w:instrText>
        </w:r>
        <w:r w:rsidR="00625B99" w:rsidRPr="00625B99">
          <w:rPr>
            <w:noProof/>
            <w:webHidden/>
          </w:rPr>
        </w:r>
        <w:r w:rsidR="00625B99" w:rsidRPr="00625B99">
          <w:rPr>
            <w:noProof/>
            <w:webHidden/>
          </w:rPr>
          <w:fldChar w:fldCharType="separate"/>
        </w:r>
        <w:r w:rsidR="00625B99" w:rsidRPr="00625B99">
          <w:rPr>
            <w:noProof/>
            <w:webHidden/>
          </w:rPr>
          <w:t>67</w:t>
        </w:r>
        <w:r w:rsidR="00625B99" w:rsidRPr="00625B99">
          <w:rPr>
            <w:noProof/>
            <w:webHidden/>
          </w:rPr>
          <w:fldChar w:fldCharType="end"/>
        </w:r>
      </w:hyperlink>
    </w:p>
    <w:p w14:paraId="7ACB67BD" w14:textId="223A243B"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659" w:history="1">
        <w:r w:rsidR="00625B99" w:rsidRPr="00625B99">
          <w:rPr>
            <w:rStyle w:val="Hipervnculo"/>
            <w:noProof/>
          </w:rPr>
          <w:t>6.4</w:t>
        </w:r>
        <w:r w:rsidR="00625B99" w:rsidRPr="00625B99">
          <w:rPr>
            <w:rFonts w:asciiTheme="minorHAnsi" w:eastAsiaTheme="minorEastAsia" w:hAnsiTheme="minorHAnsi"/>
            <w:noProof/>
            <w:sz w:val="22"/>
            <w:lang w:val="es-CO" w:eastAsia="es-CO"/>
          </w:rPr>
          <w:tab/>
        </w:r>
        <w:r w:rsidR="00625B99" w:rsidRPr="00625B99">
          <w:rPr>
            <w:rStyle w:val="Hipervnculo"/>
            <w:noProof/>
          </w:rPr>
          <w:t>DESCRIPCIÓN Y DESARROLLO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_Toc155066659 \h </w:instrText>
        </w:r>
        <w:r w:rsidR="00625B99" w:rsidRPr="00625B99">
          <w:rPr>
            <w:noProof/>
            <w:webHidden/>
          </w:rPr>
        </w:r>
        <w:r w:rsidR="00625B99" w:rsidRPr="00625B99">
          <w:rPr>
            <w:noProof/>
            <w:webHidden/>
          </w:rPr>
          <w:fldChar w:fldCharType="separate"/>
        </w:r>
        <w:r w:rsidR="00625B99" w:rsidRPr="00625B99">
          <w:rPr>
            <w:noProof/>
            <w:webHidden/>
          </w:rPr>
          <w:t>68</w:t>
        </w:r>
        <w:r w:rsidR="00625B99" w:rsidRPr="00625B99">
          <w:rPr>
            <w:noProof/>
            <w:webHidden/>
          </w:rPr>
          <w:fldChar w:fldCharType="end"/>
        </w:r>
      </w:hyperlink>
    </w:p>
    <w:p w14:paraId="6857A8CE" w14:textId="37B09ACB"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60" w:history="1">
        <w:r w:rsidR="00625B99" w:rsidRPr="00625B99">
          <w:rPr>
            <w:rStyle w:val="Hipervnculo"/>
            <w:noProof/>
          </w:rPr>
          <w:t>6.4.1</w:t>
        </w:r>
        <w:r w:rsidR="00625B99" w:rsidRPr="00625B99">
          <w:rPr>
            <w:rFonts w:asciiTheme="minorHAnsi" w:eastAsiaTheme="minorEastAsia" w:hAnsiTheme="minorHAnsi"/>
            <w:noProof/>
            <w:sz w:val="22"/>
            <w:lang w:val="es-CO" w:eastAsia="es-CO"/>
          </w:rPr>
          <w:tab/>
        </w:r>
        <w:r w:rsidR="00625B99" w:rsidRPr="00625B99">
          <w:rPr>
            <w:rStyle w:val="Hipervnculo"/>
            <w:noProof/>
          </w:rPr>
          <w:t>DESCRIPCIÓN</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_Toc155066660 \h </w:instrText>
        </w:r>
        <w:r w:rsidR="00625B99" w:rsidRPr="00625B99">
          <w:rPr>
            <w:noProof/>
            <w:webHidden/>
          </w:rPr>
        </w:r>
        <w:r w:rsidR="00625B99" w:rsidRPr="00625B99">
          <w:rPr>
            <w:noProof/>
            <w:webHidden/>
          </w:rPr>
          <w:fldChar w:fldCharType="separate"/>
        </w:r>
        <w:r w:rsidR="00625B99" w:rsidRPr="00625B99">
          <w:rPr>
            <w:noProof/>
            <w:webHidden/>
          </w:rPr>
          <w:t>68</w:t>
        </w:r>
        <w:r w:rsidR="00625B99" w:rsidRPr="00625B99">
          <w:rPr>
            <w:noProof/>
            <w:webHidden/>
          </w:rPr>
          <w:fldChar w:fldCharType="end"/>
        </w:r>
      </w:hyperlink>
    </w:p>
    <w:p w14:paraId="05F3DD74" w14:textId="3CED56B1" w:rsidR="00625B99" w:rsidRPr="00625B99" w:rsidRDefault="00B027F6">
      <w:pPr>
        <w:pStyle w:val="TDC2"/>
        <w:tabs>
          <w:tab w:val="left" w:pos="1100"/>
          <w:tab w:val="right" w:leader="dot" w:pos="9350"/>
        </w:tabs>
        <w:rPr>
          <w:rFonts w:asciiTheme="minorHAnsi" w:eastAsiaTheme="minorEastAsia" w:hAnsiTheme="minorHAnsi"/>
          <w:noProof/>
          <w:sz w:val="22"/>
          <w:lang w:val="es-CO" w:eastAsia="es-CO"/>
        </w:rPr>
      </w:pPr>
      <w:hyperlink w:anchor="_Toc155066661" w:history="1">
        <w:r w:rsidR="00625B99" w:rsidRPr="00625B99">
          <w:rPr>
            <w:rStyle w:val="Hipervnculo"/>
            <w:noProof/>
          </w:rPr>
          <w:t>6.4.2</w:t>
        </w:r>
        <w:r w:rsidR="00625B99" w:rsidRPr="00625B99">
          <w:rPr>
            <w:rFonts w:asciiTheme="minorHAnsi" w:eastAsiaTheme="minorEastAsia" w:hAnsiTheme="minorHAnsi"/>
            <w:noProof/>
            <w:sz w:val="22"/>
            <w:lang w:val="es-CO" w:eastAsia="es-CO"/>
          </w:rPr>
          <w:tab/>
        </w:r>
        <w:r w:rsidR="00625B99" w:rsidRPr="00625B99">
          <w:rPr>
            <w:rStyle w:val="Hipervnculo"/>
            <w:noProof/>
          </w:rPr>
          <w:t>DESARROLLO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_Toc155066661 \h </w:instrText>
        </w:r>
        <w:r w:rsidR="00625B99" w:rsidRPr="00625B99">
          <w:rPr>
            <w:noProof/>
            <w:webHidden/>
          </w:rPr>
        </w:r>
        <w:r w:rsidR="00625B99" w:rsidRPr="00625B99">
          <w:rPr>
            <w:noProof/>
            <w:webHidden/>
          </w:rPr>
          <w:fldChar w:fldCharType="separate"/>
        </w:r>
        <w:r w:rsidR="00625B99" w:rsidRPr="00625B99">
          <w:rPr>
            <w:noProof/>
            <w:webHidden/>
          </w:rPr>
          <w:t>68</w:t>
        </w:r>
        <w:r w:rsidR="00625B99" w:rsidRPr="00625B99">
          <w:rPr>
            <w:noProof/>
            <w:webHidden/>
          </w:rPr>
          <w:fldChar w:fldCharType="end"/>
        </w:r>
      </w:hyperlink>
    </w:p>
    <w:p w14:paraId="77834CDB" w14:textId="77B89109"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662" w:history="1">
        <w:r w:rsidR="00625B99" w:rsidRPr="00625B99">
          <w:rPr>
            <w:rStyle w:val="Hipervnculo"/>
            <w:noProof/>
          </w:rPr>
          <w:t>6.5</w:t>
        </w:r>
        <w:r w:rsidR="00625B99" w:rsidRPr="00625B99">
          <w:rPr>
            <w:rFonts w:asciiTheme="minorHAnsi" w:eastAsiaTheme="minorEastAsia" w:hAnsiTheme="minorHAnsi"/>
            <w:noProof/>
            <w:sz w:val="22"/>
            <w:lang w:val="es-CO" w:eastAsia="es-CO"/>
          </w:rPr>
          <w:tab/>
        </w:r>
        <w:r w:rsidR="00625B99" w:rsidRPr="00625B99">
          <w:rPr>
            <w:rStyle w:val="Hipervnculo"/>
            <w:noProof/>
          </w:rPr>
          <w:t>MEDIDAS DE CONTROL</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_Toc155066662 \h </w:instrText>
        </w:r>
        <w:r w:rsidR="00625B99" w:rsidRPr="00625B99">
          <w:rPr>
            <w:noProof/>
            <w:webHidden/>
          </w:rPr>
        </w:r>
        <w:r w:rsidR="00625B99" w:rsidRPr="00625B99">
          <w:rPr>
            <w:noProof/>
            <w:webHidden/>
          </w:rPr>
          <w:fldChar w:fldCharType="separate"/>
        </w:r>
        <w:r w:rsidR="00625B99" w:rsidRPr="00625B99">
          <w:rPr>
            <w:noProof/>
            <w:webHidden/>
          </w:rPr>
          <w:t>69</w:t>
        </w:r>
        <w:r w:rsidR="00625B99" w:rsidRPr="00625B99">
          <w:rPr>
            <w:noProof/>
            <w:webHidden/>
          </w:rPr>
          <w:fldChar w:fldCharType="end"/>
        </w:r>
      </w:hyperlink>
    </w:p>
    <w:p w14:paraId="032863B9" w14:textId="32547835"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663" w:history="1">
        <w:r w:rsidR="00625B99" w:rsidRPr="00625B99">
          <w:rPr>
            <w:rStyle w:val="Hipervnculo"/>
            <w:noProof/>
          </w:rPr>
          <w:t>6.6</w:t>
        </w:r>
        <w:r w:rsidR="00625B99" w:rsidRPr="00625B99">
          <w:rPr>
            <w:rFonts w:asciiTheme="minorHAnsi" w:eastAsiaTheme="minorEastAsia" w:hAnsiTheme="minorHAnsi"/>
            <w:noProof/>
            <w:sz w:val="22"/>
            <w:lang w:val="es-CO" w:eastAsia="es-CO"/>
          </w:rPr>
          <w:tab/>
        </w:r>
        <w:r w:rsidR="00625B99" w:rsidRPr="00625B99">
          <w:rPr>
            <w:rStyle w:val="Hipervnculo"/>
            <w:noProof/>
          </w:rPr>
          <w:t>CRONOGRAMA DE IMPLEMENTACIÓN Y PRESUPUESTO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_Toc155066663 \h </w:instrText>
        </w:r>
        <w:r w:rsidR="00625B99" w:rsidRPr="00625B99">
          <w:rPr>
            <w:noProof/>
            <w:webHidden/>
          </w:rPr>
        </w:r>
        <w:r w:rsidR="00625B99" w:rsidRPr="00625B99">
          <w:rPr>
            <w:noProof/>
            <w:webHidden/>
          </w:rPr>
          <w:fldChar w:fldCharType="separate"/>
        </w:r>
        <w:r w:rsidR="00625B99" w:rsidRPr="00625B99">
          <w:rPr>
            <w:noProof/>
            <w:webHidden/>
          </w:rPr>
          <w:t>74</w:t>
        </w:r>
        <w:r w:rsidR="00625B99" w:rsidRPr="00625B99">
          <w:rPr>
            <w:noProof/>
            <w:webHidden/>
          </w:rPr>
          <w:fldChar w:fldCharType="end"/>
        </w:r>
      </w:hyperlink>
    </w:p>
    <w:p w14:paraId="3F8674EB" w14:textId="670C66A1"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664" w:history="1">
        <w:r w:rsidR="00625B99" w:rsidRPr="00625B99">
          <w:rPr>
            <w:rStyle w:val="Hipervnculo"/>
            <w:noProof/>
          </w:rPr>
          <w:t>6.8</w:t>
        </w:r>
        <w:r w:rsidR="00625B99" w:rsidRPr="00625B99">
          <w:rPr>
            <w:rFonts w:asciiTheme="minorHAnsi" w:eastAsiaTheme="minorEastAsia" w:hAnsiTheme="minorHAnsi"/>
            <w:noProof/>
            <w:sz w:val="22"/>
            <w:lang w:val="es-CO" w:eastAsia="es-CO"/>
          </w:rPr>
          <w:tab/>
        </w:r>
        <w:r w:rsidR="00625B99" w:rsidRPr="00625B99">
          <w:rPr>
            <w:rStyle w:val="Hipervnculo"/>
            <w:noProof/>
          </w:rPr>
          <w:t>RESULTADO</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_Toc155066664 \h </w:instrText>
        </w:r>
        <w:r w:rsidR="00625B99" w:rsidRPr="00625B99">
          <w:rPr>
            <w:noProof/>
            <w:webHidden/>
          </w:rPr>
        </w:r>
        <w:r w:rsidR="00625B99" w:rsidRPr="00625B99">
          <w:rPr>
            <w:noProof/>
            <w:webHidden/>
          </w:rPr>
          <w:fldChar w:fldCharType="separate"/>
        </w:r>
        <w:r w:rsidR="00625B99" w:rsidRPr="00625B99">
          <w:rPr>
            <w:noProof/>
            <w:webHidden/>
          </w:rPr>
          <w:t>76</w:t>
        </w:r>
        <w:r w:rsidR="00625B99" w:rsidRPr="00625B99">
          <w:rPr>
            <w:noProof/>
            <w:webHidden/>
          </w:rPr>
          <w:fldChar w:fldCharType="end"/>
        </w:r>
      </w:hyperlink>
    </w:p>
    <w:p w14:paraId="24402481" w14:textId="21BCF0BD" w:rsidR="00625B99" w:rsidRPr="00625B99" w:rsidRDefault="00B027F6">
      <w:pPr>
        <w:pStyle w:val="TDC2"/>
        <w:tabs>
          <w:tab w:val="left" w:pos="880"/>
          <w:tab w:val="right" w:leader="dot" w:pos="9350"/>
        </w:tabs>
        <w:rPr>
          <w:rFonts w:asciiTheme="minorHAnsi" w:eastAsiaTheme="minorEastAsia" w:hAnsiTheme="minorHAnsi"/>
          <w:noProof/>
          <w:sz w:val="22"/>
          <w:lang w:val="es-CO" w:eastAsia="es-CO"/>
        </w:rPr>
      </w:pPr>
      <w:hyperlink w:anchor="_Toc155066665" w:history="1">
        <w:r w:rsidR="00625B99" w:rsidRPr="00625B99">
          <w:rPr>
            <w:rStyle w:val="Hipervnculo"/>
            <w:noProof/>
          </w:rPr>
          <w:t>6.9</w:t>
        </w:r>
        <w:r w:rsidR="00625B99" w:rsidRPr="00625B99">
          <w:rPr>
            <w:rFonts w:asciiTheme="minorHAnsi" w:eastAsiaTheme="minorEastAsia" w:hAnsiTheme="minorHAnsi"/>
            <w:noProof/>
            <w:sz w:val="22"/>
            <w:lang w:val="es-CO" w:eastAsia="es-CO"/>
          </w:rPr>
          <w:tab/>
        </w:r>
        <w:r w:rsidR="00625B99" w:rsidRPr="00625B99">
          <w:rPr>
            <w:rStyle w:val="Hipervnculo"/>
            <w:noProof/>
          </w:rPr>
          <w:t>CONCORDANCIA DE LOS SEGMENTOS DE LA TESIS CON LA PROPUESTA</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_Toc155066665 \h </w:instrText>
        </w:r>
        <w:r w:rsidR="00625B99" w:rsidRPr="00625B99">
          <w:rPr>
            <w:noProof/>
            <w:webHidden/>
          </w:rPr>
        </w:r>
        <w:r w:rsidR="00625B99" w:rsidRPr="00625B99">
          <w:rPr>
            <w:noProof/>
            <w:webHidden/>
          </w:rPr>
          <w:fldChar w:fldCharType="separate"/>
        </w:r>
        <w:r w:rsidR="00625B99" w:rsidRPr="00625B99">
          <w:rPr>
            <w:noProof/>
            <w:webHidden/>
          </w:rPr>
          <w:t>104</w:t>
        </w:r>
        <w:r w:rsidR="00625B99" w:rsidRPr="00625B99">
          <w:rPr>
            <w:noProof/>
            <w:webHidden/>
          </w:rPr>
          <w:fldChar w:fldCharType="end"/>
        </w:r>
      </w:hyperlink>
    </w:p>
    <w:p w14:paraId="4BC53E22" w14:textId="513DD755" w:rsidR="00625B99" w:rsidRPr="00625B99" w:rsidRDefault="00B027F6">
      <w:pPr>
        <w:pStyle w:val="TDC1"/>
        <w:tabs>
          <w:tab w:val="right" w:leader="dot" w:pos="9350"/>
        </w:tabs>
        <w:rPr>
          <w:rFonts w:asciiTheme="minorHAnsi" w:eastAsiaTheme="minorEastAsia" w:hAnsiTheme="minorHAnsi"/>
          <w:noProof/>
          <w:sz w:val="22"/>
          <w:lang w:val="es-CO" w:eastAsia="es-CO"/>
        </w:rPr>
      </w:pPr>
      <w:hyperlink w:anchor="_Toc155066666" w:history="1">
        <w:r w:rsidR="00625B99" w:rsidRPr="00625B99">
          <w:rPr>
            <w:rStyle w:val="Hipervnculo"/>
            <w:noProof/>
          </w:rPr>
          <w:t>REFERENCIAS BIBLIOGRÁFICAS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_Toc155066666 \h </w:instrText>
        </w:r>
        <w:r w:rsidR="00625B99" w:rsidRPr="00625B99">
          <w:rPr>
            <w:noProof/>
            <w:webHidden/>
          </w:rPr>
        </w:r>
        <w:r w:rsidR="00625B99" w:rsidRPr="00625B99">
          <w:rPr>
            <w:noProof/>
            <w:webHidden/>
          </w:rPr>
          <w:fldChar w:fldCharType="separate"/>
        </w:r>
        <w:r w:rsidR="00625B99" w:rsidRPr="00625B99">
          <w:rPr>
            <w:noProof/>
            <w:webHidden/>
          </w:rPr>
          <w:t>106</w:t>
        </w:r>
        <w:r w:rsidR="00625B99" w:rsidRPr="00625B99">
          <w:rPr>
            <w:noProof/>
            <w:webHidden/>
          </w:rPr>
          <w:fldChar w:fldCharType="end"/>
        </w:r>
      </w:hyperlink>
    </w:p>
    <w:p w14:paraId="68ED6CF3" w14:textId="2E4C54FF" w:rsidR="00625B99" w:rsidRPr="00625B99" w:rsidRDefault="00B027F6">
      <w:pPr>
        <w:pStyle w:val="TDC1"/>
        <w:tabs>
          <w:tab w:val="right" w:leader="dot" w:pos="9350"/>
        </w:tabs>
        <w:rPr>
          <w:rFonts w:asciiTheme="minorHAnsi" w:eastAsiaTheme="minorEastAsia" w:hAnsiTheme="minorHAnsi"/>
          <w:noProof/>
          <w:sz w:val="22"/>
          <w:lang w:val="es-CO" w:eastAsia="es-CO"/>
        </w:rPr>
      </w:pPr>
      <w:hyperlink w:anchor="_Toc155066667" w:history="1">
        <w:r w:rsidR="00625B99" w:rsidRPr="00625B99">
          <w:rPr>
            <w:rStyle w:val="Hipervnculo"/>
            <w:bCs/>
            <w:noProof/>
          </w:rPr>
          <w:t>ANEXOS</w:t>
        </w:r>
        <w:r w:rsidR="00625B99" w:rsidRPr="00625B99">
          <w:rPr>
            <w:noProof/>
            <w:webHidden/>
          </w:rPr>
          <w:tab/>
        </w:r>
        <w:r w:rsidR="00625B99" w:rsidRPr="00625B99">
          <w:rPr>
            <w:noProof/>
            <w:webHidden/>
          </w:rPr>
          <w:fldChar w:fldCharType="begin"/>
        </w:r>
        <w:r w:rsidR="00625B99" w:rsidRPr="00625B99">
          <w:rPr>
            <w:noProof/>
            <w:webHidden/>
          </w:rPr>
          <w:instrText xml:space="preserve"> PAGEREF _Toc155066667 \h </w:instrText>
        </w:r>
        <w:r w:rsidR="00625B99" w:rsidRPr="00625B99">
          <w:rPr>
            <w:noProof/>
            <w:webHidden/>
          </w:rPr>
        </w:r>
        <w:r w:rsidR="00625B99" w:rsidRPr="00625B99">
          <w:rPr>
            <w:noProof/>
            <w:webHidden/>
          </w:rPr>
          <w:fldChar w:fldCharType="separate"/>
        </w:r>
        <w:r w:rsidR="00625B99" w:rsidRPr="00625B99">
          <w:rPr>
            <w:noProof/>
            <w:webHidden/>
          </w:rPr>
          <w:t>109</w:t>
        </w:r>
        <w:r w:rsidR="00625B99" w:rsidRPr="00625B99">
          <w:rPr>
            <w:noProof/>
            <w:webHidden/>
          </w:rPr>
          <w:fldChar w:fldCharType="end"/>
        </w:r>
      </w:hyperlink>
    </w:p>
    <w:p w14:paraId="5FB7A427" w14:textId="4081841E" w:rsidR="003F60B4" w:rsidRPr="009A3C74" w:rsidRDefault="003F60B4" w:rsidP="003F60B4">
      <w:pPr>
        <w:pStyle w:val="TextoPrincipal"/>
      </w:pPr>
      <w:r w:rsidRPr="00625B99">
        <w:fldChar w:fldCharType="end"/>
      </w:r>
    </w:p>
    <w:p w14:paraId="23215033" w14:textId="77777777" w:rsidR="003F60B4" w:rsidRPr="00B049AA" w:rsidRDefault="003F60B4" w:rsidP="003F60B4">
      <w:pPr>
        <w:pStyle w:val="Ttulo1"/>
      </w:pPr>
    </w:p>
    <w:p w14:paraId="500E7ACF" w14:textId="77777777" w:rsidR="005F2D6D" w:rsidRPr="00B049AA" w:rsidRDefault="005F2D6D" w:rsidP="005F2D6D">
      <w:pPr>
        <w:pStyle w:val="TextoPrincipal"/>
        <w:sectPr w:rsidR="005F2D6D" w:rsidRPr="00B049AA" w:rsidSect="00737E89">
          <w:footerReference w:type="default" r:id="rId12"/>
          <w:pgSz w:w="12240" w:h="15840" w:code="1"/>
          <w:pgMar w:top="1440" w:right="1440" w:bottom="1440" w:left="1440" w:header="709" w:footer="709" w:gutter="0"/>
          <w:pgNumType w:fmt="lowerRoman"/>
          <w:cols w:space="708"/>
          <w:docGrid w:linePitch="360"/>
        </w:sectPr>
      </w:pPr>
    </w:p>
    <w:p w14:paraId="568A3F93" w14:textId="77777777" w:rsidR="00737E89" w:rsidRPr="00B049AA" w:rsidRDefault="00210E95" w:rsidP="00737E89">
      <w:pPr>
        <w:pStyle w:val="Ttulo1"/>
      </w:pPr>
      <w:bookmarkStart w:id="17" w:name="_Toc474331176"/>
      <w:bookmarkStart w:id="18" w:name="_Toc474331375"/>
      <w:bookmarkStart w:id="19" w:name="_Toc155066571"/>
      <w:r w:rsidRPr="00B049AA">
        <w:lastRenderedPageBreak/>
        <w:t xml:space="preserve">CAPÍTULO I. </w:t>
      </w:r>
      <w:r w:rsidR="00737E89" w:rsidRPr="00B049AA">
        <w:t>PLANTEAMIENTO DE LA INVESTIGACIÓN</w:t>
      </w:r>
      <w:bookmarkEnd w:id="17"/>
      <w:bookmarkEnd w:id="18"/>
      <w:bookmarkEnd w:id="19"/>
    </w:p>
    <w:p w14:paraId="10B5C538" w14:textId="77777777" w:rsidR="00737E89" w:rsidRPr="00B049AA" w:rsidRDefault="004D17BE" w:rsidP="00210E95">
      <w:pPr>
        <w:pStyle w:val="Ttulo2"/>
        <w:numPr>
          <w:ilvl w:val="1"/>
          <w:numId w:val="2"/>
        </w:numPr>
      </w:pPr>
      <w:bookmarkStart w:id="20" w:name="_Toc474331177"/>
      <w:bookmarkStart w:id="21" w:name="_Toc474331376"/>
      <w:bookmarkStart w:id="22" w:name="_Toc155066572"/>
      <w:r w:rsidRPr="00B049AA">
        <w:t>INTRODUCCIÓN</w:t>
      </w:r>
      <w:bookmarkEnd w:id="20"/>
      <w:bookmarkEnd w:id="21"/>
      <w:bookmarkEnd w:id="22"/>
    </w:p>
    <w:p w14:paraId="55A8DC62" w14:textId="6D920369" w:rsidR="0008020F" w:rsidRPr="0008020F" w:rsidRDefault="0008020F" w:rsidP="00125E75">
      <w:pPr>
        <w:pStyle w:val="TextoPrincipal"/>
        <w:spacing w:line="360" w:lineRule="auto"/>
      </w:pPr>
      <w:r w:rsidRPr="0008020F">
        <w:t xml:space="preserve">La economía hondureña se ve profundamente influenciada por la función desempeñada por los bancos comerciales, quienes actúan como intermediarios financieros fundamentales al facilitar la canalización de fondos. Más allá de proporcionar servicios esenciales como préstamos y cuentas de depósito, estos bancos generan liquidez y contribuyen a la estabilidad monetaria del país. En este contexto, las tasas de interés cobradas por los bancos comerciales </w:t>
      </w:r>
      <w:r w:rsidR="009667C9">
        <w:t>surgen</w:t>
      </w:r>
      <w:r w:rsidRPr="0008020F">
        <w:t xml:space="preserve"> como elementos cruciales que influyen directamente en las decisiones de endeudamiento, inversión y consumo tanto de </w:t>
      </w:r>
      <w:r w:rsidR="009667C9">
        <w:t xml:space="preserve">los </w:t>
      </w:r>
      <w:r w:rsidRPr="0008020F">
        <w:t xml:space="preserve">individuos como de </w:t>
      </w:r>
      <w:r w:rsidR="009667C9">
        <w:t xml:space="preserve">las </w:t>
      </w:r>
      <w:r w:rsidRPr="0008020F">
        <w:t>empresas.</w:t>
      </w:r>
    </w:p>
    <w:p w14:paraId="1B5B3761" w14:textId="0767834A" w:rsidR="0008020F" w:rsidRPr="0008020F" w:rsidRDefault="0008020F" w:rsidP="00125E75">
      <w:pPr>
        <w:pStyle w:val="TextoPrincipal"/>
        <w:spacing w:line="360" w:lineRule="auto"/>
      </w:pPr>
      <w:r w:rsidRPr="0008020F">
        <w:t xml:space="preserve">Este estudio se enfoca en analizar y descomponer la tasa de interés activa nominal en moneda nacional, cobrada por los bancos comerciales en Honduras durante el periodo 2019-2022. Esta investigación cobra importancia en un escenario marcado por cambios drásticos en estas tasas, que van desde notables reducciones hasta aumentos significativos, atribuibles a las </w:t>
      </w:r>
      <w:r w:rsidR="009667C9">
        <w:t>políticas económicas</w:t>
      </w:r>
      <w:r w:rsidRPr="0008020F">
        <w:t xml:space="preserve"> y a los efectos de la pandemia del Covid-19. A través de la descomposición de la tasa de interés, se busca comprender los componentes que la determinan, evaluando su impacto en la economía nacional y proporcionando una base para la toma de decisiones </w:t>
      </w:r>
      <w:r w:rsidR="00D42BAC">
        <w:t>informadas.</w:t>
      </w:r>
    </w:p>
    <w:p w14:paraId="59988544" w14:textId="39330C64" w:rsidR="00D77EC3" w:rsidRPr="0008020F" w:rsidRDefault="0008020F" w:rsidP="00125E75">
      <w:pPr>
        <w:pStyle w:val="TextoPrincipal"/>
        <w:spacing w:line="360" w:lineRule="auto"/>
      </w:pPr>
      <w:r w:rsidRPr="0008020F">
        <w:t>Esta investigación se propone beneficiar a diversos actores, desde economistas y analistas financieros hasta los propios bancos comerciales, brindando una visión detallada de las dinámicas de</w:t>
      </w:r>
      <w:r w:rsidR="00FC29D7">
        <w:t xml:space="preserve"> </w:t>
      </w:r>
      <w:r w:rsidRPr="0008020F">
        <w:t>l</w:t>
      </w:r>
      <w:r w:rsidR="00FC29D7">
        <w:t>as tasas de interés activa en el</w:t>
      </w:r>
      <w:r w:rsidRPr="0008020F">
        <w:t xml:space="preserve"> mercado hondureño. Con un enfoque en la descomposición de la tasa de interés, se pretende identificar áreas de mejora en las políticas financieras y sugerir recomendaciones basadas en evidencia, contribuyendo así a la estabilidad y eficiencia del sistema financiero en Honduras.</w:t>
      </w:r>
    </w:p>
    <w:p w14:paraId="6042C821" w14:textId="240FEFFB" w:rsidR="00210E95" w:rsidRPr="00B049AA" w:rsidRDefault="004D17BE" w:rsidP="00A94B2A">
      <w:pPr>
        <w:pStyle w:val="Ttulo2"/>
        <w:numPr>
          <w:ilvl w:val="1"/>
          <w:numId w:val="2"/>
        </w:numPr>
        <w:spacing w:line="360" w:lineRule="auto"/>
      </w:pPr>
      <w:bookmarkStart w:id="23" w:name="_Toc474331178"/>
      <w:bookmarkStart w:id="24" w:name="_Toc474331377"/>
      <w:bookmarkStart w:id="25" w:name="_Toc155066573"/>
      <w:r w:rsidRPr="00B049AA">
        <w:t>ANTECEDENTES DEL PROBLEMA</w:t>
      </w:r>
      <w:bookmarkEnd w:id="23"/>
      <w:bookmarkEnd w:id="24"/>
      <w:bookmarkEnd w:id="25"/>
    </w:p>
    <w:p w14:paraId="7D049372" w14:textId="77777777" w:rsidR="00BF1166" w:rsidRPr="0062454A" w:rsidRDefault="00BF1166" w:rsidP="00125E75">
      <w:pPr>
        <w:pStyle w:val="TextoPrincipal"/>
        <w:spacing w:line="360" w:lineRule="auto"/>
      </w:pPr>
      <w:r w:rsidRPr="0062454A">
        <w:t xml:space="preserve">Los bancos comerciales desempeñan un papel crucial en la economía al facilitar la intermediación financiera, canalizando los fondos de los ahorradores hacia los prestatarios, lo que fomenta el crecimiento económico y la inversión (Johnson, 2019). Además de brindar servicios financieros esenciales como préstamos y cuentas de depósito, los bancos comerciales también generan liquidez y promueven la estabilidad monetaria a través de sus operaciones diarias (Martínez, 2018). Estas instituciones actúan como motores de la actividad económica al facilitar </w:t>
      </w:r>
      <w:r w:rsidRPr="0062454A">
        <w:lastRenderedPageBreak/>
        <w:t>la asignación eficiente de recursos y proporcionar una plataforma para el acceso al crédito por parte de individuos y empresas, lo que a su vez puede tener un impacto significativo en el consumo y la inversión en un país (Banco Central de Honduras, 2020).</w:t>
      </w:r>
    </w:p>
    <w:p w14:paraId="28680D41" w14:textId="77777777" w:rsidR="0062454A" w:rsidRDefault="00AA42FE" w:rsidP="00125E75">
      <w:pPr>
        <w:pStyle w:val="TextoPrincipal"/>
        <w:spacing w:line="360" w:lineRule="auto"/>
      </w:pPr>
      <w:r w:rsidRPr="0062454A">
        <w:t xml:space="preserve">Por su parte, las tasas de interés cobradas por los bancos comerciales desempeñan un papel crítico en la economía al influir en las decisiones de endeudamiento, inversión y consumo de individuos y empresas. Estas tasas reflejan el costo del crédito y la recompensa por el ahorro, lo que a su vez puede afectar la accesibilidad del financiamiento (Smith, 2020). </w:t>
      </w:r>
      <w:r w:rsidR="009D2953" w:rsidRPr="0062454A">
        <w:t>La tasa de interés activa se define como el porcentaje que un banco comercial cobra a sus prestatarios por el uso de fondos obtenidos a través de préstamos y créditos, reflejando tanto el costo del dinero para el prestatario como el margen de ganancia del banco</w:t>
      </w:r>
      <w:r w:rsidR="004F2485" w:rsidRPr="0062454A">
        <w:t xml:space="preserve"> (Smith, 2020)</w:t>
      </w:r>
      <w:r w:rsidR="009D2953" w:rsidRPr="0062454A">
        <w:t xml:space="preserve">. </w:t>
      </w:r>
    </w:p>
    <w:p w14:paraId="3399671D" w14:textId="0687F253" w:rsidR="00AA42FE" w:rsidRPr="0062454A" w:rsidRDefault="009D2953" w:rsidP="00125E75">
      <w:pPr>
        <w:pStyle w:val="TextoPrincipal"/>
        <w:spacing w:line="360" w:lineRule="auto"/>
      </w:pPr>
      <w:r w:rsidRPr="0062454A">
        <w:t>Esta tasa incorpora factores como el riesgo crediticio, la política monetaria y las condiciones económicas que influyen en la oferta y demanda de crédito (Gómez, A. 2018).</w:t>
      </w:r>
      <w:r w:rsidR="00D63D67" w:rsidRPr="0062454A">
        <w:t xml:space="preserve"> </w:t>
      </w:r>
      <w:r w:rsidR="00AA42FE" w:rsidRPr="0062454A">
        <w:t>El análisis de estas tasas proporciona información valiosa sobre la política monetaria, el riesgo crediticio y la salud financiera de los bancos y sus clientes, influyendo en la dinámica económica general (Johnson, 2019). Las variaciones en las tasas de interés cobradas por los bancos comerciales pueden afectar la inversión, el gasto del consumidor y la estabilidad financiera, destacando la importancia de comprender y evaluar su impacto en la economía.</w:t>
      </w:r>
    </w:p>
    <w:p w14:paraId="0A560BD6" w14:textId="77777777" w:rsidR="0062454A" w:rsidRDefault="00DC0560" w:rsidP="00125E75">
      <w:pPr>
        <w:pStyle w:val="TextoPrincipal"/>
        <w:spacing w:line="360" w:lineRule="auto"/>
      </w:pPr>
      <w:r w:rsidRPr="0062454A">
        <w:t xml:space="preserve">En </w:t>
      </w:r>
      <w:r w:rsidR="00AA42FE" w:rsidRPr="0062454A">
        <w:t xml:space="preserve">Honduras, durante </w:t>
      </w:r>
      <w:r w:rsidRPr="0062454A">
        <w:t>el período comprendido entre 2019 a 2022, se han observado cambios drásticos en las tasas de interés activas nominal en moneda nacional, que van desde reducciones considerables hasta aumentos significativos</w:t>
      </w:r>
      <w:r w:rsidR="005B39F0" w:rsidRPr="0062454A">
        <w:t xml:space="preserve">, debido en parte </w:t>
      </w:r>
      <w:r w:rsidR="00FB3488" w:rsidRPr="0062454A">
        <w:t xml:space="preserve">a las medidas de política monetaria y crediticia implementadas por el Gobierno durante el período y </w:t>
      </w:r>
      <w:r w:rsidR="005B39F0" w:rsidRPr="0062454A">
        <w:t>a los efectos de la pandemia del Covid-19</w:t>
      </w:r>
      <w:r w:rsidR="00FB3488" w:rsidRPr="0062454A">
        <w:t xml:space="preserve"> en 2020</w:t>
      </w:r>
      <w:r w:rsidRPr="0062454A">
        <w:t>. Estos cambios han generado incertidumbre y preocupación entre los consumidores, así como entre las empresas y organizaciones que dependen del acceso a financiamiento.</w:t>
      </w:r>
      <w:r w:rsidR="00ED67C8" w:rsidRPr="0062454A">
        <w:t xml:space="preserve"> </w:t>
      </w:r>
    </w:p>
    <w:p w14:paraId="1F159030" w14:textId="2489093A" w:rsidR="00AF67ED" w:rsidRPr="0062454A" w:rsidRDefault="00D77EC3" w:rsidP="00125E75">
      <w:pPr>
        <w:pStyle w:val="TextoPrincipal"/>
        <w:spacing w:line="360" w:lineRule="auto"/>
      </w:pPr>
      <w:r>
        <w:t xml:space="preserve">La </w:t>
      </w:r>
      <w:r w:rsidR="00FF1ADA" w:rsidRPr="0062454A">
        <w:t>Comisión Económica para América Latina y el Caribe (</w:t>
      </w:r>
      <w:r w:rsidR="00430C42" w:rsidRPr="0062454A">
        <w:t>2021</w:t>
      </w:r>
      <w:r w:rsidR="00FF1ADA" w:rsidRPr="0062454A">
        <w:t xml:space="preserve">), destaca que </w:t>
      </w:r>
      <w:r w:rsidR="007953B2" w:rsidRPr="0062454A">
        <w:t xml:space="preserve">el </w:t>
      </w:r>
      <w:r w:rsidR="00FF1ADA" w:rsidRPr="0062454A">
        <w:t xml:space="preserve">aumento en las tasas de interés </w:t>
      </w:r>
      <w:r w:rsidR="007953B2" w:rsidRPr="0062454A">
        <w:t xml:space="preserve">de Honduras </w:t>
      </w:r>
      <w:r w:rsidR="00FF1ADA" w:rsidRPr="0062454A">
        <w:t>puede tener diversos efectos sobre la economía y las personas, como el aumento del costo del crédito y préstamos, la desincentivación de la inversión y el crecimiento económico, la disminución del consumo y el poder adquisitivo</w:t>
      </w:r>
      <w:r>
        <w:t>,</w:t>
      </w:r>
      <w:r w:rsidR="00342F69" w:rsidRPr="0062454A">
        <w:t xml:space="preserve"> que en </w:t>
      </w:r>
      <w:r w:rsidR="0062454A">
        <w:t>el período de 2019 a 2022 fue</w:t>
      </w:r>
      <w:r w:rsidR="00342F69" w:rsidRPr="0062454A">
        <w:t xml:space="preserve"> atenuado por los efectos negativos de la pandemia Covid-19</w:t>
      </w:r>
      <w:r>
        <w:t>;</w:t>
      </w:r>
      <w:r w:rsidR="00FF1ADA" w:rsidRPr="0062454A">
        <w:t xml:space="preserve"> y la afectación a la estabilidad financiera. </w:t>
      </w:r>
      <w:r w:rsidR="00E121F1" w:rsidRPr="0062454A">
        <w:t xml:space="preserve">Otros factores, como las políticas monetarias del banco central y las </w:t>
      </w:r>
      <w:r w:rsidR="00E121F1" w:rsidRPr="0062454A">
        <w:lastRenderedPageBreak/>
        <w:t xml:space="preserve">condiciones económicas generales, también </w:t>
      </w:r>
      <w:r w:rsidR="006D08ED">
        <w:t xml:space="preserve">se enmarcaron como atenuantes que influyeron en </w:t>
      </w:r>
      <w:r w:rsidR="00E121F1" w:rsidRPr="0062454A">
        <w:t>las tasas de interés cobradas por los bancos comerciales</w:t>
      </w:r>
      <w:r w:rsidR="0062454A">
        <w:t xml:space="preserve"> de Honduras.</w:t>
      </w:r>
    </w:p>
    <w:p w14:paraId="2D34307E" w14:textId="77777777" w:rsidR="00210E95" w:rsidRPr="0062454A" w:rsidRDefault="004D17BE" w:rsidP="00210E95">
      <w:pPr>
        <w:pStyle w:val="Ttulo2"/>
      </w:pPr>
      <w:bookmarkStart w:id="26" w:name="_Toc474331179"/>
      <w:bookmarkStart w:id="27" w:name="_Toc474331378"/>
      <w:bookmarkStart w:id="28" w:name="_Toc155066574"/>
      <w:r w:rsidRPr="0062454A">
        <w:t>1.3 DEFINICIÓN DEL PROBLEMA</w:t>
      </w:r>
      <w:bookmarkEnd w:id="26"/>
      <w:bookmarkEnd w:id="27"/>
      <w:bookmarkEnd w:id="28"/>
    </w:p>
    <w:p w14:paraId="46352ACA" w14:textId="77777777" w:rsidR="005D5FAD" w:rsidRPr="00125E75" w:rsidRDefault="005D5FAD" w:rsidP="005D5FAD">
      <w:pPr>
        <w:pStyle w:val="Ttulo3"/>
        <w:spacing w:before="0" w:line="360" w:lineRule="auto"/>
        <w:ind w:left="0" w:firstLine="567"/>
        <w:rPr>
          <w:rFonts w:cs="Times New Roman"/>
          <w:bCs/>
        </w:rPr>
      </w:pPr>
      <w:bookmarkStart w:id="29" w:name="_Toc122123322"/>
      <w:bookmarkStart w:id="30" w:name="_Toc155066575"/>
      <w:r w:rsidRPr="00125E75">
        <w:rPr>
          <w:rFonts w:cs="Times New Roman"/>
          <w:bCs/>
        </w:rPr>
        <w:t xml:space="preserve">1.3.1 </w:t>
      </w:r>
      <w:bookmarkEnd w:id="29"/>
      <w:r w:rsidR="009D2AF6" w:rsidRPr="00125E75">
        <w:rPr>
          <w:rFonts w:cs="Times New Roman"/>
          <w:bCs/>
        </w:rPr>
        <w:t>ENUNCIADO DEL PROBLEMA</w:t>
      </w:r>
      <w:bookmarkEnd w:id="30"/>
    </w:p>
    <w:p w14:paraId="00B75922" w14:textId="0D7528F2" w:rsidR="000B0881" w:rsidRPr="0062454A" w:rsidRDefault="000B0881" w:rsidP="00125E75">
      <w:pPr>
        <w:pStyle w:val="TextoPrincipal"/>
        <w:spacing w:line="360" w:lineRule="auto"/>
      </w:pPr>
      <w:r w:rsidRPr="0062454A">
        <w:t xml:space="preserve">En los últimos años, las tasas de interés del sector bancario han sido objeto de atención en el panorama </w:t>
      </w:r>
      <w:r w:rsidR="00AC35D4" w:rsidRPr="0062454A">
        <w:t>de la economía hondureña</w:t>
      </w:r>
      <w:r w:rsidRPr="0062454A">
        <w:t xml:space="preserve"> y sus fluctuaciones han sido tema de discusión en</w:t>
      </w:r>
      <w:r w:rsidR="00AC35D4" w:rsidRPr="0062454A">
        <w:t>tre</w:t>
      </w:r>
      <w:r w:rsidRPr="0062454A">
        <w:t xml:space="preserve"> los diversos </w:t>
      </w:r>
      <w:r w:rsidR="00AC35D4" w:rsidRPr="0062454A">
        <w:t>sectores</w:t>
      </w:r>
      <w:r w:rsidRPr="0062454A">
        <w:t xml:space="preserve">, ya que son el precio del dinero sobre el cual los hogares y las empresas toman decisiones de ahorro e inversión, por lo que, son un elemento esencial para determinar la trayectoria del </w:t>
      </w:r>
      <w:r w:rsidR="00AC35D4" w:rsidRPr="0062454A">
        <w:t xml:space="preserve">consumo y la inversión en la economía, convirtiéndose en un factor importante del crecimiento económico del país. </w:t>
      </w:r>
    </w:p>
    <w:p w14:paraId="6BF72232" w14:textId="77777777" w:rsidR="00724A84" w:rsidRDefault="00807CA1" w:rsidP="00125E75">
      <w:pPr>
        <w:pStyle w:val="TextoPrincipal"/>
        <w:spacing w:line="360" w:lineRule="auto"/>
      </w:pPr>
      <w:r w:rsidRPr="0062454A">
        <w:t xml:space="preserve">Según el Banco Central de Honduras (2021), la tasa de interés activa en moneda nacional evidenció una disminución </w:t>
      </w:r>
      <w:r w:rsidR="00C77DAD" w:rsidRPr="0062454A">
        <w:t xml:space="preserve">a partir de diciembre de 2019 y </w:t>
      </w:r>
      <w:r w:rsidR="00B66A1B" w:rsidRPr="0062454A">
        <w:t xml:space="preserve">en los primeros meses de 2020, </w:t>
      </w:r>
      <w:r w:rsidR="00C77DAD" w:rsidRPr="0062454A">
        <w:t xml:space="preserve">explicado por los menores préstamos destinados al consumo y comercio dado la desaceleración de la actividad económica ante los efectos negativos de la pandemia Covid-19; sin embargo, se registró aumentos en las tasas de interés otorgadas </w:t>
      </w:r>
      <w:r w:rsidR="00863C4B" w:rsidRPr="0062454A">
        <w:t xml:space="preserve">en el resto del año 2020, </w:t>
      </w:r>
      <w:r w:rsidR="00C77DAD" w:rsidRPr="0062454A">
        <w:t>a medida que comenzó la reapertura gradual de la economía</w:t>
      </w:r>
      <w:r w:rsidR="00863C4B" w:rsidRPr="0062454A">
        <w:t xml:space="preserve"> y en medio de un entorno de incertidumbre sobre la magnitud y duración de la pandemia. </w:t>
      </w:r>
    </w:p>
    <w:p w14:paraId="62B08289" w14:textId="6F716330" w:rsidR="00807CA1" w:rsidRPr="0062454A" w:rsidRDefault="001F2BD2" w:rsidP="00125E75">
      <w:pPr>
        <w:pStyle w:val="TextoPrincipal"/>
        <w:spacing w:line="360" w:lineRule="auto"/>
      </w:pPr>
      <w:r w:rsidRPr="0062454A">
        <w:t>Asimismo, las medidas de política monetaria y crediticias implementadas por el Gobierno a lo largo del año y en meses posteriores, permitieron flexibilizar las condiciones financieras del país y contribuyeron a contrarrestar el impacto al alza en la tasa activa, por lo que en promedio la tasa de interés activa en 2020 se ubicó por debajo del promedio de 2019 (Banco Central de H</w:t>
      </w:r>
      <w:r w:rsidR="00CF7A06" w:rsidRPr="0062454A">
        <w:t>onduras, 2021</w:t>
      </w:r>
      <w:r w:rsidRPr="0062454A">
        <w:t xml:space="preserve">). </w:t>
      </w:r>
    </w:p>
    <w:p w14:paraId="14E32759" w14:textId="7A06CF48" w:rsidR="009D2AF6" w:rsidRPr="0062454A" w:rsidRDefault="009D2AF6" w:rsidP="00125E75">
      <w:pPr>
        <w:pStyle w:val="TextoPrincipal"/>
        <w:spacing w:line="360" w:lineRule="auto"/>
      </w:pPr>
      <w:r w:rsidRPr="0062454A">
        <w:t xml:space="preserve">  </w:t>
      </w:r>
      <w:r w:rsidR="00307519" w:rsidRPr="0062454A">
        <w:t>En el contexto anterior, es relevante indicar que, l</w:t>
      </w:r>
      <w:r w:rsidRPr="0062454A">
        <w:t xml:space="preserve">os cambios en </w:t>
      </w:r>
      <w:r w:rsidR="00CD72EB" w:rsidRPr="0062454A">
        <w:t>las</w:t>
      </w:r>
      <w:r w:rsidRPr="0062454A">
        <w:t xml:space="preserve"> tasas </w:t>
      </w:r>
      <w:r w:rsidR="00CD72EB" w:rsidRPr="0062454A">
        <w:t xml:space="preserve">de interés </w:t>
      </w:r>
      <w:r w:rsidRPr="0062454A">
        <w:t xml:space="preserve">afectan tanto a los consumidores como a las empresas, ya que impactan directamente en </w:t>
      </w:r>
      <w:r w:rsidR="00CD72EB" w:rsidRPr="0062454A">
        <w:t>el</w:t>
      </w:r>
      <w:r w:rsidRPr="0062454A">
        <w:t xml:space="preserve"> costo del crédito y en la rentabilidad de las inversiones</w:t>
      </w:r>
      <w:r w:rsidR="00AC35D4" w:rsidRPr="0062454A">
        <w:t>; además, existen preocupaciones en torno a la influencia de factores económicos, financieros y regulatorios en el comportamiento de las tasas de interés.</w:t>
      </w:r>
      <w:r w:rsidR="00AB2DF7" w:rsidRPr="0062454A">
        <w:t xml:space="preserve"> Por lo tanto, se considera</w:t>
      </w:r>
      <w:r w:rsidR="00193F0B" w:rsidRPr="0062454A">
        <w:t xml:space="preserve"> como</w:t>
      </w:r>
      <w:r w:rsidR="00AB2DF7" w:rsidRPr="0062454A">
        <w:t xml:space="preserve"> necesario una compresión más profunda de estos factores y su influencia en las tasas de interés</w:t>
      </w:r>
      <w:r w:rsidR="00193F0B" w:rsidRPr="0062454A">
        <w:t xml:space="preserve">, para que los hacedores de políticas implementen medidas que promuevan la estabilidad financiera y el acceso al crédito. </w:t>
      </w:r>
    </w:p>
    <w:p w14:paraId="69694B6F" w14:textId="77777777" w:rsidR="00210E95" w:rsidRPr="0062454A" w:rsidRDefault="009D2AF6" w:rsidP="00125E75">
      <w:pPr>
        <w:pStyle w:val="TextoPrincipal"/>
        <w:spacing w:line="360" w:lineRule="auto"/>
      </w:pPr>
      <w:r w:rsidRPr="0062454A">
        <w:lastRenderedPageBreak/>
        <w:t>A pesar de la importancia económica y social de las tasas de interés,</w:t>
      </w:r>
      <w:r w:rsidR="00E77200" w:rsidRPr="0062454A">
        <w:t xml:space="preserve"> en Honduras</w:t>
      </w:r>
      <w:r w:rsidRPr="0062454A">
        <w:t xml:space="preserve"> existe una falta de comprensión</w:t>
      </w:r>
      <w:r w:rsidR="00193F0B" w:rsidRPr="0062454A">
        <w:t xml:space="preserve"> profunda </w:t>
      </w:r>
      <w:r w:rsidRPr="0062454A">
        <w:t xml:space="preserve">de los </w:t>
      </w:r>
      <w:r w:rsidR="00193F0B" w:rsidRPr="0062454A">
        <w:t xml:space="preserve">componentes </w:t>
      </w:r>
      <w:r w:rsidRPr="0062454A">
        <w:t>que influyen en su determinación</w:t>
      </w:r>
      <w:r w:rsidR="00193F0B" w:rsidRPr="0062454A">
        <w:t xml:space="preserve">, así como </w:t>
      </w:r>
      <w:r w:rsidRPr="0062454A">
        <w:t>de las implicaciones que tienen en la economía nacional y en los usuarios de servicios bancarios</w:t>
      </w:r>
      <w:r w:rsidR="00193F0B" w:rsidRPr="0062454A">
        <w:t>; lo que hace que su descomposición y análisis sea un tema complejo y de gran interés.</w:t>
      </w:r>
    </w:p>
    <w:p w14:paraId="077FDF52" w14:textId="77777777" w:rsidR="0081118A" w:rsidRPr="00125E75" w:rsidRDefault="0081118A" w:rsidP="0081118A">
      <w:pPr>
        <w:pStyle w:val="Ttulo3"/>
        <w:rPr>
          <w:bCs/>
        </w:rPr>
      </w:pPr>
      <w:bookmarkStart w:id="31" w:name="_Toc113751887"/>
      <w:bookmarkStart w:id="32" w:name="_Toc155066576"/>
      <w:r w:rsidRPr="00125E75">
        <w:rPr>
          <w:bCs/>
        </w:rPr>
        <w:t>1.3.2 FORMULACIÓN DEL PROBLEMA</w:t>
      </w:r>
      <w:bookmarkEnd w:id="31"/>
      <w:bookmarkEnd w:id="32"/>
    </w:p>
    <w:p w14:paraId="4FA6FD7E" w14:textId="406DF509" w:rsidR="0081118A" w:rsidRPr="0062454A" w:rsidRDefault="0081118A" w:rsidP="00125E75">
      <w:pPr>
        <w:pStyle w:val="TextoPrincipal"/>
        <w:spacing w:line="360" w:lineRule="auto"/>
      </w:pPr>
      <w:bookmarkStart w:id="33" w:name="_Hlk142087642"/>
      <w:r w:rsidRPr="0062454A">
        <w:t>¿Cuáles son l</w:t>
      </w:r>
      <w:r w:rsidR="00BD63BE" w:rsidRPr="0062454A">
        <w:t>o</w:t>
      </w:r>
      <w:r w:rsidRPr="0062454A">
        <w:t>s principales</w:t>
      </w:r>
      <w:r w:rsidR="00F65564" w:rsidRPr="0062454A">
        <w:t xml:space="preserve"> factores </w:t>
      </w:r>
      <w:r w:rsidR="00243EBF" w:rsidRPr="0062454A">
        <w:t>macro</w:t>
      </w:r>
      <w:r w:rsidRPr="0062454A">
        <w:t>económicos y</w:t>
      </w:r>
      <w:r w:rsidR="00F65564" w:rsidRPr="0062454A">
        <w:t xml:space="preserve"> </w:t>
      </w:r>
      <w:r w:rsidRPr="0062454A">
        <w:t xml:space="preserve">financieros que determinaron el comportamiento </w:t>
      </w:r>
      <w:r w:rsidR="009B4B1D" w:rsidRPr="0062454A">
        <w:t xml:space="preserve">cíclico </w:t>
      </w:r>
      <w:r w:rsidRPr="0062454A">
        <w:t>de la tasa de interés nominal en moneda nacional cobrada por los bancos comerciales en Honduras durante el período de 2019 a 2022?</w:t>
      </w:r>
    </w:p>
    <w:p w14:paraId="5457A729" w14:textId="77777777" w:rsidR="00175D1B" w:rsidRPr="0050312A" w:rsidRDefault="00175D1B" w:rsidP="00175D1B">
      <w:pPr>
        <w:pStyle w:val="Ttulo3"/>
        <w:rPr>
          <w:bCs/>
        </w:rPr>
      </w:pPr>
      <w:bookmarkStart w:id="34" w:name="_Toc113751888"/>
      <w:bookmarkStart w:id="35" w:name="_Toc155066577"/>
      <w:bookmarkEnd w:id="33"/>
      <w:r w:rsidRPr="0050312A">
        <w:rPr>
          <w:bCs/>
        </w:rPr>
        <w:t>1.3.3 PREGUNTAS DE INVESTIGACIÓN</w:t>
      </w:r>
      <w:bookmarkEnd w:id="34"/>
      <w:bookmarkEnd w:id="35"/>
    </w:p>
    <w:p w14:paraId="4AA9C56D" w14:textId="77777777" w:rsidR="008F5977" w:rsidRPr="0062454A" w:rsidRDefault="008F5977" w:rsidP="007E7E61">
      <w:pPr>
        <w:pStyle w:val="TextoPrincipal"/>
        <w:numPr>
          <w:ilvl w:val="0"/>
          <w:numId w:val="9"/>
        </w:numPr>
        <w:spacing w:line="360" w:lineRule="auto"/>
      </w:pPr>
      <w:r w:rsidRPr="0062454A">
        <w:t>¿Cuáles fueron los factores macroeconómicos que influenciaron la tasa de interés nominal en moneda nacional cobrada por los bancos comerciales en Honduras durante el período de 2019 a 2022?</w:t>
      </w:r>
    </w:p>
    <w:p w14:paraId="6E07C18F" w14:textId="0C4B1A49" w:rsidR="00730F9E" w:rsidRPr="0062454A" w:rsidRDefault="008F5977" w:rsidP="007E7E61">
      <w:pPr>
        <w:pStyle w:val="TextoPrincipal"/>
        <w:numPr>
          <w:ilvl w:val="0"/>
          <w:numId w:val="9"/>
        </w:numPr>
        <w:spacing w:line="360" w:lineRule="auto"/>
      </w:pPr>
      <w:r w:rsidRPr="0062454A">
        <w:t xml:space="preserve">¿Cuáles fueron los principales </w:t>
      </w:r>
      <w:r w:rsidR="00C72194">
        <w:t>componentes</w:t>
      </w:r>
      <w:r w:rsidR="001D4036" w:rsidRPr="0062454A">
        <w:t xml:space="preserve"> </w:t>
      </w:r>
      <w:r w:rsidRPr="0062454A">
        <w:t xml:space="preserve">financieros que determinaron la tasa </w:t>
      </w:r>
      <w:r w:rsidR="00730F9E" w:rsidRPr="0062454A">
        <w:t>de interés nominal en moneda nacional cobrada por los bancos comerciales en Honduras durante el período de 2019 a 2022?</w:t>
      </w:r>
    </w:p>
    <w:p w14:paraId="23D00507" w14:textId="07688810" w:rsidR="00015251" w:rsidRPr="0062454A" w:rsidRDefault="00082EEE" w:rsidP="007E7E61">
      <w:pPr>
        <w:pStyle w:val="TextoPrincipal"/>
        <w:numPr>
          <w:ilvl w:val="0"/>
          <w:numId w:val="9"/>
        </w:numPr>
        <w:spacing w:line="360" w:lineRule="auto"/>
      </w:pPr>
      <w:r w:rsidRPr="0062454A">
        <w:t>¿Cuál ha sido la incidencia de las políticas gubernamentales en apoyo al crédito en el comportamiento general de la tasa de interés nominal en moneda nacional cobrada por los bancos comerciales en Honduras durante el período de 2019 a 2022?</w:t>
      </w:r>
    </w:p>
    <w:p w14:paraId="3A99786C" w14:textId="77777777" w:rsidR="00210E95" w:rsidRPr="0062454A" w:rsidRDefault="004D17BE" w:rsidP="00A94B2A">
      <w:pPr>
        <w:pStyle w:val="Ttulo2"/>
        <w:spacing w:line="360" w:lineRule="auto"/>
      </w:pPr>
      <w:bookmarkStart w:id="36" w:name="_Toc474331180"/>
      <w:bookmarkStart w:id="37" w:name="_Toc474331379"/>
      <w:bookmarkStart w:id="38" w:name="_Toc155066578"/>
      <w:r w:rsidRPr="0062454A">
        <w:t>1.4 OBJETIVOS DEL PROYECTO</w:t>
      </w:r>
      <w:bookmarkEnd w:id="36"/>
      <w:bookmarkEnd w:id="37"/>
      <w:bookmarkEnd w:id="38"/>
    </w:p>
    <w:p w14:paraId="2CAD893F" w14:textId="77777777" w:rsidR="00F65564" w:rsidRPr="0050312A" w:rsidRDefault="00F65564" w:rsidP="00F65564">
      <w:pPr>
        <w:pStyle w:val="Ttulo3"/>
        <w:rPr>
          <w:bCs/>
        </w:rPr>
      </w:pPr>
      <w:bookmarkStart w:id="39" w:name="_Toc155066579"/>
      <w:r w:rsidRPr="0050312A">
        <w:rPr>
          <w:bCs/>
        </w:rPr>
        <w:t>1.4.1 OBJETIVO GENERAL</w:t>
      </w:r>
      <w:bookmarkEnd w:id="39"/>
    </w:p>
    <w:p w14:paraId="187710B4" w14:textId="0FA5E4C6" w:rsidR="00F65564" w:rsidRPr="0062454A" w:rsidRDefault="00F65564" w:rsidP="0050312A">
      <w:pPr>
        <w:pStyle w:val="TextoPrincipal"/>
        <w:spacing w:line="360" w:lineRule="auto"/>
      </w:pPr>
      <w:r w:rsidRPr="0062454A">
        <w:t xml:space="preserve">Analizar los principales </w:t>
      </w:r>
      <w:r w:rsidR="00536CFE" w:rsidRPr="0062454A">
        <w:t>factores</w:t>
      </w:r>
      <w:r w:rsidRPr="0062454A">
        <w:t xml:space="preserve"> </w:t>
      </w:r>
      <w:r w:rsidR="00243EBF" w:rsidRPr="0062454A">
        <w:t>macro</w:t>
      </w:r>
      <w:r w:rsidRPr="0062454A">
        <w:t>económicos y</w:t>
      </w:r>
      <w:r w:rsidR="002F1E91" w:rsidRPr="0062454A">
        <w:t xml:space="preserve"> </w:t>
      </w:r>
      <w:r w:rsidRPr="0062454A">
        <w:t xml:space="preserve">financieros que determinaron el comportamiento </w:t>
      </w:r>
      <w:r w:rsidR="009B4B1D" w:rsidRPr="0062454A">
        <w:t xml:space="preserve">cíclico </w:t>
      </w:r>
      <w:r w:rsidRPr="0062454A">
        <w:t>de la tasa de interés nominal en moneda nacional cobrada por los bancos comerciales en Honduras durante el período de 2019 a 2022.</w:t>
      </w:r>
    </w:p>
    <w:p w14:paraId="2AC88290" w14:textId="160FEA22" w:rsidR="00F5327C" w:rsidRPr="0050312A" w:rsidRDefault="00F5327C" w:rsidP="00F5327C">
      <w:pPr>
        <w:pStyle w:val="Ttulo3"/>
        <w:rPr>
          <w:bCs/>
        </w:rPr>
      </w:pPr>
      <w:bookmarkStart w:id="40" w:name="_Toc155066580"/>
      <w:r w:rsidRPr="0050312A">
        <w:rPr>
          <w:bCs/>
        </w:rPr>
        <w:t>1.4.</w:t>
      </w:r>
      <w:r w:rsidR="0050312A">
        <w:rPr>
          <w:bCs/>
        </w:rPr>
        <w:t>2</w:t>
      </w:r>
      <w:r w:rsidRPr="0050312A">
        <w:rPr>
          <w:bCs/>
        </w:rPr>
        <w:t xml:space="preserve"> OBJETIVO ESPECIFICOS</w:t>
      </w:r>
      <w:bookmarkEnd w:id="40"/>
      <w:r w:rsidRPr="0050312A">
        <w:rPr>
          <w:bCs/>
        </w:rPr>
        <w:t xml:space="preserve"> </w:t>
      </w:r>
    </w:p>
    <w:p w14:paraId="2DF7ECDF" w14:textId="18D91F1E" w:rsidR="00F5327C" w:rsidRPr="0062454A" w:rsidRDefault="0062454A" w:rsidP="007E7E61">
      <w:pPr>
        <w:pStyle w:val="TextoPrincipal"/>
        <w:numPr>
          <w:ilvl w:val="0"/>
          <w:numId w:val="8"/>
        </w:numPr>
        <w:spacing w:line="360" w:lineRule="auto"/>
      </w:pPr>
      <w:r>
        <w:t>Identificar</w:t>
      </w:r>
      <w:r w:rsidR="00F5327C" w:rsidRPr="0062454A">
        <w:t xml:space="preserve"> los factores macroeconómicos que influenciaron la tasa de interés </w:t>
      </w:r>
      <w:r>
        <w:t xml:space="preserve">activa </w:t>
      </w:r>
      <w:r w:rsidR="00F5327C" w:rsidRPr="0062454A">
        <w:t xml:space="preserve">nominal en moneda nacional </w:t>
      </w:r>
      <w:r>
        <w:t>adoptada</w:t>
      </w:r>
      <w:r w:rsidR="00F5327C" w:rsidRPr="0062454A">
        <w:t xml:space="preserve"> por los bancos comerciales en Honduras durante el período de 2019 a 2022</w:t>
      </w:r>
      <w:r w:rsidR="002F1E91" w:rsidRPr="0062454A">
        <w:t>.</w:t>
      </w:r>
    </w:p>
    <w:p w14:paraId="1B46EB59" w14:textId="635EEE79" w:rsidR="00F5327C" w:rsidRPr="0062454A" w:rsidRDefault="0062454A" w:rsidP="007E7E61">
      <w:pPr>
        <w:pStyle w:val="TextoPrincipal"/>
        <w:numPr>
          <w:ilvl w:val="0"/>
          <w:numId w:val="8"/>
        </w:numPr>
        <w:spacing w:line="360" w:lineRule="auto"/>
      </w:pPr>
      <w:r>
        <w:t>Evaluar</w:t>
      </w:r>
      <w:r w:rsidR="00F5327C" w:rsidRPr="0062454A">
        <w:t xml:space="preserve"> los principales </w:t>
      </w:r>
      <w:r w:rsidR="00C72194">
        <w:t>componentes</w:t>
      </w:r>
      <w:r w:rsidR="009B4B1D" w:rsidRPr="0062454A">
        <w:t xml:space="preserve"> </w:t>
      </w:r>
      <w:r w:rsidR="00F5327C" w:rsidRPr="0062454A">
        <w:t xml:space="preserve">financieros que determinaron la tasa de interés </w:t>
      </w:r>
      <w:r w:rsidR="00F5327C" w:rsidRPr="0062454A">
        <w:lastRenderedPageBreak/>
        <w:t>nominal en moneda nacional cobrada por los bancos comerciales en Honduras durante el período de 2019 a 2022</w:t>
      </w:r>
      <w:r w:rsidR="00F94BFA" w:rsidRPr="0062454A">
        <w:t>.</w:t>
      </w:r>
    </w:p>
    <w:p w14:paraId="5BE024FA" w14:textId="1733C760" w:rsidR="004F524B" w:rsidRPr="0062454A" w:rsidRDefault="0062454A" w:rsidP="007E7E61">
      <w:pPr>
        <w:pStyle w:val="TextoPrincipal"/>
        <w:numPr>
          <w:ilvl w:val="0"/>
          <w:numId w:val="8"/>
        </w:numPr>
        <w:spacing w:line="360" w:lineRule="auto"/>
      </w:pPr>
      <w:r>
        <w:t>Determinar</w:t>
      </w:r>
      <w:r w:rsidR="00082EEE" w:rsidRPr="0062454A">
        <w:t xml:space="preserve"> la incidencia de las políticas gubernamentales en apoyo al crédito en el comportamiento general de la tasa de interés nominal en moneda nacional cobrada por los bancos comerciales en Honduras durante el período de 2019 a 2022. </w:t>
      </w:r>
    </w:p>
    <w:p w14:paraId="7ED5B0D1" w14:textId="6ABF15E6" w:rsidR="004F524B" w:rsidRPr="0062454A" w:rsidRDefault="0062454A" w:rsidP="007E7E61">
      <w:pPr>
        <w:pStyle w:val="TextoPrincipal"/>
        <w:numPr>
          <w:ilvl w:val="0"/>
          <w:numId w:val="8"/>
        </w:numPr>
        <w:spacing w:line="360" w:lineRule="auto"/>
      </w:pPr>
      <w:r>
        <w:t>Elaborar</w:t>
      </w:r>
      <w:r w:rsidR="004F524B" w:rsidRPr="0062454A">
        <w:t xml:space="preserve"> un manual para la administración y gestión eficiente de costos administrativos </w:t>
      </w:r>
      <w:r>
        <w:t xml:space="preserve">para la toma de decisiones </w:t>
      </w:r>
      <w:r w:rsidR="004F524B" w:rsidRPr="0062454A">
        <w:t xml:space="preserve">en instituciones financieras, </w:t>
      </w:r>
      <w:r>
        <w:t>relacionada con la optimización de procesos administrativos internos.</w:t>
      </w:r>
    </w:p>
    <w:p w14:paraId="6FEA736A" w14:textId="77777777" w:rsidR="00210E95" w:rsidRPr="0062454A" w:rsidRDefault="004D17BE" w:rsidP="00A94B2A">
      <w:pPr>
        <w:pStyle w:val="Ttulo2"/>
        <w:spacing w:line="360" w:lineRule="auto"/>
      </w:pPr>
      <w:bookmarkStart w:id="41" w:name="_Toc474331181"/>
      <w:bookmarkStart w:id="42" w:name="_Toc474331380"/>
      <w:bookmarkStart w:id="43" w:name="_Toc155066581"/>
      <w:r w:rsidRPr="0062454A">
        <w:t>1.5 JUSTIFICACIÓN</w:t>
      </w:r>
      <w:bookmarkEnd w:id="41"/>
      <w:bookmarkEnd w:id="42"/>
      <w:bookmarkEnd w:id="43"/>
    </w:p>
    <w:p w14:paraId="105AA5AB" w14:textId="090634DD" w:rsidR="006D4CC0" w:rsidRPr="0062454A" w:rsidRDefault="000247BB" w:rsidP="0050312A">
      <w:pPr>
        <w:pStyle w:val="TextoPrincipal"/>
        <w:spacing w:line="360" w:lineRule="auto"/>
      </w:pPr>
      <w:r w:rsidRPr="0062454A">
        <w:t>Smith (2020), e</w:t>
      </w:r>
      <w:r w:rsidR="006D4CC0" w:rsidRPr="0062454A">
        <w:t>l análisis de las tasas de interés cobradas por los bancos comerciales reviste una gran importancia, ya que estas tasas afectan directamente a la economía, a los consumidores y a las empresas. Las tasas de interés influyen en las decisiones de inversión, el acceso al crédito, el consumo y la estabilidad financiera de los individuos y las empresas. Además, el estudio de estas tasas puede proporcionar información valiosa sobre la salud del sistema financiero, la política monetaria y las tendencias económicas.</w:t>
      </w:r>
    </w:p>
    <w:p w14:paraId="009243DA" w14:textId="6138535D" w:rsidR="000247BB" w:rsidRPr="0062454A" w:rsidRDefault="000247BB" w:rsidP="0050312A">
      <w:pPr>
        <w:pStyle w:val="TextoPrincipal"/>
        <w:spacing w:line="360" w:lineRule="auto"/>
      </w:pPr>
      <w:r w:rsidRPr="0062454A">
        <w:t>La investigación sobre el análisis y descomposición de la tasa de interés en moneda nacional cobrada por los bancos comerciales en Honduras durante el período 2019-2022 es de vital importancia debido a su relevancia en el contexto económico y financiero del país</w:t>
      </w:r>
      <w:r w:rsidR="004D215C" w:rsidRPr="0062454A">
        <w:t>.</w:t>
      </w:r>
      <w:r w:rsidRPr="0062454A">
        <w:t xml:space="preserve"> </w:t>
      </w:r>
      <w:r w:rsidR="004D215C" w:rsidRPr="0062454A">
        <w:t>E</w:t>
      </w:r>
      <w:r w:rsidRPr="0062454A">
        <w:t xml:space="preserve">ntender los factores que influyen en las tasas de interés permitirá a los responsables de la política económica y a los agentes económicos tomar decisiones más informadas y adecuadas para promover el crecimiento y la estabilidad financiera. </w:t>
      </w:r>
    </w:p>
    <w:p w14:paraId="7302E526" w14:textId="22386D0E" w:rsidR="004476FE" w:rsidRPr="0062454A" w:rsidRDefault="00A6246A" w:rsidP="0050312A">
      <w:pPr>
        <w:pStyle w:val="TextoPrincipal"/>
        <w:spacing w:line="360" w:lineRule="auto"/>
      </w:pPr>
      <w:r w:rsidRPr="0062454A">
        <w:t>En el período de análisis, el comportamiento de la tasa de interés activa nominal en moneda nacional en la economía hondureña, muestra una tendencia decreciente al pasar de 17.39% en 20</w:t>
      </w:r>
      <w:r w:rsidR="00DF2469" w:rsidRPr="0062454A">
        <w:t>19</w:t>
      </w:r>
      <w:r w:rsidRPr="0062454A">
        <w:t xml:space="preserve"> a 14.31% e</w:t>
      </w:r>
      <w:r w:rsidR="00DF2469" w:rsidRPr="0062454A">
        <w:t xml:space="preserve">n </w:t>
      </w:r>
      <w:r w:rsidRPr="0062454A">
        <w:t xml:space="preserve">2022, </w:t>
      </w:r>
      <w:r w:rsidR="00445F6D" w:rsidRPr="0062454A">
        <w:t xml:space="preserve">según cifras publicadas por el Banco Central de Honduras; </w:t>
      </w:r>
      <w:r w:rsidRPr="0062454A">
        <w:t xml:space="preserve">dicho comportamiento </w:t>
      </w:r>
      <w:r w:rsidR="00445F6D" w:rsidRPr="0062454A">
        <w:t>pudo haber</w:t>
      </w:r>
      <w:r w:rsidRPr="0062454A">
        <w:t xml:space="preserve"> sido influenciado por factores macroeconómicos, como la evolución de la</w:t>
      </w:r>
      <w:r w:rsidR="00445F6D" w:rsidRPr="0062454A">
        <w:t>s principales variables</w:t>
      </w:r>
      <w:r w:rsidRPr="0062454A">
        <w:t xml:space="preserve"> </w:t>
      </w:r>
      <w:r w:rsidR="00F32484" w:rsidRPr="0062454A">
        <w:t>económicas</w:t>
      </w:r>
      <w:r w:rsidRPr="0062454A">
        <w:t xml:space="preserve"> y las medidas de política monetaria implementadas por </w:t>
      </w:r>
      <w:r w:rsidR="00275544" w:rsidRPr="0062454A">
        <w:t>la Autoridad Monetaria</w:t>
      </w:r>
      <w:r w:rsidRPr="0062454A">
        <w:t>; así como, por elementos microeconómicos</w:t>
      </w:r>
      <w:r w:rsidR="00E75871" w:rsidRPr="0062454A">
        <w:t xml:space="preserve"> del sistema financiero</w:t>
      </w:r>
      <w:r w:rsidR="00DF2469" w:rsidRPr="0062454A">
        <w:t>,</w:t>
      </w:r>
      <w:r w:rsidRPr="0062454A">
        <w:t xml:space="preserve"> relacionados con </w:t>
      </w:r>
      <w:r w:rsidR="00E75871" w:rsidRPr="0062454A">
        <w:t xml:space="preserve">el riesgo crediticio, el nivel de encajes, la estructura impositiva, el marco regulatorio, entre otros. </w:t>
      </w:r>
    </w:p>
    <w:p w14:paraId="0641B48D" w14:textId="67432F43" w:rsidR="00A6246A" w:rsidRPr="0062454A" w:rsidRDefault="004476FE" w:rsidP="0050312A">
      <w:pPr>
        <w:pStyle w:val="TextoPrincipal"/>
        <w:spacing w:line="360" w:lineRule="auto"/>
      </w:pPr>
      <w:r w:rsidRPr="0062454A">
        <w:lastRenderedPageBreak/>
        <w:t>Pese al comportamiento descrito anteriormente</w:t>
      </w:r>
      <w:r w:rsidR="00E75871" w:rsidRPr="0062454A">
        <w:t xml:space="preserve">, las tasas de interés de Honduras </w:t>
      </w:r>
      <w:r w:rsidR="005F5093" w:rsidRPr="0062454A">
        <w:t xml:space="preserve">son considerablemente altas y </w:t>
      </w:r>
      <w:r w:rsidR="00E75871" w:rsidRPr="0062454A">
        <w:t>se han mantenido por encima de los niveles registrados en los países de la región CARDP (Centroamérica, República Dominicana y Panamá)</w:t>
      </w:r>
      <w:r w:rsidR="00DF2469" w:rsidRPr="0062454A">
        <w:t xml:space="preserve">, lo cual puede </w:t>
      </w:r>
      <w:r w:rsidR="00E32B3D" w:rsidRPr="0062454A">
        <w:t>estar relacionado con</w:t>
      </w:r>
      <w:r w:rsidR="00DE27DD" w:rsidRPr="0062454A">
        <w:t xml:space="preserve"> factores como</w:t>
      </w:r>
      <w:r w:rsidR="00DF2469" w:rsidRPr="0062454A">
        <w:t xml:space="preserve"> </w:t>
      </w:r>
      <w:r w:rsidR="00376BBC" w:rsidRPr="0062454A">
        <w:t xml:space="preserve">el ciclo económico, </w:t>
      </w:r>
      <w:r w:rsidR="003B2EDE" w:rsidRPr="0062454A">
        <w:t xml:space="preserve">la percepción de riesgo país, </w:t>
      </w:r>
      <w:r w:rsidR="0037568E" w:rsidRPr="0062454A">
        <w:t>las decisiones de política monetaria y fiscal, la demanda y oferta de crédito</w:t>
      </w:r>
      <w:r w:rsidR="00DE27DD" w:rsidRPr="0062454A">
        <w:t xml:space="preserve">, la inflación, el historial de crédito, </w:t>
      </w:r>
      <w:r w:rsidR="0060310E" w:rsidRPr="0062454A">
        <w:t xml:space="preserve">el acceso al crédito, </w:t>
      </w:r>
      <w:r w:rsidR="00DE27DD" w:rsidRPr="0062454A">
        <w:t xml:space="preserve">la estabilidad financiera, entre otros. </w:t>
      </w:r>
    </w:p>
    <w:p w14:paraId="0E9BD6FE" w14:textId="77777777" w:rsidR="00724A84" w:rsidRDefault="007D6F83" w:rsidP="0050312A">
      <w:pPr>
        <w:pStyle w:val="TextoPrincipal"/>
        <w:spacing w:line="360" w:lineRule="auto"/>
      </w:pPr>
      <w:r w:rsidRPr="0062454A">
        <w:t>Dado</w:t>
      </w:r>
      <w:r w:rsidR="00376BBC" w:rsidRPr="0062454A">
        <w:t xml:space="preserve"> el contexto anterior, se buscará evaluar el nivel y los determinantes de las tasas de interés de préstamos del sistema bancario, proporcionando una visión detallada de cómo las tasas de interés han evolucionado durante el período estudiado y los factores que han determinado dicho comportamiento, desde la perspectiva </w:t>
      </w:r>
      <w:r w:rsidR="002E4A88" w:rsidRPr="0062454A">
        <w:t xml:space="preserve">macroeconómica, incluidas la evolución de las principales variables de la economía y </w:t>
      </w:r>
      <w:r w:rsidR="00376BBC" w:rsidRPr="0062454A">
        <w:t>las medidas de política implementadas por el B</w:t>
      </w:r>
      <w:r w:rsidR="002E4A88" w:rsidRPr="0062454A">
        <w:t xml:space="preserve">anco </w:t>
      </w:r>
      <w:r w:rsidR="00376BBC" w:rsidRPr="0062454A">
        <w:t>C</w:t>
      </w:r>
      <w:r w:rsidR="002E4A88" w:rsidRPr="0062454A">
        <w:t xml:space="preserve">entra de </w:t>
      </w:r>
      <w:r w:rsidR="00376BBC" w:rsidRPr="0062454A">
        <w:t>H</w:t>
      </w:r>
      <w:r w:rsidR="002E4A88" w:rsidRPr="0062454A">
        <w:t>onduras;</w:t>
      </w:r>
      <w:r w:rsidR="00376BBC" w:rsidRPr="0062454A">
        <w:t xml:space="preserve"> así como</w:t>
      </w:r>
      <w:r w:rsidR="002E4A88" w:rsidRPr="0062454A">
        <w:t>,</w:t>
      </w:r>
      <w:r w:rsidR="00376BBC" w:rsidRPr="0062454A">
        <w:t xml:space="preserve"> desde el aspecto de la estructura financiera del sistema bancario</w:t>
      </w:r>
      <w:r w:rsidR="007F1896" w:rsidRPr="0062454A">
        <w:t xml:space="preserve">. </w:t>
      </w:r>
    </w:p>
    <w:p w14:paraId="383CE62C" w14:textId="40BA1FB3" w:rsidR="009040AD" w:rsidRDefault="007F1896" w:rsidP="009040AD">
      <w:pPr>
        <w:pStyle w:val="TextoPrincipal"/>
        <w:spacing w:line="360" w:lineRule="auto"/>
      </w:pPr>
      <w:r w:rsidRPr="0062454A">
        <w:t xml:space="preserve">Lo anterior, </w:t>
      </w:r>
      <w:r w:rsidR="00376BBC" w:rsidRPr="0062454A">
        <w:t xml:space="preserve">ayudará a los tomadores de decisiones en el ámbito financiero a comprender mejor las dinámicas del mercado </w:t>
      </w:r>
      <w:r w:rsidRPr="0062454A">
        <w:t xml:space="preserve">financiero </w:t>
      </w:r>
      <w:r w:rsidR="00376BBC" w:rsidRPr="0062454A">
        <w:t>y cómo afectan a la economía en general; además, permitirá identificar posibles áreas de mejora en las políticas, lo que podría conducir a un entorno financiero más favorable para los hogares y las empresas.</w:t>
      </w:r>
      <w:r w:rsidR="00A65EC3" w:rsidRPr="0062454A">
        <w:t xml:space="preserve"> A</w:t>
      </w:r>
      <w:r w:rsidR="0060310E" w:rsidRPr="0062454A">
        <w:t>simismo</w:t>
      </w:r>
      <w:r w:rsidR="00A65EC3" w:rsidRPr="0062454A">
        <w:t>, en un contexto de globalización y mercados interconectados, entender la evolución de las tasas de interés en Honduras permitirá comparar su desempeño con el de otras economías, lo que es fundamental para mantener la competitividad y la atracción de inversiones.</w:t>
      </w:r>
    </w:p>
    <w:p w14:paraId="7DC63C50" w14:textId="1357049F" w:rsidR="00A613AB" w:rsidRPr="0062454A" w:rsidRDefault="009040AD" w:rsidP="009040AD">
      <w:pPr>
        <w:pStyle w:val="TextoPrincipal"/>
        <w:spacing w:line="360" w:lineRule="auto"/>
      </w:pPr>
      <w:r>
        <w:t>La descomposición de la tasa de interés es fundamental para comprender las complejas dinámicas del mercado financiero en Honduras. Esta desagregación permite analizar cómo factores como la inflación, el riesgo crediticio y las políticas monetarias impactan en la tasa de interés final que los agentes económicos enfrentan al solicitar préstamos o invertir. Al comprender cómo estos componentes contribuyen a la formación de la tasa de interés, los tomadores de decisiones pueden ajustar estrategias financieras y políticas para promover un entorno económico más estable y favorable para el crecimiento.</w:t>
      </w:r>
    </w:p>
    <w:p w14:paraId="33C0040F" w14:textId="77777777" w:rsidR="00A65EC3" w:rsidRPr="0062454A" w:rsidRDefault="00A65EC3" w:rsidP="0050312A">
      <w:pPr>
        <w:pStyle w:val="TextoPrincipal"/>
        <w:spacing w:line="360" w:lineRule="auto"/>
      </w:pPr>
      <w:r w:rsidRPr="0062454A">
        <w:t xml:space="preserve">Los principales beneficiarios de esta investigación serán </w:t>
      </w:r>
      <w:r w:rsidR="00833A0C" w:rsidRPr="0062454A">
        <w:t xml:space="preserve">los economistas y analistas financieros, los agentes económicos (hogares y empresas), consumidores y la academia, </w:t>
      </w:r>
      <w:r w:rsidR="007A3955" w:rsidRPr="0062454A">
        <w:t xml:space="preserve">para la toma de decisiones informadas; </w:t>
      </w:r>
      <w:r w:rsidR="00833A0C" w:rsidRPr="0062454A">
        <w:t>así como</w:t>
      </w:r>
      <w:r w:rsidR="007A3955" w:rsidRPr="0062454A">
        <w:t>, a</w:t>
      </w:r>
      <w:r w:rsidR="00833A0C" w:rsidRPr="0062454A">
        <w:t xml:space="preserve"> </w:t>
      </w:r>
      <w:r w:rsidRPr="0062454A">
        <w:t>las autoridades monetarias y financieras de Honduras, quienes podrán utilizar los hallazgos</w:t>
      </w:r>
      <w:r w:rsidR="007E0967" w:rsidRPr="0062454A">
        <w:t xml:space="preserve"> de esta investigación</w:t>
      </w:r>
      <w:r w:rsidRPr="0062454A">
        <w:t xml:space="preserve"> </w:t>
      </w:r>
      <w:r w:rsidR="007E0967" w:rsidRPr="0062454A">
        <w:t xml:space="preserve">como referencia para </w:t>
      </w:r>
      <w:r w:rsidRPr="0062454A">
        <w:t xml:space="preserve">diseñar políticas </w:t>
      </w:r>
      <w:r w:rsidRPr="0062454A">
        <w:lastRenderedPageBreak/>
        <w:t>más efectivas y mejorar la gestión del sistema financiero. Además, los bancos comerciales y otras instituciones financieras también se beneficiarán al tener una mayor comprensión de cómo las tasas de interés afectan su negocio y a sus clientes.</w:t>
      </w:r>
    </w:p>
    <w:p w14:paraId="6868830F" w14:textId="5DC84635" w:rsidR="00BE0908" w:rsidRPr="0062454A" w:rsidRDefault="00BE0908" w:rsidP="0050312A">
      <w:pPr>
        <w:pStyle w:val="TextoPrincipal"/>
        <w:spacing w:line="360" w:lineRule="auto"/>
      </w:pPr>
      <w:r w:rsidRPr="0062454A">
        <w:t xml:space="preserve">El alcance de esta investigación abarcará un análisis exhaustivo de la tasa de interés </w:t>
      </w:r>
      <w:r w:rsidR="00533B51" w:rsidRPr="0062454A">
        <w:t xml:space="preserve">nominal </w:t>
      </w:r>
      <w:r w:rsidRPr="0062454A">
        <w:t xml:space="preserve">en moneda nacional cobrada </w:t>
      </w:r>
      <w:r w:rsidR="00533B51" w:rsidRPr="0062454A">
        <w:t>por el sistema bancario en Honduras, du</w:t>
      </w:r>
      <w:r w:rsidRPr="0062454A">
        <w:t xml:space="preserve">rante el período </w:t>
      </w:r>
      <w:r w:rsidR="00533B51" w:rsidRPr="0062454A">
        <w:t>que comprende desde enero de 2019 a diciembre de 2022, con información de los quinces bancos comerciales que actualmente están en operaciones</w:t>
      </w:r>
      <w:r w:rsidR="00B37A66" w:rsidRPr="0062454A">
        <w:t xml:space="preserve"> en el país</w:t>
      </w:r>
      <w:r w:rsidR="00605A89" w:rsidRPr="0062454A">
        <w:t xml:space="preserve">. </w:t>
      </w:r>
      <w:r w:rsidR="00533B51" w:rsidRPr="0062454A">
        <w:t xml:space="preserve">A efectos de simplificar el análisis, </w:t>
      </w:r>
      <w:r w:rsidR="00C11A9B" w:rsidRPr="0062454A">
        <w:t xml:space="preserve">la tasa activa nominal </w:t>
      </w:r>
      <w:r w:rsidR="00533B51" w:rsidRPr="0062454A">
        <w:t xml:space="preserve">se descompondrá </w:t>
      </w:r>
      <w:r w:rsidR="00C11A9B" w:rsidRPr="0062454A">
        <w:t>utilizando un modelo simple de aritmética, para determinar el peso de sus componentes y, a su vez, caracterizar el comportamiento del sistema financiero y los créditos.</w:t>
      </w:r>
      <w:r w:rsidR="00533B51" w:rsidRPr="0062454A">
        <w:t xml:space="preserve"> </w:t>
      </w:r>
    </w:p>
    <w:p w14:paraId="0C78C336" w14:textId="55E81C98" w:rsidR="00C45917" w:rsidRDefault="00031DDD" w:rsidP="0050312A">
      <w:pPr>
        <w:pStyle w:val="TextoPrincipal"/>
        <w:spacing w:line="360" w:lineRule="auto"/>
      </w:pPr>
      <w:r w:rsidRPr="0062454A">
        <w:t xml:space="preserve">Finalmente, el desarrollo de la investigación es viable debido a que existen amplios estudios que se han realizado en muchos países respecto al tema en cuestión, lo que facilita el marco de referencia teórico y analítico de la misma. Asimismo, </w:t>
      </w:r>
      <w:r w:rsidR="00605A89" w:rsidRPr="0062454A">
        <w:t xml:space="preserve">los datos financieros y monetarios requeridos para llevar a cabo la investigación pueden ser descargados de forma libre de las páginas web oficial de la Comisión Nacional de Banca y Seguros (CNBS) y el BCH, por lo que también se considera factible. </w:t>
      </w:r>
      <w:bookmarkStart w:id="44" w:name="_Toc474331204"/>
      <w:bookmarkStart w:id="45" w:name="_Toc474331407"/>
    </w:p>
    <w:p w14:paraId="3480EFF4" w14:textId="77777777" w:rsidR="00724A84" w:rsidRDefault="003D0B37" w:rsidP="0050312A">
      <w:pPr>
        <w:pStyle w:val="TextoPrincipal"/>
        <w:spacing w:line="360" w:lineRule="auto"/>
      </w:pPr>
      <w:r w:rsidRPr="0062454A">
        <w:t xml:space="preserve">Con esta investigación se busca proporcionar una visión integral del análisis del comportamiento de las tasas de interés cobradas por los bancos en Honduras durante el período 2019-2022, a través del estudio de estados financieros de los quince bancos comerciales que actualmente operan en el país descargada de forma libre de la página web oficial de la Comisión Nacional de Banca y Seguros (CNBS), para determinar los componentes financieros como ser la cartera irregular, los activos menos rentables, impuestos, entre otros; así como, de estadística monetaria descargada de forma libre de la página web del Banco Central de Honduras (BCH), relacionada con los niveles de encaje, inversiones obligatorias, subasta de valores, bonos, entre otros. </w:t>
      </w:r>
    </w:p>
    <w:p w14:paraId="6CE2634C" w14:textId="15C2A522" w:rsidR="003E3448" w:rsidRPr="00B049AA" w:rsidRDefault="003D0B37" w:rsidP="00301CCA">
      <w:pPr>
        <w:pStyle w:val="TextoPrincipal"/>
        <w:spacing w:line="360" w:lineRule="auto"/>
      </w:pPr>
      <w:r w:rsidRPr="0062454A">
        <w:t>Al hacerlo, se espera identificar las causas subyacentes de los cambios observados y ofrecer recomendaciones basadas en evidencia para mejorar la estabilidad y eficiencia del sistema financiero en el país.</w:t>
      </w:r>
    </w:p>
    <w:p w14:paraId="440845D5" w14:textId="77777777" w:rsidR="003E3448" w:rsidRPr="00B049AA" w:rsidRDefault="003E3448" w:rsidP="003E3448">
      <w:pPr>
        <w:pStyle w:val="Ttulo1"/>
      </w:pPr>
      <w:bookmarkStart w:id="46" w:name="_Toc474331182"/>
      <w:bookmarkStart w:id="47" w:name="_Toc474331381"/>
      <w:bookmarkStart w:id="48" w:name="_Toc132615443"/>
      <w:bookmarkStart w:id="49" w:name="_Toc155066582"/>
      <w:r w:rsidRPr="00B049AA">
        <w:lastRenderedPageBreak/>
        <w:t>CAPÍTULO II. MARCO TEÓRICO</w:t>
      </w:r>
      <w:bookmarkEnd w:id="46"/>
      <w:bookmarkEnd w:id="47"/>
      <w:bookmarkEnd w:id="48"/>
      <w:bookmarkEnd w:id="49"/>
    </w:p>
    <w:p w14:paraId="0C6BD386" w14:textId="77777777" w:rsidR="003E3448" w:rsidRPr="00B049AA" w:rsidRDefault="003E3448" w:rsidP="007E7E61">
      <w:pPr>
        <w:pStyle w:val="Ttulo2"/>
        <w:numPr>
          <w:ilvl w:val="1"/>
          <w:numId w:val="3"/>
        </w:numPr>
        <w:spacing w:line="360" w:lineRule="auto"/>
      </w:pPr>
      <w:bookmarkStart w:id="50" w:name="_Toc474331183"/>
      <w:bookmarkStart w:id="51" w:name="_Toc474331382"/>
      <w:bookmarkStart w:id="52" w:name="_Toc132615444"/>
      <w:bookmarkStart w:id="53" w:name="_Toc155066583"/>
      <w:r w:rsidRPr="00B049AA">
        <w:t>ANÁLISIS DE LA SITUACIÓN ACTUAL</w:t>
      </w:r>
      <w:bookmarkEnd w:id="50"/>
      <w:bookmarkEnd w:id="51"/>
      <w:r w:rsidRPr="00B049AA">
        <w:t>.</w:t>
      </w:r>
      <w:bookmarkEnd w:id="52"/>
      <w:bookmarkEnd w:id="53"/>
    </w:p>
    <w:p w14:paraId="1F9E78AC" w14:textId="77777777" w:rsidR="003E3448" w:rsidRPr="0050312A" w:rsidRDefault="003E3448" w:rsidP="007E7E61">
      <w:pPr>
        <w:pStyle w:val="Ttulo2"/>
        <w:numPr>
          <w:ilvl w:val="2"/>
          <w:numId w:val="3"/>
        </w:numPr>
        <w:spacing w:line="360" w:lineRule="auto"/>
        <w:ind w:left="1296"/>
      </w:pPr>
      <w:bookmarkStart w:id="54" w:name="_Toc155066584"/>
      <w:r w:rsidRPr="0050312A">
        <w:t>MACROENTORNO</w:t>
      </w:r>
      <w:bookmarkEnd w:id="54"/>
    </w:p>
    <w:p w14:paraId="1D8832C8" w14:textId="4EBF249F" w:rsidR="003E3448" w:rsidRPr="00B049AA" w:rsidRDefault="006C6A73" w:rsidP="0050312A">
      <w:pPr>
        <w:pStyle w:val="TextoPrincipal"/>
        <w:spacing w:line="360" w:lineRule="auto"/>
      </w:pPr>
      <w:r>
        <w:t>(</w:t>
      </w:r>
      <w:r w:rsidRPr="006C6A73">
        <w:t>FMI, 2023, párrafo 1)</w:t>
      </w:r>
      <w:r w:rsidRPr="006C6A73">
        <w:rPr>
          <w:rFonts w:ascii="Segoe UI" w:hAnsi="Segoe UI" w:cs="Segoe UI"/>
          <w:color w:val="2E2F30"/>
          <w:sz w:val="22"/>
          <w:szCs w:val="22"/>
          <w:shd w:val="clear" w:color="auto" w:fill="FFFFFF"/>
        </w:rPr>
        <w:t xml:space="preserve"> </w:t>
      </w:r>
      <w:r w:rsidRPr="006C6A73">
        <w:t>señala que los niveles de deuda en América Latina y el Caribe han aumentado en la última década, especialmente en respuesta a la pandemia de la COVID-19. Los países han movilizado recursos para apoyar a familias y empresas</w:t>
      </w:r>
    </w:p>
    <w:p w14:paraId="0D10E366" w14:textId="07415CBE" w:rsidR="003E3448" w:rsidRPr="00B049AA" w:rsidRDefault="008C7610" w:rsidP="0050312A">
      <w:pPr>
        <w:pStyle w:val="TextoPrincipal"/>
        <w:spacing w:line="360" w:lineRule="auto"/>
      </w:pPr>
      <w:r>
        <w:t>Pérez (2018)</w:t>
      </w:r>
      <w:r w:rsidR="003E3448" w:rsidRPr="00B049AA">
        <w:t xml:space="preserve"> identifica que varios estudios han analizado la relación entre las tasas de interés activas y variables macroeconómicas como la inflación, el crecimiento económico y la política monetaria; se han reconocido diferencias significativas en las tasas de interés activas entre países de la región, lo que sugiere la existencia de factores específicos que influyen en cada país. El autor también señala que la liberalización financiera y la competencia en el sector bancario han tenido un impacto en las tasas de interés activas. Además, se ha encontrado evidencia de la existencia de asimetrías en la transmisión de movimientos de las tasas de interés de política monetaria a las tasas de interés activas. </w:t>
      </w:r>
    </w:p>
    <w:p w14:paraId="5BF07122" w14:textId="359D68D8" w:rsidR="003E3448" w:rsidRPr="00B049AA" w:rsidRDefault="003E3448" w:rsidP="0050312A">
      <w:pPr>
        <w:pStyle w:val="TextoPrincipal"/>
        <w:spacing w:line="360" w:lineRule="auto"/>
      </w:pPr>
      <w:r w:rsidRPr="00B049AA">
        <w:t>El autor determina que la apertura de los mercados financieros y la entrada de nuevos competidores en el sector bancario han llevado a una disminución de las tasas de interés activas en algunos países de la región. En el caso de Chile, la liberalización financiera implementada en la década de 1980 permitió la entrada de nuevos bancos y la competencia entre ellos, esto resultó en una reducción de las tasas de interés activas, ya que los bancos tuvieron que ajustar sus tasas para atraer clientes y mantener su cuota de mercado. De manera similar, en México la apertura del sector bancario a la competencia extranjera a partir de la década de 1990 también tuvo un impacto en las tasas de interés activas, debido a que la entrada de bancos internacionales aumentó la competencia en el mercado, lo que llevó a una reducción de las tasa</w:t>
      </w:r>
      <w:r w:rsidR="007508E5">
        <w:t>s de interés activas en el país.</w:t>
      </w:r>
    </w:p>
    <w:p w14:paraId="1C956E28" w14:textId="362C7291" w:rsidR="003E3448" w:rsidRPr="00B049AA" w:rsidRDefault="006C6A73" w:rsidP="0050312A">
      <w:pPr>
        <w:pStyle w:val="TextoPrincipal"/>
        <w:spacing w:line="360" w:lineRule="auto"/>
      </w:pPr>
      <w:r>
        <w:t>Ponce (2021</w:t>
      </w:r>
      <w:r w:rsidR="003E3448" w:rsidRPr="00B049AA">
        <w:t>)</w:t>
      </w:r>
      <w:r>
        <w:t xml:space="preserve"> se</w:t>
      </w:r>
      <w:r w:rsidRPr="006C6A73">
        <w:t>gún el informe de coyuntura sobre el comportamiento de las tasas de interés en Honduras, se observa que el comportamiento de la economía ha sido relativamente estable en los últimos años, con un crecimiento económico del 3.7% al cierre de 2018</w:t>
      </w:r>
      <w:r w:rsidR="007508E5">
        <w:t xml:space="preserve">. </w:t>
      </w:r>
      <w:r w:rsidR="007508E5" w:rsidRPr="007508E5">
        <w:t>Es importante tener en cuenta que la tasa de interés nominal está compuesta por diversos factores, como el costo de los recursos financieros, el riesgo crediticio, los costos operativos de los bancos y las políticas monetarias implementadas por el Banco Central de Honduras</w:t>
      </w:r>
    </w:p>
    <w:p w14:paraId="659B344F" w14:textId="77777777" w:rsidR="00724A84" w:rsidRDefault="003E3448" w:rsidP="0050312A">
      <w:pPr>
        <w:pStyle w:val="TextoPrincipal"/>
        <w:spacing w:line="360" w:lineRule="auto"/>
      </w:pPr>
      <w:r w:rsidRPr="00B049AA">
        <w:lastRenderedPageBreak/>
        <w:t xml:space="preserve">Díaz (2018) examina la evolución de las tasas activas en América Latina y su descomposición en diferentes componentes financieros. Según el autor, se ha observado una tendencia al alza en las tasas activas en la región en los últimos años, esta evolución se atribuye a factores como el riesgo crediticio, los costos de intermediación financiera y la política monetaria. En cuanto a la descomposición por componente financiero, se identifican elementos como el margen de intermediación, los costos operativos y administrativos de los bancos, así como los márgenes de riesgo, estos componentes tienen un impacto significativo en la formación de las tasas activas </w:t>
      </w:r>
      <w:r w:rsidR="008E2EA2">
        <w:t xml:space="preserve">en América Latina. </w:t>
      </w:r>
    </w:p>
    <w:p w14:paraId="0F036CED" w14:textId="117C38C9" w:rsidR="003E3448" w:rsidRPr="00B049AA" w:rsidRDefault="008E2EA2" w:rsidP="0050312A">
      <w:pPr>
        <w:pStyle w:val="TextoPrincipal"/>
        <w:spacing w:line="360" w:lineRule="auto"/>
      </w:pPr>
      <w:r>
        <w:t xml:space="preserve">Un caso </w:t>
      </w:r>
      <w:r w:rsidR="003E3448" w:rsidRPr="00B049AA">
        <w:t>destacado en el estudio es el de México, donde se observa que el margen de intermediación es el componente financiero que más influye en la tasa de interés activa, esto sugiere que los costos de intermediación financiera son determinantes en la formación de las tasas activas en el país.</w:t>
      </w:r>
    </w:p>
    <w:p w14:paraId="11766CE8" w14:textId="77777777" w:rsidR="003E3448" w:rsidRPr="00B049AA" w:rsidRDefault="003E3448" w:rsidP="0050312A">
      <w:pPr>
        <w:pStyle w:val="TextoPrincipal"/>
        <w:spacing w:line="360" w:lineRule="auto"/>
      </w:pPr>
      <w:r w:rsidRPr="00B049AA">
        <w:t>Por su parte, en el estudio realizado por el Banco Central de la República Dominicana en 2019, titulado "Análisis de la tasa activa promedio en la República Dominicana", se examina la evolución de las tasas activas en el país y su descomposición en diferentes componentes financieros. Según el informe, se observa una tendencia al alza en las tasas activas en la República Dominicana en los últimos años, esta evolución se debe a diversos factores, entre los que se destacan el riesgo crediticio, los costos de intermediación financiera y la política monetaria. En cuanto a la descomposición de las tasas activas por componentes financieros, se identifican elementos como el margen de intermediación, los costos operativos y administrativos de los bancos, así como los márgenes de riesgo, estos componentes juegan un papel importante en la formación de las tasas activas en el país. Un caso específico que se destaca en el estudio es el de los préstamos hipotecarios, donde se observa que el componente financiero que más influye en las tasas activas es el margen de intermediación.</w:t>
      </w:r>
    </w:p>
    <w:p w14:paraId="03F57A7C" w14:textId="77777777" w:rsidR="007508E5" w:rsidRDefault="007508E5" w:rsidP="0050312A">
      <w:pPr>
        <w:pStyle w:val="TextoPrincipal"/>
        <w:spacing w:line="360" w:lineRule="auto"/>
      </w:pPr>
      <w:r w:rsidRPr="007508E5">
        <w:t>Rodríguez et al. (2020),</w:t>
      </w:r>
      <w:r>
        <w:t xml:space="preserve"> examino</w:t>
      </w:r>
      <w:r w:rsidRPr="007508E5">
        <w:t xml:space="preserve"> las tasas de interés en varios países de la región durante el período comprendido entre 2017 y 2023. Los resultados mostraron que las tasas de interés varían significativamente entre los países y están influenciadas por factores como la política monetaria, la inflación, el riesgo crediticio y las condiciones económicas internas y externas</w:t>
      </w:r>
      <w:r>
        <w:t>.</w:t>
      </w:r>
    </w:p>
    <w:p w14:paraId="425B0206" w14:textId="7B689F2A" w:rsidR="003E3448" w:rsidRPr="00B049AA" w:rsidRDefault="003E3448" w:rsidP="0050312A">
      <w:pPr>
        <w:pStyle w:val="TextoPrincipal"/>
        <w:spacing w:line="360" w:lineRule="auto"/>
      </w:pPr>
      <w:r w:rsidRPr="00B049AA">
        <w:t xml:space="preserve">En cuanto a los determinantes microeconómicos, se encontró que variables como el patrimonio/activo, el índice HHI de la cartera total, los activos productivos/activos totales, la </w:t>
      </w:r>
      <w:r w:rsidRPr="00B049AA">
        <w:lastRenderedPageBreak/>
        <w:t>cartera vencida/cartera total y los egresos operacionales/activos totales tienen un impacto significativo en el spread. En cuanto a los determinantes macroeconómicos, solo se encontró que la tasa Prime tiene incidencia en el spread, mientras que variables como la inflación, la variabilidad de la tasa pasiva y el riesgo país no tienen efecto en el spread.</w:t>
      </w:r>
    </w:p>
    <w:p w14:paraId="3869736D" w14:textId="77777777" w:rsidR="003E3448" w:rsidRPr="0050312A" w:rsidRDefault="003E3448" w:rsidP="007E7E61">
      <w:pPr>
        <w:pStyle w:val="Ttulo2"/>
        <w:numPr>
          <w:ilvl w:val="2"/>
          <w:numId w:val="3"/>
        </w:numPr>
        <w:spacing w:line="360" w:lineRule="auto"/>
        <w:ind w:left="1296"/>
      </w:pPr>
      <w:bookmarkStart w:id="55" w:name="_Toc155066585"/>
      <w:r w:rsidRPr="0050312A">
        <w:t>MESOENTORNO</w:t>
      </w:r>
      <w:bookmarkEnd w:id="55"/>
    </w:p>
    <w:p w14:paraId="114D57C1" w14:textId="77777777" w:rsidR="00724A84" w:rsidRDefault="003E3448" w:rsidP="0050312A">
      <w:pPr>
        <w:pStyle w:val="TextoPrincipal"/>
        <w:spacing w:line="360" w:lineRule="auto"/>
      </w:pPr>
      <w:r w:rsidRPr="00B049AA">
        <w:t>Barrientos &amp; Estrada (2008</w:t>
      </w:r>
      <w:r w:rsidR="008E2EA2">
        <w:t>)</w:t>
      </w:r>
      <w:r w:rsidRPr="00B049AA">
        <w:t xml:space="preserve"> analizan la evolución de las tasas activas en la región y su descomposición por componentes financieros, el estudio tiene como objetivo identificar los factores determinantes de las tasas de interés activas en países centroamericanos. La metodología empleada se basó en un análisis econométrico utilizando datos de los países de la región, los resultados indican que la tasa de interés activa está influenciada por varios factores, incluyendo la tasa de inflación, la tasa de interés internacional, el riesgo país y la actividad económica; además, se observa que los componentes financieros como el riesgo y la liquidez también tienen un impacto significativo en la tasa de interés. </w:t>
      </w:r>
    </w:p>
    <w:p w14:paraId="407DEEDF" w14:textId="6E1AB2E1" w:rsidR="003E3448" w:rsidRPr="00B049AA" w:rsidRDefault="003E3448" w:rsidP="0050312A">
      <w:pPr>
        <w:pStyle w:val="TextoPrincipal"/>
        <w:spacing w:line="360" w:lineRule="auto"/>
      </w:pPr>
      <w:r w:rsidRPr="00B049AA">
        <w:t>Adicionalmente, dicho estudio resalta la importancia de considerar una variedad de factores en la determinación de las tasas de interés activas en Centroamérica, incluyendo aspectos macroeconómicos y financieros, estos resultados tienen implicaciones para la política monetaria y financiera en la región, al proporcionar una comprensión más profunda de los determinantes de las tasas de interés y su evolución.</w:t>
      </w:r>
    </w:p>
    <w:p w14:paraId="3A41A56C" w14:textId="0CA88859" w:rsidR="003E3448" w:rsidRPr="00B049AA" w:rsidRDefault="003E3448" w:rsidP="0050312A">
      <w:pPr>
        <w:pStyle w:val="TextoPrincipal"/>
        <w:spacing w:line="360" w:lineRule="auto"/>
      </w:pPr>
      <w:r w:rsidRPr="00B049AA">
        <w:t>Díaz (2019) analiza la evolución de las tasas activas y su descomposición por componentes financieros en la región de Centroamérica. El autor utiliza una metodología que combina análisis descriptivo y modelos econométricos para descomponer las tasas activas en diferentes factores, como el margen de intermediación, los costos operativos y administrativos de los bancos, y los márgenes de riesgo. Los resultados obtenidos indican que el margen de intermediación es el componente financiero más relevante en la formación de las tasas de interés activas en la región; además, se observa una tendencia al alza en las tasas activas en los últimos años, lo cual puede estar relacionado con el incremento de los costos de intermediación y los riesgos asociados.</w:t>
      </w:r>
    </w:p>
    <w:p w14:paraId="0373F3DC" w14:textId="58503EF0" w:rsidR="003E3448" w:rsidRPr="00B049AA" w:rsidRDefault="003E3448" w:rsidP="0050312A">
      <w:pPr>
        <w:pStyle w:val="TextoPrincipal"/>
        <w:spacing w:line="360" w:lineRule="auto"/>
      </w:pPr>
      <w:r w:rsidRPr="00B049AA">
        <w:t xml:space="preserve">Vega (2014) analiza los determinantes de las tasas de interés activas en la región de Centroamérica. El autor utiliza un enfoque VAR estructural para identificar los factores que influyen en la formación de las tasas de interés activas en la región; además, se lleva a cabo una descomposición por componentes financieros, que incluye elementos como el margen de </w:t>
      </w:r>
      <w:r w:rsidRPr="00B049AA">
        <w:lastRenderedPageBreak/>
        <w:t xml:space="preserve">intermediación, los costos operativos de los bancos, y los márgenes de riesgo. Los resultados obtenidos muestran que tanto los factores macroeconómicos como los factores específicos de la industria bancaria tienen un impacto significativo en la formación de las tasas de interés activas en Centroamérica. </w:t>
      </w:r>
    </w:p>
    <w:p w14:paraId="125EE750" w14:textId="1608C601" w:rsidR="003E3448" w:rsidRPr="00B049AA" w:rsidRDefault="003E3448" w:rsidP="0050312A">
      <w:pPr>
        <w:pStyle w:val="TextoPrincipal"/>
        <w:spacing w:line="360" w:lineRule="auto"/>
      </w:pPr>
      <w:r w:rsidRPr="00B049AA">
        <w:t xml:space="preserve">Hernández, A. (2018) examina la evolución de las tasas de interés en préstamos a corto plazo durante el período comprendido entre 1974 y 2011. Durante este periodo, el sistema monetario de El Salvador experimentó diferentes etapas, como la liberalización, nacionalización, reprivatización, dolarización y adquisición de los principales bancos por parte de bancos extranjeros de renombre. </w:t>
      </w:r>
    </w:p>
    <w:p w14:paraId="5DDC97DE" w14:textId="77777777" w:rsidR="003E3448" w:rsidRPr="00B049AA" w:rsidRDefault="003E3448" w:rsidP="0050312A">
      <w:pPr>
        <w:pStyle w:val="TextoPrincipal"/>
        <w:spacing w:line="360" w:lineRule="auto"/>
      </w:pPr>
      <w:r w:rsidRPr="00B049AA">
        <w:t>El estudio destaca que el comportamiento de las tasas de interés está relacionado con otras variables macroeconómicas; sin embargo, al desarrollar el modelo se identificó que las variables de tasas de interés de depósitos a plazo de 180 días, la inflación tanto doméstica como externa, y las tasas de interés internacionales, son importantes para comprender la relación en una economía pequeña y abierta. Los resultados obtenidos en el estudio indican que, durante el período de dolarización en El Salvador se cumple la hipótesis de la paridad entre las tasas de interés internas y externas, los desajustes observados en las tasas internas y externas en años recientes se explican principalmente por mayores costos de transacción internos, una percepción de mayor riesgo y la política de tasas de interés bajas adoptada por la Reserva Federal de Estados Unidos.</w:t>
      </w:r>
    </w:p>
    <w:p w14:paraId="72BAF524" w14:textId="77777777" w:rsidR="003E3448" w:rsidRPr="0050312A" w:rsidRDefault="003E3448" w:rsidP="007E7E61">
      <w:pPr>
        <w:pStyle w:val="Ttulo2"/>
        <w:numPr>
          <w:ilvl w:val="2"/>
          <w:numId w:val="3"/>
        </w:numPr>
        <w:spacing w:line="360" w:lineRule="auto"/>
        <w:ind w:left="1296"/>
      </w:pPr>
      <w:bookmarkStart w:id="56" w:name="_Toc155066586"/>
      <w:r w:rsidRPr="0050312A">
        <w:t>MICROENTORNO</w:t>
      </w:r>
      <w:bookmarkEnd w:id="56"/>
    </w:p>
    <w:p w14:paraId="095B4996" w14:textId="43362970" w:rsidR="003E3448" w:rsidRPr="00B049AA" w:rsidRDefault="003E3448" w:rsidP="0050312A">
      <w:pPr>
        <w:pStyle w:val="TextoPrincipal"/>
        <w:spacing w:line="360" w:lineRule="auto"/>
      </w:pPr>
      <w:r w:rsidRPr="00B049AA">
        <w:t>Según el Ba</w:t>
      </w:r>
      <w:r w:rsidR="008E2EA2">
        <w:t xml:space="preserve">nco Central de Honduras (2017) </w:t>
      </w:r>
      <w:r w:rsidRPr="00B049AA">
        <w:t>determina</w:t>
      </w:r>
      <w:r w:rsidR="008E2EA2">
        <w:t>n</w:t>
      </w:r>
      <w:r w:rsidRPr="00B049AA">
        <w:t xml:space="preserve"> que el comportamiento de la tasa de interés activa sobre operaciones nuevas en moneda nacional en la economía hondureña, ha mostrado una tendencia decreciente, este comportamiento ha estado influenciado por diversos factores tanto a nivel macroeconómico como microeconómico, sumado a medidas de política monetaria que han sido adoptadas con el objetivo de incidir en forma favorable sobre la trayectoria de esta variable, acorde al entorno económico prevaleciente en el tiempo.</w:t>
      </w:r>
    </w:p>
    <w:p w14:paraId="3F4EFED6" w14:textId="77777777" w:rsidR="00724A84" w:rsidRDefault="003E3448" w:rsidP="0050312A">
      <w:pPr>
        <w:pStyle w:val="TextoPrincipal"/>
        <w:spacing w:line="360" w:lineRule="auto"/>
      </w:pPr>
      <w:r w:rsidRPr="00B049AA">
        <w:t xml:space="preserve">Durante el 2022, la tasa de interés activa sobre operaciones nuevas en MN presentó un nivel históricamente bajo, al reportar una tasa de 11.31% a diciembre del mismo año (12.58% el año previo), atribuido esencialmente a las mejores condiciones financieras por parte del sistema bancario, que permitieron una reducción de las tasas de interés activas sobre préstamos nuevos otorgados a los sectores Agricultura, Comercio, Servicios, Transporte y Comunicaciones, </w:t>
      </w:r>
      <w:r w:rsidRPr="00B049AA">
        <w:lastRenderedPageBreak/>
        <w:t xml:space="preserve">Industrias, Consumo y Propiedad Raíz. </w:t>
      </w:r>
    </w:p>
    <w:p w14:paraId="0E22BB5D" w14:textId="5F2C3DE2" w:rsidR="003E3448" w:rsidRPr="00B049AA" w:rsidRDefault="003E3448" w:rsidP="0050312A">
      <w:pPr>
        <w:pStyle w:val="TextoPrincipal"/>
        <w:spacing w:line="360" w:lineRule="auto"/>
      </w:pPr>
      <w:r w:rsidRPr="00B049AA">
        <w:t xml:space="preserve">En cuanto a la tasa de interés pasiva promedio ponderado en MN, a diciembre de 2022 denota tasas superiores a las registradas el año previo, al ubicarse en 5.45% (4.19% en diciembre de 2021), comportamiento asociado a la necesidad de fondeo por parte del sistema financiero, en línea con los menores niveles de liquidez en la economía, condición generada por la mayor absorción del BCH y los mayores recursos destinados a financiar el crédito al sector privado. </w:t>
      </w:r>
    </w:p>
    <w:p w14:paraId="657A9747" w14:textId="77777777" w:rsidR="003E3448" w:rsidRPr="00B049AA" w:rsidRDefault="003E3448" w:rsidP="007E7E61">
      <w:pPr>
        <w:pStyle w:val="Ttulo2"/>
        <w:numPr>
          <w:ilvl w:val="1"/>
          <w:numId w:val="3"/>
        </w:numPr>
        <w:spacing w:line="360" w:lineRule="auto"/>
      </w:pPr>
      <w:bookmarkStart w:id="57" w:name="_Toc132615445"/>
      <w:bookmarkStart w:id="58" w:name="_Toc155066587"/>
      <w:r w:rsidRPr="00B049AA">
        <w:t>CONCEPTUALIZACIÓN</w:t>
      </w:r>
      <w:bookmarkEnd w:id="57"/>
      <w:bookmarkEnd w:id="58"/>
    </w:p>
    <w:p w14:paraId="2B0A7D59" w14:textId="77777777" w:rsidR="003E3448" w:rsidRPr="0050312A" w:rsidRDefault="003E3448" w:rsidP="007E7E61">
      <w:pPr>
        <w:pStyle w:val="Ttulo2"/>
        <w:numPr>
          <w:ilvl w:val="2"/>
          <w:numId w:val="3"/>
        </w:numPr>
        <w:spacing w:line="360" w:lineRule="auto"/>
        <w:ind w:left="1296"/>
      </w:pPr>
      <w:bookmarkStart w:id="59" w:name="_Toc155066588"/>
      <w:r w:rsidRPr="0050312A">
        <w:t>BANCA CENTRAL</w:t>
      </w:r>
      <w:bookmarkEnd w:id="59"/>
    </w:p>
    <w:p w14:paraId="0F8A96AF" w14:textId="77777777" w:rsidR="00724A84" w:rsidRDefault="003E3448" w:rsidP="0050312A">
      <w:pPr>
        <w:pStyle w:val="TextoPrincipal"/>
        <w:spacing w:line="360" w:lineRule="auto"/>
      </w:pPr>
      <w:r w:rsidRPr="00B049AA">
        <w:t>El concepto de un Banco Central se originó en Europa durante los siglos XVII y XVIII. Los primeros bancos centrales, como el Banco de Suecia (</w:t>
      </w:r>
      <w:proofErr w:type="spellStart"/>
      <w:r w:rsidRPr="00B049AA">
        <w:t>Sveriges</w:t>
      </w:r>
      <w:proofErr w:type="spellEnd"/>
      <w:r w:rsidRPr="00B049AA">
        <w:t xml:space="preserve"> </w:t>
      </w:r>
      <w:proofErr w:type="spellStart"/>
      <w:r w:rsidRPr="00B049AA">
        <w:t>Riksbank</w:t>
      </w:r>
      <w:proofErr w:type="spellEnd"/>
      <w:r w:rsidRPr="00B049AA">
        <w:t>) fundado en 1668, surgieron como instituciones para emitir moneda y mantener la estabilidad financiera del país. Durante este período, se establecieron bancos centrales en varios países europeos, como el Banco de Inglaterra en 1694 y el Banco de Francia en 1800. Estos bancos desempeñaban un papel fundamental en la emisión de moneda y la gestión de las reservas de oro. En el siglo XX, la función de los bancos centrales se expandió para incluir la regulación y supervisión del sistema bancario, así como la implementación de políticas monetarias para controlar la inflación y mantener la estabilidad financiera (</w:t>
      </w:r>
      <w:proofErr w:type="spellStart"/>
      <w:r w:rsidRPr="00B049AA">
        <w:t>Blinder</w:t>
      </w:r>
      <w:proofErr w:type="spellEnd"/>
      <w:r w:rsidRPr="00B049AA">
        <w:t>, 2004)</w:t>
      </w:r>
      <w:r w:rsidR="00724A84">
        <w:t>.</w:t>
      </w:r>
      <w:r w:rsidRPr="00B049AA">
        <w:t xml:space="preserve"> </w:t>
      </w:r>
    </w:p>
    <w:p w14:paraId="4C779127" w14:textId="0907E937" w:rsidR="003E3448" w:rsidRPr="00B049AA" w:rsidRDefault="003E3448" w:rsidP="0050312A">
      <w:pPr>
        <w:pStyle w:val="TextoPrincipal"/>
        <w:spacing w:line="360" w:lineRule="auto"/>
      </w:pPr>
      <w:r w:rsidRPr="00B049AA">
        <w:t xml:space="preserve">La banca central es una institución que emite y administra la moneda legal y ejerce la función de banquero de bancos. Además, controla los </w:t>
      </w:r>
      <w:r w:rsidR="0050312A" w:rsidRPr="00B049AA">
        <w:t>sistemas monetarios</w:t>
      </w:r>
      <w:r w:rsidRPr="00B049AA">
        <w:t xml:space="preserve"> (el dinero), crediticio (las tasas de interés) y cambiario (la tasa de cambio) del país.</w:t>
      </w:r>
      <w:r w:rsidRPr="0050312A">
        <w:t xml:space="preserve"> </w:t>
      </w:r>
      <w:r w:rsidRPr="00B049AA">
        <w:t>Banco de la República de Colombia.</w:t>
      </w:r>
    </w:p>
    <w:p w14:paraId="22086C7F" w14:textId="77777777" w:rsidR="003E3448" w:rsidRPr="0050312A" w:rsidRDefault="003E3448" w:rsidP="007E7E61">
      <w:pPr>
        <w:pStyle w:val="Ttulo2"/>
        <w:numPr>
          <w:ilvl w:val="2"/>
          <w:numId w:val="3"/>
        </w:numPr>
        <w:spacing w:line="360" w:lineRule="auto"/>
        <w:ind w:left="1296"/>
      </w:pPr>
      <w:bookmarkStart w:id="60" w:name="_Toc155066589"/>
      <w:r w:rsidRPr="0050312A">
        <w:t>POLÍTICA MONETARIA</w:t>
      </w:r>
      <w:bookmarkEnd w:id="60"/>
    </w:p>
    <w:p w14:paraId="2FD74D69" w14:textId="77777777" w:rsidR="00724A84" w:rsidRDefault="003E3448" w:rsidP="0050312A">
      <w:pPr>
        <w:pStyle w:val="TextoPrincipal"/>
        <w:spacing w:line="360" w:lineRule="auto"/>
      </w:pPr>
      <w:r w:rsidRPr="00B049AA">
        <w:t xml:space="preserve">La política monetaria, un concepto que ha evolucionado significativamente a lo largo del tiempo, tiene sus raíces en la antigüedad, donde la emisión de moneda y el control de la oferta de dinero eran preocupaciones económicas primordiales. Durante el siglo XX, las teorías económicas de Keynes y Friedman influyeron en la formulación de políticas monetarias, con Keynes abogando por políticas expansivas para combatir la recesión y Friedman promoviendo el monetarismo y la estabilidad de precios. </w:t>
      </w:r>
    </w:p>
    <w:p w14:paraId="38370A1F" w14:textId="52C377C9" w:rsidR="003E3448" w:rsidRPr="00B049AA" w:rsidRDefault="003E3448" w:rsidP="0050312A">
      <w:pPr>
        <w:pStyle w:val="TextoPrincipal"/>
        <w:spacing w:line="360" w:lineRule="auto"/>
      </w:pPr>
      <w:r w:rsidRPr="00B049AA">
        <w:t xml:space="preserve">En el siglo XXI, la política monetaria ha evolucionado para enfrentar desafíos económicos como la recesión global de 2008 y la pandemia de COVID-19 (Friedman, 1968; Keynes, 1936; </w:t>
      </w:r>
      <w:r w:rsidRPr="00B049AA">
        <w:lastRenderedPageBreak/>
        <w:t xml:space="preserve">Blanchard &amp; </w:t>
      </w:r>
      <w:proofErr w:type="spellStart"/>
      <w:r w:rsidRPr="00B049AA">
        <w:t>Perotti</w:t>
      </w:r>
      <w:proofErr w:type="spellEnd"/>
      <w:r w:rsidRPr="00B049AA">
        <w:t>, 2002).  La política monetaria refiere a las acciones y estrategias implementadas por la autoridad monetaria de un país para controlar la oferta de dinero y regular las tasas de interés con el fin de lograr objet</w:t>
      </w:r>
      <w:r w:rsidR="00290172">
        <w:t>ivos económicos (García, 2015).</w:t>
      </w:r>
    </w:p>
    <w:p w14:paraId="01BB1BC1" w14:textId="77777777" w:rsidR="003E3448" w:rsidRPr="0050312A" w:rsidRDefault="003E3448" w:rsidP="007E7E61">
      <w:pPr>
        <w:pStyle w:val="Ttulo2"/>
        <w:numPr>
          <w:ilvl w:val="2"/>
          <w:numId w:val="3"/>
        </w:numPr>
        <w:spacing w:line="360" w:lineRule="auto"/>
        <w:ind w:left="1296"/>
      </w:pPr>
      <w:bookmarkStart w:id="61" w:name="_Toc155066590"/>
      <w:r w:rsidRPr="0050312A">
        <w:t>TASA DE POLÍTICA MONETARIA</w:t>
      </w:r>
      <w:bookmarkEnd w:id="61"/>
    </w:p>
    <w:p w14:paraId="2804BD53" w14:textId="77777777" w:rsidR="00724A84" w:rsidRDefault="003E3448" w:rsidP="0050312A">
      <w:pPr>
        <w:pStyle w:val="TextoPrincipal"/>
        <w:spacing w:line="360" w:lineRule="auto"/>
      </w:pPr>
      <w:r w:rsidRPr="00B049AA">
        <w:t xml:space="preserve">Establecimiento de bancos centrales en el siglo XIX, cuando estos bancos comenzaron a utilizar tasas de interés como una herramienta clave para influir en la oferta de dinero y, por lo tanto, en la economía. Actualmente, las tasas de política monetaria son instrumentos cruciales utilizados por los bancos centrales para lograr objetivos como la estabilidad de precios y el control de la inflación, así como para abordar desafíos económicos como las recesiones (Friedman, 1968; Keynes, 1936; Taylor, 1993). </w:t>
      </w:r>
    </w:p>
    <w:p w14:paraId="02246D05" w14:textId="71C1847E" w:rsidR="003E3448" w:rsidRPr="00B049AA" w:rsidRDefault="003E3448" w:rsidP="0050312A">
      <w:pPr>
        <w:pStyle w:val="TextoPrincipal"/>
        <w:spacing w:line="360" w:lineRule="auto"/>
      </w:pPr>
      <w:r w:rsidRPr="00B049AA">
        <w:t xml:space="preserve"> La tasa de política monetaria, también conocida como tasa de interés de referencia, es el porcentaje establecido por la autoridad monetaria para influir en las condiciones de crédito, el gasto y la inversión en la economía (López, 2020).</w:t>
      </w:r>
    </w:p>
    <w:p w14:paraId="4A770B3F" w14:textId="77777777" w:rsidR="003E3448" w:rsidRPr="0050312A" w:rsidRDefault="003E3448" w:rsidP="007E7E61">
      <w:pPr>
        <w:pStyle w:val="Ttulo2"/>
        <w:numPr>
          <w:ilvl w:val="2"/>
          <w:numId w:val="3"/>
        </w:numPr>
        <w:spacing w:line="360" w:lineRule="auto"/>
        <w:ind w:left="1296"/>
      </w:pPr>
      <w:bookmarkStart w:id="62" w:name="_Toc155066591"/>
      <w:r w:rsidRPr="0050312A">
        <w:t>INVERSIONES OBLIGATORIAS</w:t>
      </w:r>
      <w:bookmarkEnd w:id="62"/>
    </w:p>
    <w:p w14:paraId="22A7C9E1" w14:textId="77777777" w:rsidR="00724A84" w:rsidRDefault="003E3448" w:rsidP="0050312A">
      <w:pPr>
        <w:pStyle w:val="TextoPrincipal"/>
        <w:spacing w:line="360" w:lineRule="auto"/>
      </w:pPr>
      <w:r w:rsidRPr="00B049AA">
        <w:t>El concepto de inversiones obligatorias tiene su origen en la necesidad de las entidades financieras y empresas de cumplir con requisitos regulatorios y legales que exigen destinar cierta cantidad de recursos financieros a inversiones específicas. Con el tiempo, este concepto ha evolucionado en respuesta a cambios en las regulaciones financieras y económicas, así como a las necesidades cambiantes de los mercados financieros. Diferentes autores y escuelas de pensamiento han abordado las inversiones obligatorias desde perspectivas variadas, considerándolas tanto como una herramienta de estabilidad financiera como un desafío para la gestión de activos (Smith, 2010; Brown &amp; Jones, 2015).</w:t>
      </w:r>
    </w:p>
    <w:p w14:paraId="53F743BA" w14:textId="58DFF430" w:rsidR="003E3448" w:rsidRPr="00B049AA" w:rsidRDefault="003E3448" w:rsidP="0050312A">
      <w:pPr>
        <w:pStyle w:val="TextoPrincipal"/>
        <w:spacing w:line="360" w:lineRule="auto"/>
      </w:pPr>
      <w:r w:rsidRPr="00B049AA">
        <w:t xml:space="preserve"> Las inversiones obligatorias se refieren a los fondos o activos financieros que una entidad, generalmente una institución financiera, está legalmente obligada a mantener o invertir según regulaciones gubernamentales o normativas específicas (Gómez, 2023).</w:t>
      </w:r>
    </w:p>
    <w:p w14:paraId="4FEE1295" w14:textId="04B51896" w:rsidR="003E3448" w:rsidRPr="0050312A" w:rsidRDefault="002A1361" w:rsidP="007E7E61">
      <w:pPr>
        <w:pStyle w:val="Ttulo2"/>
        <w:numPr>
          <w:ilvl w:val="2"/>
          <w:numId w:val="3"/>
        </w:numPr>
        <w:spacing w:line="360" w:lineRule="auto"/>
        <w:ind w:left="1296"/>
        <w:rPr>
          <w:bCs w:val="0"/>
        </w:rPr>
      </w:pPr>
      <w:bookmarkStart w:id="63" w:name="_Toc155066592"/>
      <w:r w:rsidRPr="0050312A">
        <w:rPr>
          <w:bCs w:val="0"/>
        </w:rPr>
        <w:t>TASA DE INTERES NOMINAL</w:t>
      </w:r>
      <w:bookmarkEnd w:id="63"/>
    </w:p>
    <w:p w14:paraId="327CD94E" w14:textId="69635314" w:rsidR="002A1361" w:rsidRDefault="002A1361" w:rsidP="0050312A">
      <w:pPr>
        <w:pStyle w:val="TextoPrincipal"/>
        <w:spacing w:line="360" w:lineRule="auto"/>
      </w:pPr>
      <w:r>
        <w:t>La tasa de interés nominal se define como la tasa de interés que se establece antes de considerar el efecto de la inflación u otros factores que puedan afectar su valor real (Gómez, 2023)</w:t>
      </w:r>
      <w:r w:rsidR="0050312A">
        <w:t>.</w:t>
      </w:r>
    </w:p>
    <w:p w14:paraId="232DF326" w14:textId="77777777" w:rsidR="003E3448" w:rsidRPr="0050312A" w:rsidRDefault="003E3448" w:rsidP="007E7E61">
      <w:pPr>
        <w:pStyle w:val="Ttulo2"/>
        <w:numPr>
          <w:ilvl w:val="2"/>
          <w:numId w:val="3"/>
        </w:numPr>
        <w:spacing w:line="360" w:lineRule="auto"/>
        <w:ind w:left="1296"/>
      </w:pPr>
      <w:bookmarkStart w:id="64" w:name="_Toc155066593"/>
      <w:r w:rsidRPr="0050312A">
        <w:t>ENCAJE</w:t>
      </w:r>
      <w:bookmarkEnd w:id="64"/>
    </w:p>
    <w:p w14:paraId="6C826DCE" w14:textId="77777777" w:rsidR="00724A84" w:rsidRDefault="003E3448" w:rsidP="0050312A">
      <w:pPr>
        <w:pStyle w:val="TextoPrincipal"/>
        <w:spacing w:line="360" w:lineRule="auto"/>
      </w:pPr>
      <w:r w:rsidRPr="00B049AA">
        <w:lastRenderedPageBreak/>
        <w:t xml:space="preserve">El encaje es la herramienta utilizada por los bancos centrales para regular la cantidad de dinero en circulación y mantener la estabilidad financiera. Es considerado una herramienta esencial para controlar la oferta de dinero como un instrumento que puede afectar las tasas de interés y la liquidez en la economía (Banco de México, 2019; </w:t>
      </w:r>
      <w:proofErr w:type="spellStart"/>
      <w:r w:rsidRPr="00B049AA">
        <w:t>Mishkin</w:t>
      </w:r>
      <w:proofErr w:type="spellEnd"/>
      <w:r w:rsidRPr="00B049AA">
        <w:t xml:space="preserve">, 2016). </w:t>
      </w:r>
    </w:p>
    <w:p w14:paraId="34D5ABAF" w14:textId="19F87A8F" w:rsidR="003E3448" w:rsidRPr="00B049AA" w:rsidRDefault="003E3448" w:rsidP="0050312A">
      <w:pPr>
        <w:pStyle w:val="TextoPrincipal"/>
        <w:spacing w:line="360" w:lineRule="auto"/>
      </w:pPr>
      <w:r w:rsidRPr="00B049AA">
        <w:t>El encaje es el porcentaje de los depósitos que las instituciones financieras deben mantener como reserva obligatoria en el banco central, con el propósito de controlar la oferta monetaria y la liquidez en la economía (Martínez, 2023).</w:t>
      </w:r>
    </w:p>
    <w:p w14:paraId="042818DE" w14:textId="77777777" w:rsidR="003E3448" w:rsidRPr="0050312A" w:rsidRDefault="003E3448" w:rsidP="007E7E61">
      <w:pPr>
        <w:pStyle w:val="Ttulo2"/>
        <w:numPr>
          <w:ilvl w:val="2"/>
          <w:numId w:val="3"/>
        </w:numPr>
        <w:spacing w:line="360" w:lineRule="auto"/>
        <w:ind w:left="1296"/>
      </w:pPr>
      <w:bookmarkStart w:id="65" w:name="_Toc155066594"/>
      <w:r w:rsidRPr="0050312A">
        <w:t>INFLACIÓN</w:t>
      </w:r>
      <w:bookmarkEnd w:id="65"/>
    </w:p>
    <w:p w14:paraId="482AA0BB" w14:textId="77777777" w:rsidR="00724A84" w:rsidRDefault="003E3448" w:rsidP="0050312A">
      <w:pPr>
        <w:pStyle w:val="TextoPrincipal"/>
        <w:spacing w:line="360" w:lineRule="auto"/>
      </w:pPr>
      <w:r w:rsidRPr="00B049AA">
        <w:t xml:space="preserve">La inflación se refiere al aumento generalizado y sostenido de los precios de bienes y servicios en una economía durante un período de tiempo prolongado, lo que resulta en una pérdida de poder adquisitivo de la moneda (Gómez, 2023).  </w:t>
      </w:r>
    </w:p>
    <w:p w14:paraId="114EAA48" w14:textId="62BB57F8" w:rsidR="003E3448" w:rsidRPr="00B049AA" w:rsidRDefault="003E3448" w:rsidP="0050312A">
      <w:pPr>
        <w:pStyle w:val="TextoPrincipal"/>
        <w:spacing w:line="360" w:lineRule="auto"/>
      </w:pPr>
      <w:r w:rsidRPr="00B049AA">
        <w:t>La teoría cuantitativa del dinero, que sostiene que la inflación está relacionada con el crecimiento de la oferta monetaria, y las teorías keynesianas, que consideran factores como la demanda agregada y el desempleo, son ejemplos de enfoques divergentes en la conceptualización de la inflación (Friedman, 1956; Blanchard, 2000).</w:t>
      </w:r>
    </w:p>
    <w:p w14:paraId="11E75763" w14:textId="77777777" w:rsidR="003E3448" w:rsidRPr="0050312A" w:rsidRDefault="003E3448" w:rsidP="007E7E61">
      <w:pPr>
        <w:pStyle w:val="Ttulo2"/>
        <w:numPr>
          <w:ilvl w:val="2"/>
          <w:numId w:val="3"/>
        </w:numPr>
        <w:spacing w:line="360" w:lineRule="auto"/>
        <w:ind w:left="1296"/>
      </w:pPr>
      <w:bookmarkStart w:id="66" w:name="_Toc155066595"/>
      <w:r w:rsidRPr="0050312A">
        <w:t>LIQUIDEZ</w:t>
      </w:r>
      <w:bookmarkEnd w:id="66"/>
    </w:p>
    <w:p w14:paraId="0C8CB6E8" w14:textId="77777777" w:rsidR="00724A84" w:rsidRDefault="003E3448" w:rsidP="0050312A">
      <w:pPr>
        <w:pStyle w:val="TextoPrincipal"/>
        <w:spacing w:line="360" w:lineRule="auto"/>
      </w:pPr>
      <w:r w:rsidRPr="00B049AA">
        <w:t xml:space="preserve">La liquidez se refiere a la capacidad de un activo financiero o una empresa para convertirse rápidamente en efectivo sin incurrir en pérdidas significativas de valor, lo que contribuye a la capacidad de cumplir con las obligaciones de pago en el corto plazo (Pérez, 2023). A lo largo del tiempo, ha evolucionado para abarcar no solo la facilidad con la que los activos pueden convertirse en efectivo, sino también la capacidad de un individuo o entidad para cumplir con sus obligaciones financieras. </w:t>
      </w:r>
    </w:p>
    <w:p w14:paraId="73103286" w14:textId="26650565" w:rsidR="003E3448" w:rsidRPr="00B049AA" w:rsidRDefault="003E3448" w:rsidP="0050312A">
      <w:pPr>
        <w:pStyle w:val="TextoPrincipal"/>
        <w:spacing w:line="360" w:lineRule="auto"/>
      </w:pPr>
      <w:r w:rsidRPr="00B049AA">
        <w:t>Diferentes autores y escuelas de pensamiento han contribuido a la comprensión de la liquidez, con enfoques que incluyen el modelo de preferencia por la liquidez de Keynes, que enfatiza la demanda de dinero por su capacidad para ser rápidamente convertible en bienes y servicios, y la teoría de mercados eficientes, que considera la liquidez como un factor importante en la formación de precios de los activos financieros (Keynes, 1936; Fama, 1970).</w:t>
      </w:r>
    </w:p>
    <w:p w14:paraId="7329DFAA" w14:textId="77777777" w:rsidR="003E3448" w:rsidRPr="0050312A" w:rsidRDefault="003E3448" w:rsidP="007E7E61">
      <w:pPr>
        <w:pStyle w:val="Ttulo2"/>
        <w:numPr>
          <w:ilvl w:val="2"/>
          <w:numId w:val="3"/>
        </w:numPr>
        <w:spacing w:line="360" w:lineRule="auto"/>
        <w:ind w:left="1296"/>
      </w:pPr>
      <w:bookmarkStart w:id="67" w:name="_Toc155066596"/>
      <w:r w:rsidRPr="0050312A">
        <w:t>SISTEMA FINANCIERO</w:t>
      </w:r>
      <w:bookmarkEnd w:id="67"/>
    </w:p>
    <w:p w14:paraId="0D8669AE" w14:textId="77777777" w:rsidR="00724A84" w:rsidRDefault="003E3448" w:rsidP="0050312A">
      <w:pPr>
        <w:pStyle w:val="TextoPrincipal"/>
        <w:spacing w:line="360" w:lineRule="auto"/>
      </w:pPr>
      <w:r w:rsidRPr="00B049AA">
        <w:t xml:space="preserve">El sistema financiero se refiere al conjunto de instituciones, mercados y regulaciones que </w:t>
      </w:r>
      <w:r w:rsidRPr="00B049AA">
        <w:lastRenderedPageBreak/>
        <w:t>facilitan la intermediación de recursos financieros entre los ahorradores y los prestatarios, así como la circulación del dinero y la realización de operaciones financieras (Pérez, 2023).</w:t>
      </w:r>
      <w:r w:rsidRPr="0050312A">
        <w:t xml:space="preserve"> </w:t>
      </w:r>
      <w:r w:rsidRPr="00B049AA">
        <w:t xml:space="preserve">El Sistema </w:t>
      </w:r>
      <w:r w:rsidR="0050312A" w:rsidRPr="00B049AA">
        <w:t>financiero</w:t>
      </w:r>
      <w:r w:rsidRPr="00B049AA">
        <w:t xml:space="preserve"> se centraba en la intermediación entre los ahorradores y prestatarios, pero a lo largo del tiempo, ha ampliado su alcance para incluir la gestión de riesgos, la innovación financiera y la supervisión gubernamental. </w:t>
      </w:r>
    </w:p>
    <w:p w14:paraId="28768342" w14:textId="0D519323" w:rsidR="003E3448" w:rsidRPr="00B049AA" w:rsidRDefault="003E3448" w:rsidP="0050312A">
      <w:pPr>
        <w:pStyle w:val="TextoPrincipal"/>
        <w:spacing w:line="360" w:lineRule="auto"/>
      </w:pPr>
      <w:r w:rsidRPr="00B049AA">
        <w:t>Diversos autores y escuelas de pensamiento han contribuido a su evolución; por ejemplo, el enfoque del sistema financiero como intermediario entre los excedentes de fondos y la inversión ha sido influyente, al igual que las perspectivas más recientes que consideran la estabilidad financiera y la inclusión financiera como aspectos clave (</w:t>
      </w:r>
      <w:proofErr w:type="spellStart"/>
      <w:r w:rsidRPr="00B049AA">
        <w:t>Mishkin</w:t>
      </w:r>
      <w:proofErr w:type="spellEnd"/>
      <w:r w:rsidRPr="00B049AA">
        <w:t xml:space="preserve"> &amp; </w:t>
      </w:r>
      <w:proofErr w:type="spellStart"/>
      <w:r w:rsidRPr="00B049AA">
        <w:t>Eakins</w:t>
      </w:r>
      <w:proofErr w:type="spellEnd"/>
      <w:r w:rsidRPr="00B049AA">
        <w:t>, 2015; Allen &amp; Gale, 2007).</w:t>
      </w:r>
    </w:p>
    <w:p w14:paraId="65963040" w14:textId="77777777" w:rsidR="003E3448" w:rsidRPr="0050312A" w:rsidRDefault="003E3448" w:rsidP="007E7E61">
      <w:pPr>
        <w:pStyle w:val="Ttulo2"/>
        <w:numPr>
          <w:ilvl w:val="2"/>
          <w:numId w:val="3"/>
        </w:numPr>
        <w:spacing w:line="360" w:lineRule="auto"/>
        <w:ind w:left="1296"/>
      </w:pPr>
      <w:bookmarkStart w:id="68" w:name="_Toc155066597"/>
      <w:r w:rsidRPr="0050312A">
        <w:t>BANCOS COMERCIALES</w:t>
      </w:r>
      <w:bookmarkEnd w:id="68"/>
    </w:p>
    <w:p w14:paraId="693BC14A" w14:textId="77777777" w:rsidR="00724A84" w:rsidRDefault="003E3448" w:rsidP="0050312A">
      <w:pPr>
        <w:pStyle w:val="TextoPrincipal"/>
        <w:spacing w:line="360" w:lineRule="auto"/>
      </w:pPr>
      <w:r w:rsidRPr="00B049AA">
        <w:t xml:space="preserve">El concepto de "Bancos Comerciales" se ha originado históricamente como intermediarios financieros encargados de recibir depósitos y proporcionar préstamos a individuos y empresas. A lo largo del tiempo, ha experimentado una evolución significativa, pasando de instituciones locales a actores globales en los mercados financieros. (Berger, Molyneux &amp; Wilson, 2010; </w:t>
      </w:r>
      <w:proofErr w:type="spellStart"/>
      <w:r w:rsidRPr="00B049AA">
        <w:t>Kashyap</w:t>
      </w:r>
      <w:proofErr w:type="spellEnd"/>
      <w:r w:rsidRPr="00B049AA">
        <w:t xml:space="preserve">, Rajan &amp; Stein, 2010). </w:t>
      </w:r>
    </w:p>
    <w:p w14:paraId="4DC5E6B5" w14:textId="7890E205" w:rsidR="003E3448" w:rsidRPr="00B049AA" w:rsidRDefault="003E3448" w:rsidP="0050312A">
      <w:pPr>
        <w:pStyle w:val="TextoPrincipal"/>
        <w:spacing w:line="360" w:lineRule="auto"/>
      </w:pPr>
      <w:r w:rsidRPr="00B049AA">
        <w:t>Los bancos comerciales son instituciones financieras que ofrecen servicios de intermediación entre ahorradores y prestatarios, y se dedican a la captación de depósitos y la concesión de préstamos a individuos, empresas y otras entidades económicas (Gómez, 2023).</w:t>
      </w:r>
    </w:p>
    <w:p w14:paraId="3971D548" w14:textId="77777777" w:rsidR="003E3448" w:rsidRPr="0050312A" w:rsidRDefault="003E3448" w:rsidP="007E7E61">
      <w:pPr>
        <w:pStyle w:val="Ttulo2"/>
        <w:numPr>
          <w:ilvl w:val="2"/>
          <w:numId w:val="3"/>
        </w:numPr>
        <w:spacing w:line="360" w:lineRule="auto"/>
        <w:ind w:left="1296"/>
      </w:pPr>
      <w:bookmarkStart w:id="69" w:name="_Toc155066598"/>
      <w:r w:rsidRPr="0050312A">
        <w:t>ACTIVOS</w:t>
      </w:r>
      <w:bookmarkEnd w:id="69"/>
    </w:p>
    <w:p w14:paraId="0B9CA427" w14:textId="77777777" w:rsidR="00B151FF" w:rsidRDefault="003E3448" w:rsidP="0050312A">
      <w:pPr>
        <w:pStyle w:val="TextoPrincipal"/>
        <w:spacing w:line="360" w:lineRule="auto"/>
      </w:pPr>
      <w:r w:rsidRPr="00B049AA">
        <w:t>Los activos son recursos económicos controlados por una entidad como resultado de transacciones pasadas y de los cuales se espera obtener beneficios económicos futuros, como efectivo, inversiones, cuentas por cobrar y propiedades (Rodríguez, 2023). Ha evolucionado significativamente en respuesta a las cambiantes prácticas contables y regulaciones financieras</w:t>
      </w:r>
      <w:r w:rsidR="00B151FF">
        <w:t>.</w:t>
      </w:r>
    </w:p>
    <w:p w14:paraId="5F0FFF13" w14:textId="1923C080" w:rsidR="003E3448" w:rsidRPr="00B049AA" w:rsidRDefault="003E3448" w:rsidP="0050312A">
      <w:pPr>
        <w:pStyle w:val="TextoPrincipal"/>
        <w:spacing w:line="360" w:lineRule="auto"/>
      </w:pPr>
      <w:r w:rsidRPr="00B049AA">
        <w:t xml:space="preserve"> Autores y enfoques diversos han influido en el concepto de activos, desde la perspectiva de la valoración a valor razonable hasta la importancia de la contabilidad basada en la corriente de efectivo en la presentación de informes financieros (</w:t>
      </w:r>
      <w:proofErr w:type="spellStart"/>
      <w:r w:rsidRPr="00B049AA">
        <w:t>Financial</w:t>
      </w:r>
      <w:proofErr w:type="spellEnd"/>
      <w:r w:rsidRPr="00B049AA">
        <w:t xml:space="preserve"> </w:t>
      </w:r>
      <w:proofErr w:type="spellStart"/>
      <w:r w:rsidRPr="00B049AA">
        <w:t>Accounting</w:t>
      </w:r>
      <w:proofErr w:type="spellEnd"/>
      <w:r w:rsidRPr="00B049AA">
        <w:t xml:space="preserve"> </w:t>
      </w:r>
      <w:proofErr w:type="spellStart"/>
      <w:r w:rsidRPr="00B049AA">
        <w:t>Standards</w:t>
      </w:r>
      <w:proofErr w:type="spellEnd"/>
      <w:r w:rsidRPr="00B049AA">
        <w:t xml:space="preserve"> </w:t>
      </w:r>
      <w:proofErr w:type="spellStart"/>
      <w:r w:rsidRPr="00B049AA">
        <w:t>Board</w:t>
      </w:r>
      <w:proofErr w:type="spellEnd"/>
      <w:r w:rsidRPr="00B049AA">
        <w:t xml:space="preserve"> [FASB], 2021; Ball, 2013).</w:t>
      </w:r>
    </w:p>
    <w:p w14:paraId="03B96688" w14:textId="77777777" w:rsidR="003E3448" w:rsidRPr="0050312A" w:rsidRDefault="003E3448" w:rsidP="007E7E61">
      <w:pPr>
        <w:pStyle w:val="Ttulo2"/>
        <w:numPr>
          <w:ilvl w:val="2"/>
          <w:numId w:val="3"/>
        </w:numPr>
        <w:spacing w:line="360" w:lineRule="auto"/>
        <w:ind w:left="1296"/>
      </w:pPr>
      <w:bookmarkStart w:id="70" w:name="_Toc155066599"/>
      <w:r w:rsidRPr="0050312A">
        <w:t>PASIVOS</w:t>
      </w:r>
      <w:bookmarkEnd w:id="70"/>
    </w:p>
    <w:p w14:paraId="50E54AFE" w14:textId="77777777" w:rsidR="00B151FF" w:rsidRDefault="003E3448" w:rsidP="0050312A">
      <w:pPr>
        <w:pStyle w:val="TextoPrincipal"/>
        <w:spacing w:line="360" w:lineRule="auto"/>
      </w:pPr>
      <w:r w:rsidRPr="00B049AA">
        <w:lastRenderedPageBreak/>
        <w:t>Los pasivos son obligaciones presentes de una entidad derivadas de transacciones pasadas, cuyo cumplimiento puede requerir la transferencia de activos o la realización de servicios en el futuro, como cuentas por pagar, préstamos y deudas (González, 2023). El concepto se origina en el ámbito de la contabilidad financiera y ha experimentado una evolución continua a medida que se han desarrollado nuevas prácticas contables y regulaciones financieras.</w:t>
      </w:r>
      <w:r w:rsidRPr="0050312A">
        <w:t xml:space="preserve"> </w:t>
      </w:r>
    </w:p>
    <w:p w14:paraId="7A9F0EB9" w14:textId="135221BF" w:rsidR="003E3448" w:rsidRPr="00B049AA" w:rsidRDefault="003E3448" w:rsidP="0050312A">
      <w:pPr>
        <w:pStyle w:val="TextoPrincipal"/>
        <w:spacing w:line="360" w:lineRule="auto"/>
      </w:pPr>
      <w:r w:rsidRPr="0050312A">
        <w:t xml:space="preserve">Los pasivos se </w:t>
      </w:r>
      <w:r w:rsidRPr="00B049AA">
        <w:t xml:space="preserve">centran en las obligaciones financieras que una entidad debía a terceros, como préstamos y deudas comerciales. Con el tiempo, esta noción se ha ampliado para incluir obligaciones contingentes y pasivos implícitos. </w:t>
      </w:r>
      <w:r w:rsidRPr="0050312A">
        <w:t>Ball, R. (2013).</w:t>
      </w:r>
    </w:p>
    <w:p w14:paraId="4304CC90" w14:textId="77777777" w:rsidR="003E3448" w:rsidRPr="0050312A" w:rsidRDefault="003E3448" w:rsidP="007E7E61">
      <w:pPr>
        <w:pStyle w:val="Ttulo2"/>
        <w:numPr>
          <w:ilvl w:val="2"/>
          <w:numId w:val="3"/>
        </w:numPr>
        <w:spacing w:line="360" w:lineRule="auto"/>
        <w:ind w:left="1296"/>
      </w:pPr>
      <w:bookmarkStart w:id="71" w:name="_Toc155066600"/>
      <w:r w:rsidRPr="0050312A">
        <w:t>TASAS DE INTERÉS ACTIVA</w:t>
      </w:r>
      <w:bookmarkEnd w:id="71"/>
    </w:p>
    <w:p w14:paraId="2A2885CF" w14:textId="77777777" w:rsidR="003E3448" w:rsidRPr="00B049AA" w:rsidRDefault="003E3448" w:rsidP="0050312A">
      <w:pPr>
        <w:pStyle w:val="TextoPrincipal"/>
        <w:spacing w:line="360" w:lineRule="auto"/>
      </w:pPr>
      <w:r w:rsidRPr="00B049AA">
        <w:t>Las tasas de interés activas son los costos que los prestatarios deben pagar a las instituciones financieras por el uso de fondos prestados, y su nivel se determina por varios factores económicos y de mercado (Pérez, 2023) La tasa de interés activa describe la tasa de interés que los prestamistas cobran a los prestatarios por el uso de fondos. Con el tiempo, ha evolucionado en respuesta a las cambiantes condiciones económicas y políticas, y se ha convertido en una herramienta clave para influir en el costo del crédito y el acceso a financiamiento (</w:t>
      </w:r>
      <w:proofErr w:type="spellStart"/>
      <w:r w:rsidRPr="0050312A">
        <w:t>Mishkin</w:t>
      </w:r>
      <w:proofErr w:type="spellEnd"/>
      <w:r w:rsidRPr="0050312A">
        <w:t xml:space="preserve">, F. S., &amp; </w:t>
      </w:r>
      <w:proofErr w:type="spellStart"/>
      <w:r w:rsidRPr="0050312A">
        <w:t>Eakins</w:t>
      </w:r>
      <w:proofErr w:type="spellEnd"/>
      <w:r w:rsidRPr="0050312A">
        <w:t>, S. G., 2015)</w:t>
      </w:r>
    </w:p>
    <w:p w14:paraId="6FA21357" w14:textId="77777777" w:rsidR="003E3448" w:rsidRPr="0050312A" w:rsidRDefault="003E3448" w:rsidP="007E7E61">
      <w:pPr>
        <w:pStyle w:val="Ttulo2"/>
        <w:numPr>
          <w:ilvl w:val="2"/>
          <w:numId w:val="3"/>
        </w:numPr>
        <w:spacing w:line="360" w:lineRule="auto"/>
        <w:ind w:left="1296"/>
      </w:pPr>
      <w:bookmarkStart w:id="72" w:name="_Toc155066601"/>
      <w:r w:rsidRPr="0050312A">
        <w:t>TASAS DE INTERÉS PASIVA</w:t>
      </w:r>
      <w:bookmarkEnd w:id="72"/>
    </w:p>
    <w:p w14:paraId="37CCD2D6" w14:textId="2D51D40C" w:rsidR="003E3448" w:rsidRPr="00B049AA" w:rsidRDefault="003E3448" w:rsidP="0050312A">
      <w:pPr>
        <w:pStyle w:val="TextoPrincipal"/>
        <w:spacing w:line="360" w:lineRule="auto"/>
      </w:pPr>
      <w:r w:rsidRPr="00B049AA">
        <w:t xml:space="preserve">La tasa de </w:t>
      </w:r>
      <w:r w:rsidR="0050312A" w:rsidRPr="00B049AA">
        <w:t>interés</w:t>
      </w:r>
      <w:r w:rsidRPr="00B049AA">
        <w:t xml:space="preserve"> pasiva, refiere a </w:t>
      </w:r>
      <w:proofErr w:type="spellStart"/>
      <w:r w:rsidRPr="00B049AA">
        <w:t>a</w:t>
      </w:r>
      <w:proofErr w:type="spellEnd"/>
      <w:r w:rsidRPr="00B049AA">
        <w:t xml:space="preserve"> tasa de interés que los depositantes reciben por sus fondos en cuentas de ahorro u otras inversiones de bajo riesgo. Las tasas de interés pasiva son los rendimientos que las instituciones financieras ofrecen a los ahorradores por depositar su dinero en cuentas de ahorro, certificados de depósito u otros productos financieros, y su nivel está influenciado por diversos factores económicos y de mercado (Gómez, 2023)</w:t>
      </w:r>
      <w:r w:rsidR="0050312A">
        <w:t>.</w:t>
      </w:r>
    </w:p>
    <w:p w14:paraId="47C13AAD" w14:textId="77777777" w:rsidR="003E3448" w:rsidRPr="0050312A" w:rsidRDefault="003E3448" w:rsidP="007E7E61">
      <w:pPr>
        <w:pStyle w:val="Ttulo2"/>
        <w:numPr>
          <w:ilvl w:val="2"/>
          <w:numId w:val="3"/>
        </w:numPr>
        <w:spacing w:line="360" w:lineRule="auto"/>
        <w:ind w:left="1296"/>
      </w:pPr>
      <w:bookmarkStart w:id="73" w:name="_Toc155066602"/>
      <w:r w:rsidRPr="0050312A">
        <w:t>COSTO DE FONDEO</w:t>
      </w:r>
      <w:bookmarkEnd w:id="73"/>
    </w:p>
    <w:p w14:paraId="5AF4DE01" w14:textId="50724C78" w:rsidR="003E3448" w:rsidRPr="00B049AA" w:rsidRDefault="003E3448" w:rsidP="0050312A">
      <w:pPr>
        <w:pStyle w:val="TextoPrincipal"/>
        <w:spacing w:line="360" w:lineRule="auto"/>
      </w:pPr>
      <w:r w:rsidRPr="00B049AA">
        <w:t>Es un concepto financiero que se originó en el contexto de las instituciones financieras y su necesidad de adquirir los recursos necesarios para financiar sus operaciones y préstamos. El costo de fondeo se refiere a los gastos incurridos por las instituciones financieras para obtener los recursos necesarios para financiar sus actividades, incluyendo los intereses pagados a los ahorradores y los costos asociados con la emisión de deuda (López, 2023)</w:t>
      </w:r>
      <w:r w:rsidR="0050312A">
        <w:t>.</w:t>
      </w:r>
    </w:p>
    <w:p w14:paraId="7EF5C06C" w14:textId="77777777" w:rsidR="003E3448" w:rsidRPr="0050312A" w:rsidRDefault="003E3448" w:rsidP="007E7E61">
      <w:pPr>
        <w:pStyle w:val="Ttulo2"/>
        <w:numPr>
          <w:ilvl w:val="2"/>
          <w:numId w:val="3"/>
        </w:numPr>
        <w:spacing w:line="360" w:lineRule="auto"/>
        <w:ind w:left="1296"/>
      </w:pPr>
      <w:bookmarkStart w:id="74" w:name="_Toc155066603"/>
      <w:r w:rsidRPr="0050312A">
        <w:t>CARTERA IRREGULAR</w:t>
      </w:r>
      <w:bookmarkEnd w:id="74"/>
    </w:p>
    <w:p w14:paraId="29793570" w14:textId="590C0424" w:rsidR="00072C52" w:rsidRPr="00B049AA" w:rsidRDefault="003E3448" w:rsidP="0050312A">
      <w:pPr>
        <w:pStyle w:val="TextoPrincipal"/>
        <w:spacing w:line="360" w:lineRule="auto"/>
      </w:pPr>
      <w:r w:rsidRPr="00B049AA">
        <w:lastRenderedPageBreak/>
        <w:t xml:space="preserve">La cartera irregular se refiere a los préstamos o créditos otorgados por instituciones financieras que presentan retrasos en los pagos o incumplimientos por parte de los deudores, lo que puede indicar un riesgo crediticio y afectar la salud financiera de la entidad (García, 2023). Se ha estudiado desde perspectivas diversas, incluyendo la gestión de riesgos crediticios y las políticas de supervisión bancaria. La literatura contemporánea se enfoca en estrategias de manejo y mitigación de riesgos asociados con la cartera irregular (Altman, 2012; Saunders &amp; </w:t>
      </w:r>
      <w:proofErr w:type="spellStart"/>
      <w:r w:rsidRPr="00B049AA">
        <w:t>Cornett</w:t>
      </w:r>
      <w:proofErr w:type="spellEnd"/>
      <w:r w:rsidRPr="00B049AA">
        <w:t>, 2014).</w:t>
      </w:r>
    </w:p>
    <w:p w14:paraId="73FC7C66" w14:textId="77777777" w:rsidR="003E3448" w:rsidRPr="0050312A" w:rsidRDefault="003E3448" w:rsidP="007E7E61">
      <w:pPr>
        <w:pStyle w:val="Ttulo2"/>
        <w:numPr>
          <w:ilvl w:val="2"/>
          <w:numId w:val="3"/>
        </w:numPr>
        <w:spacing w:line="360" w:lineRule="auto"/>
        <w:ind w:left="1296"/>
      </w:pPr>
      <w:bookmarkStart w:id="75" w:name="_Toc155066604"/>
      <w:r w:rsidRPr="0050312A">
        <w:t>CRÉDITO</w:t>
      </w:r>
      <w:bookmarkEnd w:id="75"/>
    </w:p>
    <w:p w14:paraId="383D3962" w14:textId="298CA42C" w:rsidR="003E3448" w:rsidRPr="00B049AA" w:rsidRDefault="003E3448" w:rsidP="0050312A">
      <w:pPr>
        <w:pStyle w:val="TextoPrincipal"/>
        <w:spacing w:line="360" w:lineRule="auto"/>
      </w:pPr>
      <w:r w:rsidRPr="00B049AA">
        <w:t>El crédito es la disposición de recursos financieros por parte de una entidad a otra, con la expectativa de que los fondos serán devueltos en el futuro, generalmente con intereses, según los términos y condiciones acordados abarca una variedad de productos financieros, desde préstamos tradicionales hasta tarjetas de crédit</w:t>
      </w:r>
      <w:r w:rsidR="005502AA">
        <w:t xml:space="preserve">o y financiamiento corporativo </w:t>
      </w:r>
      <w:r w:rsidRPr="00B049AA">
        <w:t>(Gómez, 2023).</w:t>
      </w:r>
    </w:p>
    <w:p w14:paraId="02E152DD" w14:textId="77777777" w:rsidR="003E3448" w:rsidRPr="0050312A" w:rsidRDefault="003E3448" w:rsidP="007E7E61">
      <w:pPr>
        <w:pStyle w:val="Ttulo2"/>
        <w:numPr>
          <w:ilvl w:val="2"/>
          <w:numId w:val="3"/>
        </w:numPr>
        <w:spacing w:line="360" w:lineRule="auto"/>
        <w:ind w:left="1296"/>
      </w:pPr>
      <w:bookmarkStart w:id="76" w:name="_Toc155066605"/>
      <w:r w:rsidRPr="0050312A">
        <w:t>COSTO DE OPORTUNIDAD</w:t>
      </w:r>
      <w:bookmarkEnd w:id="76"/>
    </w:p>
    <w:p w14:paraId="19348A4E" w14:textId="77777777" w:rsidR="003E3448" w:rsidRPr="00B049AA" w:rsidRDefault="003E3448" w:rsidP="0050312A">
      <w:pPr>
        <w:pStyle w:val="TextoPrincipal"/>
        <w:spacing w:line="360" w:lineRule="auto"/>
      </w:pPr>
      <w:r w:rsidRPr="00B049AA">
        <w:t xml:space="preserve">El costo de oportunidad se refiere al valor de la mejor alternativa sacrificada cuando se toma una decisión de asignación de recursos limitados (Pérez, 2021). Representa el valor de la mejor alternativa sacrificada al tomar una decisión determinada. Diferentes enfoques y autores han influido en su comprensión y aplicación, desde la economía neoclásica que lo utiliza en análisis de costos de producción, hasta la economía del comportamiento que lo emplea para entender cómo las personas toman decisiones (Mankiw, 2020; </w:t>
      </w:r>
      <w:proofErr w:type="spellStart"/>
      <w:r w:rsidRPr="00B049AA">
        <w:t>Thaler</w:t>
      </w:r>
      <w:proofErr w:type="spellEnd"/>
      <w:r w:rsidRPr="00B049AA">
        <w:t>, 2015).</w:t>
      </w:r>
    </w:p>
    <w:p w14:paraId="0FAA97A6" w14:textId="77777777" w:rsidR="003E3448" w:rsidRPr="0050312A" w:rsidRDefault="003E3448" w:rsidP="007E7E61">
      <w:pPr>
        <w:pStyle w:val="Ttulo2"/>
        <w:numPr>
          <w:ilvl w:val="2"/>
          <w:numId w:val="3"/>
        </w:numPr>
        <w:spacing w:line="360" w:lineRule="auto"/>
        <w:ind w:left="1296"/>
      </w:pPr>
      <w:bookmarkStart w:id="77" w:name="_Toc155066606"/>
      <w:r w:rsidRPr="0050312A">
        <w:t>RENTABILIDAD FINANCIERA</w:t>
      </w:r>
      <w:bookmarkEnd w:id="77"/>
      <w:r w:rsidRPr="0050312A">
        <w:t xml:space="preserve"> </w:t>
      </w:r>
    </w:p>
    <w:p w14:paraId="769B1775" w14:textId="4C5785F6" w:rsidR="00072C52" w:rsidRPr="00B049AA" w:rsidRDefault="003E3448" w:rsidP="00125E75">
      <w:pPr>
        <w:pStyle w:val="TextoPrincipal"/>
        <w:spacing w:line="360" w:lineRule="auto"/>
      </w:pPr>
      <w:r w:rsidRPr="00B049AA">
        <w:t>La rentabilidad financiera es un indicador crítico para los inversionistas y los analistas financieros, ya que proporciona información sobre la eficiencia operativa de una empresa y su capacidad para generar retornos sobre la inversión. Refiere a la capacidad de una empresa o inversión para generar ganancias en relación con los recursos financieros invertidos, y se calcula mediante indicadores como el retorno sobre activos o el retorno sobre patrimonio (Gómez, 2022).</w:t>
      </w:r>
    </w:p>
    <w:p w14:paraId="36DFE55B" w14:textId="77777777" w:rsidR="003E3448" w:rsidRPr="0050312A" w:rsidRDefault="003E3448" w:rsidP="007E7E61">
      <w:pPr>
        <w:pStyle w:val="Ttulo2"/>
        <w:numPr>
          <w:ilvl w:val="2"/>
          <w:numId w:val="3"/>
        </w:numPr>
        <w:spacing w:line="360" w:lineRule="auto"/>
        <w:ind w:left="1296"/>
      </w:pPr>
      <w:bookmarkStart w:id="78" w:name="_Toc155066607"/>
      <w:r w:rsidRPr="0050312A">
        <w:t>COSTOS DE INTERMEDIACIÓN</w:t>
      </w:r>
      <w:bookmarkEnd w:id="78"/>
    </w:p>
    <w:p w14:paraId="0CD88781" w14:textId="77777777" w:rsidR="00B151FF" w:rsidRDefault="003E3448" w:rsidP="0050312A">
      <w:pPr>
        <w:pStyle w:val="TextoPrincipal"/>
        <w:spacing w:line="360" w:lineRule="auto"/>
      </w:pPr>
      <w:r w:rsidRPr="00B049AA">
        <w:t>Gastos asociados con la transferencia de fondos o activos entre diferentes partes en una transacción financiera, incluyendo comisiones, tarifas y otros costos administrativos,</w:t>
      </w:r>
      <w:r w:rsidRPr="0050312A">
        <w:t xml:space="preserve"> </w:t>
      </w:r>
      <w:r w:rsidRPr="00B049AA">
        <w:t xml:space="preserve">es decir, los costos que incurren los inversores al utilizar intermediarios financieros como bancos o corredores para llevar a cabo transacciones o gestionar sus inversiones. (López, 2023). </w:t>
      </w:r>
    </w:p>
    <w:p w14:paraId="466EA5A8" w14:textId="077ACB5E" w:rsidR="003E3448" w:rsidRPr="00B049AA" w:rsidRDefault="003E3448" w:rsidP="0050312A">
      <w:pPr>
        <w:pStyle w:val="TextoPrincipal"/>
        <w:spacing w:line="360" w:lineRule="auto"/>
      </w:pPr>
      <w:r w:rsidRPr="00B049AA">
        <w:lastRenderedPageBreak/>
        <w:t>Con el tiempo, este concepto ha evolucionado en respuesta a cambios en la tecnología y en las regulaciones financieras, lo que ha llevado a una disminución de los costos de intermediación en algunos casos. Diversos autores y enfoques han influido en la conceptualización del costo de intermediación, desde la teoría de la agencia que explora los conflictos de interés hasta la teoría de la eficiencia de mercado que considera la competencia en la intermediación financiera (</w:t>
      </w:r>
      <w:proofErr w:type="spellStart"/>
      <w:r w:rsidRPr="00B049AA">
        <w:t>Tirole</w:t>
      </w:r>
      <w:proofErr w:type="spellEnd"/>
      <w:r w:rsidRPr="00B049AA">
        <w:t xml:space="preserve">, 2017; </w:t>
      </w:r>
      <w:proofErr w:type="spellStart"/>
      <w:r w:rsidRPr="00B049AA">
        <w:t>Mishkin</w:t>
      </w:r>
      <w:proofErr w:type="spellEnd"/>
      <w:r w:rsidRPr="00B049AA">
        <w:t xml:space="preserve"> &amp; </w:t>
      </w:r>
      <w:proofErr w:type="spellStart"/>
      <w:r w:rsidRPr="00B049AA">
        <w:t>Eakins</w:t>
      </w:r>
      <w:proofErr w:type="spellEnd"/>
      <w:r w:rsidRPr="00B049AA">
        <w:t>, 2015).</w:t>
      </w:r>
    </w:p>
    <w:p w14:paraId="1DD5F074" w14:textId="77777777" w:rsidR="003E3448" w:rsidRPr="0050312A" w:rsidRDefault="003E3448" w:rsidP="007E7E61">
      <w:pPr>
        <w:pStyle w:val="Ttulo2"/>
        <w:numPr>
          <w:ilvl w:val="2"/>
          <w:numId w:val="3"/>
        </w:numPr>
        <w:spacing w:line="360" w:lineRule="auto"/>
        <w:ind w:left="1296"/>
      </w:pPr>
      <w:bookmarkStart w:id="79" w:name="_Toc155066608"/>
      <w:r w:rsidRPr="0050312A">
        <w:t>ACTIVOS NO RENTABLES</w:t>
      </w:r>
      <w:bookmarkEnd w:id="79"/>
    </w:p>
    <w:p w14:paraId="61F5BE23" w14:textId="77777777" w:rsidR="00B151FF" w:rsidRDefault="003E3448" w:rsidP="0050312A">
      <w:pPr>
        <w:pStyle w:val="TextoPrincipal"/>
        <w:spacing w:line="360" w:lineRule="auto"/>
      </w:pPr>
      <w:r w:rsidRPr="00B049AA">
        <w:t xml:space="preserve">Los activos no rentables son aquellos elementos del balance de una entidad que no generan ganancias o que generan ingresos por debajo de su costo o valor de adquisición (González, 2019). Apalancamiento financiero son aquellos activos en una organización que no generan los rendimientos esperados o que no son productivos. </w:t>
      </w:r>
    </w:p>
    <w:p w14:paraId="3376647D" w14:textId="69D315BC" w:rsidR="003E3448" w:rsidRPr="00B049AA" w:rsidRDefault="003E3448" w:rsidP="0050312A">
      <w:pPr>
        <w:pStyle w:val="TextoPrincipal"/>
        <w:spacing w:line="360" w:lineRule="auto"/>
      </w:pPr>
      <w:r w:rsidRPr="00B049AA">
        <w:t>Estos activos pueden incluir inversiones, propiedades o equipos que no están generando beneficios suficientes para justificar su retención.</w:t>
      </w:r>
      <w:r w:rsidRPr="0050312A">
        <w:t xml:space="preserve"> </w:t>
      </w:r>
      <w:r w:rsidRPr="00B049AA">
        <w:t xml:space="preserve">En la literatura actual, se enfatiza la necesidad de realizar evaluaciones periódicas de los activos y considerar estrategias como la desinversión o reestructuración para mejorar la rentabilidad (Gitman &amp; </w:t>
      </w:r>
      <w:proofErr w:type="spellStart"/>
      <w:r w:rsidRPr="00B049AA">
        <w:t>Zutter</w:t>
      </w:r>
      <w:proofErr w:type="spellEnd"/>
      <w:r w:rsidRPr="00B049AA">
        <w:t xml:space="preserve">, 2019; Ross, </w:t>
      </w:r>
      <w:proofErr w:type="spellStart"/>
      <w:r w:rsidRPr="00B049AA">
        <w:t>Westerfield</w:t>
      </w:r>
      <w:proofErr w:type="spellEnd"/>
      <w:r w:rsidRPr="00B049AA">
        <w:t xml:space="preserve"> &amp; </w:t>
      </w:r>
      <w:proofErr w:type="spellStart"/>
      <w:r w:rsidRPr="00B049AA">
        <w:t>Jordan</w:t>
      </w:r>
      <w:proofErr w:type="spellEnd"/>
      <w:r w:rsidRPr="00B049AA">
        <w:t>, 2019).</w:t>
      </w:r>
    </w:p>
    <w:p w14:paraId="5FF9DAC9" w14:textId="77777777" w:rsidR="003E3448" w:rsidRPr="0050312A" w:rsidRDefault="003E3448" w:rsidP="007E7E61">
      <w:pPr>
        <w:pStyle w:val="Ttulo2"/>
        <w:numPr>
          <w:ilvl w:val="2"/>
          <w:numId w:val="3"/>
        </w:numPr>
        <w:spacing w:line="360" w:lineRule="auto"/>
        <w:ind w:left="1296"/>
      </w:pPr>
      <w:bookmarkStart w:id="80" w:name="_Toc155066609"/>
      <w:r w:rsidRPr="0050312A">
        <w:t>APALANCAMIENTO FINANCIERO</w:t>
      </w:r>
      <w:bookmarkEnd w:id="80"/>
    </w:p>
    <w:p w14:paraId="3CA79ACA" w14:textId="20E31D8E" w:rsidR="00B151FF" w:rsidRDefault="003E3448" w:rsidP="0050312A">
      <w:pPr>
        <w:pStyle w:val="TextoPrincipal"/>
        <w:spacing w:line="360" w:lineRule="auto"/>
      </w:pPr>
      <w:r w:rsidRPr="00B049AA">
        <w:t>El apalancamiento financiero se refiere al uso de deuda o financiamiento externo para aumentar la rentabilidad de una inversión o mejorar la posición financiera de una empresa, permitiendo amplificar los retornos tanto positivos como negativos</w:t>
      </w:r>
      <w:r w:rsidRPr="0050312A">
        <w:t xml:space="preserve"> </w:t>
      </w:r>
      <w:r w:rsidRPr="00B049AA">
        <w:t xml:space="preserve">se originó como una estrategia para amplificar los rendimientos mediante el uso de deuda o financiamiento externo (Pérez, 2021). </w:t>
      </w:r>
    </w:p>
    <w:p w14:paraId="0F4B46E3" w14:textId="2B8C33AF" w:rsidR="003E3448" w:rsidRPr="00B049AA" w:rsidRDefault="003E3448" w:rsidP="0050312A">
      <w:pPr>
        <w:pStyle w:val="TextoPrincipal"/>
        <w:spacing w:line="360" w:lineRule="auto"/>
      </w:pPr>
      <w:r w:rsidRPr="00B049AA">
        <w:t xml:space="preserve">La teoría de Modigliani y Miller, han influido en la conceptualización del apalancamiento financiero, destacando su impacto en la estructura de capital de las empresas y su relación con el riesgo y el rendimiento financiero (Brealey, Myers &amp; Allen, 2020; Ross, </w:t>
      </w:r>
      <w:proofErr w:type="spellStart"/>
      <w:r w:rsidRPr="00B049AA">
        <w:t>Westerfield</w:t>
      </w:r>
      <w:proofErr w:type="spellEnd"/>
      <w:r w:rsidRPr="00B049AA">
        <w:t xml:space="preserve"> &amp; </w:t>
      </w:r>
      <w:proofErr w:type="spellStart"/>
      <w:r w:rsidRPr="00B049AA">
        <w:t>Jordan</w:t>
      </w:r>
      <w:proofErr w:type="spellEnd"/>
      <w:r w:rsidRPr="00B049AA">
        <w:t>, 2019).</w:t>
      </w:r>
    </w:p>
    <w:p w14:paraId="55EB1B3A" w14:textId="77777777" w:rsidR="003E3448" w:rsidRPr="00B049AA" w:rsidRDefault="003E3448" w:rsidP="007E7E61">
      <w:pPr>
        <w:pStyle w:val="Ttulo2"/>
        <w:numPr>
          <w:ilvl w:val="1"/>
          <w:numId w:val="3"/>
        </w:numPr>
        <w:spacing w:line="360" w:lineRule="auto"/>
      </w:pPr>
      <w:bookmarkStart w:id="81" w:name="_Toc474331184"/>
      <w:bookmarkStart w:id="82" w:name="_Toc474331383"/>
      <w:bookmarkStart w:id="83" w:name="_Toc132615446"/>
      <w:bookmarkStart w:id="84" w:name="_Toc155066610"/>
      <w:r w:rsidRPr="00B049AA">
        <w:t>TEORÍAS DE SUSTENTO</w:t>
      </w:r>
      <w:bookmarkEnd w:id="81"/>
      <w:bookmarkEnd w:id="82"/>
      <w:bookmarkEnd w:id="83"/>
      <w:bookmarkEnd w:id="84"/>
    </w:p>
    <w:p w14:paraId="50F21DBB" w14:textId="77777777" w:rsidR="003E3448" w:rsidRPr="0050312A" w:rsidRDefault="003E3448" w:rsidP="007E7E61">
      <w:pPr>
        <w:pStyle w:val="Ttulo2"/>
        <w:numPr>
          <w:ilvl w:val="2"/>
          <w:numId w:val="3"/>
        </w:numPr>
        <w:spacing w:line="360" w:lineRule="auto"/>
        <w:ind w:left="1296"/>
        <w:rPr>
          <w:bCs w:val="0"/>
        </w:rPr>
      </w:pPr>
      <w:bookmarkStart w:id="85" w:name="_Toc155066611"/>
      <w:r w:rsidRPr="0050312A">
        <w:rPr>
          <w:bCs w:val="0"/>
        </w:rPr>
        <w:t>TEORÍA DE LOS FONDOS PRESTABLES</w:t>
      </w:r>
      <w:bookmarkEnd w:id="85"/>
    </w:p>
    <w:p w14:paraId="736B744F" w14:textId="7C36F99F" w:rsidR="003E3448" w:rsidRPr="00B049AA" w:rsidRDefault="003E3448" w:rsidP="0050312A">
      <w:pPr>
        <w:pStyle w:val="TextoPrincipal"/>
        <w:spacing w:line="360" w:lineRule="auto"/>
      </w:pPr>
      <w:r w:rsidRPr="00B049AA">
        <w:t xml:space="preserve">Esta teoría es una idea económica que ha sido desarrollada y discutida por varios economistas a lo largo del tiempo, sin embargo, es en gran medida asociada al economista clásico </w:t>
      </w:r>
      <w:r w:rsidRPr="00B049AA">
        <w:lastRenderedPageBreak/>
        <w:t xml:space="preserve">sueco Knut </w:t>
      </w:r>
      <w:proofErr w:type="spellStart"/>
      <w:r w:rsidRPr="00B049AA">
        <w:t>Wicksell</w:t>
      </w:r>
      <w:proofErr w:type="spellEnd"/>
      <w:r w:rsidRPr="00B049AA">
        <w:t>,</w:t>
      </w:r>
      <w:r w:rsidR="008E2EA2">
        <w:t xml:space="preserve"> (2015)</w:t>
      </w:r>
      <w:r w:rsidRPr="00B049AA">
        <w:t xml:space="preserve"> sus ideas sentaron las bases para este concepto dado que introdujo el concepto de la “tasa natural de interés”, el cual está relacionado directamente con los fondos prestables y sostiene que hay una tasa de interés a la cual la inversión y el ahorro están en equilibrio, evitando la inflación y deflación.  </w:t>
      </w:r>
    </w:p>
    <w:p w14:paraId="27AE3A15" w14:textId="77777777" w:rsidR="00B151FF" w:rsidRDefault="003E3448" w:rsidP="0050312A">
      <w:pPr>
        <w:pStyle w:val="TextoPrincipal"/>
        <w:spacing w:line="360" w:lineRule="auto"/>
      </w:pPr>
      <w:r w:rsidRPr="00B049AA">
        <w:t xml:space="preserve">El concepto de los fondos prestables, propuesto por Knut </w:t>
      </w:r>
      <w:proofErr w:type="spellStart"/>
      <w:r w:rsidRPr="00B049AA">
        <w:t>Wicksell</w:t>
      </w:r>
      <w:proofErr w:type="spellEnd"/>
      <w:r w:rsidRPr="00B049AA">
        <w:t xml:space="preserve">, es una teoría fundamental en la economía. Según </w:t>
      </w:r>
      <w:proofErr w:type="spellStart"/>
      <w:r w:rsidRPr="00B049AA">
        <w:t>Wicksell</w:t>
      </w:r>
      <w:proofErr w:type="spellEnd"/>
      <w:r w:rsidRPr="00B049AA">
        <w:t xml:space="preserve">, K. (1898), los fondos prestables son los recursos disponibles en la economía para ser prestados o invertidos en proyectos productivos. Estos fondos son determinados por la oferta y la demanda de dinero y por la tasa de interés. </w:t>
      </w:r>
    </w:p>
    <w:p w14:paraId="7C59F1AF" w14:textId="43F1A0AF" w:rsidR="003E3448" w:rsidRPr="00B049AA" w:rsidRDefault="003E3448" w:rsidP="0050312A">
      <w:pPr>
        <w:pStyle w:val="TextoPrincipal"/>
        <w:spacing w:line="360" w:lineRule="auto"/>
      </w:pPr>
      <w:r w:rsidRPr="00B049AA">
        <w:t>En su análisis, argumenta que existe una tasa de interés natural, también conocida como tasa de interés equilibrada, que iguala la oferta y la demanda de fondos prestables. Esta tasa de interés natural es la que garantiza el equilibrio en el mercado financiero, donde los ahorradores están dispuestos a prestar sus fondos y los inversionistas están dispuestos a tomar prestado para financiar sus proyectos.</w:t>
      </w:r>
    </w:p>
    <w:p w14:paraId="5E20FD5E" w14:textId="77777777" w:rsidR="00B151FF" w:rsidRDefault="003E3448" w:rsidP="0050312A">
      <w:pPr>
        <w:pStyle w:val="TextoPrincipal"/>
        <w:spacing w:line="360" w:lineRule="auto"/>
      </w:pPr>
      <w:proofErr w:type="spellStart"/>
      <w:r w:rsidRPr="00B049AA">
        <w:t>Wicksell</w:t>
      </w:r>
      <w:proofErr w:type="spellEnd"/>
      <w:r w:rsidRPr="00B049AA">
        <w:t xml:space="preserve">, K. (1898), señala que cuando la tasa de interés real es menor que la tasa de interés natural, se produce un exceso de demanda de fondos prestables, lo que genera presiones alcistas en la tasa de interés. Por otro lado, si la tasa de interés real es mayor que la tasa de interés natural, se produce un exceso de oferta de fondos prestables, lo que provoca una disminución en la tasa de interés. </w:t>
      </w:r>
    </w:p>
    <w:p w14:paraId="2199B180" w14:textId="32A4EEB8" w:rsidR="003E3448" w:rsidRPr="00B049AA" w:rsidRDefault="003E3448" w:rsidP="0050312A">
      <w:pPr>
        <w:pStyle w:val="TextoPrincipal"/>
        <w:spacing w:line="360" w:lineRule="auto"/>
      </w:pPr>
      <w:r w:rsidRPr="00B049AA">
        <w:t>Por lo que</w:t>
      </w:r>
      <w:r w:rsidR="00B151FF">
        <w:t>,</w:t>
      </w:r>
      <w:r w:rsidRPr="00B049AA">
        <w:t xml:space="preserve"> el autor sostiene que la tasa de interés juega un papel crucial en el equilibrio entre la oferta y la demanda de fondos prestables en la economía. Esta teoría ha sido ampliamente estudiada y discutida en la literatura económica, y ha influido en el análisis de la política monetaria y en la comprensión de los ciclos económicos.</w:t>
      </w:r>
    </w:p>
    <w:p w14:paraId="0EFCA8D0" w14:textId="77777777" w:rsidR="00B151FF" w:rsidRDefault="003E3448" w:rsidP="0050312A">
      <w:pPr>
        <w:pStyle w:val="TextoPrincipal"/>
        <w:spacing w:line="360" w:lineRule="auto"/>
      </w:pPr>
      <w:r w:rsidRPr="00B049AA">
        <w:t xml:space="preserve">Una de las implicaciones importantes de la teoría de los fondos prestables es que la política monetaria puede afectar la tasa de interés real y, por lo tanto, el equilibrio en el mercado de fondos prestables. Por ejemplo, si el banco central decide aumentar la oferta de dinero, esto puede reducir la tasa de interés real y estimular la demanda de fondos prestables. </w:t>
      </w:r>
    </w:p>
    <w:p w14:paraId="203B36C5" w14:textId="7C66CE13" w:rsidR="003E3448" w:rsidRPr="00B049AA" w:rsidRDefault="003E3448" w:rsidP="0050312A">
      <w:pPr>
        <w:pStyle w:val="TextoPrincipal"/>
        <w:spacing w:line="360" w:lineRule="auto"/>
      </w:pPr>
      <w:r w:rsidRPr="00B049AA">
        <w:t xml:space="preserve">Por otro lado, una reducción en la oferta de dinero puede aumentar la tasa de interés real y desestimular la demanda de fondos prestables. La teoría de los fondos prestables también ha sido utilizada para analizar el impacto de los cambios en la productividad y la tecnología en el mercado </w:t>
      </w:r>
      <w:r w:rsidRPr="00B049AA">
        <w:lastRenderedPageBreak/>
        <w:t xml:space="preserve">de fondos prestables. Por ejemplo, si hay un aumento en la productividad, esto puede incrementar la demanda de fondos prestables para financiar proyectos de inversión rentables. En conclusión, la teoría de los fondos prestables de </w:t>
      </w:r>
      <w:proofErr w:type="spellStart"/>
      <w:r w:rsidRPr="00B049AA">
        <w:t>Wicksell</w:t>
      </w:r>
      <w:proofErr w:type="spellEnd"/>
      <w:r w:rsidRPr="00B049AA">
        <w:t xml:space="preserve"> ha sido un aporte significativo para comprender cómo se determina la tasa de interés y cómo se equilibra el mercado de fondos prestables en la economía.</w:t>
      </w:r>
    </w:p>
    <w:p w14:paraId="1AB0F10B" w14:textId="77777777" w:rsidR="003E3448" w:rsidRPr="00B049AA" w:rsidRDefault="003E3448" w:rsidP="0050312A">
      <w:pPr>
        <w:pStyle w:val="TextoPrincipal"/>
        <w:spacing w:line="360" w:lineRule="auto"/>
      </w:pPr>
      <w:r w:rsidRPr="00B049AA">
        <w:t xml:space="preserve">Una crítica común a la teoría de los fondos prestables de </w:t>
      </w:r>
      <w:proofErr w:type="spellStart"/>
      <w:r w:rsidRPr="00B049AA">
        <w:t>Wicksell</w:t>
      </w:r>
      <w:proofErr w:type="spellEnd"/>
      <w:r w:rsidRPr="00B049AA">
        <w:t xml:space="preserve"> es que asume que la tasa de interés es el único mecanismo de ajuste para alcanzar el equilibrio en el mercado de fondos prestables. Según </w:t>
      </w:r>
      <w:proofErr w:type="spellStart"/>
      <w:r w:rsidRPr="00B049AA">
        <w:t>Blinder</w:t>
      </w:r>
      <w:proofErr w:type="spellEnd"/>
      <w:r w:rsidRPr="00B049AA">
        <w:t xml:space="preserve"> (2008), esta visión simplista no tiene en cuenta otros factores importantes que pueden influir en la oferta y la demanda de fondos prestables, como las expectativas de los agentes económicos, la incertidumbre y los cambios en la liquidez. Por lo tanto, la teoría de los fondos prestables puede subestimar la complejidad del mercado financiero y no capturar completamente las dinámicas que ocurren en la realidad.</w:t>
      </w:r>
    </w:p>
    <w:p w14:paraId="111C05CC" w14:textId="26B896FB" w:rsidR="003E3448" w:rsidRPr="00B049AA" w:rsidRDefault="003E3448" w:rsidP="00722788">
      <w:pPr>
        <w:pStyle w:val="TextoPrincipal"/>
        <w:spacing w:line="360" w:lineRule="auto"/>
      </w:pPr>
      <w:r w:rsidRPr="00B049AA">
        <w:t xml:space="preserve">De igual forma, otra crítica a la teoría de los fondos prestables es que no considera la posibilidad de que la oferta de fondos prestables pueda ser afectada por factores no monetarios. Según Tobin (1969), la teoría de los fondos prestables de </w:t>
      </w:r>
      <w:proofErr w:type="spellStart"/>
      <w:r w:rsidRPr="00B049AA">
        <w:t>Wicksell</w:t>
      </w:r>
      <w:proofErr w:type="spellEnd"/>
      <w:r w:rsidRPr="00B049AA">
        <w:t xml:space="preserve"> se basa en la suposición simplista de que la oferta de fondos prestables está determinada únicamente por la oferta de dinero.</w:t>
      </w:r>
      <w:r w:rsidR="00722788">
        <w:t xml:space="preserve"> </w:t>
      </w:r>
      <w:r w:rsidRPr="00B049AA">
        <w:t>Sin embargo, en la realidad, la oferta de fondos prestables también puede estar influenciada por factores como el ahorro, la acumulación de capital y la disponibilidad de recursos financieros. Esta omisión puede limitar la capacidad de la teoría de los fondos prestables para explicar los cambios en la oferta de fondos prestables y su impacto en el mercado financiero.</w:t>
      </w:r>
    </w:p>
    <w:p w14:paraId="5678C5F2" w14:textId="77777777" w:rsidR="00B151FF" w:rsidRDefault="003E3448" w:rsidP="0050312A">
      <w:pPr>
        <w:pStyle w:val="TextoPrincipal"/>
        <w:spacing w:line="360" w:lineRule="auto"/>
      </w:pPr>
      <w:r w:rsidRPr="00B049AA">
        <w:t xml:space="preserve">Además, se ha argumentado que la teoría de los fondos prestables no tiene en cuenta la posibilidad de que la tasa de interés pueda ser influenciada por factores no económicos. Según Keynes (1936), la tasa de interés no solo refleja las condiciones de oferta y demanda de fondos prestables, sino que también puede estar determinada por consideraciones psicológicas y sociales. </w:t>
      </w:r>
    </w:p>
    <w:p w14:paraId="7B170B91" w14:textId="7A66D7FC" w:rsidR="003E3448" w:rsidRPr="00B049AA" w:rsidRDefault="003E3448" w:rsidP="0050312A">
      <w:pPr>
        <w:pStyle w:val="TextoPrincipal"/>
        <w:spacing w:line="360" w:lineRule="auto"/>
      </w:pPr>
      <w:r w:rsidRPr="00B049AA">
        <w:t>Por ejemplo, las expectativas de los agentes económicos, la confianza en la economía y la aversión al riesgo pueden afectar la tasa de interés de manera independiente de los fundamentos económicos subyacentes. Esta crítica plantea la necesidad de considerar factores no económicos en el análisis de la tasa de interés y cuestiona la validez de la teoría de los fondos prestables en su forma original.</w:t>
      </w:r>
    </w:p>
    <w:p w14:paraId="536447D0" w14:textId="77777777" w:rsidR="00B151FF" w:rsidRDefault="003E3448" w:rsidP="0050312A">
      <w:pPr>
        <w:pStyle w:val="TextoPrincipal"/>
        <w:spacing w:line="360" w:lineRule="auto"/>
      </w:pPr>
      <w:r w:rsidRPr="00B049AA">
        <w:t xml:space="preserve">En conclusión, la teoría de los fondos prestables de </w:t>
      </w:r>
      <w:proofErr w:type="spellStart"/>
      <w:r w:rsidRPr="00B049AA">
        <w:t>Wicksell</w:t>
      </w:r>
      <w:proofErr w:type="spellEnd"/>
      <w:r w:rsidRPr="00B049AA">
        <w:t xml:space="preserve"> ha sido una contribución </w:t>
      </w:r>
      <w:r w:rsidRPr="00B049AA">
        <w:lastRenderedPageBreak/>
        <w:t xml:space="preserve">importante para comprender la relación entre la tasa de interés, la oferta y la demanda de fondos prestables en la economía. Sin embargo, esta teoría no está exenta de críticas. Se ha argumentado que su enfoque simplista no considera completamente la complejidad del mercado financiero, omitiendo factores como las expectativas, la incertidumbre y los cambios en la liquidez. </w:t>
      </w:r>
    </w:p>
    <w:p w14:paraId="3E23BD2D" w14:textId="724EC83A" w:rsidR="003E3448" w:rsidRPr="00B049AA" w:rsidRDefault="003E3448" w:rsidP="0050312A">
      <w:pPr>
        <w:pStyle w:val="TextoPrincipal"/>
        <w:spacing w:line="360" w:lineRule="auto"/>
      </w:pPr>
      <w:r w:rsidRPr="00B049AA">
        <w:t>Además, la teoría no contempla la posibilidad de que la oferta de fondos prestables pueda ser influenciada por factores no monetarios, limitando así su capacidad explicativa. Asimismo, se ha cuestionado la exclusividad de la tasa de interés como mecanismo de ajuste, ignorando posibles determinantes no económicos. Estas críticas señalan la necesidad de enriquecer y complementar la teoría de los fondos prestables para capturar de manera más precisa la dinámica del mercado financiero.</w:t>
      </w:r>
    </w:p>
    <w:p w14:paraId="7C1D38CB" w14:textId="77777777" w:rsidR="003E3448" w:rsidRPr="00B049AA" w:rsidRDefault="003E3448" w:rsidP="0050312A">
      <w:pPr>
        <w:pStyle w:val="TextoPrincipal"/>
        <w:spacing w:line="360" w:lineRule="auto"/>
      </w:pPr>
      <w:r w:rsidRPr="00B049AA">
        <w:t xml:space="preserve">La teoría de los fondos prestables de </w:t>
      </w:r>
      <w:proofErr w:type="spellStart"/>
      <w:r w:rsidRPr="00B049AA">
        <w:t>Wicksell</w:t>
      </w:r>
      <w:proofErr w:type="spellEnd"/>
      <w:r w:rsidRPr="00B049AA">
        <w:t xml:space="preserve"> ha sido un punto de partida importante para el análisis de la relación entre la tasa de interés, la oferta y la demanda de fondos prestables. Sin embargo, es necesario considerar las críticas planteadas y ampliar el marco teórico para incorporar factores no monetarios y abordar la complejidad del mercado financiero en su totalidad.</w:t>
      </w:r>
    </w:p>
    <w:p w14:paraId="0818AE99" w14:textId="785A8AAB" w:rsidR="003E3448" w:rsidRPr="0050312A" w:rsidRDefault="003E3448" w:rsidP="007E7E61">
      <w:pPr>
        <w:pStyle w:val="Ttulo2"/>
        <w:numPr>
          <w:ilvl w:val="2"/>
          <w:numId w:val="3"/>
        </w:numPr>
        <w:spacing w:line="360" w:lineRule="auto"/>
        <w:ind w:left="1296"/>
        <w:rPr>
          <w:bCs w:val="0"/>
        </w:rPr>
      </w:pPr>
      <w:bookmarkStart w:id="86" w:name="_Toc155066612"/>
      <w:r w:rsidRPr="0050312A">
        <w:rPr>
          <w:bCs w:val="0"/>
        </w:rPr>
        <w:t>TEORÍA DE LA PREFERENCIA DE LA LIQUIDEZ DE KEYNES</w:t>
      </w:r>
      <w:bookmarkEnd w:id="86"/>
    </w:p>
    <w:p w14:paraId="35EED7F5" w14:textId="2A1683B6" w:rsidR="003E3448" w:rsidRPr="00B049AA" w:rsidRDefault="003E3448" w:rsidP="00AA676E">
      <w:pPr>
        <w:pStyle w:val="TextoPrincipal"/>
        <w:spacing w:line="360" w:lineRule="auto"/>
      </w:pPr>
      <w:r w:rsidRPr="00B049AA">
        <w:t>Esta teoría propuesta por John Maynard Keynes</w:t>
      </w:r>
      <w:r w:rsidR="008E2EA2">
        <w:t xml:space="preserve"> (1930)</w:t>
      </w:r>
      <w:r w:rsidRPr="00B049AA">
        <w:t xml:space="preserve">, sostiene que las tasas de interés son determinadas por la demanda y oferta de dinero; si la preferencia por la liquidez aumenta, las personas tienden a mantener más efectivo y las tasas de interés suben, mientras que, si la preferencia por liquidez disminuye, las tasas bajan. </w:t>
      </w:r>
    </w:p>
    <w:p w14:paraId="26DFAA92" w14:textId="77777777" w:rsidR="003E3448" w:rsidRPr="00B049AA" w:rsidRDefault="003E3448" w:rsidP="00AA676E">
      <w:pPr>
        <w:pStyle w:val="TextoPrincipal"/>
        <w:spacing w:line="360" w:lineRule="auto"/>
      </w:pPr>
      <w:r w:rsidRPr="00B049AA">
        <w:t xml:space="preserve">La Teoría de la Preferencia por la Liquidez propuesta por John Maynard Keynes en su influyente obra "Teoría General del Empleo, el Interés y el Dinero" (1936), introdujo un enfoque revolucionario para entender la determinación de la tasa de interés en una economía. Keynes sostuvo que la tasa de interés no solo se establece en función de la oferta y la demanda de fondos prestables, sino que también está vinculada a la preferencia de las personas por mantener su riqueza en forma de dinero líquido. Según Keynes, J. (1936), esta preferencia por la liquidez afecta la disposición de las personas a mantener activos que no generan interés, lo que influye directamente en la tasa de interés dominante. </w:t>
      </w:r>
    </w:p>
    <w:p w14:paraId="6D9F7156" w14:textId="77777777" w:rsidR="003E3448" w:rsidRPr="00B049AA" w:rsidRDefault="003E3448" w:rsidP="00AA676E">
      <w:pPr>
        <w:pStyle w:val="TextoPrincipal"/>
        <w:spacing w:line="360" w:lineRule="auto"/>
      </w:pPr>
      <w:r w:rsidRPr="00B049AA">
        <w:t xml:space="preserve">Keynes argumentó que la tasa de interés está determinada por la relación entre la oferta de dinero y la demanda de dinero para transacciones y especulación. En sus palabras, Keynes (1936) </w:t>
      </w:r>
      <w:r w:rsidRPr="00B049AA">
        <w:lastRenderedPageBreak/>
        <w:t>nos dice que "La tasa de interés es la recompensa por separar el propósito de la liquidez del propósito de la inversión". Esta teoría refleja la importancia del componente psicológico y la incertidumbre en la formación de la tasa de interés, a medida que las preferencias individuales por la liquidez cambian en respuesta a condiciones económicas cambiantes.</w:t>
      </w:r>
    </w:p>
    <w:p w14:paraId="18CBE954" w14:textId="1284D58E" w:rsidR="003E3448" w:rsidRPr="00B049AA" w:rsidRDefault="003E3448" w:rsidP="00AA676E">
      <w:pPr>
        <w:pStyle w:val="TextoPrincipal"/>
        <w:spacing w:line="360" w:lineRule="auto"/>
      </w:pPr>
      <w:r w:rsidRPr="00B049AA">
        <w:t>La teoría de la preferencia por la liquidez sostiene que cualquier desequilibrio entre la cantidad de dinero demandado y ofrecido se soluciona mediante un ajuste en la tasa de interés. Esta teoría se basa en la aplicación de la ley de oferta y demanda al mercado monetario, considerando la tasa de interés como el "precio del dinero". En consecuencia, cuando la demanda de dinero excede la oferta, la tasa de interés aumentará hasta que se vuelva a equilibrar la oferta y la demanda. Por otro lado, si la demanda de dinero es menor que la oferta, habrá una presión a la baja en la tasa de interés, la cual se reducirá hasta que la oferta y la demanda de dinero se igualen nuevamente, estableciendo un nuevo equilibrio</w:t>
      </w:r>
      <w:r w:rsidR="008E2EA2">
        <w:t xml:space="preserve"> Keynes (1936)</w:t>
      </w:r>
      <w:r w:rsidRPr="00B049AA">
        <w:t xml:space="preserve">. </w:t>
      </w:r>
    </w:p>
    <w:p w14:paraId="61A0D4C7" w14:textId="3BBE4DB8" w:rsidR="003E3448" w:rsidRPr="00B049AA" w:rsidRDefault="003E3448" w:rsidP="00AA676E">
      <w:pPr>
        <w:pStyle w:val="TextoPrincipal"/>
        <w:spacing w:line="360" w:lineRule="auto"/>
      </w:pPr>
      <w:r w:rsidRPr="00B049AA">
        <w:t>La teoría de Keynes</w:t>
      </w:r>
      <w:r w:rsidR="000C794E">
        <w:t xml:space="preserve"> (1936)</w:t>
      </w:r>
      <w:r w:rsidRPr="00B049AA">
        <w:t xml:space="preserve"> ofrece una perspectiva innovadora sobre la relación entre la liquidez y la tasa de interés, desafiando las explicaciones convencionales basadas únicamente en la oferta y la demanda de capital. Esta teoría destaca cómo las preferencias por mantener dinero líquido en lugar de invertirlo afectan la tasa de interés y, por ende, influyen en las decisiones de gasto e inversión en una economía. </w:t>
      </w:r>
    </w:p>
    <w:p w14:paraId="720FC8EE" w14:textId="77777777" w:rsidR="003E3448" w:rsidRPr="00B049AA" w:rsidRDefault="003E3448" w:rsidP="00AA676E">
      <w:pPr>
        <w:pStyle w:val="TextoPrincipal"/>
        <w:spacing w:line="360" w:lineRule="auto"/>
      </w:pPr>
      <w:r w:rsidRPr="00B049AA">
        <w:t>Adicionalmente, en su teoría Keynes hace una crítica a la economía clásica, la cual plantea que la tasa de interés es el precio que equilibra la demanda de inversiones y los ahorros. Al respecto, Mill, J. (1848) planteaba que la tasa de interés es aquella que iguala la demanda de préstamos con su oferta, además es aquella a la cual cierto número de personas desean adquirir prestado se equipara a lo que otras personas desean prestar.</w:t>
      </w:r>
    </w:p>
    <w:p w14:paraId="629C4F37" w14:textId="77777777" w:rsidR="003E3448" w:rsidRPr="00B049AA" w:rsidRDefault="003E3448" w:rsidP="00AA676E">
      <w:pPr>
        <w:pStyle w:val="TextoPrincipal"/>
        <w:spacing w:line="360" w:lineRule="auto"/>
      </w:pPr>
      <w:r w:rsidRPr="00B049AA">
        <w:t xml:space="preserve">A su vez, Keynes, J. (1936) plantea que la eficiencia marginal del capital es la que influye en el volumen de las inversiones y que la tasa de interés es la que define la cantidad de fondos disponibles para que se lleven a cabo las inversiones, esto significa que la tasa de interés no equilibra la demanda de inversión y los ahorros, sino que se fija en el mercado de dinero; es decir, de la interacción de la cantidad de dinero y de la preferencia por la liquidez o de la demanda de dinero. En ese sentido, el mercado de dinero da la señal de costo de la inversión o de los fondos necesarios para efectuar la inversión, mientras que la eficiencia marginal del capital puede ser vista como la variable que incentiva a las empresas para llevar a cabo nuevas inversiones en capital. </w:t>
      </w:r>
    </w:p>
    <w:p w14:paraId="6A575242" w14:textId="77777777" w:rsidR="00B151FF" w:rsidRDefault="003E3448" w:rsidP="00AA676E">
      <w:pPr>
        <w:pStyle w:val="TextoPrincipal"/>
        <w:spacing w:line="360" w:lineRule="auto"/>
      </w:pPr>
      <w:r w:rsidRPr="00B049AA">
        <w:lastRenderedPageBreak/>
        <w:t xml:space="preserve">La teoría de Keynes ha sido ampliamente discutida y debatida en la literatura económica. Autores como Hicks (1937) han aportado evidencia empírica que respalda la teoría de Keynes, mientras que otros como Friedman (1956) han cuestionado su validez en ciertos contextos, de que la preferencia de liquidez se basa en la idea de que las personas prefieren tener dinero en efectivo para hacer frente a imprevistos y emergencias. </w:t>
      </w:r>
    </w:p>
    <w:p w14:paraId="2197DB75" w14:textId="27B1C821" w:rsidR="003E3448" w:rsidRPr="00B049AA" w:rsidRDefault="003E3448" w:rsidP="00AA676E">
      <w:pPr>
        <w:pStyle w:val="TextoPrincipal"/>
        <w:spacing w:line="360" w:lineRule="auto"/>
      </w:pPr>
      <w:r w:rsidRPr="00B049AA">
        <w:t>Sin embargo, esta preferencia puede tener implicaciones negativas en la inversión y la actividad económica. Es importante tener en cuenta que la teoría de la preferencia de liquidez de Keynes es solo una de las muchas teorías que existen en el campo de la economía.</w:t>
      </w:r>
    </w:p>
    <w:p w14:paraId="59CACF40" w14:textId="77777777" w:rsidR="003E3448" w:rsidRPr="00AA676E" w:rsidRDefault="003E3448" w:rsidP="007E7E61">
      <w:pPr>
        <w:pStyle w:val="Ttulo2"/>
        <w:numPr>
          <w:ilvl w:val="2"/>
          <w:numId w:val="3"/>
        </w:numPr>
        <w:spacing w:line="360" w:lineRule="auto"/>
        <w:ind w:left="1296"/>
      </w:pPr>
      <w:bookmarkStart w:id="87" w:name="_Toc132615448"/>
      <w:bookmarkStart w:id="88" w:name="_Toc155066613"/>
      <w:r w:rsidRPr="00AA676E">
        <w:t>METODOLOGÍAS DESARROLLADAS</w:t>
      </w:r>
      <w:bookmarkEnd w:id="87"/>
      <w:bookmarkEnd w:id="88"/>
    </w:p>
    <w:p w14:paraId="78F4B34F" w14:textId="77777777" w:rsidR="00B151FF" w:rsidRDefault="003E3448" w:rsidP="00AA676E">
      <w:pPr>
        <w:pStyle w:val="TextoPrincipal"/>
        <w:spacing w:line="360" w:lineRule="auto"/>
      </w:pPr>
      <w:r w:rsidRPr="00B049AA">
        <w:t xml:space="preserve">Una de las metodologías ampliamente utilizadas para la descomposición de la tasa de interés activa es la "Metodología de Costo de Fondeo" propuesta por García y López (2015). Esta metodología descompone la tasa de interés activa en función de los costos en los que incurre la entidad financiera para obtener los fondos necesarios para otorgar créditos; además, considera aspectos como el riesgo crediticio y el margen de ganancia. </w:t>
      </w:r>
    </w:p>
    <w:p w14:paraId="547DA97C" w14:textId="32FB97A0" w:rsidR="003E3448" w:rsidRPr="00B049AA" w:rsidRDefault="003E3448" w:rsidP="00AA676E">
      <w:pPr>
        <w:pStyle w:val="TextoPrincipal"/>
        <w:spacing w:line="360" w:lineRule="auto"/>
      </w:pPr>
      <w:r w:rsidRPr="00B049AA">
        <w:t>La investigación de los autores se centra en analizar de manera detallada la estructura de la tasa de interés activa, desglosándola en sus componentes esenciales a partir del enfoque de los costos de financiamiento. Esta metodología busca comprender cómo las instituciones financieras determinan el costo del crédito que ofrecen a los prestatarios y cómo factores como el acceso a fuentes de financiamiento y los riesgos asociados influyen en la tasa resultante.</w:t>
      </w:r>
    </w:p>
    <w:p w14:paraId="4C5B4577" w14:textId="77777777" w:rsidR="00B151FF" w:rsidRDefault="000C794E" w:rsidP="00AA676E">
      <w:pPr>
        <w:pStyle w:val="TextoPrincipal"/>
        <w:spacing w:line="360" w:lineRule="auto"/>
      </w:pPr>
      <w:r w:rsidRPr="00B049AA">
        <w:t>García y López</w:t>
      </w:r>
      <w:r>
        <w:t xml:space="preserve"> (2015)</w:t>
      </w:r>
      <w:r w:rsidRPr="00B049AA">
        <w:t xml:space="preserve"> </w:t>
      </w:r>
      <w:r w:rsidR="003E3448" w:rsidRPr="00B049AA">
        <w:t xml:space="preserve">proponen un modelo analítico que considera los distintos gastos y costos en los que incurre una entidad financiera para obtener los fondos necesarios para otorgar préstamos. Estos costos pueden incluir tasas de interés pagadas por la institución para captar depósitos o financiamiento, así como los costos operativos y administrativos asociados. La metodología también abarca el riesgo crediticio, ya que las tasas de interés activas deben reflejar el riesgo percibido por la entidad al prestar fondos. </w:t>
      </w:r>
    </w:p>
    <w:p w14:paraId="73DBCEB7" w14:textId="5E8FC3E6" w:rsidR="003E3448" w:rsidRPr="00B049AA" w:rsidRDefault="003E3448" w:rsidP="00AA676E">
      <w:pPr>
        <w:pStyle w:val="TextoPrincipal"/>
        <w:spacing w:line="360" w:lineRule="auto"/>
      </w:pPr>
      <w:r w:rsidRPr="00B049AA">
        <w:t xml:space="preserve">En ese sentido, la investigación contribuye al campo financiero al proporcionar una herramienta conceptual y analítica que permite desentrañar los elementos que componen la tasa de interés activa. Al descomponerla a través del enfoque de los </w:t>
      </w:r>
      <w:r w:rsidR="000C794E">
        <w:t xml:space="preserve">costos de fondeo, </w:t>
      </w:r>
      <w:r w:rsidRPr="00B049AA">
        <w:t>García y López</w:t>
      </w:r>
      <w:r w:rsidR="000C794E">
        <w:t xml:space="preserve"> (2015)</w:t>
      </w:r>
      <w:r w:rsidRPr="00B049AA">
        <w:t xml:space="preserve"> aporta una visión más profunda de cómo las decisiones de las instituciones financieras, sus </w:t>
      </w:r>
      <w:r w:rsidRPr="00B049AA">
        <w:lastRenderedPageBreak/>
        <w:t>estrategias de financiamiento y la gestión de riesgos se entrelazan para dar forma al costo del crédito para los prestatarios.</w:t>
      </w:r>
    </w:p>
    <w:p w14:paraId="554D52C0" w14:textId="77777777" w:rsidR="00B151FF" w:rsidRDefault="003E3448" w:rsidP="00AA676E">
      <w:pPr>
        <w:pStyle w:val="TextoPrincipal"/>
        <w:spacing w:line="360" w:lineRule="auto"/>
      </w:pPr>
      <w:r w:rsidRPr="00B049AA">
        <w:t xml:space="preserve">Otra aproximación es la "Metodología de Riesgo Crediticio y Mercado" propuesta por Pérez et al. (2018), esta metodología se centra en la descomposición de la tasa de interés activa basada en la evaluación del riesgo crediticio de los prestatarios y las condiciones del mercado, considera que el riesgo crediticio impacta en el costo del crédito y el margen de riesgo de la institución financiera. </w:t>
      </w:r>
    </w:p>
    <w:p w14:paraId="5296260F" w14:textId="6484CA2F" w:rsidR="003E3448" w:rsidRPr="00B049AA" w:rsidRDefault="003E3448" w:rsidP="00AA676E">
      <w:pPr>
        <w:pStyle w:val="TextoPrincipal"/>
        <w:spacing w:line="360" w:lineRule="auto"/>
      </w:pPr>
      <w:r w:rsidRPr="00B049AA">
        <w:t>La investigación, se enfoca en ofrecer una perspectiva detallada sobre cómo se estructura la tasa de interés activa mediante la consideración de dos factores cruciales: el riesgo crediticio de los prestatarios y las condiciones del mercado financiero. Esta metodología tiene como objetivo arrojar evidencia sobre cómo la evaluación de los riesgos asociados a los créditos y la dinámica de oferta y demanda en los mercados influyen en los distintos componentes que conforman la tasa de interés activa.</w:t>
      </w:r>
    </w:p>
    <w:p w14:paraId="66E75753" w14:textId="77777777" w:rsidR="00B151FF" w:rsidRDefault="000C794E" w:rsidP="00AA676E">
      <w:pPr>
        <w:pStyle w:val="TextoPrincipal"/>
        <w:spacing w:line="360" w:lineRule="auto"/>
      </w:pPr>
      <w:r>
        <w:t xml:space="preserve">Pérez et al. (2018) </w:t>
      </w:r>
      <w:r w:rsidR="003E3448" w:rsidRPr="00B049AA">
        <w:t xml:space="preserve">propone un enfoque analítico que descompone la tasa de interés activa en función del riesgo crediticio que representa el prestatario, esto implica evaluar la solvencia, el historial crediticio y otros aspectos relacionados con la capacidad de pago de los solicitantes de crédito; además, la metodología considera cómo las condiciones del mercado financiero, como las tasas de interés de referencia y las expectativas macroeconómicas, influyen en la tasa de interés activa al ajustar los márgenes de riesgo asumidos por las instituciones financieras. </w:t>
      </w:r>
    </w:p>
    <w:p w14:paraId="653EF6B9" w14:textId="126C7C40" w:rsidR="003E3448" w:rsidRPr="00B049AA" w:rsidRDefault="003E3448" w:rsidP="00AA676E">
      <w:pPr>
        <w:pStyle w:val="TextoPrincipal"/>
        <w:spacing w:line="360" w:lineRule="auto"/>
      </w:pPr>
      <w:r w:rsidRPr="00B049AA">
        <w:t>En consecuencia, la investigación aporta una visión integral sobre cómo el riesgo crediticio y las condiciones del mercado interactúan para moldear la tasa de interés activa; al descomponerla desde la perspectiva de estos factores, esta metodología ofrece una herramienta valiosa para comprender cómo los aspectos individuales y macroeconómicos se combinan en la formación de la tasa de interés activa y por lo tanto en la asignación de crédito en la economía.</w:t>
      </w:r>
    </w:p>
    <w:p w14:paraId="3578460A" w14:textId="77777777" w:rsidR="00B151FF" w:rsidRDefault="003E3448" w:rsidP="00AA676E">
      <w:pPr>
        <w:pStyle w:val="TextoPrincipal"/>
        <w:spacing w:line="360" w:lineRule="auto"/>
      </w:pPr>
      <w:r w:rsidRPr="00B049AA">
        <w:t xml:space="preserve">Por otro lado, la "Metodología de Competencia y Margen" desarrollada por Martínez y Gómez (2019), se enfoca en cómo la competencia en el mercado financiero influye en la formación de la tasa de interés activa, asimismo analiza cómo el margen de ganancia de las instituciones financieras se ajusta en función de la competencia y cómo esto afecta los componentes de la tasa; se centra en proporcionar una comprensión detallada de cómo la dinámica competitiva en el mercado financiero y el margen de ganancia de las instituciones influyen en la estructura de la tasa </w:t>
      </w:r>
      <w:r w:rsidRPr="00B049AA">
        <w:lastRenderedPageBreak/>
        <w:t xml:space="preserve">de interés activa. </w:t>
      </w:r>
    </w:p>
    <w:p w14:paraId="3B8BF8EA" w14:textId="540DEE35" w:rsidR="003E3448" w:rsidRPr="00B049AA" w:rsidRDefault="003E3448" w:rsidP="00AA676E">
      <w:pPr>
        <w:pStyle w:val="TextoPrincipal"/>
        <w:spacing w:line="360" w:lineRule="auto"/>
      </w:pPr>
      <w:r w:rsidRPr="00B049AA">
        <w:t>Esta metodología propone brindar evidencia sobre cómo las interacciones entre las instituciones financieras en un entorno competitivo y los márgenes de beneficio que buscan alcanzar afectan los diversos componentes que conforman la tasa de interés activa.</w:t>
      </w:r>
    </w:p>
    <w:p w14:paraId="105DAD81" w14:textId="77777777" w:rsidR="00B151FF" w:rsidRDefault="003E3448" w:rsidP="00AA676E">
      <w:pPr>
        <w:pStyle w:val="TextoPrincipal"/>
        <w:spacing w:line="360" w:lineRule="auto"/>
      </w:pPr>
      <w:r w:rsidRPr="00B049AA">
        <w:t>En dicho estudio, Martínez y Gómez</w:t>
      </w:r>
      <w:r w:rsidR="000C794E">
        <w:t xml:space="preserve"> (2019)</w:t>
      </w:r>
      <w:r w:rsidRPr="00B049AA">
        <w:t xml:space="preserve"> proponen un enfoque analítico que descompone la tasa de interés activa al considerar cómo las instituciones financieras ajustan sus márgenes de ganancia en respuesta a la competencia en el mercado, la metodología contempla cómo la presión competitiva puede llevar a reducir los márgenes en busca de captar más clientes y por lo tanto cómo esta dinámica afecta los costos y los riesgos que influyen en la tasa de interés activa. </w:t>
      </w:r>
    </w:p>
    <w:p w14:paraId="03D8FD75" w14:textId="6223BEDA" w:rsidR="003E3448" w:rsidRPr="00B049AA" w:rsidRDefault="003E3448" w:rsidP="00AA676E">
      <w:pPr>
        <w:pStyle w:val="TextoPrincipal"/>
        <w:spacing w:line="360" w:lineRule="auto"/>
      </w:pPr>
      <w:r w:rsidRPr="00B049AA">
        <w:t>En el contexto anterior, la investigación ofrece una perspectiva única sobre cómo la competencia y el margen de ganancia influyen en la formación de la tasa de interés activa, proporcionando un entendimiento más profundo de cómo las decisiones estratégicas de las instituciones financieras, la rivalidad en el mercado y la búsqueda de márgenes adecuados se combinan para dar forma a la tasa de interés que se ofrece a los clientes.</w:t>
      </w:r>
    </w:p>
    <w:p w14:paraId="368019D1" w14:textId="77777777" w:rsidR="003E3448" w:rsidRPr="00B049AA" w:rsidRDefault="003E3448" w:rsidP="00AA676E">
      <w:pPr>
        <w:pStyle w:val="TextoPrincipal"/>
        <w:spacing w:line="360" w:lineRule="auto"/>
      </w:pPr>
      <w:r w:rsidRPr="00B049AA">
        <w:t xml:space="preserve">Finalmente, la "Metodología de Perspectivas Macroeconómicas" presentada por López y Rodríguez (2020), aborda la descomposición de la tasa de interés activa desde la perspectiva macroeconómica, este enfoque considera cómo las expectativas de inflación, la política monetaria y las condiciones económicas generales impactan en los diferentes componentes de la tasa; se enfoca en brindar una visión profunda sobre cómo las condiciones macroeconómicas y las perspectivas económicas influyen en la estructura de la tasa de interés activa. </w:t>
      </w:r>
    </w:p>
    <w:p w14:paraId="6B6B361F" w14:textId="77777777" w:rsidR="003E3448" w:rsidRPr="00B049AA" w:rsidRDefault="003E3448" w:rsidP="00AA676E">
      <w:pPr>
        <w:pStyle w:val="TextoPrincipal"/>
        <w:spacing w:line="360" w:lineRule="auto"/>
      </w:pPr>
      <w:r w:rsidRPr="00B049AA">
        <w:t>La metodología tiene como objetivo proporcionar una comprensión detallada de cómo las decisiones de política monetaria, las expectativas de inflación y otros factores macroeconómicos inciden en los diversos componentes que componen la tasa de interés activa; propone un enfoque analítico que descompone la tasa de interés activa a partir de las perspectivas macroeconómicas, esto implica considerar cómo las expectativas de inflación influyen en las tasas de interés reales, y cómo las decisiones de política monetaria del banco central afectan las tasas de interés nominales. También contempla cómo las condiciones económicas generales, como el crecimiento económico y el desempleo, pueden influir en la percepción del riesgo y en los márgenes de riesgo de las instituciones financieras.</w:t>
      </w:r>
    </w:p>
    <w:p w14:paraId="0B08433E" w14:textId="0B8E21E4" w:rsidR="003E3448" w:rsidRPr="00B049AA" w:rsidRDefault="000C794E" w:rsidP="00AA676E">
      <w:pPr>
        <w:pStyle w:val="TextoPrincipal"/>
        <w:spacing w:line="360" w:lineRule="auto"/>
      </w:pPr>
      <w:r>
        <w:lastRenderedPageBreak/>
        <w:t xml:space="preserve">En síntesis, el propósito de esta investigación es analizar </w:t>
      </w:r>
      <w:r w:rsidR="003E3448" w:rsidRPr="00B049AA">
        <w:t>la tasa de interés activa al considerar las perspecti</w:t>
      </w:r>
      <w:r>
        <w:t>vas macroeconómicas. Al estudiar</w:t>
      </w:r>
      <w:r w:rsidR="003E3448" w:rsidRPr="00B049AA">
        <w:t xml:space="preserve"> cómo las condiciones económicas y las políticas monetarias moldean los distintos componentes,</w:t>
      </w:r>
      <w:r>
        <w:t xml:space="preserve"> se comprenderá</w:t>
      </w:r>
      <w:r w:rsidR="003E3448" w:rsidRPr="00B049AA">
        <w:t xml:space="preserve"> cómo los factores macroeconómicos </w:t>
      </w:r>
      <w:r>
        <w:t xml:space="preserve">y los componentes financieros </w:t>
      </w:r>
      <w:r w:rsidR="003E3448" w:rsidRPr="00B049AA">
        <w:t>afectan la formación y aju</w:t>
      </w:r>
      <w:r>
        <w:t>ste de la tasa de interés nominal</w:t>
      </w:r>
      <w:r w:rsidR="003E3448" w:rsidRPr="00B049AA">
        <w:t xml:space="preserve"> y en última instancia su impacto en la economía en general.</w:t>
      </w:r>
    </w:p>
    <w:p w14:paraId="57085E4A" w14:textId="77777777" w:rsidR="003E3448" w:rsidRPr="00B049AA" w:rsidRDefault="003E3448" w:rsidP="007E7E61">
      <w:pPr>
        <w:pStyle w:val="Ttulo2"/>
        <w:numPr>
          <w:ilvl w:val="1"/>
          <w:numId w:val="3"/>
        </w:numPr>
        <w:spacing w:line="360" w:lineRule="auto"/>
      </w:pPr>
      <w:bookmarkStart w:id="89" w:name="_Toc132615450"/>
      <w:bookmarkStart w:id="90" w:name="_Toc155066614"/>
      <w:r w:rsidRPr="00B049AA">
        <w:t>MARCO LEGAL</w:t>
      </w:r>
      <w:bookmarkEnd w:id="89"/>
      <w:bookmarkEnd w:id="90"/>
    </w:p>
    <w:p w14:paraId="771622A2" w14:textId="77777777" w:rsidR="003E3448" w:rsidRPr="00B049AA" w:rsidRDefault="003E3448" w:rsidP="00AA676E">
      <w:pPr>
        <w:pStyle w:val="TextoPrincipal"/>
        <w:spacing w:line="360" w:lineRule="auto"/>
      </w:pPr>
      <w:r w:rsidRPr="00B049AA">
        <w:t xml:space="preserve">Referente al marco legal aplicable en Honduras, existe una variedad de disposiciones legales y regulatorias que son aplicables en el campo del sistema financiero y bancario, para la presente investigación se seleccionó la siguiente normativa legal vigente: </w:t>
      </w:r>
    </w:p>
    <w:p w14:paraId="273B9451" w14:textId="77777777" w:rsidR="003E3448" w:rsidRPr="00AA676E" w:rsidRDefault="003E3448" w:rsidP="003E3448">
      <w:pPr>
        <w:pStyle w:val="TextoPrincipal"/>
        <w:spacing w:line="360" w:lineRule="auto"/>
        <w:rPr>
          <w:b/>
          <w:bCs/>
        </w:rPr>
      </w:pPr>
      <w:r w:rsidRPr="00AA676E">
        <w:rPr>
          <w:b/>
          <w:bCs/>
        </w:rPr>
        <w:t>2.4.1 LEY MONETARIA</w:t>
      </w:r>
    </w:p>
    <w:p w14:paraId="4E29A1A5" w14:textId="77777777" w:rsidR="00B151FF" w:rsidRDefault="003E3448" w:rsidP="00AA676E">
      <w:pPr>
        <w:pStyle w:val="TextoPrincipal"/>
        <w:spacing w:line="360" w:lineRule="auto"/>
      </w:pPr>
      <w:r w:rsidRPr="00B049AA">
        <w:t xml:space="preserve">La Ley Monetaria de Honduras fue aprobada por el Congreso Nacional mediante Decreto No.51, la cual es un marco legal que regula diversos aspectos relacionados con el sistema monetario y financiero del país. Esta ley establece las normas y regulaciones que rigen la emisión y circulación de moneda, la función del banco central, la política monetaria, la supervisión de instituciones financieras, entre otros aspectos importantes. </w:t>
      </w:r>
    </w:p>
    <w:p w14:paraId="33B5BDD2" w14:textId="74D5EE73" w:rsidR="003E3448" w:rsidRPr="00B049AA" w:rsidRDefault="003E3448" w:rsidP="00AA676E">
      <w:pPr>
        <w:pStyle w:val="TextoPrincipal"/>
        <w:spacing w:line="360" w:lineRule="auto"/>
      </w:pPr>
      <w:r w:rsidRPr="00B049AA">
        <w:t xml:space="preserve">Entre sus principales objetivos se encuentra la estabilidad del valor de la moneda nacional, la promoción de un sistema financiero sólido y estable, y la regulación de operaciones financieras para proteger los intereses de los consumidores y la economía en general. </w:t>
      </w:r>
    </w:p>
    <w:p w14:paraId="5E3FE553" w14:textId="77777777" w:rsidR="003E3448" w:rsidRPr="00AA676E" w:rsidRDefault="003E3448" w:rsidP="003E3448">
      <w:pPr>
        <w:pStyle w:val="TextoPrincipal"/>
        <w:spacing w:line="360" w:lineRule="auto"/>
        <w:rPr>
          <w:b/>
          <w:bCs/>
        </w:rPr>
      </w:pPr>
      <w:r w:rsidRPr="00AA676E">
        <w:rPr>
          <w:b/>
          <w:bCs/>
        </w:rPr>
        <w:t>2.4.2 LEY DEL BANCO CENTRAL DE HONDURAS</w:t>
      </w:r>
    </w:p>
    <w:p w14:paraId="46494DA7" w14:textId="77777777" w:rsidR="00B151FF" w:rsidRDefault="003E3448" w:rsidP="00AA676E">
      <w:pPr>
        <w:pStyle w:val="TextoPrincipal"/>
        <w:spacing w:line="360" w:lineRule="auto"/>
      </w:pPr>
      <w:r w:rsidRPr="00B049AA">
        <w:t xml:space="preserve">La ley del Banco Central de Honduras fue aprobada por el Congreso Nacional mediante Decreto No.53 y publicada en el Diario Oficial “La Gaceta” el 3 de febrero de 1950, dicha ley establece el marco legal y regulatorio que rige el funcionamiento y las funciones del Banco Central de Honduras, quien es la entidad encargada de formular y ejecutar la política monetaria del país. </w:t>
      </w:r>
    </w:p>
    <w:p w14:paraId="544D784B" w14:textId="6183BAE9" w:rsidR="003E3448" w:rsidRDefault="003E3448" w:rsidP="00AA676E">
      <w:pPr>
        <w:pStyle w:val="TextoPrincipal"/>
        <w:spacing w:line="360" w:lineRule="auto"/>
      </w:pPr>
      <w:r w:rsidRPr="00B049AA">
        <w:t xml:space="preserve">Además, define las responsabilidades y poderes del Banco Central en relación con la emisión de moneda, la regulación de la cantidad de dinero en circulación, el control de la inflación y la estabilidad de la moneda nacional. También, aborda aspectos relacionados con el sistema financiero, la supervisión de las instituciones financieras y el papel del Banco Central en la economía del país. </w:t>
      </w:r>
    </w:p>
    <w:p w14:paraId="15A67847" w14:textId="604CF49B" w:rsidR="00B151FF" w:rsidRPr="00B049AA" w:rsidRDefault="00B151FF" w:rsidP="00AA676E">
      <w:pPr>
        <w:pStyle w:val="TextoPrincipal"/>
        <w:spacing w:line="360" w:lineRule="auto"/>
      </w:pPr>
      <w:r>
        <w:t>…</w:t>
      </w:r>
    </w:p>
    <w:p w14:paraId="4D9C6EFF" w14:textId="22A2FAFF" w:rsidR="003E3448" w:rsidRPr="00B049AA" w:rsidRDefault="003E3448" w:rsidP="00AA676E">
      <w:pPr>
        <w:pStyle w:val="TextoPrincipal"/>
        <w:spacing w:line="360" w:lineRule="auto"/>
      </w:pPr>
      <w:r w:rsidRPr="00B049AA">
        <w:lastRenderedPageBreak/>
        <w:t>Artículo 38. Con el propósito de velar por la estabilidad de los sistemas de pagos y financieros del país, el Banco Central de Honduras podrá otorgar créditos para atender insuficiencias temporales de liquidez a bancos, asociaciones de ahorro y préstamo y sociedades financieras, autorizadas para funcionar de acuerdo a lo previsto en la Ley del Sistema Financiero.  Para el otorgamiento de esta facilidad el Banco Central de Honduras requerirá de una Certificación emitida por la</w:t>
      </w:r>
      <w:r w:rsidR="00B151FF">
        <w:t xml:space="preserve"> </w:t>
      </w:r>
      <w:r w:rsidRPr="00B049AA">
        <w:t>Comisión Nacional de Bancos y Seguros, ¿en la que se establezca que la entidad peticionaria ha cumplido durante los últimos seis (6) meses previos a la solicitud con los requerimientos de adecuación de capital vigentes y que con base ala última información disponible no existen evidencias que permitan prever su deterioro futuro;  dicha certificación deberá ser emitida en un plazo no mayor de dos (2) días hábiles.</w:t>
      </w:r>
    </w:p>
    <w:p w14:paraId="055B0AFA" w14:textId="77777777" w:rsidR="003E3448" w:rsidRPr="00B049AA" w:rsidRDefault="003E3448" w:rsidP="00AA676E">
      <w:pPr>
        <w:pStyle w:val="TextoPrincipal"/>
        <w:spacing w:line="360" w:lineRule="auto"/>
      </w:pPr>
      <w:r w:rsidRPr="00B049AA">
        <w:t>…</w:t>
      </w:r>
    </w:p>
    <w:p w14:paraId="10C0C03C" w14:textId="77777777" w:rsidR="003E3448" w:rsidRPr="00B049AA" w:rsidRDefault="003E3448" w:rsidP="00AA676E">
      <w:pPr>
        <w:pStyle w:val="TextoPrincipal"/>
        <w:spacing w:line="360" w:lineRule="auto"/>
      </w:pPr>
      <w:r w:rsidRPr="00B049AA">
        <w:t>Sección V: Operaciones de Estabilización Monetaria</w:t>
      </w:r>
    </w:p>
    <w:p w14:paraId="4D9B861A" w14:textId="77777777" w:rsidR="003E3448" w:rsidRPr="00B049AA" w:rsidRDefault="003E3448" w:rsidP="00AA676E">
      <w:pPr>
        <w:pStyle w:val="TextoPrincipal"/>
        <w:spacing w:line="360" w:lineRule="auto"/>
      </w:pPr>
      <w:r w:rsidRPr="00B049AA">
        <w:t xml:space="preserve">Artículo 43. </w:t>
      </w:r>
      <w:r w:rsidRPr="00B049AA">
        <w:softHyphen/>
        <w:t xml:space="preserve"> El Banco Central de Honduras, con fines de estabilización monetaria, podrá emitir valores negociables en condiciones de mercado, ya sea en moneda nacional o en monedas extranjeras. </w:t>
      </w:r>
    </w:p>
    <w:p w14:paraId="62747826" w14:textId="77777777" w:rsidR="003E3448" w:rsidRPr="00B049AA" w:rsidRDefault="003E3448" w:rsidP="00AA676E">
      <w:pPr>
        <w:pStyle w:val="TextoPrincipal"/>
        <w:spacing w:line="360" w:lineRule="auto"/>
      </w:pPr>
      <w:r w:rsidRPr="00B049AA">
        <w:t xml:space="preserve">… </w:t>
      </w:r>
    </w:p>
    <w:p w14:paraId="29322871" w14:textId="0E56048A" w:rsidR="003E3448" w:rsidRPr="00B049AA" w:rsidRDefault="003E3448" w:rsidP="00AA676E">
      <w:pPr>
        <w:pStyle w:val="TextoPrincipal"/>
        <w:spacing w:line="360" w:lineRule="auto"/>
      </w:pPr>
      <w:r w:rsidRPr="00B049AA">
        <w:t>Capítulo IV</w:t>
      </w:r>
      <w:r w:rsidR="000C794E" w:rsidRPr="00B049AA">
        <w:t>: Relaciones</w:t>
      </w:r>
      <w:r w:rsidRPr="00B049AA">
        <w:t xml:space="preserve"> con el Sistema Financiero</w:t>
      </w:r>
    </w:p>
    <w:p w14:paraId="04463A57" w14:textId="77777777" w:rsidR="003E3448" w:rsidRPr="00B049AA" w:rsidRDefault="003E3448" w:rsidP="00AA676E">
      <w:pPr>
        <w:pStyle w:val="TextoPrincipal"/>
        <w:spacing w:line="360" w:lineRule="auto"/>
      </w:pPr>
      <w:r w:rsidRPr="00B049AA">
        <w:t>Tasas de Interés</w:t>
      </w:r>
    </w:p>
    <w:p w14:paraId="1538D36E" w14:textId="77777777" w:rsidR="003E3448" w:rsidRPr="00B049AA" w:rsidRDefault="003E3448" w:rsidP="00AA676E">
      <w:pPr>
        <w:pStyle w:val="TextoPrincipal"/>
        <w:spacing w:line="360" w:lineRule="auto"/>
      </w:pPr>
      <w:r w:rsidRPr="00B049AA">
        <w:t xml:space="preserve">Artículo 48. </w:t>
      </w:r>
      <w:r w:rsidRPr="00B049AA">
        <w:softHyphen/>
        <w:t> Las tasas de interés que apliquen en sus operaciones las instituciones del sistema financiero nacional serán determinadas tomando en cuenta las condiciones prevalecientes en el mercado, pero el Banco Central podrá regularlas cuando las circunstancias económicas así lo requieran.</w:t>
      </w:r>
    </w:p>
    <w:p w14:paraId="4013E2CD" w14:textId="77777777" w:rsidR="003E3448" w:rsidRPr="00B049AA" w:rsidRDefault="003E3448" w:rsidP="00AA676E">
      <w:pPr>
        <w:pStyle w:val="TextoPrincipal"/>
        <w:spacing w:line="360" w:lineRule="auto"/>
      </w:pPr>
      <w:r w:rsidRPr="00B049AA">
        <w:t>Encajes en Moneda Nacional y Extranjera</w:t>
      </w:r>
    </w:p>
    <w:p w14:paraId="55F0A305" w14:textId="77777777" w:rsidR="003E3448" w:rsidRPr="00B049AA" w:rsidRDefault="003E3448" w:rsidP="00AA676E">
      <w:pPr>
        <w:pStyle w:val="TextoPrincipal"/>
        <w:spacing w:line="360" w:lineRule="auto"/>
      </w:pPr>
      <w:r w:rsidRPr="00B049AA">
        <w:t>Artículo  49.</w:t>
      </w:r>
      <w:r w:rsidRPr="00B049AA">
        <w:softHyphen/>
        <w:t xml:space="preserve"> El Banco  Central de Honduras  determinará,  tomando en cuenta las  condiciones internas del país y el entorno internacional, especialmente el regional, la  forma  y  proporción en que  mantendrán sus  encajes  las  instituciones  del sistema  financiero sobre depósitos a la vista, a plazo y de ahorro, lo mismo que sobre reservas  matemáticas  representadas por contratos de ahorro,  capitalización y  ahorro y  préstamo, así como  cualesquiera  otras  cuentas  </w:t>
      </w:r>
      <w:r w:rsidRPr="00B049AA">
        <w:lastRenderedPageBreak/>
        <w:t>del pasivo recursos  provenientes  del  público  para  invertir o  prestar,  en forma  directa o  indirecta,  en moneda  nacional o  extranjera, independientemente de su documentación y registro contable.</w:t>
      </w:r>
    </w:p>
    <w:p w14:paraId="0BAADAC6" w14:textId="77777777" w:rsidR="003E3448" w:rsidRPr="00B049AA" w:rsidRDefault="003E3448" w:rsidP="00AA676E">
      <w:pPr>
        <w:pStyle w:val="TextoPrincipal"/>
        <w:spacing w:line="360" w:lineRule="auto"/>
      </w:pPr>
      <w:r w:rsidRPr="00B049AA">
        <w:t>…</w:t>
      </w:r>
    </w:p>
    <w:p w14:paraId="34979D3F" w14:textId="77777777" w:rsidR="003E3448" w:rsidRPr="00B049AA" w:rsidRDefault="003E3448" w:rsidP="00AA676E">
      <w:pPr>
        <w:pStyle w:val="TextoPrincipal"/>
        <w:spacing w:line="360" w:lineRule="auto"/>
      </w:pPr>
      <w:r w:rsidRPr="00B049AA">
        <w:t>Inversiones Obligatorias </w:t>
      </w:r>
    </w:p>
    <w:p w14:paraId="37784005" w14:textId="77777777" w:rsidR="003E3448" w:rsidRPr="00B049AA" w:rsidRDefault="003E3448" w:rsidP="00AA676E">
      <w:pPr>
        <w:pStyle w:val="TextoPrincipal"/>
        <w:spacing w:line="360" w:lineRule="auto"/>
      </w:pPr>
      <w:r w:rsidRPr="00B049AA">
        <w:t xml:space="preserve">Artículo 65. </w:t>
      </w:r>
      <w:r w:rsidRPr="00B049AA">
        <w:softHyphen/>
        <w:t xml:space="preserve"> Por períodos transitorios y cuando haya exceso de liquidez en el sistema, el Directorio del Banco Central de Honduras podrá instruir a las instituciones del sistema financiero que mantengan, en función de sus pasivos, inversiones obligatorias en los títulos que aquél determine.</w:t>
      </w:r>
    </w:p>
    <w:p w14:paraId="1B3CDA42" w14:textId="77777777" w:rsidR="003E3448" w:rsidRPr="00B049AA" w:rsidRDefault="003E3448" w:rsidP="00AA676E">
      <w:pPr>
        <w:pStyle w:val="TextoPrincipal"/>
        <w:spacing w:line="360" w:lineRule="auto"/>
      </w:pPr>
      <w:r w:rsidRPr="00B049AA">
        <w:t>…</w:t>
      </w:r>
    </w:p>
    <w:p w14:paraId="088DD2AC" w14:textId="77777777" w:rsidR="003E3448" w:rsidRPr="00AA676E" w:rsidRDefault="003E3448" w:rsidP="003E3448">
      <w:pPr>
        <w:pStyle w:val="TextoPrincipal"/>
        <w:spacing w:line="360" w:lineRule="auto"/>
        <w:rPr>
          <w:b/>
          <w:bCs/>
        </w:rPr>
      </w:pPr>
      <w:r w:rsidRPr="00AA676E">
        <w:rPr>
          <w:b/>
          <w:bCs/>
        </w:rPr>
        <w:t>2.4.3 LEY DE LA COMISIÓN NACIONAL DE BANCOS Y SEGUROS</w:t>
      </w:r>
    </w:p>
    <w:p w14:paraId="43D7C8E8" w14:textId="77777777" w:rsidR="003E3448" w:rsidRPr="00B049AA" w:rsidRDefault="003E3448" w:rsidP="00AA676E">
      <w:pPr>
        <w:pStyle w:val="TextoPrincipal"/>
        <w:spacing w:line="360" w:lineRule="auto"/>
      </w:pPr>
      <w:r w:rsidRPr="00B049AA">
        <w:t xml:space="preserve">La ley de la Comisión Nacional de Bancos y Seguros (CNBS) de Honduras fue creada mediante el Decreto No.155-95, publicado en el Diario Oficial “La Gaceta” el 18 de noviembre de 1995; esta ley establece el marco legal para la regulación y supervisión de las actividades financieras y aseguradoras en Honduras. La CNBS se encarga de supervisar y regular las operaciones de instituciones bancarias, financieras y de seguros, con el objetivo de garantizar la estabilidad y solidez del sistema financiero, así como la protección de los intereses de los consumidores y la transparencia en el mercado financiero. </w:t>
      </w:r>
    </w:p>
    <w:p w14:paraId="569B53CE" w14:textId="77777777" w:rsidR="003E3448" w:rsidRPr="00B049AA" w:rsidRDefault="003E3448" w:rsidP="00AA676E">
      <w:pPr>
        <w:pStyle w:val="TextoPrincipal"/>
        <w:spacing w:line="360" w:lineRule="auto"/>
      </w:pPr>
      <w:r w:rsidRPr="00B049AA">
        <w:t>Artículo 1.- La presente ley tiene por objeto regular la Comisión Nacional de Bancos y Seguros, en adelante denominada la Comisión, creada por el Artículo 245, atribución 31, de la constitución de la República. La Comisión es una entidad desconcentrada de la Presidencia de la República, adscrita al Banco Central de Honduras, respecto del cual funcionará con absoluta independencia técnica, administrativa y presupuestaria.</w:t>
      </w:r>
    </w:p>
    <w:p w14:paraId="1FEAECCA" w14:textId="77777777" w:rsidR="003E3448" w:rsidRPr="00B049AA" w:rsidRDefault="003E3448" w:rsidP="00AA676E">
      <w:pPr>
        <w:pStyle w:val="TextoPrincipal"/>
        <w:spacing w:line="360" w:lineRule="auto"/>
      </w:pPr>
      <w:r w:rsidRPr="00B049AA">
        <w:t>…</w:t>
      </w:r>
    </w:p>
    <w:p w14:paraId="128ACAE4" w14:textId="77777777" w:rsidR="003E3448" w:rsidRPr="00B049AA" w:rsidRDefault="003E3448" w:rsidP="00AA676E">
      <w:pPr>
        <w:pStyle w:val="TextoPrincipal"/>
        <w:spacing w:line="360" w:lineRule="auto"/>
      </w:pPr>
      <w:r w:rsidRPr="00B049AA">
        <w:t xml:space="preserve">Artículo 6.- La Comisión, basada en normas y prácticas internacionales, ejercerá por medio de la Superintendencia la supervisión, vigilancia y control de las instituciones bancarias públicas y privadas, aseguradoras, reaseguradoras, sociedades financieras, asociaciones de ahorro y préstamo, almacenes generales de depósito, bolsas de valores, puestos o casas de bolsa, casas de cambio, fondos de pensiones e institutos de previsión, administradoras públicas y privadas de </w:t>
      </w:r>
      <w:r w:rsidRPr="00B049AA">
        <w:lastRenderedPageBreak/>
        <w:t xml:space="preserve">pensiones y jubilaciones y cualesquiera otras que cumplan funciones análogas a las señaladas en el presente artículo. Las entidades a que este Artículo se refiere se denominarán instituciones supervisadas. En el caso del Banco Central de Honduras, la vigilancia y control se limitará a las operaciones bancarias propiamente dichas que éste realice. </w:t>
      </w:r>
    </w:p>
    <w:p w14:paraId="71964792" w14:textId="77777777" w:rsidR="003E3448" w:rsidRPr="00B049AA" w:rsidRDefault="003E3448" w:rsidP="00AA676E">
      <w:pPr>
        <w:pStyle w:val="TextoPrincipal"/>
        <w:spacing w:line="360" w:lineRule="auto"/>
      </w:pPr>
      <w:r w:rsidRPr="00B049AA">
        <w:t>…</w:t>
      </w:r>
    </w:p>
    <w:p w14:paraId="3B26BF96" w14:textId="77777777" w:rsidR="003E3448" w:rsidRPr="00B049AA" w:rsidRDefault="003E3448" w:rsidP="00AA676E">
      <w:pPr>
        <w:pStyle w:val="TextoPrincipal"/>
        <w:spacing w:line="360" w:lineRule="auto"/>
      </w:pPr>
      <w:r w:rsidRPr="00B049AA">
        <w:t xml:space="preserve">Artículo 13.- A la Comisión le corresponderá: </w:t>
      </w:r>
    </w:p>
    <w:p w14:paraId="5890B0A9" w14:textId="77777777" w:rsidR="003E3448" w:rsidRPr="00B049AA" w:rsidRDefault="003E3448" w:rsidP="00AA676E">
      <w:pPr>
        <w:pStyle w:val="TextoPrincipal"/>
        <w:spacing w:line="360" w:lineRule="auto"/>
      </w:pPr>
      <w:r w:rsidRPr="00B049AA">
        <w:t xml:space="preserve">1) Revisar, verificar, controlar, vigilar y fiscalizar las instituciones supervisadas; </w:t>
      </w:r>
    </w:p>
    <w:p w14:paraId="41D63510" w14:textId="77777777" w:rsidR="003E3448" w:rsidRPr="00B049AA" w:rsidRDefault="003E3448" w:rsidP="00AA676E">
      <w:pPr>
        <w:pStyle w:val="TextoPrincipal"/>
        <w:spacing w:line="360" w:lineRule="auto"/>
      </w:pPr>
      <w:r w:rsidRPr="00B049AA">
        <w:t xml:space="preserve">2) Dictar las normas que se requieran para el cumplimiento de los cometidos previstos en el numeral anterior, lo mismo que las normas prudenciales que deberán cumplir las instituciones supervisadas, para lo cual se basará en la legislación vigente y en los acuerdos y prácticas internacionales; </w:t>
      </w:r>
    </w:p>
    <w:p w14:paraId="51BE6F58" w14:textId="77777777" w:rsidR="003E3448" w:rsidRPr="00B049AA" w:rsidRDefault="003E3448" w:rsidP="00AA676E">
      <w:pPr>
        <w:pStyle w:val="TextoPrincipal"/>
        <w:spacing w:line="360" w:lineRule="auto"/>
      </w:pPr>
      <w:r w:rsidRPr="00B049AA">
        <w:t xml:space="preserve">3) Vigilar, a través de la Superintendencia, el cumplimiento por parte de las instituciones supervisadas, de las normas emitidas por el Banco Central de Honduras en materia de política monetaria, crediticia y cambiaria. </w:t>
      </w:r>
    </w:p>
    <w:p w14:paraId="11C25638" w14:textId="77777777" w:rsidR="003E3448" w:rsidRPr="00B049AA" w:rsidRDefault="003E3448" w:rsidP="00AA676E">
      <w:pPr>
        <w:pStyle w:val="TextoPrincipal"/>
        <w:spacing w:line="360" w:lineRule="auto"/>
      </w:pPr>
      <w:r w:rsidRPr="00B049AA">
        <w:t xml:space="preserve">4) Cumplir y hacer cumplir la Constitución de la República, las leyes generales y especiales, los reglamentos y resoluciones a que están sujetas las instituciones supervisadas. </w:t>
      </w:r>
    </w:p>
    <w:p w14:paraId="67724E40" w14:textId="77777777" w:rsidR="003E3448" w:rsidRPr="00B049AA" w:rsidRDefault="003E3448" w:rsidP="00AA676E">
      <w:pPr>
        <w:pStyle w:val="TextoPrincipal"/>
        <w:spacing w:line="360" w:lineRule="auto"/>
      </w:pPr>
      <w:r w:rsidRPr="00B049AA">
        <w:t>…</w:t>
      </w:r>
    </w:p>
    <w:p w14:paraId="2730D806" w14:textId="77777777" w:rsidR="003E3448" w:rsidRPr="00B049AA" w:rsidRDefault="003E3448" w:rsidP="00AA676E">
      <w:pPr>
        <w:pStyle w:val="TextoPrincipal"/>
        <w:spacing w:line="360" w:lineRule="auto"/>
      </w:pPr>
      <w:r w:rsidRPr="00B049AA">
        <w:t xml:space="preserve">10) Establecer los criterios que deben seguirse para la valoración de los activos y pasivos y para la constitución de previsiones por riesgos con el objeto de preservar y reflejar razonablemente la situación de liquidez y solvencia de las instituciones supervisadas, para lo cual actuará de acuerdo con los principios de contabilidad generalmente aceptados y con las normas y prácticas internacionales; </w:t>
      </w:r>
    </w:p>
    <w:p w14:paraId="17DC31CD" w14:textId="77777777" w:rsidR="003E3448" w:rsidRPr="00B049AA" w:rsidRDefault="003E3448" w:rsidP="00AA676E">
      <w:pPr>
        <w:pStyle w:val="TextoPrincipal"/>
        <w:spacing w:line="360" w:lineRule="auto"/>
      </w:pPr>
      <w:r w:rsidRPr="00B049AA">
        <w:t xml:space="preserve">11) Dictar normas generales para la presentación de cuentas y para que las instituciones supervisadas proporcionen al público información suficiente, veraz y oportuna sobre su situación jurídica, económica y financiera; </w:t>
      </w:r>
    </w:p>
    <w:p w14:paraId="756F5438" w14:textId="77777777" w:rsidR="003E3448" w:rsidRPr="00B049AA" w:rsidRDefault="003E3448" w:rsidP="00AA676E">
      <w:pPr>
        <w:pStyle w:val="TextoPrincipal"/>
        <w:spacing w:line="360" w:lineRule="auto"/>
      </w:pPr>
      <w:r w:rsidRPr="00B049AA">
        <w:t>…</w:t>
      </w:r>
    </w:p>
    <w:p w14:paraId="4AFEE4E0" w14:textId="77777777" w:rsidR="003E3448" w:rsidRPr="00B049AA" w:rsidRDefault="003E3448" w:rsidP="00AA676E">
      <w:pPr>
        <w:pStyle w:val="TextoPrincipal"/>
        <w:spacing w:line="360" w:lineRule="auto"/>
      </w:pPr>
      <w:r w:rsidRPr="00B049AA">
        <w:t xml:space="preserve">22) Proponerle al Banco Central de Honduras y, conjuntamente con éste, cuando proceda, al Poder Ejecutivo o al Congreso Nacional, las medidas de emergencia que estime necesarias </w:t>
      </w:r>
      <w:r w:rsidRPr="00B049AA">
        <w:lastRenderedPageBreak/>
        <w:t xml:space="preserve">cuando circunstancias especiales amenacen la estabilidad del sistema financiero nacional. </w:t>
      </w:r>
    </w:p>
    <w:p w14:paraId="2F9F3B05" w14:textId="77777777" w:rsidR="003E3448" w:rsidRPr="00B049AA" w:rsidRDefault="003E3448" w:rsidP="00AA676E">
      <w:pPr>
        <w:pStyle w:val="TextoPrincipal"/>
        <w:spacing w:line="360" w:lineRule="auto"/>
      </w:pPr>
      <w:r w:rsidRPr="00B049AA">
        <w:t>…</w:t>
      </w:r>
    </w:p>
    <w:p w14:paraId="0AA7F9E6" w14:textId="77777777" w:rsidR="003E3448" w:rsidRPr="00B049AA" w:rsidRDefault="003E3448" w:rsidP="00AA676E">
      <w:pPr>
        <w:pStyle w:val="TextoPrincipal"/>
        <w:spacing w:line="360" w:lineRule="auto"/>
      </w:pPr>
      <w:r w:rsidRPr="00B049AA">
        <w:t>25) Las demás funciones de supervisión, vigilancia y control que le atribuyen otras leyes.</w:t>
      </w:r>
    </w:p>
    <w:p w14:paraId="692AA02E" w14:textId="77777777" w:rsidR="003E3448" w:rsidRPr="00B049AA" w:rsidRDefault="003E3448" w:rsidP="00AA676E">
      <w:pPr>
        <w:pStyle w:val="TextoPrincipal"/>
        <w:spacing w:line="360" w:lineRule="auto"/>
      </w:pPr>
      <w:r w:rsidRPr="00B049AA">
        <w:t xml:space="preserve">Artículo 14.- Asimismo, son atribuciones de la Comisión: </w:t>
      </w:r>
    </w:p>
    <w:p w14:paraId="234FE452" w14:textId="77777777" w:rsidR="003E3448" w:rsidRPr="00B049AA" w:rsidRDefault="003E3448" w:rsidP="00AA676E">
      <w:pPr>
        <w:pStyle w:val="TextoPrincipal"/>
        <w:spacing w:line="360" w:lineRule="auto"/>
      </w:pPr>
      <w:r w:rsidRPr="00B049AA">
        <w:t>…</w:t>
      </w:r>
    </w:p>
    <w:p w14:paraId="4AF6EEF0" w14:textId="77777777" w:rsidR="003E3448" w:rsidRPr="00B049AA" w:rsidRDefault="003E3448" w:rsidP="00AA676E">
      <w:pPr>
        <w:pStyle w:val="TextoPrincipal"/>
        <w:spacing w:line="360" w:lineRule="auto"/>
      </w:pPr>
      <w:r w:rsidRPr="00B049AA">
        <w:t xml:space="preserve">2) Vigilar el estricto cumplimiento de lo establecido en la Ley de Instituciones del Sistema Financiero en materia de ponderaciones de los activos de riesgo, la relación entre el capital y reservas de capital y la suma de los activos ponderados, a fin de mantener sano el sistema financiero; </w:t>
      </w:r>
    </w:p>
    <w:p w14:paraId="7E393C29" w14:textId="77777777" w:rsidR="003E3448" w:rsidRPr="00B049AA" w:rsidRDefault="003E3448" w:rsidP="00AA676E">
      <w:pPr>
        <w:pStyle w:val="TextoPrincipal"/>
        <w:spacing w:line="360" w:lineRule="auto"/>
      </w:pPr>
      <w:r w:rsidRPr="00B049AA">
        <w:t>…</w:t>
      </w:r>
    </w:p>
    <w:p w14:paraId="74C5DBF7" w14:textId="77777777" w:rsidR="003E3448" w:rsidRPr="00B049AA" w:rsidRDefault="003E3448" w:rsidP="00AA676E">
      <w:pPr>
        <w:pStyle w:val="TextoPrincipal"/>
        <w:spacing w:line="360" w:lineRule="auto"/>
      </w:pPr>
      <w:r w:rsidRPr="00B049AA">
        <w:t xml:space="preserve">4) Compilar las estadísticas bancarias, de seguros y las relacionadas con las demás instituciones supervisadas y requerir de éstas los datos e informaciones que sean necesarios para el eficaz cumplimiento de sus objetivos y de los del Banco Central de Honduras, y publicar mensualmente un boletín que contenga el balance, estados de resultados, los indicadores financieros y cualquier otra información análoga de cada una de las instituciones supervisadas; </w:t>
      </w:r>
    </w:p>
    <w:p w14:paraId="3C127B71" w14:textId="13B62D0F" w:rsidR="003E3448" w:rsidRPr="00B049AA" w:rsidRDefault="003E3448" w:rsidP="00AA676E">
      <w:pPr>
        <w:pStyle w:val="TextoPrincipal"/>
        <w:spacing w:line="360" w:lineRule="auto"/>
      </w:pPr>
      <w:r w:rsidRPr="00B049AA">
        <w:t>…</w:t>
      </w:r>
    </w:p>
    <w:p w14:paraId="2C1660AA" w14:textId="3362508F" w:rsidR="003E3448" w:rsidRPr="00AA676E" w:rsidRDefault="003E3448" w:rsidP="003E3448">
      <w:pPr>
        <w:pStyle w:val="TextoPrincipal"/>
        <w:spacing w:line="360" w:lineRule="auto"/>
        <w:rPr>
          <w:b/>
          <w:bCs/>
        </w:rPr>
      </w:pPr>
      <w:r w:rsidRPr="00AA676E">
        <w:rPr>
          <w:b/>
          <w:bCs/>
        </w:rPr>
        <w:t>2.4.</w:t>
      </w:r>
      <w:r w:rsidR="00CE14FF" w:rsidRPr="00AA676E">
        <w:rPr>
          <w:b/>
          <w:bCs/>
        </w:rPr>
        <w:t>4</w:t>
      </w:r>
      <w:r w:rsidRPr="00AA676E">
        <w:rPr>
          <w:b/>
          <w:bCs/>
        </w:rPr>
        <w:t xml:space="preserve"> LEY DEL SISTEMA FINANCIERO</w:t>
      </w:r>
    </w:p>
    <w:p w14:paraId="71871F97" w14:textId="77777777" w:rsidR="003E3448" w:rsidRPr="00B049AA" w:rsidRDefault="003E3448" w:rsidP="00AA676E">
      <w:pPr>
        <w:pStyle w:val="TextoPrincipal"/>
        <w:spacing w:line="360" w:lineRule="auto"/>
      </w:pPr>
      <w:r w:rsidRPr="00B049AA">
        <w:t xml:space="preserve">La ley del Sistema Financiero fue creada mediante Decreto No.129-2004 y publicada en el Diario Oficial “La Gaceta” el 24 de septiembre de 2004; esta ley tiene como objetivo principal regular y supervisar las operaciones de las instituciones financieras, incluyendo bancos, instituciones de crédito, compañías financieras y otras entidades relacionadas; adicionalmente, aborda temas relacionados con la autorización y operaciones de las instituciones financieras, los requisitos de capital, los procedimientos de supervisión, la protección del consumidor y las sanciones por incumplimiento. </w:t>
      </w:r>
    </w:p>
    <w:p w14:paraId="67D3C8C8" w14:textId="77777777" w:rsidR="003E3448" w:rsidRPr="00B049AA" w:rsidRDefault="003E3448" w:rsidP="00AA676E">
      <w:pPr>
        <w:pStyle w:val="TextoPrincipal"/>
        <w:spacing w:line="360" w:lineRule="auto"/>
      </w:pPr>
      <w:r w:rsidRPr="00B049AA">
        <w:t>Capítulo I: Disposiciones generales</w:t>
      </w:r>
    </w:p>
    <w:p w14:paraId="42CA9445" w14:textId="77777777" w:rsidR="003E3448" w:rsidRPr="00B049AA" w:rsidRDefault="003E3448" w:rsidP="00AA676E">
      <w:pPr>
        <w:pStyle w:val="TextoPrincipal"/>
        <w:spacing w:line="360" w:lineRule="auto"/>
      </w:pPr>
      <w:r w:rsidRPr="00B049AA">
        <w:t xml:space="preserve">Artículo 1. Objetivo y alcances de la ley: La presente ley tiene como objetivo regular la organización, autorización, constitución, funcionamiento, fusión, conversión, modificación, liquidación y supervisión de las instituciones del sistema financiero y grupos financieros, </w:t>
      </w:r>
      <w:r w:rsidRPr="00B049AA">
        <w:lastRenderedPageBreak/>
        <w:t xml:space="preserve">propiciando que estos brinden a los depositantes e inversionistas un servicio transparente, sólido y confiable, que contribuya al desarrollo del país. </w:t>
      </w:r>
    </w:p>
    <w:p w14:paraId="70A6FF51" w14:textId="77777777" w:rsidR="003E3448" w:rsidRPr="00B049AA" w:rsidRDefault="003E3448" w:rsidP="00AA676E">
      <w:pPr>
        <w:pStyle w:val="TextoPrincipal"/>
        <w:spacing w:line="360" w:lineRule="auto"/>
      </w:pPr>
      <w:r w:rsidRPr="00B049AA">
        <w:t xml:space="preserve">Artículo 2. Intermediación Financiera: Para los efectos de esta Ley se declara la intermediación financiera como una actividad de interés público y se define como tal, la realización habitual y sistemática de operaciones de financiamiento a terceros con recursos captados del público en forma de depósitos, préstamos u otras obligaciones, independientemente de la forma jurídica, documentación o registro contable que adopten dichas operaciones. </w:t>
      </w:r>
    </w:p>
    <w:p w14:paraId="519DC7FA" w14:textId="77777777" w:rsidR="003E3448" w:rsidRPr="00B049AA" w:rsidRDefault="003E3448" w:rsidP="00AA676E">
      <w:pPr>
        <w:pStyle w:val="TextoPrincipal"/>
        <w:spacing w:line="360" w:lineRule="auto"/>
      </w:pPr>
      <w:r w:rsidRPr="00B049AA">
        <w:t>…</w:t>
      </w:r>
    </w:p>
    <w:p w14:paraId="2D0D9DE9" w14:textId="77777777" w:rsidR="003E3448" w:rsidRPr="00B049AA" w:rsidRDefault="003E3448" w:rsidP="00AA676E">
      <w:pPr>
        <w:pStyle w:val="TextoPrincipal"/>
        <w:spacing w:line="360" w:lineRule="auto"/>
      </w:pPr>
      <w:r w:rsidRPr="00B049AA">
        <w:t xml:space="preserve">Artículo 4. Régimen Legal: Las instituciones del sistema financiero se regirán por los preceptos de esta Ley y en lo les fueren aplicables por la Ley de la Comisión Nacional de Banca y Seguros, Ley del Banco Central, Ley de Seguro de Depósitos en Instituciones del Sistema Financiero, Ley Monetaria, y por los reglamentos y resoluciones emitidos por la Comisión Nacional de Banca y Seguros, en adelante denominada “la Comisión” y por el Banco Central de Honduras, en adelante denominado “Banco Central”. </w:t>
      </w:r>
    </w:p>
    <w:p w14:paraId="7E6FB02F" w14:textId="77777777" w:rsidR="003E3448" w:rsidRPr="00B049AA" w:rsidRDefault="003E3448" w:rsidP="00AA676E">
      <w:pPr>
        <w:pStyle w:val="TextoPrincipal"/>
        <w:spacing w:line="360" w:lineRule="auto"/>
      </w:pPr>
      <w:r w:rsidRPr="00B049AA">
        <w:t>…</w:t>
      </w:r>
    </w:p>
    <w:p w14:paraId="1DC6F24A" w14:textId="77777777" w:rsidR="003E3448" w:rsidRPr="00B049AA" w:rsidRDefault="003E3448" w:rsidP="00AA676E">
      <w:pPr>
        <w:pStyle w:val="TextoPrincipal"/>
        <w:spacing w:line="360" w:lineRule="auto"/>
      </w:pPr>
      <w:r w:rsidRPr="00B049AA">
        <w:t>Capítulo II: Del Capital, reservas y utilidades</w:t>
      </w:r>
    </w:p>
    <w:p w14:paraId="7449B40E" w14:textId="77777777" w:rsidR="003E3448" w:rsidRPr="00B049AA" w:rsidRDefault="003E3448" w:rsidP="00AA676E">
      <w:pPr>
        <w:pStyle w:val="TextoPrincipal"/>
        <w:spacing w:line="360" w:lineRule="auto"/>
      </w:pPr>
      <w:r w:rsidRPr="00B049AA">
        <w:t>…</w:t>
      </w:r>
    </w:p>
    <w:p w14:paraId="4A8D7F9C" w14:textId="77777777" w:rsidR="003E3448" w:rsidRPr="00B049AA" w:rsidRDefault="003E3448" w:rsidP="00AA676E">
      <w:pPr>
        <w:pStyle w:val="TextoPrincipal"/>
        <w:spacing w:line="360" w:lineRule="auto"/>
      </w:pPr>
      <w:r w:rsidRPr="00B049AA">
        <w:t>Artículo 37. Adecuación de Capital: Las instituciones del sistema financiero deberán cumplir en todo momento con el índice mínimo de adecuación de capital que establezca la Comisión, adecuado a los riesgos que asuman y a la eficacia de los procesos con los que los gestionan y controlan, definido como la relación que debe existir entre su capital y reservas computables de capital y la suma de sus activos ponderados por riesgo y otros riesgos a que esté expuesta la institución. Dichas disposiciones se basarán en normas internacionales. Para los efectos de lo dispuesto en el párrafo anterior, se entenderá por capital el pagado y por reservas de capital, las utilidades no distribuidas, las utilidades netas del período, las reservas estatutarias y otras reservas de carácter voluntario. Además, en la proporción que determine la Comisión, las reservas para contingencias, para créditos, inversiones e intereses de dudosa recuperación y otras cuentas del balance.</w:t>
      </w:r>
    </w:p>
    <w:p w14:paraId="31656DB2" w14:textId="77777777" w:rsidR="003E3448" w:rsidRPr="00B049AA" w:rsidRDefault="003E3448" w:rsidP="00AA676E">
      <w:pPr>
        <w:pStyle w:val="TextoPrincipal"/>
        <w:spacing w:line="360" w:lineRule="auto"/>
      </w:pPr>
      <w:r w:rsidRPr="00B049AA">
        <w:t>…</w:t>
      </w:r>
    </w:p>
    <w:p w14:paraId="1B2E2054" w14:textId="77777777" w:rsidR="003E3448" w:rsidRPr="00B049AA" w:rsidRDefault="003E3448" w:rsidP="00AA676E">
      <w:pPr>
        <w:pStyle w:val="TextoPrincipal"/>
        <w:spacing w:line="360" w:lineRule="auto"/>
      </w:pPr>
      <w:r w:rsidRPr="00B049AA">
        <w:lastRenderedPageBreak/>
        <w:t>Capítulo III: De la liquidez y del encaje</w:t>
      </w:r>
    </w:p>
    <w:p w14:paraId="539B081D" w14:textId="77777777" w:rsidR="003E3448" w:rsidRPr="00B049AA" w:rsidRDefault="003E3448" w:rsidP="00AA676E">
      <w:pPr>
        <w:pStyle w:val="TextoPrincipal"/>
        <w:spacing w:line="360" w:lineRule="auto"/>
      </w:pPr>
      <w:r w:rsidRPr="00B049AA">
        <w:t xml:space="preserve">Artículo 43. De la liquidez. La Comisión establecerá las normas prudenciales necesarias para salvaguardar la liquidez de las instituciones del sistema financiero, considerando los plazos y monedas de las operaciones activas y pasivas. El Banco Central establecerá los mecanismos necesarios para adecuar la liquidez a las necesidades de la economía. </w:t>
      </w:r>
    </w:p>
    <w:p w14:paraId="7D9312F4" w14:textId="77777777" w:rsidR="003E3448" w:rsidRPr="00B049AA" w:rsidRDefault="003E3448" w:rsidP="00AA676E">
      <w:pPr>
        <w:pStyle w:val="TextoPrincipal"/>
        <w:spacing w:line="360" w:lineRule="auto"/>
      </w:pPr>
      <w:r w:rsidRPr="00B049AA">
        <w:t>Artículo 44. Del encaje: Las instituciones del sistema financiero mantendrán encajes, en la forma y proporción que fije el Banco Central, de conformidad a sus atribuciones legales tomando en cuenta las condiciones internas del país y el entorno internacional, especialmente el regional. Los depósitos constituidos en el Banco Central para cumplir con el encaje, son inembargables.</w:t>
      </w:r>
    </w:p>
    <w:p w14:paraId="0E4B135A" w14:textId="77777777" w:rsidR="003E3448" w:rsidRPr="00B049AA" w:rsidRDefault="003E3448" w:rsidP="00AA676E">
      <w:pPr>
        <w:pStyle w:val="TextoPrincipal"/>
        <w:spacing w:line="360" w:lineRule="auto"/>
      </w:pPr>
      <w:r w:rsidRPr="00B049AA">
        <w:t>…</w:t>
      </w:r>
    </w:p>
    <w:p w14:paraId="71322F25" w14:textId="77777777" w:rsidR="003E3448" w:rsidRPr="00B049AA" w:rsidRDefault="003E3448" w:rsidP="00AA676E">
      <w:pPr>
        <w:pStyle w:val="TextoPrincipal"/>
        <w:spacing w:line="360" w:lineRule="auto"/>
      </w:pPr>
      <w:r w:rsidRPr="00B049AA">
        <w:t>Capítulo VI: De las operaciones bancarias</w:t>
      </w:r>
    </w:p>
    <w:p w14:paraId="2D479B46" w14:textId="77777777" w:rsidR="003E3448" w:rsidRPr="00B049AA" w:rsidRDefault="003E3448" w:rsidP="00AA676E">
      <w:pPr>
        <w:pStyle w:val="TextoPrincipal"/>
        <w:spacing w:line="360" w:lineRule="auto"/>
      </w:pPr>
      <w:r w:rsidRPr="00B049AA">
        <w:t xml:space="preserve">Artículo 46. Operaciones Bancarias: Los bancos del sistema financiero podrán efectuar una o más de las operaciones siguientes: </w:t>
      </w:r>
    </w:p>
    <w:p w14:paraId="2F1C9796" w14:textId="77777777" w:rsidR="003E3448" w:rsidRPr="00B049AA" w:rsidRDefault="003E3448" w:rsidP="00AA676E">
      <w:pPr>
        <w:pStyle w:val="TextoPrincipal"/>
        <w:spacing w:line="360" w:lineRule="auto"/>
      </w:pPr>
      <w:r w:rsidRPr="00B049AA">
        <w:t xml:space="preserve">Recibir depósitos a la vista, de ahorro y a plazo fijo en moneda nacional o extranjera; </w:t>
      </w:r>
    </w:p>
    <w:p w14:paraId="76F01015" w14:textId="77777777" w:rsidR="003E3448" w:rsidRPr="00B049AA" w:rsidRDefault="003E3448" w:rsidP="00AA676E">
      <w:pPr>
        <w:pStyle w:val="TextoPrincipal"/>
        <w:spacing w:line="360" w:lineRule="auto"/>
      </w:pPr>
      <w:r w:rsidRPr="00B049AA">
        <w:t>…</w:t>
      </w:r>
    </w:p>
    <w:p w14:paraId="72A5F77A" w14:textId="77777777" w:rsidR="003E3448" w:rsidRPr="00B049AA" w:rsidRDefault="003E3448" w:rsidP="00AA676E">
      <w:pPr>
        <w:pStyle w:val="TextoPrincipal"/>
        <w:spacing w:line="360" w:lineRule="auto"/>
      </w:pPr>
      <w:r w:rsidRPr="00B049AA">
        <w:t xml:space="preserve">5) Conceder todo tipo de préstamos en moneda nacional o extranjera; </w:t>
      </w:r>
    </w:p>
    <w:p w14:paraId="6413FB47" w14:textId="77777777" w:rsidR="003E3448" w:rsidRPr="00B049AA" w:rsidRDefault="003E3448" w:rsidP="00AA676E">
      <w:pPr>
        <w:pStyle w:val="TextoPrincipal"/>
        <w:spacing w:line="360" w:lineRule="auto"/>
      </w:pPr>
      <w:r w:rsidRPr="00B049AA">
        <w:t>6) Aceptar letras de cambio giradas a plazo que provengan de operaciones relacionadas con la producción o el comercio de bienes o servicios;</w:t>
      </w:r>
    </w:p>
    <w:p w14:paraId="6D9BCBA6" w14:textId="77777777" w:rsidR="003E3448" w:rsidRPr="00B049AA" w:rsidRDefault="003E3448" w:rsidP="00AA676E">
      <w:pPr>
        <w:pStyle w:val="TextoPrincipal"/>
        <w:spacing w:line="360" w:lineRule="auto"/>
      </w:pPr>
      <w:r w:rsidRPr="00B049AA">
        <w:t>…</w:t>
      </w:r>
    </w:p>
    <w:p w14:paraId="0CE09EFC" w14:textId="77777777" w:rsidR="003E3448" w:rsidRPr="00B049AA" w:rsidRDefault="003E3448" w:rsidP="00AA676E">
      <w:pPr>
        <w:pStyle w:val="TextoPrincipal"/>
        <w:spacing w:line="360" w:lineRule="auto"/>
      </w:pPr>
      <w:r w:rsidRPr="00B049AA">
        <w:t xml:space="preserve">8) Realizar operaciones de factoraje; </w:t>
      </w:r>
    </w:p>
    <w:p w14:paraId="203FF0CE" w14:textId="77777777" w:rsidR="003E3448" w:rsidRPr="00B049AA" w:rsidRDefault="003E3448" w:rsidP="00AA676E">
      <w:pPr>
        <w:pStyle w:val="TextoPrincipal"/>
        <w:spacing w:line="360" w:lineRule="auto"/>
      </w:pPr>
      <w:r w:rsidRPr="00B049AA">
        <w:t xml:space="preserve">9) Descontar letras de cambio, pagarés y otros documentos que representen obligaciones de pago; </w:t>
      </w:r>
    </w:p>
    <w:p w14:paraId="5005DEB5" w14:textId="77777777" w:rsidR="003E3448" w:rsidRPr="00B049AA" w:rsidRDefault="003E3448" w:rsidP="00AA676E">
      <w:pPr>
        <w:pStyle w:val="TextoPrincipal"/>
        <w:spacing w:line="360" w:lineRule="auto"/>
      </w:pPr>
      <w:r w:rsidRPr="00B049AA">
        <w:t xml:space="preserve">11) Mantener activos y pasivos en moneda extranjera; </w:t>
      </w:r>
    </w:p>
    <w:p w14:paraId="0C3DB7B9" w14:textId="77777777" w:rsidR="003E3448" w:rsidRPr="00B049AA" w:rsidRDefault="003E3448" w:rsidP="00AA676E">
      <w:pPr>
        <w:pStyle w:val="TextoPrincipal"/>
        <w:spacing w:line="360" w:lineRule="auto"/>
      </w:pPr>
      <w:r w:rsidRPr="00B049AA">
        <w:t>…</w:t>
      </w:r>
    </w:p>
    <w:p w14:paraId="36BDF240" w14:textId="77777777" w:rsidR="003E3448" w:rsidRPr="00B049AA" w:rsidRDefault="003E3448" w:rsidP="00AA676E">
      <w:pPr>
        <w:pStyle w:val="TextoPrincipal"/>
        <w:spacing w:line="360" w:lineRule="auto"/>
      </w:pPr>
      <w:r w:rsidRPr="00B049AA">
        <w:t xml:space="preserve">13) Emitir, aceptar, negociar y confirmar cartas de crédito y créditos documentados; </w:t>
      </w:r>
    </w:p>
    <w:p w14:paraId="30034403" w14:textId="77777777" w:rsidR="003E3448" w:rsidRPr="00B049AA" w:rsidRDefault="003E3448" w:rsidP="00AA676E">
      <w:pPr>
        <w:pStyle w:val="TextoPrincipal"/>
        <w:spacing w:line="360" w:lineRule="auto"/>
      </w:pPr>
      <w:r w:rsidRPr="00B049AA">
        <w:t xml:space="preserve">14) Contraer créditos u obligaciones, en moneda nacional o extranjera, con el Banco Central y con otros bancos o instituciones del sistema financiero del país o del extranjero; </w:t>
      </w:r>
    </w:p>
    <w:p w14:paraId="0854FADD" w14:textId="77777777" w:rsidR="003E3448" w:rsidRPr="00B049AA" w:rsidRDefault="003E3448" w:rsidP="00AA676E">
      <w:pPr>
        <w:pStyle w:val="TextoPrincipal"/>
        <w:spacing w:line="360" w:lineRule="auto"/>
      </w:pPr>
      <w:r w:rsidRPr="00B049AA">
        <w:lastRenderedPageBreak/>
        <w:t>…</w:t>
      </w:r>
    </w:p>
    <w:p w14:paraId="3F28A69C" w14:textId="77777777" w:rsidR="003E3448" w:rsidRPr="00B049AA" w:rsidRDefault="003E3448" w:rsidP="00AA676E">
      <w:pPr>
        <w:pStyle w:val="TextoPrincipal"/>
        <w:spacing w:line="360" w:lineRule="auto"/>
      </w:pPr>
      <w:r w:rsidRPr="00B049AA">
        <w:t xml:space="preserve">17) Actuar como agentes financieros; comprar y vender, por orden y cuenta de sus clientes, acciones, títulos de crédito y toda clase de valores; </w:t>
      </w:r>
    </w:p>
    <w:p w14:paraId="158C7C9A" w14:textId="77777777" w:rsidR="003E3448" w:rsidRPr="00B049AA" w:rsidRDefault="003E3448" w:rsidP="00AA676E">
      <w:pPr>
        <w:pStyle w:val="TextoPrincipal"/>
        <w:spacing w:line="360" w:lineRule="auto"/>
      </w:pPr>
      <w:r w:rsidRPr="00B049AA">
        <w:t>…</w:t>
      </w:r>
    </w:p>
    <w:p w14:paraId="4994CFD3" w14:textId="77777777" w:rsidR="003E3448" w:rsidRPr="00B049AA" w:rsidRDefault="003E3448" w:rsidP="00AA676E">
      <w:pPr>
        <w:pStyle w:val="TextoPrincipal"/>
        <w:spacing w:line="360" w:lineRule="auto"/>
      </w:pPr>
      <w:r w:rsidRPr="00B049AA">
        <w:t xml:space="preserve">21) Realizar operaciones de emisión y administración de tarjetas de crédito; </w:t>
      </w:r>
    </w:p>
    <w:p w14:paraId="6CF5AE1D" w14:textId="77777777" w:rsidR="003E3448" w:rsidRPr="00B049AA" w:rsidRDefault="003E3448" w:rsidP="00AA676E">
      <w:pPr>
        <w:pStyle w:val="TextoPrincipal"/>
        <w:spacing w:line="360" w:lineRule="auto"/>
      </w:pPr>
      <w:r w:rsidRPr="00B049AA">
        <w:t>…</w:t>
      </w:r>
    </w:p>
    <w:p w14:paraId="28256DEC" w14:textId="77777777" w:rsidR="003E3448" w:rsidRPr="00B049AA" w:rsidRDefault="003E3448" w:rsidP="00AA676E">
      <w:pPr>
        <w:pStyle w:val="TextoPrincipal"/>
        <w:spacing w:line="360" w:lineRule="auto"/>
      </w:pPr>
      <w:r w:rsidRPr="00B049AA">
        <w:t xml:space="preserve">26) Cualquier otra operación, función, servicio o emisión de un nuevo producto financiero que tenga relación directa e inmediata con el ejercicio profesional de la banca y del crédito, que previamente apruebe la Comisión. </w:t>
      </w:r>
    </w:p>
    <w:p w14:paraId="3EF6B30D" w14:textId="77777777" w:rsidR="003E3448" w:rsidRPr="00B049AA" w:rsidRDefault="003E3448" w:rsidP="00AA676E">
      <w:pPr>
        <w:pStyle w:val="TextoPrincipal"/>
        <w:spacing w:line="360" w:lineRule="auto"/>
      </w:pPr>
      <w:r w:rsidRPr="00B049AA">
        <w:t>La Comisión y el Banco Central, en las áreas de sus respectivas competencias, reglamentarán las actividades señaladas en este artículo y establecerán las normas que deberán observarse para asegurar que las operaciones activas y pasivas guarden entre sí la necesaria correspondencia.</w:t>
      </w:r>
    </w:p>
    <w:p w14:paraId="193FDC08" w14:textId="77777777" w:rsidR="003E3448" w:rsidRPr="00B049AA" w:rsidRDefault="003E3448" w:rsidP="00AA676E">
      <w:pPr>
        <w:pStyle w:val="TextoPrincipal"/>
        <w:spacing w:line="360" w:lineRule="auto"/>
      </w:pPr>
      <w:r w:rsidRPr="00B049AA">
        <w:t xml:space="preserve">Capítulo VII: De las tasas de interés y de las comisiones </w:t>
      </w:r>
    </w:p>
    <w:p w14:paraId="41E8DE5F" w14:textId="77777777" w:rsidR="003E3448" w:rsidRPr="00B049AA" w:rsidRDefault="003E3448" w:rsidP="00AA676E">
      <w:pPr>
        <w:pStyle w:val="TextoPrincipal"/>
        <w:spacing w:line="360" w:lineRule="auto"/>
      </w:pPr>
      <w:r w:rsidRPr="00B049AA">
        <w:t>Artículo 55. Tasas de interés: Las tasas de interés serán determinadas en libre negociación entre las instituciones del sistema financiero y sus clientes en función de las condiciones prevalecientes en el mercado; sin embargo, cuando las circunstancias económicas lo justifiquen, el Banco Central deberá regularlas, mediante la emisión de disposiciones transitorias de carácter general. Las instituciones del sistema financiero deberán informar al público las tasas de interés que apliquen a sus productos.</w:t>
      </w:r>
    </w:p>
    <w:p w14:paraId="1DA7B695" w14:textId="77777777" w:rsidR="003E3448" w:rsidRPr="00B049AA" w:rsidRDefault="003E3448" w:rsidP="00AA676E">
      <w:pPr>
        <w:pStyle w:val="TextoPrincipal"/>
        <w:spacing w:line="360" w:lineRule="auto"/>
      </w:pPr>
      <w:r w:rsidRPr="00B049AA">
        <w:t>Artículo 56. Tarifas y comisiones: Las tarifas y comisiones que se cobrarán con motivo de la prestación de servicios financieros serán libremente establecidas, sin perjuicio de las que, en materia cambiaria, emita el Banco Central. Con todo, si no se dieran condiciones de libre competencia la Comisión podrá regularlas, mediante la emisión de disposiciones transitorias de carácter general. Las instituciones del sistema financiero deberán informar al público las tarifas y comisiones que apliquen a sus productos, al igual que los cobros por servicios que realicen.</w:t>
      </w:r>
    </w:p>
    <w:p w14:paraId="693241AE" w14:textId="1FC99D87" w:rsidR="00F26A3E" w:rsidRDefault="003E3448" w:rsidP="00125E75">
      <w:pPr>
        <w:pStyle w:val="TextoPrincipal"/>
      </w:pPr>
      <w:r w:rsidRPr="00B049AA">
        <w:t>…</w:t>
      </w:r>
    </w:p>
    <w:p w14:paraId="29E8BFBC" w14:textId="77777777" w:rsidR="00434B43" w:rsidRPr="00434B43" w:rsidRDefault="00434B43" w:rsidP="00434B43">
      <w:pPr>
        <w:keepNext/>
        <w:keepLines/>
        <w:widowControl/>
        <w:spacing w:line="360" w:lineRule="auto"/>
        <w:jc w:val="center"/>
        <w:outlineLvl w:val="0"/>
        <w:rPr>
          <w:rFonts w:ascii="Times New Roman" w:eastAsia="Calibri" w:hAnsi="Times New Roman" w:cs="Times New Roman"/>
          <w:b/>
          <w:bCs/>
          <w:sz w:val="28"/>
          <w:szCs w:val="24"/>
        </w:rPr>
      </w:pPr>
      <w:bookmarkStart w:id="91" w:name="_Toc86695213"/>
      <w:bookmarkStart w:id="92" w:name="_Toc115041267"/>
      <w:bookmarkStart w:id="93" w:name="_Toc155066615"/>
      <w:r w:rsidRPr="00434B43">
        <w:rPr>
          <w:rFonts w:ascii="Times New Roman" w:eastAsia="Calibri" w:hAnsi="Times New Roman" w:cs="Times New Roman"/>
          <w:b/>
          <w:bCs/>
          <w:sz w:val="28"/>
          <w:szCs w:val="24"/>
        </w:rPr>
        <w:lastRenderedPageBreak/>
        <w:t>CAPÍTULO III. METODOLOGÍA</w:t>
      </w:r>
      <w:bookmarkEnd w:id="91"/>
      <w:bookmarkEnd w:id="92"/>
      <w:bookmarkEnd w:id="93"/>
    </w:p>
    <w:p w14:paraId="49EC7FEF" w14:textId="3B1B64FB" w:rsidR="00434B43" w:rsidRPr="003B3FCF" w:rsidRDefault="00434B43" w:rsidP="00AA676E">
      <w:pPr>
        <w:pStyle w:val="TextoPrincipal"/>
        <w:spacing w:line="360" w:lineRule="auto"/>
      </w:pPr>
      <w:r w:rsidRPr="003B3FCF">
        <w:t>La metodología es la estrategia de investigación que se elige para responder a las preguntas de investigación, depende tanto de dichas preguntas como del marco teórico; se trata de optar por una estrategia de investigación de índole cuantitativa, cualitativa o mixta.</w:t>
      </w:r>
      <w:r w:rsidR="00125E75">
        <w:t xml:space="preserve"> </w:t>
      </w:r>
      <w:r w:rsidRPr="003B3FCF">
        <w:t xml:space="preserve">El siguiente capítulo servirá para comprender el enfoque, los métodos utilizados, el diseño y la metodología propuesta de la investigación, además de conocer las herramientas, técnicas y procedimientos utilizados. </w:t>
      </w:r>
    </w:p>
    <w:p w14:paraId="10F4DA54" w14:textId="65E49057" w:rsidR="00434B43" w:rsidRPr="003B3FCF" w:rsidRDefault="00434B43" w:rsidP="00AA676E">
      <w:pPr>
        <w:pStyle w:val="TextoPrincipal"/>
        <w:spacing w:line="360" w:lineRule="auto"/>
      </w:pPr>
      <w:r w:rsidRPr="003B3FCF">
        <w:t xml:space="preserve">De igual forma, se pretende explicar </w:t>
      </w:r>
      <w:r w:rsidR="00FB1B90" w:rsidRPr="003B3FCF">
        <w:t>cómo</w:t>
      </w:r>
      <w:r w:rsidRPr="003B3FCF">
        <w:t xml:space="preserve"> se llevaron a la práctica los procedimientos correspondientes; así como los instrumentos y técnicas aplicadas para la recolección de la información con un enfoque mixto, el cual permite y justifica la combinación de las técnicas. Asimismo, se especifica la unidad de análisis, las particularidades de la recolección de datos y las limitaciones que pueda tener el estudio. </w:t>
      </w:r>
    </w:p>
    <w:p w14:paraId="1C688E93" w14:textId="77777777" w:rsidR="00434B43" w:rsidRPr="00434B43" w:rsidRDefault="00434B43" w:rsidP="00434B43">
      <w:pPr>
        <w:keepNext/>
        <w:keepLines/>
        <w:widowControl/>
        <w:spacing w:line="480" w:lineRule="auto"/>
        <w:jc w:val="both"/>
        <w:outlineLvl w:val="1"/>
        <w:rPr>
          <w:rFonts w:ascii="Times New Roman" w:eastAsia="Calibri" w:hAnsi="Times New Roman" w:cs="Calibri"/>
          <w:b/>
          <w:sz w:val="24"/>
          <w:szCs w:val="36"/>
          <w:lang w:eastAsia="es-HN"/>
        </w:rPr>
      </w:pPr>
      <w:bookmarkStart w:id="94" w:name="_Toc86695214"/>
      <w:bookmarkStart w:id="95" w:name="_Toc115041268"/>
      <w:bookmarkStart w:id="96" w:name="_Toc155066616"/>
      <w:r w:rsidRPr="00434B43">
        <w:rPr>
          <w:rFonts w:ascii="Times New Roman" w:eastAsia="Calibri" w:hAnsi="Times New Roman" w:cs="Calibri"/>
          <w:b/>
          <w:sz w:val="24"/>
          <w:szCs w:val="36"/>
          <w:lang w:eastAsia="es-HN"/>
        </w:rPr>
        <w:t>3.1 C</w:t>
      </w:r>
      <w:bookmarkEnd w:id="94"/>
      <w:r w:rsidRPr="00434B43">
        <w:rPr>
          <w:rFonts w:ascii="Times New Roman" w:eastAsia="Calibri" w:hAnsi="Times New Roman" w:cs="Calibri"/>
          <w:b/>
          <w:sz w:val="24"/>
          <w:szCs w:val="36"/>
          <w:lang w:eastAsia="es-HN"/>
        </w:rPr>
        <w:t>ONGRUENCIA METODOLÓGICA</w:t>
      </w:r>
      <w:bookmarkEnd w:id="95"/>
      <w:bookmarkEnd w:id="96"/>
    </w:p>
    <w:p w14:paraId="754A0C89" w14:textId="2E3BB5FB" w:rsidR="00A267A1" w:rsidRPr="003B3FCF" w:rsidRDefault="00A267A1" w:rsidP="00AA676E">
      <w:pPr>
        <w:pStyle w:val="TextoPrincipal"/>
        <w:spacing w:line="360" w:lineRule="auto"/>
      </w:pPr>
      <w:r w:rsidRPr="003B3FCF">
        <w:t xml:space="preserve">La matriz de congruencia representa una herramienta valiosa que puede acelerar el proceso de investigación al facilitar la organización de sus etapas, su utilidad radica en asegurar la coherencia entre todas las partes involucradas desde el inicio del procedimiento investigativo </w:t>
      </w:r>
      <w:r w:rsidR="00424A1C" w:rsidRPr="003B3FCF">
        <w:t>(Pedraza, 2001)</w:t>
      </w:r>
      <w:r w:rsidRPr="003B3FCF">
        <w:t>.</w:t>
      </w:r>
    </w:p>
    <w:p w14:paraId="14210231" w14:textId="77777777" w:rsidR="00434B43" w:rsidRPr="00434B43" w:rsidRDefault="00434B43" w:rsidP="00434B43">
      <w:pPr>
        <w:keepNext/>
        <w:keepLines/>
        <w:widowControl/>
        <w:tabs>
          <w:tab w:val="left" w:pos="1276"/>
        </w:tabs>
        <w:spacing w:line="360" w:lineRule="auto"/>
        <w:ind w:firstLine="567"/>
        <w:jc w:val="both"/>
        <w:outlineLvl w:val="2"/>
        <w:rPr>
          <w:rFonts w:ascii="Times New Roman" w:eastAsia="Calibri" w:hAnsi="Times New Roman" w:cs="Calibri"/>
          <w:b/>
          <w:sz w:val="24"/>
          <w:szCs w:val="28"/>
          <w:lang w:eastAsia="es-HN"/>
        </w:rPr>
      </w:pPr>
      <w:bookmarkStart w:id="97" w:name="_Toc86695215"/>
      <w:bookmarkStart w:id="98" w:name="_Toc115041269"/>
      <w:bookmarkStart w:id="99" w:name="_Toc155066617"/>
      <w:r w:rsidRPr="00434B43">
        <w:rPr>
          <w:rFonts w:ascii="Times New Roman" w:eastAsia="Calibri" w:hAnsi="Times New Roman" w:cs="Calibri"/>
          <w:b/>
          <w:sz w:val="24"/>
          <w:szCs w:val="28"/>
          <w:lang w:eastAsia="es-HN"/>
        </w:rPr>
        <w:t>3.1.1 M</w:t>
      </w:r>
      <w:bookmarkEnd w:id="97"/>
      <w:r w:rsidRPr="00434B43">
        <w:rPr>
          <w:rFonts w:ascii="Times New Roman" w:eastAsia="Calibri" w:hAnsi="Times New Roman" w:cs="Calibri"/>
          <w:b/>
          <w:sz w:val="24"/>
          <w:szCs w:val="28"/>
          <w:lang w:eastAsia="es-HN"/>
        </w:rPr>
        <w:t>ATRIZ METODOLÓGICA</w:t>
      </w:r>
      <w:bookmarkEnd w:id="98"/>
      <w:bookmarkEnd w:id="99"/>
    </w:p>
    <w:p w14:paraId="515DC9EC" w14:textId="77777777" w:rsidR="00434B43" w:rsidRDefault="00434B43" w:rsidP="00AA676E">
      <w:pPr>
        <w:pStyle w:val="TextoPrincipal"/>
        <w:spacing w:line="360" w:lineRule="auto"/>
      </w:pPr>
      <w:r w:rsidRPr="003B3FCF">
        <w:t>Una matriz metodológica consiste en presentar y resumir en forma adecuada y general los elementos básicos de la investigación, la cual mide, evalúa y presenta una visión panorámica elaborada al inicio del proceso; si solo se formulan variables, no tiene utilidad; se tiene que integrar directamente al “objetivo y al problema”, pues la integración o sistematización de ellos es la base de la investigación; en conclusión, la matriz metodológica posibilita el análisis e interpretación de la operatividad teórica de la investigación.</w:t>
      </w:r>
    </w:p>
    <w:p w14:paraId="34D8D415" w14:textId="77777777" w:rsidR="00125E75" w:rsidRPr="003B3FCF" w:rsidRDefault="00125E75" w:rsidP="00AA676E">
      <w:pPr>
        <w:pStyle w:val="TextoPrincipal"/>
        <w:spacing w:line="360" w:lineRule="auto"/>
      </w:pPr>
    </w:p>
    <w:p w14:paraId="16183E73" w14:textId="77777777" w:rsidR="00434B43" w:rsidRPr="00434B43" w:rsidRDefault="00434B43" w:rsidP="00434B43">
      <w:pPr>
        <w:keepNext/>
        <w:widowControl/>
        <w:spacing w:after="200"/>
        <w:jc w:val="both"/>
        <w:rPr>
          <w:rFonts w:ascii="Times New Roman" w:eastAsia="Calibri" w:hAnsi="Times New Roman" w:cs="Times New Roman"/>
          <w:b/>
          <w:bCs/>
          <w:iCs/>
          <w:sz w:val="24"/>
          <w:szCs w:val="24"/>
        </w:rPr>
      </w:pPr>
      <w:bookmarkStart w:id="100" w:name="_Toc86695246"/>
      <w:r w:rsidRPr="00434B43">
        <w:rPr>
          <w:rFonts w:ascii="Times New Roman" w:eastAsia="Calibri" w:hAnsi="Times New Roman" w:cs="Times New Roman"/>
          <w:b/>
          <w:bCs/>
          <w:iCs/>
          <w:sz w:val="24"/>
          <w:szCs w:val="24"/>
        </w:rPr>
        <w:lastRenderedPageBreak/>
        <w:t>Tabla 1. Matriz Metodológica</w:t>
      </w:r>
      <w:bookmarkEnd w:id="100"/>
    </w:p>
    <w:tbl>
      <w:tblPr>
        <w:tblW w:w="9860" w:type="dxa"/>
        <w:tblCellMar>
          <w:top w:w="15" w:type="dxa"/>
          <w:left w:w="70" w:type="dxa"/>
          <w:right w:w="70" w:type="dxa"/>
        </w:tblCellMar>
        <w:tblLook w:val="04A0" w:firstRow="1" w:lastRow="0" w:firstColumn="1" w:lastColumn="0" w:noHBand="0" w:noVBand="1"/>
      </w:tblPr>
      <w:tblGrid>
        <w:gridCol w:w="1879"/>
        <w:gridCol w:w="1926"/>
        <w:gridCol w:w="1924"/>
        <w:gridCol w:w="1892"/>
        <w:gridCol w:w="2093"/>
        <w:gridCol w:w="146"/>
      </w:tblGrid>
      <w:tr w:rsidR="00C44366" w:rsidRPr="00C44366" w14:paraId="2E0A573B" w14:textId="77777777" w:rsidTr="00B311B5">
        <w:trPr>
          <w:gridAfter w:val="1"/>
          <w:wAfter w:w="66" w:type="dxa"/>
          <w:trHeight w:val="578"/>
          <w:tblHeader/>
        </w:trPr>
        <w:tc>
          <w:tcPr>
            <w:tcW w:w="19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8398A54" w14:textId="77777777" w:rsidR="00C44366" w:rsidRPr="00C44366" w:rsidRDefault="00C44366" w:rsidP="00C44366">
            <w:pPr>
              <w:widowControl/>
              <w:jc w:val="center"/>
              <w:rPr>
                <w:rFonts w:ascii="Times New Roman" w:eastAsia="Times New Roman" w:hAnsi="Times New Roman" w:cs="Times New Roman"/>
                <w:b/>
                <w:bCs/>
                <w:color w:val="000000"/>
                <w:sz w:val="18"/>
                <w:szCs w:val="18"/>
                <w:lang w:eastAsia="es-HN"/>
              </w:rPr>
            </w:pPr>
            <w:r w:rsidRPr="00C44366">
              <w:rPr>
                <w:rFonts w:ascii="Times New Roman" w:eastAsia="Times New Roman" w:hAnsi="Times New Roman" w:cs="Times New Roman"/>
                <w:b/>
                <w:bCs/>
                <w:color w:val="000000"/>
                <w:sz w:val="18"/>
                <w:szCs w:val="18"/>
                <w:lang w:eastAsia="es-HN"/>
              </w:rPr>
              <w:t>Título de la Investigación</w:t>
            </w:r>
          </w:p>
        </w:tc>
        <w:tc>
          <w:tcPr>
            <w:tcW w:w="3850" w:type="dxa"/>
            <w:gridSpan w:val="2"/>
            <w:tcBorders>
              <w:top w:val="single" w:sz="4" w:space="0" w:color="auto"/>
              <w:left w:val="nil"/>
              <w:bottom w:val="single" w:sz="4" w:space="0" w:color="auto"/>
              <w:right w:val="single" w:sz="4" w:space="0" w:color="auto"/>
            </w:tcBorders>
            <w:shd w:val="clear" w:color="auto" w:fill="auto"/>
            <w:vAlign w:val="center"/>
            <w:hideMark/>
          </w:tcPr>
          <w:p w14:paraId="727C6BEA" w14:textId="77777777" w:rsidR="00C44366" w:rsidRPr="00C44366" w:rsidRDefault="00C44366" w:rsidP="00C44366">
            <w:pPr>
              <w:widowControl/>
              <w:jc w:val="center"/>
              <w:rPr>
                <w:rFonts w:ascii="Times New Roman" w:eastAsia="Times New Roman" w:hAnsi="Times New Roman" w:cs="Times New Roman"/>
                <w:b/>
                <w:bCs/>
                <w:color w:val="000000"/>
                <w:sz w:val="18"/>
                <w:szCs w:val="18"/>
                <w:lang w:eastAsia="es-HN"/>
              </w:rPr>
            </w:pPr>
            <w:r w:rsidRPr="00C44366">
              <w:rPr>
                <w:rFonts w:ascii="Times New Roman" w:eastAsia="Times New Roman" w:hAnsi="Times New Roman" w:cs="Times New Roman"/>
                <w:b/>
                <w:bCs/>
                <w:color w:val="000000"/>
                <w:sz w:val="18"/>
                <w:szCs w:val="18"/>
                <w:lang w:eastAsia="es-HN"/>
              </w:rPr>
              <w:t>Objetivos de Investigación</w:t>
            </w:r>
          </w:p>
        </w:tc>
        <w:tc>
          <w:tcPr>
            <w:tcW w:w="19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A44E114" w14:textId="77777777" w:rsidR="00C44366" w:rsidRPr="00C44366" w:rsidRDefault="00C44366" w:rsidP="00C44366">
            <w:pPr>
              <w:widowControl/>
              <w:jc w:val="center"/>
              <w:rPr>
                <w:rFonts w:ascii="Times New Roman" w:eastAsia="Times New Roman" w:hAnsi="Times New Roman" w:cs="Times New Roman"/>
                <w:b/>
                <w:bCs/>
                <w:color w:val="000000"/>
                <w:sz w:val="18"/>
                <w:szCs w:val="18"/>
                <w:lang w:eastAsia="es-HN"/>
              </w:rPr>
            </w:pPr>
            <w:r w:rsidRPr="00C44366">
              <w:rPr>
                <w:rFonts w:ascii="Times New Roman" w:eastAsia="Times New Roman" w:hAnsi="Times New Roman" w:cs="Times New Roman"/>
                <w:b/>
                <w:bCs/>
                <w:color w:val="000000"/>
                <w:sz w:val="18"/>
                <w:szCs w:val="18"/>
                <w:lang w:eastAsia="es-HN"/>
              </w:rPr>
              <w:t>Variables</w:t>
            </w:r>
          </w:p>
        </w:tc>
        <w:tc>
          <w:tcPr>
            <w:tcW w:w="20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F7B737D" w14:textId="77777777" w:rsidR="00C44366" w:rsidRPr="00C44366" w:rsidRDefault="00C44366" w:rsidP="00C44366">
            <w:pPr>
              <w:widowControl/>
              <w:jc w:val="center"/>
              <w:rPr>
                <w:rFonts w:ascii="Times New Roman" w:eastAsia="Times New Roman" w:hAnsi="Times New Roman" w:cs="Times New Roman"/>
                <w:b/>
                <w:bCs/>
                <w:color w:val="000000"/>
                <w:sz w:val="18"/>
                <w:szCs w:val="18"/>
                <w:lang w:eastAsia="es-HN"/>
              </w:rPr>
            </w:pPr>
            <w:r w:rsidRPr="00C44366">
              <w:rPr>
                <w:rFonts w:ascii="Times New Roman" w:eastAsia="Times New Roman" w:hAnsi="Times New Roman" w:cs="Times New Roman"/>
                <w:b/>
                <w:bCs/>
                <w:color w:val="000000"/>
                <w:sz w:val="18"/>
                <w:szCs w:val="18"/>
                <w:lang w:eastAsia="es-HN"/>
              </w:rPr>
              <w:t>Dimensiones de Análisis</w:t>
            </w:r>
          </w:p>
        </w:tc>
      </w:tr>
      <w:tr w:rsidR="00C44366" w:rsidRPr="00C44366" w14:paraId="4C9BCE88" w14:textId="77777777" w:rsidTr="00B311B5">
        <w:trPr>
          <w:gridAfter w:val="1"/>
          <w:wAfter w:w="66" w:type="dxa"/>
          <w:trHeight w:val="240"/>
          <w:tblHeader/>
        </w:trPr>
        <w:tc>
          <w:tcPr>
            <w:tcW w:w="1924" w:type="dxa"/>
            <w:vMerge/>
            <w:tcBorders>
              <w:top w:val="single" w:sz="4" w:space="0" w:color="auto"/>
              <w:left w:val="single" w:sz="4" w:space="0" w:color="auto"/>
              <w:bottom w:val="single" w:sz="4" w:space="0" w:color="auto"/>
              <w:right w:val="single" w:sz="4" w:space="0" w:color="auto"/>
            </w:tcBorders>
            <w:vAlign w:val="center"/>
            <w:hideMark/>
          </w:tcPr>
          <w:p w14:paraId="5DC13D96" w14:textId="77777777" w:rsidR="00C44366" w:rsidRPr="00C44366" w:rsidRDefault="00C44366" w:rsidP="00C44366">
            <w:pPr>
              <w:widowControl/>
              <w:rPr>
                <w:rFonts w:ascii="Times New Roman" w:eastAsia="Times New Roman" w:hAnsi="Times New Roman" w:cs="Times New Roman"/>
                <w:b/>
                <w:bCs/>
                <w:color w:val="000000"/>
                <w:sz w:val="18"/>
                <w:szCs w:val="18"/>
                <w:lang w:eastAsia="es-HN"/>
              </w:rPr>
            </w:pPr>
          </w:p>
        </w:tc>
        <w:tc>
          <w:tcPr>
            <w:tcW w:w="1926" w:type="dxa"/>
            <w:tcBorders>
              <w:top w:val="nil"/>
              <w:left w:val="nil"/>
              <w:bottom w:val="single" w:sz="4" w:space="0" w:color="auto"/>
              <w:right w:val="single" w:sz="4" w:space="0" w:color="auto"/>
            </w:tcBorders>
            <w:shd w:val="clear" w:color="auto" w:fill="auto"/>
            <w:noWrap/>
            <w:vAlign w:val="center"/>
            <w:hideMark/>
          </w:tcPr>
          <w:p w14:paraId="59648473" w14:textId="77777777" w:rsidR="00C44366" w:rsidRPr="00C44366" w:rsidRDefault="00C44366" w:rsidP="00C44366">
            <w:pPr>
              <w:widowControl/>
              <w:jc w:val="center"/>
              <w:rPr>
                <w:rFonts w:ascii="Times New Roman" w:eastAsia="Times New Roman" w:hAnsi="Times New Roman" w:cs="Times New Roman"/>
                <w:b/>
                <w:bCs/>
                <w:color w:val="000000"/>
                <w:sz w:val="18"/>
                <w:szCs w:val="18"/>
                <w:lang w:eastAsia="es-HN"/>
              </w:rPr>
            </w:pPr>
            <w:r w:rsidRPr="00C44366">
              <w:rPr>
                <w:rFonts w:ascii="Times New Roman" w:eastAsia="Times New Roman" w:hAnsi="Times New Roman" w:cs="Times New Roman"/>
                <w:b/>
                <w:bCs/>
                <w:color w:val="000000"/>
                <w:sz w:val="18"/>
                <w:szCs w:val="18"/>
                <w:lang w:eastAsia="es-HN"/>
              </w:rPr>
              <w:t xml:space="preserve">General </w:t>
            </w:r>
          </w:p>
        </w:tc>
        <w:tc>
          <w:tcPr>
            <w:tcW w:w="1924" w:type="dxa"/>
            <w:tcBorders>
              <w:top w:val="nil"/>
              <w:left w:val="nil"/>
              <w:bottom w:val="single" w:sz="4" w:space="0" w:color="auto"/>
              <w:right w:val="single" w:sz="4" w:space="0" w:color="auto"/>
            </w:tcBorders>
            <w:shd w:val="clear" w:color="auto" w:fill="auto"/>
            <w:noWrap/>
            <w:vAlign w:val="center"/>
            <w:hideMark/>
          </w:tcPr>
          <w:p w14:paraId="003A0B45" w14:textId="77777777" w:rsidR="00C44366" w:rsidRPr="00C44366" w:rsidRDefault="00C44366" w:rsidP="00C44366">
            <w:pPr>
              <w:widowControl/>
              <w:jc w:val="center"/>
              <w:rPr>
                <w:rFonts w:ascii="Times New Roman" w:eastAsia="Times New Roman" w:hAnsi="Times New Roman" w:cs="Times New Roman"/>
                <w:b/>
                <w:bCs/>
                <w:color w:val="000000"/>
                <w:sz w:val="18"/>
                <w:szCs w:val="18"/>
                <w:lang w:eastAsia="es-HN"/>
              </w:rPr>
            </w:pPr>
            <w:r w:rsidRPr="00C44366">
              <w:rPr>
                <w:rFonts w:ascii="Times New Roman" w:eastAsia="Times New Roman" w:hAnsi="Times New Roman" w:cs="Times New Roman"/>
                <w:b/>
                <w:bCs/>
                <w:color w:val="000000"/>
                <w:sz w:val="18"/>
                <w:szCs w:val="18"/>
                <w:lang w:eastAsia="es-HN"/>
              </w:rPr>
              <w:t>Especifico</w:t>
            </w:r>
          </w:p>
        </w:tc>
        <w:tc>
          <w:tcPr>
            <w:tcW w:w="1927" w:type="dxa"/>
            <w:vMerge/>
            <w:tcBorders>
              <w:top w:val="single" w:sz="4" w:space="0" w:color="auto"/>
              <w:left w:val="single" w:sz="4" w:space="0" w:color="auto"/>
              <w:bottom w:val="single" w:sz="4" w:space="0" w:color="auto"/>
              <w:right w:val="single" w:sz="4" w:space="0" w:color="auto"/>
            </w:tcBorders>
            <w:vAlign w:val="center"/>
            <w:hideMark/>
          </w:tcPr>
          <w:p w14:paraId="4DCF0139" w14:textId="77777777" w:rsidR="00C44366" w:rsidRPr="00C44366" w:rsidRDefault="00C44366" w:rsidP="00C44366">
            <w:pPr>
              <w:widowControl/>
              <w:rPr>
                <w:rFonts w:ascii="Times New Roman" w:eastAsia="Times New Roman" w:hAnsi="Times New Roman" w:cs="Times New Roman"/>
                <w:b/>
                <w:bCs/>
                <w:color w:val="000000"/>
                <w:sz w:val="18"/>
                <w:szCs w:val="18"/>
                <w:lang w:eastAsia="es-HN"/>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14:paraId="196ED987" w14:textId="77777777" w:rsidR="00C44366" w:rsidRPr="00C44366" w:rsidRDefault="00C44366" w:rsidP="00C44366">
            <w:pPr>
              <w:widowControl/>
              <w:rPr>
                <w:rFonts w:ascii="Times New Roman" w:eastAsia="Times New Roman" w:hAnsi="Times New Roman" w:cs="Times New Roman"/>
                <w:b/>
                <w:bCs/>
                <w:color w:val="000000"/>
                <w:sz w:val="18"/>
                <w:szCs w:val="18"/>
                <w:lang w:eastAsia="es-HN"/>
              </w:rPr>
            </w:pPr>
          </w:p>
        </w:tc>
      </w:tr>
      <w:tr w:rsidR="00C44366" w:rsidRPr="00C44366" w14:paraId="72E886F0" w14:textId="77777777" w:rsidTr="00C44366">
        <w:trPr>
          <w:gridAfter w:val="1"/>
          <w:wAfter w:w="66" w:type="dxa"/>
          <w:trHeight w:val="1110"/>
        </w:trPr>
        <w:tc>
          <w:tcPr>
            <w:tcW w:w="1924" w:type="dxa"/>
            <w:vMerge w:val="restart"/>
            <w:tcBorders>
              <w:top w:val="nil"/>
              <w:left w:val="single" w:sz="4" w:space="0" w:color="auto"/>
              <w:bottom w:val="single" w:sz="4" w:space="0" w:color="000000"/>
              <w:right w:val="single" w:sz="4" w:space="0" w:color="auto"/>
            </w:tcBorders>
            <w:shd w:val="clear" w:color="auto" w:fill="auto"/>
            <w:vAlign w:val="center"/>
            <w:hideMark/>
          </w:tcPr>
          <w:p w14:paraId="104F23FB"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Análisis y Descomposición de la Tasa de Interés Nominal en Moneda Nacional Cobrada por los Bancos Comerciales en Honduras Durante el Período 2019-2022.</w:t>
            </w:r>
          </w:p>
        </w:tc>
        <w:tc>
          <w:tcPr>
            <w:tcW w:w="1926" w:type="dxa"/>
            <w:vMerge w:val="restart"/>
            <w:tcBorders>
              <w:top w:val="nil"/>
              <w:left w:val="single" w:sz="4" w:space="0" w:color="auto"/>
              <w:bottom w:val="single" w:sz="4" w:space="0" w:color="000000"/>
              <w:right w:val="single" w:sz="4" w:space="0" w:color="auto"/>
            </w:tcBorders>
            <w:shd w:val="clear" w:color="auto" w:fill="auto"/>
            <w:vAlign w:val="center"/>
            <w:hideMark/>
          </w:tcPr>
          <w:p w14:paraId="47240F3A"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Analizar los principales factores macroeconómicos y financieros que determinaron el comportamiento cíclico de la tasa de interés nominal en moneda nacional cobrada por los bancos comerciales en Honduras durante el período de 2019 a 2022.</w:t>
            </w:r>
          </w:p>
        </w:tc>
        <w:tc>
          <w:tcPr>
            <w:tcW w:w="1924" w:type="dxa"/>
            <w:vMerge w:val="restart"/>
            <w:tcBorders>
              <w:top w:val="nil"/>
              <w:left w:val="single" w:sz="4" w:space="0" w:color="auto"/>
              <w:bottom w:val="single" w:sz="4" w:space="0" w:color="auto"/>
              <w:right w:val="single" w:sz="4" w:space="0" w:color="auto"/>
            </w:tcBorders>
            <w:shd w:val="clear" w:color="auto" w:fill="auto"/>
            <w:vAlign w:val="center"/>
            <w:hideMark/>
          </w:tcPr>
          <w:p w14:paraId="4D690301" w14:textId="24438054"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Determinar los factores macroec</w:t>
            </w:r>
            <w:r>
              <w:rPr>
                <w:rFonts w:ascii="Times New Roman" w:eastAsia="Times New Roman" w:hAnsi="Times New Roman" w:cs="Times New Roman"/>
                <w:color w:val="000000"/>
                <w:sz w:val="18"/>
                <w:szCs w:val="18"/>
                <w:lang w:eastAsia="es-HN"/>
              </w:rPr>
              <w:t>onó</w:t>
            </w:r>
            <w:r w:rsidRPr="00C44366">
              <w:rPr>
                <w:rFonts w:ascii="Times New Roman" w:eastAsia="Times New Roman" w:hAnsi="Times New Roman" w:cs="Times New Roman"/>
                <w:color w:val="000000"/>
                <w:sz w:val="18"/>
                <w:szCs w:val="18"/>
                <w:lang w:eastAsia="es-HN"/>
              </w:rPr>
              <w:t>micos que influenciaron la tasa de interés nominal en moneda nacional cobrada por los bancos comerciales en Honduras durante el período de 2019 a 2022.</w:t>
            </w:r>
          </w:p>
        </w:tc>
        <w:tc>
          <w:tcPr>
            <w:tcW w:w="1927" w:type="dxa"/>
            <w:vMerge w:val="restart"/>
            <w:tcBorders>
              <w:top w:val="nil"/>
              <w:left w:val="single" w:sz="4" w:space="0" w:color="auto"/>
              <w:bottom w:val="single" w:sz="4" w:space="0" w:color="auto"/>
              <w:right w:val="single" w:sz="4" w:space="0" w:color="auto"/>
            </w:tcBorders>
            <w:shd w:val="clear" w:color="auto" w:fill="auto"/>
            <w:vAlign w:val="center"/>
            <w:hideMark/>
          </w:tcPr>
          <w:p w14:paraId="50A51C86"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Factores Macroeconómicos</w:t>
            </w:r>
          </w:p>
        </w:tc>
        <w:tc>
          <w:tcPr>
            <w:tcW w:w="2093" w:type="dxa"/>
            <w:tcBorders>
              <w:top w:val="nil"/>
              <w:left w:val="nil"/>
              <w:bottom w:val="single" w:sz="4" w:space="0" w:color="auto"/>
              <w:right w:val="single" w:sz="4" w:space="0" w:color="auto"/>
            </w:tcBorders>
            <w:shd w:val="clear" w:color="auto" w:fill="auto"/>
            <w:noWrap/>
            <w:vAlign w:val="center"/>
            <w:hideMark/>
          </w:tcPr>
          <w:p w14:paraId="69440E61"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Indicadores Económicos</w:t>
            </w:r>
          </w:p>
        </w:tc>
      </w:tr>
      <w:tr w:rsidR="00C44366" w:rsidRPr="00C44366" w14:paraId="16EACF25" w14:textId="77777777" w:rsidTr="00C44366">
        <w:trPr>
          <w:gridAfter w:val="1"/>
          <w:wAfter w:w="66" w:type="dxa"/>
          <w:trHeight w:val="1110"/>
        </w:trPr>
        <w:tc>
          <w:tcPr>
            <w:tcW w:w="1924" w:type="dxa"/>
            <w:vMerge/>
            <w:tcBorders>
              <w:top w:val="nil"/>
              <w:left w:val="single" w:sz="4" w:space="0" w:color="auto"/>
              <w:bottom w:val="single" w:sz="4" w:space="0" w:color="000000"/>
              <w:right w:val="single" w:sz="4" w:space="0" w:color="auto"/>
            </w:tcBorders>
            <w:vAlign w:val="center"/>
            <w:hideMark/>
          </w:tcPr>
          <w:p w14:paraId="5D8D8E03"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6" w:type="dxa"/>
            <w:vMerge/>
            <w:tcBorders>
              <w:top w:val="nil"/>
              <w:left w:val="single" w:sz="4" w:space="0" w:color="auto"/>
              <w:bottom w:val="single" w:sz="4" w:space="0" w:color="000000"/>
              <w:right w:val="single" w:sz="4" w:space="0" w:color="auto"/>
            </w:tcBorders>
            <w:vAlign w:val="center"/>
            <w:hideMark/>
          </w:tcPr>
          <w:p w14:paraId="1A8DE76D"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4" w:type="dxa"/>
            <w:vMerge/>
            <w:tcBorders>
              <w:top w:val="nil"/>
              <w:left w:val="single" w:sz="4" w:space="0" w:color="auto"/>
              <w:bottom w:val="single" w:sz="4" w:space="0" w:color="auto"/>
              <w:right w:val="single" w:sz="4" w:space="0" w:color="auto"/>
            </w:tcBorders>
            <w:vAlign w:val="center"/>
            <w:hideMark/>
          </w:tcPr>
          <w:p w14:paraId="50F40E5F"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7" w:type="dxa"/>
            <w:vMerge/>
            <w:tcBorders>
              <w:top w:val="nil"/>
              <w:left w:val="single" w:sz="4" w:space="0" w:color="auto"/>
              <w:bottom w:val="single" w:sz="4" w:space="0" w:color="auto"/>
              <w:right w:val="single" w:sz="4" w:space="0" w:color="auto"/>
            </w:tcBorders>
            <w:vAlign w:val="center"/>
            <w:hideMark/>
          </w:tcPr>
          <w:p w14:paraId="3DD8412E"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2093" w:type="dxa"/>
            <w:tcBorders>
              <w:top w:val="nil"/>
              <w:left w:val="nil"/>
              <w:bottom w:val="single" w:sz="4" w:space="0" w:color="auto"/>
              <w:right w:val="single" w:sz="4" w:space="0" w:color="auto"/>
            </w:tcBorders>
            <w:shd w:val="clear" w:color="auto" w:fill="auto"/>
            <w:noWrap/>
            <w:vAlign w:val="center"/>
            <w:hideMark/>
          </w:tcPr>
          <w:p w14:paraId="2C49666B"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Política Monetaria</w:t>
            </w:r>
          </w:p>
        </w:tc>
      </w:tr>
      <w:tr w:rsidR="00C44366" w:rsidRPr="00C44366" w14:paraId="7E9904B0" w14:textId="77777777" w:rsidTr="00C44366">
        <w:trPr>
          <w:gridAfter w:val="1"/>
          <w:wAfter w:w="66" w:type="dxa"/>
          <w:trHeight w:val="435"/>
        </w:trPr>
        <w:tc>
          <w:tcPr>
            <w:tcW w:w="1924" w:type="dxa"/>
            <w:vMerge/>
            <w:tcBorders>
              <w:top w:val="nil"/>
              <w:left w:val="single" w:sz="4" w:space="0" w:color="auto"/>
              <w:bottom w:val="single" w:sz="4" w:space="0" w:color="000000"/>
              <w:right w:val="single" w:sz="4" w:space="0" w:color="auto"/>
            </w:tcBorders>
            <w:vAlign w:val="center"/>
            <w:hideMark/>
          </w:tcPr>
          <w:p w14:paraId="491981BA"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6" w:type="dxa"/>
            <w:vMerge/>
            <w:tcBorders>
              <w:top w:val="nil"/>
              <w:left w:val="single" w:sz="4" w:space="0" w:color="auto"/>
              <w:bottom w:val="single" w:sz="4" w:space="0" w:color="000000"/>
              <w:right w:val="single" w:sz="4" w:space="0" w:color="auto"/>
            </w:tcBorders>
            <w:vAlign w:val="center"/>
            <w:hideMark/>
          </w:tcPr>
          <w:p w14:paraId="72929AC1"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4" w:type="dxa"/>
            <w:vMerge w:val="restart"/>
            <w:tcBorders>
              <w:top w:val="nil"/>
              <w:left w:val="single" w:sz="4" w:space="0" w:color="auto"/>
              <w:bottom w:val="single" w:sz="4" w:space="0" w:color="auto"/>
              <w:right w:val="single" w:sz="4" w:space="0" w:color="auto"/>
            </w:tcBorders>
            <w:shd w:val="clear" w:color="auto" w:fill="auto"/>
            <w:vAlign w:val="center"/>
            <w:hideMark/>
          </w:tcPr>
          <w:p w14:paraId="7D47C450" w14:textId="29ED8E60"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 xml:space="preserve">Identificar los principales </w:t>
            </w:r>
            <w:r w:rsidR="008F62FB">
              <w:rPr>
                <w:rFonts w:ascii="Times New Roman" w:eastAsia="Times New Roman" w:hAnsi="Times New Roman" w:cs="Times New Roman"/>
                <w:color w:val="000000"/>
                <w:sz w:val="18"/>
                <w:szCs w:val="18"/>
                <w:lang w:eastAsia="es-HN"/>
              </w:rPr>
              <w:t>componentes</w:t>
            </w:r>
            <w:r w:rsidRPr="00C44366">
              <w:rPr>
                <w:rFonts w:ascii="Times New Roman" w:eastAsia="Times New Roman" w:hAnsi="Times New Roman" w:cs="Times New Roman"/>
                <w:color w:val="000000"/>
                <w:sz w:val="18"/>
                <w:szCs w:val="18"/>
                <w:lang w:eastAsia="es-HN"/>
              </w:rPr>
              <w:t xml:space="preserve"> financieros que determinaron la tasa de interés nominal en moneda nacional cobrada por los bancos comerciales en Honduras durante el período de 2019 a 2022.</w:t>
            </w:r>
          </w:p>
        </w:tc>
        <w:tc>
          <w:tcPr>
            <w:tcW w:w="1927" w:type="dxa"/>
            <w:vMerge w:val="restart"/>
            <w:tcBorders>
              <w:top w:val="nil"/>
              <w:left w:val="single" w:sz="4" w:space="0" w:color="auto"/>
              <w:bottom w:val="single" w:sz="4" w:space="0" w:color="auto"/>
              <w:right w:val="single" w:sz="4" w:space="0" w:color="auto"/>
            </w:tcBorders>
            <w:shd w:val="clear" w:color="auto" w:fill="auto"/>
            <w:vAlign w:val="center"/>
            <w:hideMark/>
          </w:tcPr>
          <w:p w14:paraId="454327F9"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Factores Financieros</w:t>
            </w:r>
          </w:p>
        </w:tc>
        <w:tc>
          <w:tcPr>
            <w:tcW w:w="2093" w:type="dxa"/>
            <w:tcBorders>
              <w:top w:val="nil"/>
              <w:left w:val="nil"/>
              <w:bottom w:val="single" w:sz="4" w:space="0" w:color="auto"/>
              <w:right w:val="single" w:sz="4" w:space="0" w:color="auto"/>
            </w:tcBorders>
            <w:shd w:val="clear" w:color="auto" w:fill="auto"/>
            <w:noWrap/>
            <w:vAlign w:val="center"/>
            <w:hideMark/>
          </w:tcPr>
          <w:p w14:paraId="3C615F7D"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Costo de Fondeo</w:t>
            </w:r>
          </w:p>
        </w:tc>
      </w:tr>
      <w:tr w:rsidR="00C44366" w:rsidRPr="00C44366" w14:paraId="1033558E" w14:textId="77777777" w:rsidTr="00C44366">
        <w:trPr>
          <w:gridAfter w:val="1"/>
          <w:wAfter w:w="66" w:type="dxa"/>
          <w:trHeight w:val="435"/>
        </w:trPr>
        <w:tc>
          <w:tcPr>
            <w:tcW w:w="1924" w:type="dxa"/>
            <w:vMerge/>
            <w:tcBorders>
              <w:top w:val="nil"/>
              <w:left w:val="single" w:sz="4" w:space="0" w:color="auto"/>
              <w:bottom w:val="single" w:sz="4" w:space="0" w:color="000000"/>
              <w:right w:val="single" w:sz="4" w:space="0" w:color="auto"/>
            </w:tcBorders>
            <w:vAlign w:val="center"/>
            <w:hideMark/>
          </w:tcPr>
          <w:p w14:paraId="4F55E2AD"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6" w:type="dxa"/>
            <w:vMerge/>
            <w:tcBorders>
              <w:top w:val="nil"/>
              <w:left w:val="single" w:sz="4" w:space="0" w:color="auto"/>
              <w:bottom w:val="single" w:sz="4" w:space="0" w:color="000000"/>
              <w:right w:val="single" w:sz="4" w:space="0" w:color="auto"/>
            </w:tcBorders>
            <w:vAlign w:val="center"/>
            <w:hideMark/>
          </w:tcPr>
          <w:p w14:paraId="2CE5E1BD"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4" w:type="dxa"/>
            <w:vMerge/>
            <w:tcBorders>
              <w:top w:val="nil"/>
              <w:left w:val="single" w:sz="4" w:space="0" w:color="auto"/>
              <w:bottom w:val="single" w:sz="4" w:space="0" w:color="auto"/>
              <w:right w:val="single" w:sz="4" w:space="0" w:color="auto"/>
            </w:tcBorders>
            <w:vAlign w:val="center"/>
            <w:hideMark/>
          </w:tcPr>
          <w:p w14:paraId="0A11CFCD"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7" w:type="dxa"/>
            <w:vMerge/>
            <w:tcBorders>
              <w:top w:val="nil"/>
              <w:left w:val="single" w:sz="4" w:space="0" w:color="auto"/>
              <w:bottom w:val="single" w:sz="4" w:space="0" w:color="auto"/>
              <w:right w:val="single" w:sz="4" w:space="0" w:color="auto"/>
            </w:tcBorders>
            <w:vAlign w:val="center"/>
            <w:hideMark/>
          </w:tcPr>
          <w:p w14:paraId="685DB187"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2093" w:type="dxa"/>
            <w:tcBorders>
              <w:top w:val="nil"/>
              <w:left w:val="nil"/>
              <w:bottom w:val="single" w:sz="4" w:space="0" w:color="auto"/>
              <w:right w:val="single" w:sz="4" w:space="0" w:color="auto"/>
            </w:tcBorders>
            <w:shd w:val="clear" w:color="auto" w:fill="auto"/>
            <w:noWrap/>
            <w:vAlign w:val="center"/>
            <w:hideMark/>
          </w:tcPr>
          <w:p w14:paraId="6D7081E0"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Excedente Apropiado</w:t>
            </w:r>
          </w:p>
        </w:tc>
      </w:tr>
      <w:tr w:rsidR="00C44366" w:rsidRPr="00C44366" w14:paraId="20E8A405" w14:textId="77777777" w:rsidTr="00C44366">
        <w:trPr>
          <w:gridAfter w:val="1"/>
          <w:wAfter w:w="66" w:type="dxa"/>
          <w:trHeight w:val="435"/>
        </w:trPr>
        <w:tc>
          <w:tcPr>
            <w:tcW w:w="1924" w:type="dxa"/>
            <w:vMerge/>
            <w:tcBorders>
              <w:top w:val="nil"/>
              <w:left w:val="single" w:sz="4" w:space="0" w:color="auto"/>
              <w:bottom w:val="single" w:sz="4" w:space="0" w:color="000000"/>
              <w:right w:val="single" w:sz="4" w:space="0" w:color="auto"/>
            </w:tcBorders>
            <w:vAlign w:val="center"/>
            <w:hideMark/>
          </w:tcPr>
          <w:p w14:paraId="1C65E0B6"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6" w:type="dxa"/>
            <w:vMerge/>
            <w:tcBorders>
              <w:top w:val="nil"/>
              <w:left w:val="single" w:sz="4" w:space="0" w:color="auto"/>
              <w:bottom w:val="single" w:sz="4" w:space="0" w:color="000000"/>
              <w:right w:val="single" w:sz="4" w:space="0" w:color="auto"/>
            </w:tcBorders>
            <w:vAlign w:val="center"/>
            <w:hideMark/>
          </w:tcPr>
          <w:p w14:paraId="0B6A5B78"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4" w:type="dxa"/>
            <w:vMerge/>
            <w:tcBorders>
              <w:top w:val="nil"/>
              <w:left w:val="single" w:sz="4" w:space="0" w:color="auto"/>
              <w:bottom w:val="single" w:sz="4" w:space="0" w:color="auto"/>
              <w:right w:val="single" w:sz="4" w:space="0" w:color="auto"/>
            </w:tcBorders>
            <w:vAlign w:val="center"/>
            <w:hideMark/>
          </w:tcPr>
          <w:p w14:paraId="0A43CAA9"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7" w:type="dxa"/>
            <w:vMerge/>
            <w:tcBorders>
              <w:top w:val="nil"/>
              <w:left w:val="single" w:sz="4" w:space="0" w:color="auto"/>
              <w:bottom w:val="single" w:sz="4" w:space="0" w:color="auto"/>
              <w:right w:val="single" w:sz="4" w:space="0" w:color="auto"/>
            </w:tcBorders>
            <w:vAlign w:val="center"/>
            <w:hideMark/>
          </w:tcPr>
          <w:p w14:paraId="65C2747B"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2093" w:type="dxa"/>
            <w:tcBorders>
              <w:top w:val="nil"/>
              <w:left w:val="nil"/>
              <w:bottom w:val="single" w:sz="4" w:space="0" w:color="auto"/>
              <w:right w:val="single" w:sz="4" w:space="0" w:color="auto"/>
            </w:tcBorders>
            <w:shd w:val="clear" w:color="auto" w:fill="auto"/>
            <w:noWrap/>
            <w:vAlign w:val="center"/>
            <w:hideMark/>
          </w:tcPr>
          <w:p w14:paraId="6FFB90A3"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Costo de Oportunidad</w:t>
            </w:r>
          </w:p>
        </w:tc>
      </w:tr>
      <w:tr w:rsidR="00C44366" w:rsidRPr="00C44366" w14:paraId="2C910356" w14:textId="77777777" w:rsidTr="00C44366">
        <w:trPr>
          <w:gridAfter w:val="1"/>
          <w:wAfter w:w="66" w:type="dxa"/>
          <w:trHeight w:val="435"/>
        </w:trPr>
        <w:tc>
          <w:tcPr>
            <w:tcW w:w="1924" w:type="dxa"/>
            <w:vMerge/>
            <w:tcBorders>
              <w:top w:val="nil"/>
              <w:left w:val="single" w:sz="4" w:space="0" w:color="auto"/>
              <w:bottom w:val="single" w:sz="4" w:space="0" w:color="000000"/>
              <w:right w:val="single" w:sz="4" w:space="0" w:color="auto"/>
            </w:tcBorders>
            <w:vAlign w:val="center"/>
            <w:hideMark/>
          </w:tcPr>
          <w:p w14:paraId="17E90F63"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6" w:type="dxa"/>
            <w:vMerge/>
            <w:tcBorders>
              <w:top w:val="nil"/>
              <w:left w:val="single" w:sz="4" w:space="0" w:color="auto"/>
              <w:bottom w:val="single" w:sz="4" w:space="0" w:color="000000"/>
              <w:right w:val="single" w:sz="4" w:space="0" w:color="auto"/>
            </w:tcBorders>
            <w:vAlign w:val="center"/>
            <w:hideMark/>
          </w:tcPr>
          <w:p w14:paraId="63000BF3"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4" w:type="dxa"/>
            <w:vMerge/>
            <w:tcBorders>
              <w:top w:val="nil"/>
              <w:left w:val="single" w:sz="4" w:space="0" w:color="auto"/>
              <w:bottom w:val="single" w:sz="4" w:space="0" w:color="auto"/>
              <w:right w:val="single" w:sz="4" w:space="0" w:color="auto"/>
            </w:tcBorders>
            <w:vAlign w:val="center"/>
            <w:hideMark/>
          </w:tcPr>
          <w:p w14:paraId="13D751F5"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7" w:type="dxa"/>
            <w:vMerge/>
            <w:tcBorders>
              <w:top w:val="nil"/>
              <w:left w:val="single" w:sz="4" w:space="0" w:color="auto"/>
              <w:bottom w:val="single" w:sz="4" w:space="0" w:color="auto"/>
              <w:right w:val="single" w:sz="4" w:space="0" w:color="auto"/>
            </w:tcBorders>
            <w:vAlign w:val="center"/>
            <w:hideMark/>
          </w:tcPr>
          <w:p w14:paraId="466FCDF7"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2093" w:type="dxa"/>
            <w:tcBorders>
              <w:top w:val="nil"/>
              <w:left w:val="nil"/>
              <w:bottom w:val="single" w:sz="4" w:space="0" w:color="auto"/>
              <w:right w:val="single" w:sz="4" w:space="0" w:color="auto"/>
            </w:tcBorders>
            <w:shd w:val="clear" w:color="auto" w:fill="auto"/>
            <w:noWrap/>
            <w:vAlign w:val="center"/>
            <w:hideMark/>
          </w:tcPr>
          <w:p w14:paraId="4A3D4BC8"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Requerimientos</w:t>
            </w:r>
          </w:p>
        </w:tc>
      </w:tr>
      <w:tr w:rsidR="00C44366" w:rsidRPr="00C44366" w14:paraId="50E3D032" w14:textId="77777777" w:rsidTr="00C44366">
        <w:trPr>
          <w:gridAfter w:val="1"/>
          <w:wAfter w:w="66" w:type="dxa"/>
          <w:trHeight w:val="435"/>
        </w:trPr>
        <w:tc>
          <w:tcPr>
            <w:tcW w:w="1924" w:type="dxa"/>
            <w:vMerge/>
            <w:tcBorders>
              <w:top w:val="nil"/>
              <w:left w:val="single" w:sz="4" w:space="0" w:color="auto"/>
              <w:bottom w:val="single" w:sz="4" w:space="0" w:color="000000"/>
              <w:right w:val="single" w:sz="4" w:space="0" w:color="auto"/>
            </w:tcBorders>
            <w:vAlign w:val="center"/>
            <w:hideMark/>
          </w:tcPr>
          <w:p w14:paraId="5239BF40"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6" w:type="dxa"/>
            <w:vMerge/>
            <w:tcBorders>
              <w:top w:val="nil"/>
              <w:left w:val="single" w:sz="4" w:space="0" w:color="auto"/>
              <w:bottom w:val="single" w:sz="4" w:space="0" w:color="000000"/>
              <w:right w:val="single" w:sz="4" w:space="0" w:color="auto"/>
            </w:tcBorders>
            <w:vAlign w:val="center"/>
            <w:hideMark/>
          </w:tcPr>
          <w:p w14:paraId="0C6ADF42"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4" w:type="dxa"/>
            <w:vMerge/>
            <w:tcBorders>
              <w:top w:val="nil"/>
              <w:left w:val="single" w:sz="4" w:space="0" w:color="auto"/>
              <w:bottom w:val="single" w:sz="4" w:space="0" w:color="auto"/>
              <w:right w:val="single" w:sz="4" w:space="0" w:color="auto"/>
            </w:tcBorders>
            <w:vAlign w:val="center"/>
            <w:hideMark/>
          </w:tcPr>
          <w:p w14:paraId="7B0394C1"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7" w:type="dxa"/>
            <w:vMerge/>
            <w:tcBorders>
              <w:top w:val="nil"/>
              <w:left w:val="single" w:sz="4" w:space="0" w:color="auto"/>
              <w:bottom w:val="single" w:sz="4" w:space="0" w:color="auto"/>
              <w:right w:val="single" w:sz="4" w:space="0" w:color="auto"/>
            </w:tcBorders>
            <w:vAlign w:val="center"/>
            <w:hideMark/>
          </w:tcPr>
          <w:p w14:paraId="536EAFA4"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2093" w:type="dxa"/>
            <w:tcBorders>
              <w:top w:val="nil"/>
              <w:left w:val="nil"/>
              <w:bottom w:val="single" w:sz="4" w:space="0" w:color="auto"/>
              <w:right w:val="single" w:sz="4" w:space="0" w:color="auto"/>
            </w:tcBorders>
            <w:shd w:val="clear" w:color="auto" w:fill="auto"/>
            <w:noWrap/>
            <w:vAlign w:val="center"/>
            <w:hideMark/>
          </w:tcPr>
          <w:p w14:paraId="58550669"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Costos Regulatorios</w:t>
            </w:r>
          </w:p>
        </w:tc>
      </w:tr>
      <w:tr w:rsidR="00C44366" w:rsidRPr="00C44366" w14:paraId="21704509" w14:textId="77777777" w:rsidTr="00C44366">
        <w:trPr>
          <w:gridAfter w:val="1"/>
          <w:wAfter w:w="66" w:type="dxa"/>
          <w:trHeight w:val="1365"/>
        </w:trPr>
        <w:tc>
          <w:tcPr>
            <w:tcW w:w="1924" w:type="dxa"/>
            <w:vMerge/>
            <w:tcBorders>
              <w:top w:val="nil"/>
              <w:left w:val="single" w:sz="4" w:space="0" w:color="auto"/>
              <w:bottom w:val="single" w:sz="4" w:space="0" w:color="000000"/>
              <w:right w:val="single" w:sz="4" w:space="0" w:color="auto"/>
            </w:tcBorders>
            <w:vAlign w:val="center"/>
            <w:hideMark/>
          </w:tcPr>
          <w:p w14:paraId="4EB6F723"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6" w:type="dxa"/>
            <w:vMerge/>
            <w:tcBorders>
              <w:top w:val="nil"/>
              <w:left w:val="single" w:sz="4" w:space="0" w:color="auto"/>
              <w:bottom w:val="single" w:sz="4" w:space="0" w:color="000000"/>
              <w:right w:val="single" w:sz="4" w:space="0" w:color="auto"/>
            </w:tcBorders>
            <w:vAlign w:val="center"/>
            <w:hideMark/>
          </w:tcPr>
          <w:p w14:paraId="5C33E5E9"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4" w:type="dxa"/>
            <w:vMerge w:val="restart"/>
            <w:tcBorders>
              <w:top w:val="nil"/>
              <w:left w:val="single" w:sz="4" w:space="0" w:color="auto"/>
              <w:bottom w:val="single" w:sz="4" w:space="0" w:color="auto"/>
              <w:right w:val="single" w:sz="4" w:space="0" w:color="auto"/>
            </w:tcBorders>
            <w:shd w:val="clear" w:color="auto" w:fill="auto"/>
            <w:vAlign w:val="center"/>
            <w:hideMark/>
          </w:tcPr>
          <w:p w14:paraId="4E080093"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 xml:space="preserve">Contrastar la incidencia de las políticas gubernamentales en apoyo al crédito en el comportamiento general de la tasa de interés nominal en moneda nacional cobrada por los bancos comerciales en Honduras durante el período de 2019 a 2022. </w:t>
            </w:r>
          </w:p>
        </w:tc>
        <w:tc>
          <w:tcPr>
            <w:tcW w:w="1927" w:type="dxa"/>
            <w:vMerge w:val="restart"/>
            <w:tcBorders>
              <w:top w:val="nil"/>
              <w:left w:val="single" w:sz="4" w:space="0" w:color="auto"/>
              <w:bottom w:val="single" w:sz="4" w:space="0" w:color="auto"/>
              <w:right w:val="single" w:sz="4" w:space="0" w:color="auto"/>
            </w:tcBorders>
            <w:shd w:val="clear" w:color="auto" w:fill="auto"/>
            <w:vAlign w:val="center"/>
            <w:hideMark/>
          </w:tcPr>
          <w:p w14:paraId="240AD495"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Políticas Gubernamentales</w:t>
            </w:r>
          </w:p>
        </w:tc>
        <w:tc>
          <w:tcPr>
            <w:tcW w:w="2093" w:type="dxa"/>
            <w:tcBorders>
              <w:top w:val="nil"/>
              <w:left w:val="nil"/>
              <w:bottom w:val="single" w:sz="4" w:space="0" w:color="auto"/>
              <w:right w:val="single" w:sz="4" w:space="0" w:color="auto"/>
            </w:tcBorders>
            <w:shd w:val="clear" w:color="auto" w:fill="auto"/>
            <w:noWrap/>
            <w:vAlign w:val="center"/>
            <w:hideMark/>
          </w:tcPr>
          <w:p w14:paraId="4E8A0F0D"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Política Crediticia</w:t>
            </w:r>
          </w:p>
        </w:tc>
      </w:tr>
      <w:tr w:rsidR="00C44366" w:rsidRPr="00C44366" w14:paraId="08C1A8FE" w14:textId="77777777" w:rsidTr="00C44366">
        <w:trPr>
          <w:gridAfter w:val="1"/>
          <w:wAfter w:w="66" w:type="dxa"/>
          <w:trHeight w:val="1365"/>
        </w:trPr>
        <w:tc>
          <w:tcPr>
            <w:tcW w:w="1924" w:type="dxa"/>
            <w:vMerge/>
            <w:tcBorders>
              <w:top w:val="nil"/>
              <w:left w:val="single" w:sz="4" w:space="0" w:color="auto"/>
              <w:bottom w:val="single" w:sz="4" w:space="0" w:color="000000"/>
              <w:right w:val="single" w:sz="4" w:space="0" w:color="auto"/>
            </w:tcBorders>
            <w:vAlign w:val="center"/>
            <w:hideMark/>
          </w:tcPr>
          <w:p w14:paraId="6B151F8B"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6" w:type="dxa"/>
            <w:vMerge/>
            <w:tcBorders>
              <w:top w:val="nil"/>
              <w:left w:val="single" w:sz="4" w:space="0" w:color="auto"/>
              <w:bottom w:val="single" w:sz="4" w:space="0" w:color="000000"/>
              <w:right w:val="single" w:sz="4" w:space="0" w:color="auto"/>
            </w:tcBorders>
            <w:vAlign w:val="center"/>
            <w:hideMark/>
          </w:tcPr>
          <w:p w14:paraId="2467F6F5"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4" w:type="dxa"/>
            <w:vMerge/>
            <w:tcBorders>
              <w:top w:val="nil"/>
              <w:left w:val="single" w:sz="4" w:space="0" w:color="auto"/>
              <w:bottom w:val="single" w:sz="4" w:space="0" w:color="auto"/>
              <w:right w:val="single" w:sz="4" w:space="0" w:color="auto"/>
            </w:tcBorders>
            <w:vAlign w:val="center"/>
            <w:hideMark/>
          </w:tcPr>
          <w:p w14:paraId="4379D85D"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7" w:type="dxa"/>
            <w:vMerge/>
            <w:tcBorders>
              <w:top w:val="nil"/>
              <w:left w:val="single" w:sz="4" w:space="0" w:color="auto"/>
              <w:bottom w:val="single" w:sz="4" w:space="0" w:color="auto"/>
              <w:right w:val="single" w:sz="4" w:space="0" w:color="auto"/>
            </w:tcBorders>
            <w:vAlign w:val="center"/>
            <w:hideMark/>
          </w:tcPr>
          <w:p w14:paraId="346E4CF0"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2093" w:type="dxa"/>
            <w:tcBorders>
              <w:top w:val="nil"/>
              <w:left w:val="nil"/>
              <w:bottom w:val="single" w:sz="4" w:space="0" w:color="auto"/>
              <w:right w:val="single" w:sz="4" w:space="0" w:color="auto"/>
            </w:tcBorders>
            <w:shd w:val="clear" w:color="auto" w:fill="auto"/>
            <w:vAlign w:val="center"/>
            <w:hideMark/>
          </w:tcPr>
          <w:p w14:paraId="068A7546"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Medidas de Alivio Financiero</w:t>
            </w:r>
          </w:p>
        </w:tc>
      </w:tr>
      <w:tr w:rsidR="00C44366" w:rsidRPr="00C44366" w14:paraId="7E2C9585" w14:textId="77777777" w:rsidTr="00C44366">
        <w:trPr>
          <w:gridAfter w:val="1"/>
          <w:wAfter w:w="66" w:type="dxa"/>
          <w:trHeight w:val="1335"/>
        </w:trPr>
        <w:tc>
          <w:tcPr>
            <w:tcW w:w="1924" w:type="dxa"/>
            <w:vMerge/>
            <w:tcBorders>
              <w:top w:val="nil"/>
              <w:left w:val="single" w:sz="4" w:space="0" w:color="auto"/>
              <w:bottom w:val="single" w:sz="4" w:space="0" w:color="000000"/>
              <w:right w:val="single" w:sz="4" w:space="0" w:color="auto"/>
            </w:tcBorders>
            <w:vAlign w:val="center"/>
            <w:hideMark/>
          </w:tcPr>
          <w:p w14:paraId="087CD259"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6" w:type="dxa"/>
            <w:vMerge/>
            <w:tcBorders>
              <w:top w:val="nil"/>
              <w:left w:val="single" w:sz="4" w:space="0" w:color="auto"/>
              <w:bottom w:val="single" w:sz="4" w:space="0" w:color="000000"/>
              <w:right w:val="single" w:sz="4" w:space="0" w:color="auto"/>
            </w:tcBorders>
            <w:vAlign w:val="center"/>
            <w:hideMark/>
          </w:tcPr>
          <w:p w14:paraId="379E4B0B"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4" w:type="dxa"/>
            <w:vMerge w:val="restart"/>
            <w:tcBorders>
              <w:top w:val="nil"/>
              <w:left w:val="single" w:sz="4" w:space="0" w:color="auto"/>
              <w:bottom w:val="single" w:sz="4" w:space="0" w:color="auto"/>
              <w:right w:val="single" w:sz="4" w:space="0" w:color="auto"/>
            </w:tcBorders>
            <w:shd w:val="clear" w:color="auto" w:fill="auto"/>
            <w:vAlign w:val="center"/>
            <w:hideMark/>
          </w:tcPr>
          <w:p w14:paraId="4EB1AD00" w14:textId="6A57B95B" w:rsidR="00C44366" w:rsidRPr="00C44366" w:rsidRDefault="002A26CB" w:rsidP="00C44366">
            <w:pPr>
              <w:widowControl/>
              <w:jc w:val="center"/>
              <w:rPr>
                <w:rFonts w:ascii="Times New Roman" w:eastAsia="Times New Roman" w:hAnsi="Times New Roman" w:cs="Times New Roman"/>
                <w:color w:val="000000"/>
                <w:sz w:val="18"/>
                <w:szCs w:val="18"/>
                <w:lang w:eastAsia="es-HN"/>
              </w:rPr>
            </w:pPr>
            <w:r w:rsidRPr="002A26CB">
              <w:rPr>
                <w:rFonts w:ascii="Times New Roman" w:eastAsia="Times New Roman" w:hAnsi="Times New Roman" w:cs="Times New Roman"/>
                <w:color w:val="000000"/>
                <w:sz w:val="18"/>
                <w:szCs w:val="18"/>
                <w:lang w:eastAsia="es-HN"/>
              </w:rPr>
              <w:t>Elaborar un manual para la administración y gestión eficiente de costos administrativos para la toma de decisiones en instituciones financieras, relacionada con la optimización de procesos administrativos internos.</w:t>
            </w:r>
          </w:p>
        </w:tc>
        <w:tc>
          <w:tcPr>
            <w:tcW w:w="1927" w:type="dxa"/>
            <w:vMerge w:val="restart"/>
            <w:tcBorders>
              <w:top w:val="nil"/>
              <w:left w:val="single" w:sz="4" w:space="0" w:color="auto"/>
              <w:bottom w:val="single" w:sz="4" w:space="0" w:color="000000"/>
              <w:right w:val="single" w:sz="4" w:space="0" w:color="auto"/>
            </w:tcBorders>
            <w:shd w:val="clear" w:color="auto" w:fill="auto"/>
            <w:vAlign w:val="center"/>
            <w:hideMark/>
          </w:tcPr>
          <w:p w14:paraId="1146C832"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No Aplica.</w:t>
            </w:r>
          </w:p>
        </w:tc>
        <w:tc>
          <w:tcPr>
            <w:tcW w:w="209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7AEEEB"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r w:rsidRPr="00C44366">
              <w:rPr>
                <w:rFonts w:ascii="Times New Roman" w:eastAsia="Times New Roman" w:hAnsi="Times New Roman" w:cs="Times New Roman"/>
                <w:color w:val="000000"/>
                <w:sz w:val="18"/>
                <w:szCs w:val="18"/>
                <w:lang w:eastAsia="es-HN"/>
              </w:rPr>
              <w:t>No Aplica.</w:t>
            </w:r>
          </w:p>
        </w:tc>
      </w:tr>
      <w:tr w:rsidR="00C44366" w:rsidRPr="00C44366" w14:paraId="7B6EF5CB" w14:textId="77777777" w:rsidTr="00C44366">
        <w:trPr>
          <w:trHeight w:val="1335"/>
        </w:trPr>
        <w:tc>
          <w:tcPr>
            <w:tcW w:w="1924" w:type="dxa"/>
            <w:vMerge/>
            <w:tcBorders>
              <w:top w:val="nil"/>
              <w:left w:val="single" w:sz="4" w:space="0" w:color="auto"/>
              <w:bottom w:val="single" w:sz="4" w:space="0" w:color="000000"/>
              <w:right w:val="single" w:sz="4" w:space="0" w:color="auto"/>
            </w:tcBorders>
            <w:vAlign w:val="center"/>
            <w:hideMark/>
          </w:tcPr>
          <w:p w14:paraId="0F70FB97"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6" w:type="dxa"/>
            <w:vMerge/>
            <w:tcBorders>
              <w:top w:val="nil"/>
              <w:left w:val="single" w:sz="4" w:space="0" w:color="auto"/>
              <w:bottom w:val="single" w:sz="4" w:space="0" w:color="000000"/>
              <w:right w:val="single" w:sz="4" w:space="0" w:color="auto"/>
            </w:tcBorders>
            <w:vAlign w:val="center"/>
            <w:hideMark/>
          </w:tcPr>
          <w:p w14:paraId="7C709576"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4" w:type="dxa"/>
            <w:vMerge/>
            <w:tcBorders>
              <w:top w:val="nil"/>
              <w:left w:val="single" w:sz="4" w:space="0" w:color="auto"/>
              <w:bottom w:val="single" w:sz="4" w:space="0" w:color="auto"/>
              <w:right w:val="single" w:sz="4" w:space="0" w:color="auto"/>
            </w:tcBorders>
            <w:vAlign w:val="center"/>
            <w:hideMark/>
          </w:tcPr>
          <w:p w14:paraId="0622C642"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1927" w:type="dxa"/>
            <w:vMerge/>
            <w:tcBorders>
              <w:top w:val="nil"/>
              <w:left w:val="single" w:sz="4" w:space="0" w:color="auto"/>
              <w:bottom w:val="single" w:sz="4" w:space="0" w:color="000000"/>
              <w:right w:val="single" w:sz="4" w:space="0" w:color="auto"/>
            </w:tcBorders>
            <w:vAlign w:val="center"/>
            <w:hideMark/>
          </w:tcPr>
          <w:p w14:paraId="7F1C8526"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2093" w:type="dxa"/>
            <w:vMerge/>
            <w:tcBorders>
              <w:top w:val="nil"/>
              <w:left w:val="single" w:sz="4" w:space="0" w:color="auto"/>
              <w:bottom w:val="single" w:sz="4" w:space="0" w:color="auto"/>
              <w:right w:val="single" w:sz="4" w:space="0" w:color="auto"/>
            </w:tcBorders>
            <w:vAlign w:val="center"/>
            <w:hideMark/>
          </w:tcPr>
          <w:p w14:paraId="042D0555" w14:textId="77777777" w:rsidR="00C44366" w:rsidRPr="00C44366" w:rsidRDefault="00C44366" w:rsidP="00C44366">
            <w:pPr>
              <w:widowControl/>
              <w:rPr>
                <w:rFonts w:ascii="Times New Roman" w:eastAsia="Times New Roman" w:hAnsi="Times New Roman" w:cs="Times New Roman"/>
                <w:color w:val="000000"/>
                <w:sz w:val="18"/>
                <w:szCs w:val="18"/>
                <w:lang w:eastAsia="es-HN"/>
              </w:rPr>
            </w:pPr>
          </w:p>
        </w:tc>
        <w:tc>
          <w:tcPr>
            <w:tcW w:w="66" w:type="dxa"/>
            <w:tcBorders>
              <w:top w:val="nil"/>
              <w:left w:val="nil"/>
              <w:bottom w:val="nil"/>
              <w:right w:val="nil"/>
            </w:tcBorders>
            <w:shd w:val="clear" w:color="auto" w:fill="auto"/>
            <w:noWrap/>
            <w:vAlign w:val="bottom"/>
            <w:hideMark/>
          </w:tcPr>
          <w:p w14:paraId="4E32518A" w14:textId="77777777" w:rsidR="00C44366" w:rsidRPr="00C44366" w:rsidRDefault="00C44366" w:rsidP="00C44366">
            <w:pPr>
              <w:widowControl/>
              <w:jc w:val="center"/>
              <w:rPr>
                <w:rFonts w:ascii="Times New Roman" w:eastAsia="Times New Roman" w:hAnsi="Times New Roman" w:cs="Times New Roman"/>
                <w:color w:val="000000"/>
                <w:sz w:val="18"/>
                <w:szCs w:val="18"/>
                <w:lang w:eastAsia="es-HN"/>
              </w:rPr>
            </w:pPr>
          </w:p>
        </w:tc>
      </w:tr>
    </w:tbl>
    <w:p w14:paraId="373E9735" w14:textId="25381D3C" w:rsidR="00293FC1" w:rsidRDefault="004107D4" w:rsidP="00AA676E">
      <w:pPr>
        <w:pStyle w:val="TextoPrincipal"/>
        <w:spacing w:line="360" w:lineRule="auto"/>
      </w:pPr>
      <w:r w:rsidRPr="00AA676E">
        <w:rPr>
          <w:b/>
          <w:bCs/>
        </w:rPr>
        <w:t>Fuente:</w:t>
      </w:r>
      <w:r w:rsidRPr="00AA676E">
        <w:t xml:space="preserve"> Elaboración propia. </w:t>
      </w:r>
    </w:p>
    <w:p w14:paraId="0A5214E5" w14:textId="77777777" w:rsidR="00125E75" w:rsidRPr="00AA676E" w:rsidRDefault="00125E75" w:rsidP="00AA676E">
      <w:pPr>
        <w:pStyle w:val="TextoPrincipal"/>
        <w:spacing w:line="360" w:lineRule="auto"/>
      </w:pPr>
    </w:p>
    <w:p w14:paraId="3CDD5C6A" w14:textId="77777777" w:rsidR="00434B43" w:rsidRPr="00434B43" w:rsidRDefault="00434B43" w:rsidP="00434B43">
      <w:pPr>
        <w:keepNext/>
        <w:keepLines/>
        <w:widowControl/>
        <w:tabs>
          <w:tab w:val="left" w:pos="1276"/>
        </w:tabs>
        <w:spacing w:line="360" w:lineRule="auto"/>
        <w:ind w:firstLine="567"/>
        <w:jc w:val="both"/>
        <w:outlineLvl w:val="2"/>
        <w:rPr>
          <w:rFonts w:ascii="Times New Roman" w:eastAsia="Calibri" w:hAnsi="Times New Roman" w:cs="Calibri"/>
          <w:b/>
          <w:sz w:val="24"/>
          <w:szCs w:val="28"/>
          <w:lang w:eastAsia="es-HN"/>
        </w:rPr>
      </w:pPr>
      <w:bookmarkStart w:id="101" w:name="_Toc86695216"/>
      <w:bookmarkStart w:id="102" w:name="_Toc115041270"/>
      <w:bookmarkStart w:id="103" w:name="_Toc155066618"/>
      <w:r w:rsidRPr="00434B43">
        <w:rPr>
          <w:rFonts w:ascii="Times New Roman" w:eastAsia="Calibri" w:hAnsi="Times New Roman" w:cs="Calibri"/>
          <w:b/>
          <w:sz w:val="24"/>
          <w:szCs w:val="28"/>
          <w:lang w:eastAsia="es-HN"/>
        </w:rPr>
        <w:lastRenderedPageBreak/>
        <w:t>3.1.2 E</w:t>
      </w:r>
      <w:bookmarkEnd w:id="101"/>
      <w:r w:rsidRPr="00434B43">
        <w:rPr>
          <w:rFonts w:ascii="Times New Roman" w:eastAsia="Calibri" w:hAnsi="Times New Roman" w:cs="Calibri"/>
          <w:b/>
          <w:sz w:val="24"/>
          <w:szCs w:val="28"/>
          <w:lang w:eastAsia="es-HN"/>
        </w:rPr>
        <w:t>SQUEMA DE LAS VARIABLES DE INVESTIGACIÓN</w:t>
      </w:r>
      <w:bookmarkEnd w:id="102"/>
      <w:bookmarkEnd w:id="103"/>
      <w:r w:rsidRPr="00434B43">
        <w:rPr>
          <w:rFonts w:ascii="Times New Roman" w:eastAsia="Calibri" w:hAnsi="Times New Roman" w:cs="Calibri"/>
          <w:b/>
          <w:sz w:val="24"/>
          <w:szCs w:val="28"/>
          <w:lang w:eastAsia="es-HN"/>
        </w:rPr>
        <w:t xml:space="preserve"> </w:t>
      </w:r>
    </w:p>
    <w:p w14:paraId="132F1432" w14:textId="77777777" w:rsidR="00434B43" w:rsidRPr="003B3FCF" w:rsidRDefault="00434B43" w:rsidP="00AA676E">
      <w:pPr>
        <w:pStyle w:val="TextoPrincipal"/>
        <w:spacing w:line="360" w:lineRule="auto"/>
      </w:pPr>
      <w:r w:rsidRPr="003B3FCF">
        <w:t xml:space="preserve">Las variables de investigación son las distintas características o propiedades de los seres vivos, objetos o fenómenos que tiene la particularidad de sufrir cambios y que pueden observarse, medirse, ser objeto de análisis y controlarse durante el proceso de una investigación </w:t>
      </w:r>
      <w:sdt>
        <w:sdtPr>
          <w:id w:val="-683977296"/>
          <w:citation/>
        </w:sdtPr>
        <w:sdtEndPr/>
        <w:sdtContent>
          <w:r w:rsidRPr="003B3FCF">
            <w:fldChar w:fldCharType="begin"/>
          </w:r>
          <w:r w:rsidRPr="003B3FCF">
            <w:instrText xml:space="preserve"> CITATION Gab20 \l 3082 </w:instrText>
          </w:r>
          <w:r w:rsidRPr="003B3FCF">
            <w:fldChar w:fldCharType="separate"/>
          </w:r>
          <w:r w:rsidRPr="003B3FCF">
            <w:t>(González, 2020)</w:t>
          </w:r>
          <w:r w:rsidRPr="003B3FCF">
            <w:fldChar w:fldCharType="end"/>
          </w:r>
        </w:sdtContent>
      </w:sdt>
      <w:r w:rsidRPr="003B3FCF">
        <w:t>.</w:t>
      </w:r>
    </w:p>
    <w:p w14:paraId="102672CC" w14:textId="77777777" w:rsidR="00434B43" w:rsidRPr="00434B43" w:rsidRDefault="00434B43" w:rsidP="00434B43">
      <w:pPr>
        <w:widowControl/>
        <w:spacing w:line="480" w:lineRule="auto"/>
        <w:ind w:firstLine="720"/>
        <w:jc w:val="both"/>
        <w:rPr>
          <w:rFonts w:ascii="Times New Roman" w:eastAsia="Calibri" w:hAnsi="Times New Roman" w:cs="Times New Roman"/>
          <w:sz w:val="24"/>
        </w:rPr>
      </w:pPr>
      <w:r w:rsidRPr="00434B43">
        <w:rPr>
          <w:rFonts w:ascii="Times New Roman" w:eastAsia="Calibri" w:hAnsi="Times New Roman" w:cs="Times New Roman"/>
          <w:noProof/>
          <w:sz w:val="24"/>
          <w:lang w:eastAsia="es-HN"/>
        </w:rPr>
        <w:drawing>
          <wp:inline distT="0" distB="0" distL="0" distR="0" wp14:anchorId="52857DF6" wp14:editId="23CB4F5D">
            <wp:extent cx="5486400" cy="3200400"/>
            <wp:effectExtent l="0" t="0" r="0" b="0"/>
            <wp:docPr id="711753514" name="Diagrama 7117535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7D11C4C7" w14:textId="678D016C" w:rsidR="00434B43" w:rsidRPr="00AA676E" w:rsidRDefault="00434B43" w:rsidP="00AA676E">
      <w:pPr>
        <w:pStyle w:val="TextoPrincipal"/>
        <w:spacing w:line="360" w:lineRule="auto"/>
      </w:pPr>
      <w:bookmarkStart w:id="104" w:name="_Toc86695256"/>
      <w:r w:rsidRPr="00AA676E">
        <w:rPr>
          <w:b/>
          <w:bCs/>
        </w:rPr>
        <w:t>Figura 1.</w:t>
      </w:r>
      <w:r w:rsidRPr="00AA676E">
        <w:t xml:space="preserve"> Esquema de variables</w:t>
      </w:r>
      <w:bookmarkEnd w:id="104"/>
      <w:r w:rsidR="00AA676E">
        <w:t>.</w:t>
      </w:r>
    </w:p>
    <w:p w14:paraId="643B78C7" w14:textId="292C0AFA" w:rsidR="008E5750" w:rsidRPr="00AA676E" w:rsidRDefault="004107D4" w:rsidP="00AA676E">
      <w:pPr>
        <w:pStyle w:val="TextoPrincipal"/>
        <w:spacing w:line="360" w:lineRule="auto"/>
      </w:pPr>
      <w:r w:rsidRPr="00AA676E">
        <w:rPr>
          <w:b/>
          <w:bCs/>
        </w:rPr>
        <w:t>Fuente:</w:t>
      </w:r>
      <w:r w:rsidRPr="00AA676E">
        <w:t xml:space="preserve"> Elaboración propia. </w:t>
      </w:r>
    </w:p>
    <w:p w14:paraId="4C893CC1" w14:textId="77777777" w:rsidR="00434B43" w:rsidRPr="00434B43" w:rsidRDefault="00434B43" w:rsidP="00434B43">
      <w:pPr>
        <w:keepNext/>
        <w:keepLines/>
        <w:widowControl/>
        <w:tabs>
          <w:tab w:val="left" w:pos="1276"/>
        </w:tabs>
        <w:spacing w:line="360" w:lineRule="auto"/>
        <w:ind w:firstLine="567"/>
        <w:jc w:val="both"/>
        <w:outlineLvl w:val="2"/>
        <w:rPr>
          <w:rFonts w:ascii="Times New Roman" w:eastAsia="Calibri" w:hAnsi="Times New Roman" w:cs="Calibri"/>
          <w:b/>
          <w:sz w:val="24"/>
          <w:szCs w:val="28"/>
          <w:lang w:eastAsia="es-HN"/>
        </w:rPr>
      </w:pPr>
      <w:bookmarkStart w:id="105" w:name="_Toc86695217"/>
      <w:bookmarkStart w:id="106" w:name="_Toc115041271"/>
      <w:bookmarkStart w:id="107" w:name="_Toc155066619"/>
      <w:r w:rsidRPr="00434B43">
        <w:rPr>
          <w:rFonts w:ascii="Times New Roman" w:eastAsia="Calibri" w:hAnsi="Times New Roman" w:cs="Calibri"/>
          <w:b/>
          <w:sz w:val="24"/>
          <w:szCs w:val="28"/>
          <w:lang w:eastAsia="es-HN"/>
        </w:rPr>
        <w:t>3.1.3 O</w:t>
      </w:r>
      <w:bookmarkEnd w:id="105"/>
      <w:r w:rsidRPr="00434B43">
        <w:rPr>
          <w:rFonts w:ascii="Times New Roman" w:eastAsia="Calibri" w:hAnsi="Times New Roman" w:cs="Calibri"/>
          <w:b/>
          <w:sz w:val="24"/>
          <w:szCs w:val="28"/>
          <w:lang w:eastAsia="es-HN"/>
        </w:rPr>
        <w:t>PERACIONALIZACIÓN DE LAS VARIABLES</w:t>
      </w:r>
      <w:bookmarkEnd w:id="106"/>
      <w:bookmarkEnd w:id="107"/>
      <w:r w:rsidRPr="00434B43">
        <w:rPr>
          <w:rFonts w:ascii="Times New Roman" w:eastAsia="Calibri" w:hAnsi="Times New Roman" w:cs="Calibri"/>
          <w:b/>
          <w:sz w:val="24"/>
          <w:szCs w:val="28"/>
          <w:lang w:eastAsia="es-HN"/>
        </w:rPr>
        <w:t xml:space="preserve"> </w:t>
      </w:r>
    </w:p>
    <w:p w14:paraId="0D4771D8" w14:textId="01A9A6CE" w:rsidR="009D25AA" w:rsidRPr="003B3FCF" w:rsidRDefault="009D25AA" w:rsidP="00AA676E">
      <w:pPr>
        <w:pStyle w:val="TextoPrincipal"/>
        <w:spacing w:line="360" w:lineRule="auto"/>
      </w:pPr>
      <w:bookmarkStart w:id="108" w:name="_Toc86695247"/>
      <w:r w:rsidRPr="003B3FCF">
        <w:t>A continuación, se proporciona una explicación detallada y una clasificación de todas las variables involucradas en este estudio, destacando el propósito de recopilación y desarrollo necesario para abordar y responder a las preguntas de investigación planteadas.</w:t>
      </w:r>
    </w:p>
    <w:p w14:paraId="48EF2BD5" w14:textId="69B8C3C4" w:rsidR="00550EBC" w:rsidRPr="003B3FCF" w:rsidRDefault="00550EBC" w:rsidP="00AA676E">
      <w:pPr>
        <w:pStyle w:val="TextoPrincipal"/>
        <w:spacing w:line="360" w:lineRule="auto"/>
      </w:pPr>
      <w:r w:rsidRPr="003B3FCF">
        <w:t>La</w:t>
      </w:r>
      <w:r w:rsidR="00971BAC" w:rsidRPr="003B3FCF">
        <w:t>s siguientes</w:t>
      </w:r>
      <w:r w:rsidRPr="003B3FCF">
        <w:t xml:space="preserve"> tabla</w:t>
      </w:r>
      <w:r w:rsidR="00971BAC" w:rsidRPr="003B3FCF">
        <w:t>s,</w:t>
      </w:r>
      <w:r w:rsidRPr="003B3FCF">
        <w:t xml:space="preserve"> presenta</w:t>
      </w:r>
      <w:r w:rsidR="00971BAC" w:rsidRPr="003B3FCF">
        <w:t>n</w:t>
      </w:r>
      <w:r w:rsidRPr="003B3FCF">
        <w:t xml:space="preserve"> la operacionalización de las variables, sus dimensiones</w:t>
      </w:r>
      <w:r w:rsidR="004107D4" w:rsidRPr="003B3FCF">
        <w:t>, la estrategia de recolección de datos y los instrumentos a utilizar</w:t>
      </w:r>
      <w:r w:rsidR="00971BAC" w:rsidRPr="003B3FCF">
        <w:t>; así como, la calibración de</w:t>
      </w:r>
      <w:r w:rsidRPr="003B3FCF">
        <w:t xml:space="preserve"> los indicadores de las </w:t>
      </w:r>
      <w:r w:rsidR="00971BAC" w:rsidRPr="003B3FCF">
        <w:t>variables</w:t>
      </w:r>
      <w:r w:rsidRPr="003B3FCF">
        <w:t xml:space="preserve">. </w:t>
      </w:r>
    </w:p>
    <w:p w14:paraId="76996EBB" w14:textId="31F03747" w:rsidR="008E5750" w:rsidRPr="00B049AA" w:rsidRDefault="00434B43" w:rsidP="008E5750">
      <w:pPr>
        <w:keepNext/>
        <w:widowControl/>
        <w:spacing w:after="200"/>
        <w:jc w:val="both"/>
        <w:rPr>
          <w:rFonts w:ascii="Times New Roman" w:eastAsia="Calibri" w:hAnsi="Times New Roman" w:cs="Times New Roman"/>
          <w:b/>
          <w:bCs/>
          <w:iCs/>
          <w:sz w:val="24"/>
          <w:szCs w:val="24"/>
        </w:rPr>
      </w:pPr>
      <w:r w:rsidRPr="00434B43">
        <w:rPr>
          <w:rFonts w:ascii="Times New Roman" w:eastAsia="Calibri" w:hAnsi="Times New Roman" w:cs="Times New Roman"/>
          <w:b/>
          <w:bCs/>
          <w:iCs/>
          <w:sz w:val="24"/>
          <w:szCs w:val="24"/>
        </w:rPr>
        <w:lastRenderedPageBreak/>
        <w:t xml:space="preserve">Tabla 2. Operacionalización de las </w:t>
      </w:r>
      <w:r w:rsidR="004107D4">
        <w:rPr>
          <w:rFonts w:ascii="Times New Roman" w:eastAsia="Calibri" w:hAnsi="Times New Roman" w:cs="Times New Roman"/>
          <w:b/>
          <w:bCs/>
          <w:iCs/>
          <w:sz w:val="24"/>
          <w:szCs w:val="24"/>
        </w:rPr>
        <w:t>V</w:t>
      </w:r>
      <w:r w:rsidRPr="00434B43">
        <w:rPr>
          <w:rFonts w:ascii="Times New Roman" w:eastAsia="Calibri" w:hAnsi="Times New Roman" w:cs="Times New Roman"/>
          <w:b/>
          <w:bCs/>
          <w:iCs/>
          <w:sz w:val="24"/>
          <w:szCs w:val="24"/>
        </w:rPr>
        <w:t>ariables</w:t>
      </w:r>
      <w:bookmarkEnd w:id="108"/>
      <w:r w:rsidR="004107D4">
        <w:rPr>
          <w:rFonts w:ascii="Times New Roman" w:eastAsia="Calibri" w:hAnsi="Times New Roman" w:cs="Times New Roman"/>
          <w:b/>
          <w:bCs/>
          <w:iCs/>
          <w:sz w:val="24"/>
          <w:szCs w:val="24"/>
        </w:rPr>
        <w:t xml:space="preserve"> – Matriz Resumen </w:t>
      </w:r>
    </w:p>
    <w:tbl>
      <w:tblPr>
        <w:tblW w:w="10180" w:type="dxa"/>
        <w:jc w:val="center"/>
        <w:tblCellMar>
          <w:left w:w="70" w:type="dxa"/>
          <w:right w:w="70" w:type="dxa"/>
        </w:tblCellMar>
        <w:tblLook w:val="04A0" w:firstRow="1" w:lastRow="0" w:firstColumn="1" w:lastColumn="0" w:noHBand="0" w:noVBand="1"/>
      </w:tblPr>
      <w:tblGrid>
        <w:gridCol w:w="1940"/>
        <w:gridCol w:w="1940"/>
        <w:gridCol w:w="2100"/>
        <w:gridCol w:w="2100"/>
        <w:gridCol w:w="2100"/>
      </w:tblGrid>
      <w:tr w:rsidR="00707D72" w:rsidRPr="00707D72" w14:paraId="1A514CE2" w14:textId="77777777" w:rsidTr="00125E75">
        <w:trPr>
          <w:trHeight w:val="578"/>
          <w:tblHeader/>
          <w:jc w:val="center"/>
        </w:trPr>
        <w:tc>
          <w:tcPr>
            <w:tcW w:w="19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E6F689" w14:textId="77777777" w:rsidR="00707D72" w:rsidRPr="00707D72" w:rsidRDefault="00707D72" w:rsidP="00707D72">
            <w:pPr>
              <w:widowControl/>
              <w:jc w:val="center"/>
              <w:rPr>
                <w:rFonts w:ascii="Times New Roman" w:eastAsia="Times New Roman" w:hAnsi="Times New Roman" w:cs="Times New Roman"/>
                <w:b/>
                <w:bCs/>
                <w:color w:val="000000"/>
                <w:sz w:val="18"/>
                <w:szCs w:val="18"/>
                <w:lang w:eastAsia="es-HN"/>
              </w:rPr>
            </w:pPr>
            <w:r w:rsidRPr="00707D72">
              <w:rPr>
                <w:rFonts w:ascii="Times New Roman" w:eastAsia="Times New Roman" w:hAnsi="Times New Roman" w:cs="Times New Roman"/>
                <w:b/>
                <w:bCs/>
                <w:color w:val="000000"/>
                <w:sz w:val="18"/>
                <w:szCs w:val="18"/>
                <w:lang w:eastAsia="es-HN"/>
              </w:rPr>
              <w:t>Objetivos de la Investigación</w:t>
            </w:r>
          </w:p>
        </w:tc>
        <w:tc>
          <w:tcPr>
            <w:tcW w:w="19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A8CE06E" w14:textId="77777777" w:rsidR="00707D72" w:rsidRPr="00707D72" w:rsidRDefault="00707D72" w:rsidP="00707D72">
            <w:pPr>
              <w:widowControl/>
              <w:jc w:val="center"/>
              <w:rPr>
                <w:rFonts w:ascii="Times New Roman" w:eastAsia="Times New Roman" w:hAnsi="Times New Roman" w:cs="Times New Roman"/>
                <w:b/>
                <w:bCs/>
                <w:color w:val="000000"/>
                <w:sz w:val="18"/>
                <w:szCs w:val="18"/>
                <w:lang w:eastAsia="es-HN"/>
              </w:rPr>
            </w:pPr>
            <w:r w:rsidRPr="00707D72">
              <w:rPr>
                <w:rFonts w:ascii="Times New Roman" w:eastAsia="Times New Roman" w:hAnsi="Times New Roman" w:cs="Times New Roman"/>
                <w:b/>
                <w:bCs/>
                <w:color w:val="000000"/>
                <w:sz w:val="18"/>
                <w:szCs w:val="18"/>
                <w:lang w:eastAsia="es-HN"/>
              </w:rPr>
              <w:t>Variables</w:t>
            </w:r>
          </w:p>
        </w:tc>
        <w:tc>
          <w:tcPr>
            <w:tcW w:w="21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98A9CC6" w14:textId="77777777" w:rsidR="00707D72" w:rsidRPr="00707D72" w:rsidRDefault="00707D72" w:rsidP="00707D72">
            <w:pPr>
              <w:widowControl/>
              <w:jc w:val="center"/>
              <w:rPr>
                <w:rFonts w:ascii="Times New Roman" w:eastAsia="Times New Roman" w:hAnsi="Times New Roman" w:cs="Times New Roman"/>
                <w:b/>
                <w:bCs/>
                <w:color w:val="000000"/>
                <w:sz w:val="18"/>
                <w:szCs w:val="18"/>
                <w:lang w:eastAsia="es-HN"/>
              </w:rPr>
            </w:pPr>
            <w:r w:rsidRPr="00707D72">
              <w:rPr>
                <w:rFonts w:ascii="Times New Roman" w:eastAsia="Times New Roman" w:hAnsi="Times New Roman" w:cs="Times New Roman"/>
                <w:b/>
                <w:bCs/>
                <w:color w:val="000000"/>
                <w:sz w:val="18"/>
                <w:szCs w:val="18"/>
                <w:lang w:eastAsia="es-HN"/>
              </w:rPr>
              <w:t>Dimensiones de Análisis</w:t>
            </w:r>
          </w:p>
        </w:tc>
        <w:tc>
          <w:tcPr>
            <w:tcW w:w="21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5AD3657" w14:textId="77777777" w:rsidR="00707D72" w:rsidRPr="00707D72" w:rsidRDefault="00707D72" w:rsidP="00707D72">
            <w:pPr>
              <w:widowControl/>
              <w:jc w:val="center"/>
              <w:rPr>
                <w:rFonts w:ascii="Times New Roman" w:eastAsia="Times New Roman" w:hAnsi="Times New Roman" w:cs="Times New Roman"/>
                <w:b/>
                <w:bCs/>
                <w:color w:val="000000"/>
                <w:sz w:val="18"/>
                <w:szCs w:val="18"/>
                <w:lang w:eastAsia="es-HN"/>
              </w:rPr>
            </w:pPr>
            <w:r w:rsidRPr="00707D72">
              <w:rPr>
                <w:rFonts w:ascii="Times New Roman" w:eastAsia="Times New Roman" w:hAnsi="Times New Roman" w:cs="Times New Roman"/>
                <w:b/>
                <w:bCs/>
                <w:color w:val="000000"/>
                <w:sz w:val="18"/>
                <w:szCs w:val="18"/>
                <w:lang w:eastAsia="es-HN"/>
              </w:rPr>
              <w:t>Estrategia de Recolección de Datos</w:t>
            </w:r>
          </w:p>
        </w:tc>
        <w:tc>
          <w:tcPr>
            <w:tcW w:w="21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10A7C59" w14:textId="77777777" w:rsidR="00707D72" w:rsidRPr="00707D72" w:rsidRDefault="00707D72" w:rsidP="00707D72">
            <w:pPr>
              <w:widowControl/>
              <w:jc w:val="center"/>
              <w:rPr>
                <w:rFonts w:ascii="Times New Roman" w:eastAsia="Times New Roman" w:hAnsi="Times New Roman" w:cs="Times New Roman"/>
                <w:b/>
                <w:bCs/>
                <w:color w:val="000000"/>
                <w:sz w:val="18"/>
                <w:szCs w:val="18"/>
                <w:lang w:eastAsia="es-HN"/>
              </w:rPr>
            </w:pPr>
            <w:r w:rsidRPr="00707D72">
              <w:rPr>
                <w:rFonts w:ascii="Times New Roman" w:eastAsia="Times New Roman" w:hAnsi="Times New Roman" w:cs="Times New Roman"/>
                <w:b/>
                <w:bCs/>
                <w:color w:val="000000"/>
                <w:sz w:val="18"/>
                <w:szCs w:val="18"/>
                <w:lang w:eastAsia="es-HN"/>
              </w:rPr>
              <w:t>Instrumentos a Utilizar</w:t>
            </w:r>
          </w:p>
        </w:tc>
      </w:tr>
      <w:tr w:rsidR="00707D72" w:rsidRPr="00707D72" w14:paraId="48950AFC" w14:textId="77777777" w:rsidTr="00125E75">
        <w:trPr>
          <w:trHeight w:val="240"/>
          <w:tblHeader/>
          <w:jc w:val="center"/>
        </w:trPr>
        <w:tc>
          <w:tcPr>
            <w:tcW w:w="1940" w:type="dxa"/>
            <w:tcBorders>
              <w:top w:val="nil"/>
              <w:left w:val="single" w:sz="4" w:space="0" w:color="auto"/>
              <w:bottom w:val="single" w:sz="4" w:space="0" w:color="auto"/>
              <w:right w:val="single" w:sz="4" w:space="0" w:color="auto"/>
            </w:tcBorders>
            <w:shd w:val="clear" w:color="auto" w:fill="auto"/>
            <w:noWrap/>
            <w:vAlign w:val="center"/>
            <w:hideMark/>
          </w:tcPr>
          <w:p w14:paraId="3BFF38D1" w14:textId="77777777" w:rsidR="00707D72" w:rsidRPr="00707D72" w:rsidRDefault="00707D72" w:rsidP="00707D72">
            <w:pPr>
              <w:widowControl/>
              <w:jc w:val="center"/>
              <w:rPr>
                <w:rFonts w:ascii="Times New Roman" w:eastAsia="Times New Roman" w:hAnsi="Times New Roman" w:cs="Times New Roman"/>
                <w:b/>
                <w:bCs/>
                <w:color w:val="000000"/>
                <w:sz w:val="18"/>
                <w:szCs w:val="18"/>
                <w:lang w:eastAsia="es-HN"/>
              </w:rPr>
            </w:pPr>
            <w:r w:rsidRPr="00707D72">
              <w:rPr>
                <w:rFonts w:ascii="Times New Roman" w:eastAsia="Times New Roman" w:hAnsi="Times New Roman" w:cs="Times New Roman"/>
                <w:b/>
                <w:bCs/>
                <w:color w:val="000000"/>
                <w:sz w:val="18"/>
                <w:szCs w:val="18"/>
                <w:lang w:eastAsia="es-HN"/>
              </w:rPr>
              <w:t>Especifico</w:t>
            </w:r>
          </w:p>
        </w:tc>
        <w:tc>
          <w:tcPr>
            <w:tcW w:w="1940" w:type="dxa"/>
            <w:vMerge/>
            <w:tcBorders>
              <w:top w:val="single" w:sz="4" w:space="0" w:color="auto"/>
              <w:left w:val="single" w:sz="4" w:space="0" w:color="auto"/>
              <w:bottom w:val="single" w:sz="4" w:space="0" w:color="auto"/>
              <w:right w:val="single" w:sz="4" w:space="0" w:color="auto"/>
            </w:tcBorders>
            <w:vAlign w:val="center"/>
            <w:hideMark/>
          </w:tcPr>
          <w:p w14:paraId="4933850A" w14:textId="77777777" w:rsidR="00707D72" w:rsidRPr="00707D72" w:rsidRDefault="00707D72" w:rsidP="00707D72">
            <w:pPr>
              <w:widowControl/>
              <w:rPr>
                <w:rFonts w:ascii="Times New Roman" w:eastAsia="Times New Roman" w:hAnsi="Times New Roman" w:cs="Times New Roman"/>
                <w:b/>
                <w:bCs/>
                <w:color w:val="000000"/>
                <w:sz w:val="18"/>
                <w:szCs w:val="18"/>
                <w:lang w:eastAsia="es-HN"/>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5883A5AD" w14:textId="77777777" w:rsidR="00707D72" w:rsidRPr="00707D72" w:rsidRDefault="00707D72" w:rsidP="00707D72">
            <w:pPr>
              <w:widowControl/>
              <w:rPr>
                <w:rFonts w:ascii="Times New Roman" w:eastAsia="Times New Roman" w:hAnsi="Times New Roman" w:cs="Times New Roman"/>
                <w:b/>
                <w:bCs/>
                <w:color w:val="000000"/>
                <w:sz w:val="18"/>
                <w:szCs w:val="18"/>
                <w:lang w:eastAsia="es-HN"/>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4D77BDE8" w14:textId="77777777" w:rsidR="00707D72" w:rsidRPr="00707D72" w:rsidRDefault="00707D72" w:rsidP="00707D72">
            <w:pPr>
              <w:widowControl/>
              <w:rPr>
                <w:rFonts w:ascii="Times New Roman" w:eastAsia="Times New Roman" w:hAnsi="Times New Roman" w:cs="Times New Roman"/>
                <w:b/>
                <w:bCs/>
                <w:color w:val="000000"/>
                <w:sz w:val="18"/>
                <w:szCs w:val="18"/>
                <w:lang w:eastAsia="es-HN"/>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05BD41E1" w14:textId="77777777" w:rsidR="00707D72" w:rsidRPr="00707D72" w:rsidRDefault="00707D72" w:rsidP="00707D72">
            <w:pPr>
              <w:widowControl/>
              <w:rPr>
                <w:rFonts w:ascii="Times New Roman" w:eastAsia="Times New Roman" w:hAnsi="Times New Roman" w:cs="Times New Roman"/>
                <w:b/>
                <w:bCs/>
                <w:color w:val="000000"/>
                <w:sz w:val="18"/>
                <w:szCs w:val="18"/>
                <w:lang w:eastAsia="es-HN"/>
              </w:rPr>
            </w:pPr>
          </w:p>
        </w:tc>
      </w:tr>
      <w:tr w:rsidR="00707D72" w:rsidRPr="00707D72" w14:paraId="29E6CC3A" w14:textId="77777777" w:rsidTr="00125E75">
        <w:trPr>
          <w:trHeight w:val="1110"/>
          <w:jc w:val="center"/>
        </w:trPr>
        <w:tc>
          <w:tcPr>
            <w:tcW w:w="1940" w:type="dxa"/>
            <w:vMerge w:val="restart"/>
            <w:tcBorders>
              <w:top w:val="nil"/>
              <w:left w:val="single" w:sz="4" w:space="0" w:color="auto"/>
              <w:bottom w:val="single" w:sz="4" w:space="0" w:color="auto"/>
              <w:right w:val="single" w:sz="4" w:space="0" w:color="auto"/>
            </w:tcBorders>
            <w:shd w:val="clear" w:color="auto" w:fill="auto"/>
            <w:vAlign w:val="center"/>
            <w:hideMark/>
          </w:tcPr>
          <w:p w14:paraId="18D352DF" w14:textId="023D2C49"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Determinar los factores macroec</w:t>
            </w:r>
            <w:r>
              <w:rPr>
                <w:rFonts w:ascii="Times New Roman" w:eastAsia="Times New Roman" w:hAnsi="Times New Roman" w:cs="Times New Roman"/>
                <w:color w:val="000000"/>
                <w:sz w:val="18"/>
                <w:szCs w:val="18"/>
                <w:lang w:eastAsia="es-HN"/>
              </w:rPr>
              <w:t>onó</w:t>
            </w:r>
            <w:r w:rsidRPr="00707D72">
              <w:rPr>
                <w:rFonts w:ascii="Times New Roman" w:eastAsia="Times New Roman" w:hAnsi="Times New Roman" w:cs="Times New Roman"/>
                <w:color w:val="000000"/>
                <w:sz w:val="18"/>
                <w:szCs w:val="18"/>
                <w:lang w:eastAsia="es-HN"/>
              </w:rPr>
              <w:t>micos que influenciaron la tasa de interés nominal en moneda nacional cobrada por los bancos comerciales en Honduras durante el período de 2019 a 2022.</w:t>
            </w:r>
          </w:p>
        </w:tc>
        <w:tc>
          <w:tcPr>
            <w:tcW w:w="1940" w:type="dxa"/>
            <w:vMerge w:val="restart"/>
            <w:tcBorders>
              <w:top w:val="nil"/>
              <w:left w:val="single" w:sz="4" w:space="0" w:color="auto"/>
              <w:bottom w:val="single" w:sz="4" w:space="0" w:color="auto"/>
              <w:right w:val="single" w:sz="4" w:space="0" w:color="auto"/>
            </w:tcBorders>
            <w:shd w:val="clear" w:color="auto" w:fill="auto"/>
            <w:vAlign w:val="center"/>
            <w:hideMark/>
          </w:tcPr>
          <w:p w14:paraId="7E1EE902"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Factores Macroeconómicos</w:t>
            </w:r>
          </w:p>
        </w:tc>
        <w:tc>
          <w:tcPr>
            <w:tcW w:w="2100" w:type="dxa"/>
            <w:tcBorders>
              <w:top w:val="nil"/>
              <w:left w:val="nil"/>
              <w:bottom w:val="single" w:sz="4" w:space="0" w:color="auto"/>
              <w:right w:val="single" w:sz="4" w:space="0" w:color="auto"/>
            </w:tcBorders>
            <w:shd w:val="clear" w:color="auto" w:fill="auto"/>
            <w:noWrap/>
            <w:vAlign w:val="center"/>
            <w:hideMark/>
          </w:tcPr>
          <w:p w14:paraId="02DDF42E"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Indicadores Económicos</w:t>
            </w:r>
          </w:p>
        </w:tc>
        <w:tc>
          <w:tcPr>
            <w:tcW w:w="21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ED4555" w14:textId="4805C1CC" w:rsidR="00707D72" w:rsidRPr="00707D72" w:rsidRDefault="00AA6A2C" w:rsidP="00707D72">
            <w:pPr>
              <w:widowControl/>
              <w:jc w:val="center"/>
              <w:rPr>
                <w:rFonts w:ascii="Times New Roman" w:eastAsia="Times New Roman" w:hAnsi="Times New Roman" w:cs="Times New Roman"/>
                <w:color w:val="000000"/>
                <w:sz w:val="18"/>
                <w:szCs w:val="18"/>
                <w:lang w:eastAsia="es-HN"/>
              </w:rPr>
            </w:pPr>
            <w:r>
              <w:rPr>
                <w:rFonts w:ascii="Times New Roman" w:eastAsia="Times New Roman" w:hAnsi="Times New Roman" w:cs="Times New Roman"/>
                <w:color w:val="000000"/>
                <w:sz w:val="18"/>
                <w:szCs w:val="18"/>
                <w:lang w:eastAsia="es-HN"/>
              </w:rPr>
              <w:t>Grupo Focal</w:t>
            </w:r>
          </w:p>
        </w:tc>
        <w:tc>
          <w:tcPr>
            <w:tcW w:w="21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4897F56" w14:textId="3702076F"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 xml:space="preserve">Preguntas </w:t>
            </w:r>
            <w:r>
              <w:rPr>
                <w:rFonts w:ascii="Times New Roman" w:eastAsia="Times New Roman" w:hAnsi="Times New Roman" w:cs="Times New Roman"/>
                <w:color w:val="000000"/>
                <w:sz w:val="18"/>
                <w:szCs w:val="18"/>
                <w:lang w:eastAsia="es-HN"/>
              </w:rPr>
              <w:t>S</w:t>
            </w:r>
            <w:r w:rsidRPr="00707D72">
              <w:rPr>
                <w:rFonts w:ascii="Times New Roman" w:eastAsia="Times New Roman" w:hAnsi="Times New Roman" w:cs="Times New Roman"/>
                <w:color w:val="000000"/>
                <w:sz w:val="18"/>
                <w:szCs w:val="18"/>
                <w:lang w:eastAsia="es-HN"/>
              </w:rPr>
              <w:t>emi</w:t>
            </w:r>
            <w:r>
              <w:rPr>
                <w:rFonts w:ascii="Times New Roman" w:eastAsia="Times New Roman" w:hAnsi="Times New Roman" w:cs="Times New Roman"/>
                <w:color w:val="000000"/>
                <w:sz w:val="18"/>
                <w:szCs w:val="18"/>
                <w:lang w:eastAsia="es-HN"/>
              </w:rPr>
              <w:t xml:space="preserve"> E</w:t>
            </w:r>
            <w:r w:rsidRPr="00707D72">
              <w:rPr>
                <w:rFonts w:ascii="Times New Roman" w:eastAsia="Times New Roman" w:hAnsi="Times New Roman" w:cs="Times New Roman"/>
                <w:color w:val="000000"/>
                <w:sz w:val="18"/>
                <w:szCs w:val="18"/>
                <w:lang w:eastAsia="es-HN"/>
              </w:rPr>
              <w:t>structuradas</w:t>
            </w:r>
          </w:p>
        </w:tc>
      </w:tr>
      <w:tr w:rsidR="00707D72" w:rsidRPr="00707D72" w14:paraId="17DE115E" w14:textId="77777777" w:rsidTr="00125E75">
        <w:trPr>
          <w:trHeight w:val="1110"/>
          <w:jc w:val="center"/>
        </w:trPr>
        <w:tc>
          <w:tcPr>
            <w:tcW w:w="1940" w:type="dxa"/>
            <w:vMerge/>
            <w:tcBorders>
              <w:top w:val="nil"/>
              <w:left w:val="single" w:sz="4" w:space="0" w:color="auto"/>
              <w:bottom w:val="single" w:sz="4" w:space="0" w:color="auto"/>
              <w:right w:val="single" w:sz="4" w:space="0" w:color="auto"/>
            </w:tcBorders>
            <w:vAlign w:val="center"/>
            <w:hideMark/>
          </w:tcPr>
          <w:p w14:paraId="16359993"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1940" w:type="dxa"/>
            <w:vMerge/>
            <w:tcBorders>
              <w:top w:val="nil"/>
              <w:left w:val="single" w:sz="4" w:space="0" w:color="auto"/>
              <w:bottom w:val="single" w:sz="4" w:space="0" w:color="auto"/>
              <w:right w:val="single" w:sz="4" w:space="0" w:color="auto"/>
            </w:tcBorders>
            <w:vAlign w:val="center"/>
            <w:hideMark/>
          </w:tcPr>
          <w:p w14:paraId="21516157"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tcBorders>
              <w:top w:val="nil"/>
              <w:left w:val="nil"/>
              <w:bottom w:val="single" w:sz="4" w:space="0" w:color="auto"/>
              <w:right w:val="single" w:sz="4" w:space="0" w:color="auto"/>
            </w:tcBorders>
            <w:shd w:val="clear" w:color="auto" w:fill="auto"/>
            <w:noWrap/>
            <w:vAlign w:val="center"/>
            <w:hideMark/>
          </w:tcPr>
          <w:p w14:paraId="4A0FFE47"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Política Monetaria</w:t>
            </w:r>
          </w:p>
        </w:tc>
        <w:tc>
          <w:tcPr>
            <w:tcW w:w="2100" w:type="dxa"/>
            <w:vMerge/>
            <w:tcBorders>
              <w:top w:val="nil"/>
              <w:left w:val="single" w:sz="4" w:space="0" w:color="auto"/>
              <w:bottom w:val="single" w:sz="4" w:space="0" w:color="000000"/>
              <w:right w:val="single" w:sz="4" w:space="0" w:color="auto"/>
            </w:tcBorders>
            <w:vAlign w:val="center"/>
            <w:hideMark/>
          </w:tcPr>
          <w:p w14:paraId="629AC20F"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vMerge/>
            <w:tcBorders>
              <w:top w:val="nil"/>
              <w:left w:val="single" w:sz="4" w:space="0" w:color="auto"/>
              <w:bottom w:val="single" w:sz="4" w:space="0" w:color="000000"/>
              <w:right w:val="single" w:sz="4" w:space="0" w:color="auto"/>
            </w:tcBorders>
            <w:vAlign w:val="center"/>
            <w:hideMark/>
          </w:tcPr>
          <w:p w14:paraId="6613923D"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r>
      <w:tr w:rsidR="00707D72" w:rsidRPr="00707D72" w14:paraId="2823A38E" w14:textId="77777777" w:rsidTr="00125E75">
        <w:trPr>
          <w:trHeight w:val="435"/>
          <w:jc w:val="center"/>
        </w:trPr>
        <w:tc>
          <w:tcPr>
            <w:tcW w:w="1940" w:type="dxa"/>
            <w:vMerge w:val="restart"/>
            <w:tcBorders>
              <w:top w:val="nil"/>
              <w:left w:val="single" w:sz="4" w:space="0" w:color="auto"/>
              <w:bottom w:val="single" w:sz="4" w:space="0" w:color="auto"/>
              <w:right w:val="single" w:sz="4" w:space="0" w:color="auto"/>
            </w:tcBorders>
            <w:shd w:val="clear" w:color="auto" w:fill="auto"/>
            <w:vAlign w:val="center"/>
            <w:hideMark/>
          </w:tcPr>
          <w:p w14:paraId="3D4D0982" w14:textId="633C896B"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 xml:space="preserve">Identificar los principales </w:t>
            </w:r>
            <w:r w:rsidR="002A26CB">
              <w:rPr>
                <w:rFonts w:ascii="Times New Roman" w:eastAsia="Times New Roman" w:hAnsi="Times New Roman" w:cs="Times New Roman"/>
                <w:color w:val="000000"/>
                <w:sz w:val="18"/>
                <w:szCs w:val="18"/>
                <w:lang w:eastAsia="es-HN"/>
              </w:rPr>
              <w:t>componentes</w:t>
            </w:r>
            <w:r w:rsidRPr="00707D72">
              <w:rPr>
                <w:rFonts w:ascii="Times New Roman" w:eastAsia="Times New Roman" w:hAnsi="Times New Roman" w:cs="Times New Roman"/>
                <w:color w:val="000000"/>
                <w:sz w:val="18"/>
                <w:szCs w:val="18"/>
                <w:lang w:eastAsia="es-HN"/>
              </w:rPr>
              <w:t xml:space="preserve"> financieros que determinaron la tasa de interés nominal en moneda nacional cobrada por los bancos comerciales en Honduras durante el período de 2019 a 2022.</w:t>
            </w:r>
          </w:p>
        </w:tc>
        <w:tc>
          <w:tcPr>
            <w:tcW w:w="1940" w:type="dxa"/>
            <w:vMerge w:val="restart"/>
            <w:tcBorders>
              <w:top w:val="nil"/>
              <w:left w:val="single" w:sz="4" w:space="0" w:color="auto"/>
              <w:bottom w:val="single" w:sz="4" w:space="0" w:color="auto"/>
              <w:right w:val="single" w:sz="4" w:space="0" w:color="auto"/>
            </w:tcBorders>
            <w:shd w:val="clear" w:color="auto" w:fill="auto"/>
            <w:vAlign w:val="center"/>
            <w:hideMark/>
          </w:tcPr>
          <w:p w14:paraId="4F728935"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Factores Financieros</w:t>
            </w:r>
          </w:p>
        </w:tc>
        <w:tc>
          <w:tcPr>
            <w:tcW w:w="2100" w:type="dxa"/>
            <w:tcBorders>
              <w:top w:val="nil"/>
              <w:left w:val="nil"/>
              <w:bottom w:val="single" w:sz="4" w:space="0" w:color="auto"/>
              <w:right w:val="single" w:sz="4" w:space="0" w:color="auto"/>
            </w:tcBorders>
            <w:shd w:val="clear" w:color="auto" w:fill="auto"/>
            <w:noWrap/>
            <w:vAlign w:val="center"/>
            <w:hideMark/>
          </w:tcPr>
          <w:p w14:paraId="78068CF1"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Costo de Fondeo</w:t>
            </w:r>
          </w:p>
        </w:tc>
        <w:tc>
          <w:tcPr>
            <w:tcW w:w="21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59FFD3"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Revisión Sistemática</w:t>
            </w:r>
          </w:p>
        </w:tc>
        <w:tc>
          <w:tcPr>
            <w:tcW w:w="21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B8084F"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Ficha Técnica</w:t>
            </w:r>
          </w:p>
        </w:tc>
      </w:tr>
      <w:tr w:rsidR="00707D72" w:rsidRPr="00707D72" w14:paraId="561FCE51" w14:textId="77777777" w:rsidTr="00125E75">
        <w:trPr>
          <w:trHeight w:val="435"/>
          <w:jc w:val="center"/>
        </w:trPr>
        <w:tc>
          <w:tcPr>
            <w:tcW w:w="1940" w:type="dxa"/>
            <w:vMerge/>
            <w:tcBorders>
              <w:top w:val="nil"/>
              <w:left w:val="single" w:sz="4" w:space="0" w:color="auto"/>
              <w:bottom w:val="single" w:sz="4" w:space="0" w:color="auto"/>
              <w:right w:val="single" w:sz="4" w:space="0" w:color="auto"/>
            </w:tcBorders>
            <w:vAlign w:val="center"/>
            <w:hideMark/>
          </w:tcPr>
          <w:p w14:paraId="7A4644CA"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1940" w:type="dxa"/>
            <w:vMerge/>
            <w:tcBorders>
              <w:top w:val="nil"/>
              <w:left w:val="single" w:sz="4" w:space="0" w:color="auto"/>
              <w:bottom w:val="single" w:sz="4" w:space="0" w:color="auto"/>
              <w:right w:val="single" w:sz="4" w:space="0" w:color="auto"/>
            </w:tcBorders>
            <w:vAlign w:val="center"/>
            <w:hideMark/>
          </w:tcPr>
          <w:p w14:paraId="74CA0126"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tcBorders>
              <w:top w:val="nil"/>
              <w:left w:val="nil"/>
              <w:bottom w:val="single" w:sz="4" w:space="0" w:color="auto"/>
              <w:right w:val="single" w:sz="4" w:space="0" w:color="auto"/>
            </w:tcBorders>
            <w:shd w:val="clear" w:color="auto" w:fill="auto"/>
            <w:noWrap/>
            <w:vAlign w:val="center"/>
            <w:hideMark/>
          </w:tcPr>
          <w:p w14:paraId="049B141B"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Excedente Apropiado</w:t>
            </w:r>
          </w:p>
        </w:tc>
        <w:tc>
          <w:tcPr>
            <w:tcW w:w="2100" w:type="dxa"/>
            <w:vMerge/>
            <w:tcBorders>
              <w:top w:val="nil"/>
              <w:left w:val="single" w:sz="4" w:space="0" w:color="auto"/>
              <w:bottom w:val="single" w:sz="4" w:space="0" w:color="000000"/>
              <w:right w:val="single" w:sz="4" w:space="0" w:color="auto"/>
            </w:tcBorders>
            <w:vAlign w:val="center"/>
            <w:hideMark/>
          </w:tcPr>
          <w:p w14:paraId="4C5F08AE"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vMerge/>
            <w:tcBorders>
              <w:top w:val="nil"/>
              <w:left w:val="single" w:sz="4" w:space="0" w:color="auto"/>
              <w:bottom w:val="single" w:sz="4" w:space="0" w:color="000000"/>
              <w:right w:val="single" w:sz="4" w:space="0" w:color="auto"/>
            </w:tcBorders>
            <w:vAlign w:val="center"/>
            <w:hideMark/>
          </w:tcPr>
          <w:p w14:paraId="74DCCFE1"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r>
      <w:tr w:rsidR="00707D72" w:rsidRPr="00707D72" w14:paraId="2CBFBB94" w14:textId="77777777" w:rsidTr="00125E75">
        <w:trPr>
          <w:trHeight w:val="435"/>
          <w:jc w:val="center"/>
        </w:trPr>
        <w:tc>
          <w:tcPr>
            <w:tcW w:w="1940" w:type="dxa"/>
            <w:vMerge/>
            <w:tcBorders>
              <w:top w:val="nil"/>
              <w:left w:val="single" w:sz="4" w:space="0" w:color="auto"/>
              <w:bottom w:val="single" w:sz="4" w:space="0" w:color="auto"/>
              <w:right w:val="single" w:sz="4" w:space="0" w:color="auto"/>
            </w:tcBorders>
            <w:vAlign w:val="center"/>
            <w:hideMark/>
          </w:tcPr>
          <w:p w14:paraId="1D3AE2B4"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1940" w:type="dxa"/>
            <w:vMerge/>
            <w:tcBorders>
              <w:top w:val="nil"/>
              <w:left w:val="single" w:sz="4" w:space="0" w:color="auto"/>
              <w:bottom w:val="single" w:sz="4" w:space="0" w:color="auto"/>
              <w:right w:val="single" w:sz="4" w:space="0" w:color="auto"/>
            </w:tcBorders>
            <w:vAlign w:val="center"/>
            <w:hideMark/>
          </w:tcPr>
          <w:p w14:paraId="7717CEBB"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tcBorders>
              <w:top w:val="nil"/>
              <w:left w:val="nil"/>
              <w:bottom w:val="single" w:sz="4" w:space="0" w:color="auto"/>
              <w:right w:val="single" w:sz="4" w:space="0" w:color="auto"/>
            </w:tcBorders>
            <w:shd w:val="clear" w:color="auto" w:fill="auto"/>
            <w:noWrap/>
            <w:vAlign w:val="center"/>
            <w:hideMark/>
          </w:tcPr>
          <w:p w14:paraId="6762D6BD"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Costo de Oportunidad</w:t>
            </w:r>
          </w:p>
        </w:tc>
        <w:tc>
          <w:tcPr>
            <w:tcW w:w="2100" w:type="dxa"/>
            <w:vMerge/>
            <w:tcBorders>
              <w:top w:val="nil"/>
              <w:left w:val="single" w:sz="4" w:space="0" w:color="auto"/>
              <w:bottom w:val="single" w:sz="4" w:space="0" w:color="000000"/>
              <w:right w:val="single" w:sz="4" w:space="0" w:color="auto"/>
            </w:tcBorders>
            <w:vAlign w:val="center"/>
            <w:hideMark/>
          </w:tcPr>
          <w:p w14:paraId="55D505C6"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vMerge/>
            <w:tcBorders>
              <w:top w:val="nil"/>
              <w:left w:val="single" w:sz="4" w:space="0" w:color="auto"/>
              <w:bottom w:val="single" w:sz="4" w:space="0" w:color="000000"/>
              <w:right w:val="single" w:sz="4" w:space="0" w:color="auto"/>
            </w:tcBorders>
            <w:vAlign w:val="center"/>
            <w:hideMark/>
          </w:tcPr>
          <w:p w14:paraId="684B5318"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r>
      <w:tr w:rsidR="00707D72" w:rsidRPr="00707D72" w14:paraId="3964FD56" w14:textId="77777777" w:rsidTr="00125E75">
        <w:trPr>
          <w:trHeight w:val="435"/>
          <w:jc w:val="center"/>
        </w:trPr>
        <w:tc>
          <w:tcPr>
            <w:tcW w:w="1940" w:type="dxa"/>
            <w:vMerge/>
            <w:tcBorders>
              <w:top w:val="nil"/>
              <w:left w:val="single" w:sz="4" w:space="0" w:color="auto"/>
              <w:bottom w:val="single" w:sz="4" w:space="0" w:color="auto"/>
              <w:right w:val="single" w:sz="4" w:space="0" w:color="auto"/>
            </w:tcBorders>
            <w:vAlign w:val="center"/>
            <w:hideMark/>
          </w:tcPr>
          <w:p w14:paraId="528BD9E8"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1940" w:type="dxa"/>
            <w:vMerge/>
            <w:tcBorders>
              <w:top w:val="nil"/>
              <w:left w:val="single" w:sz="4" w:space="0" w:color="auto"/>
              <w:bottom w:val="single" w:sz="4" w:space="0" w:color="auto"/>
              <w:right w:val="single" w:sz="4" w:space="0" w:color="auto"/>
            </w:tcBorders>
            <w:vAlign w:val="center"/>
            <w:hideMark/>
          </w:tcPr>
          <w:p w14:paraId="5A337B83"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tcBorders>
              <w:top w:val="nil"/>
              <w:left w:val="nil"/>
              <w:bottom w:val="single" w:sz="4" w:space="0" w:color="auto"/>
              <w:right w:val="single" w:sz="4" w:space="0" w:color="auto"/>
            </w:tcBorders>
            <w:shd w:val="clear" w:color="auto" w:fill="auto"/>
            <w:noWrap/>
            <w:vAlign w:val="center"/>
            <w:hideMark/>
          </w:tcPr>
          <w:p w14:paraId="04162F74"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Requerimientos</w:t>
            </w:r>
          </w:p>
        </w:tc>
        <w:tc>
          <w:tcPr>
            <w:tcW w:w="2100" w:type="dxa"/>
            <w:vMerge/>
            <w:tcBorders>
              <w:top w:val="nil"/>
              <w:left w:val="single" w:sz="4" w:space="0" w:color="auto"/>
              <w:bottom w:val="single" w:sz="4" w:space="0" w:color="000000"/>
              <w:right w:val="single" w:sz="4" w:space="0" w:color="auto"/>
            </w:tcBorders>
            <w:vAlign w:val="center"/>
            <w:hideMark/>
          </w:tcPr>
          <w:p w14:paraId="622726F7"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vMerge/>
            <w:tcBorders>
              <w:top w:val="nil"/>
              <w:left w:val="single" w:sz="4" w:space="0" w:color="auto"/>
              <w:bottom w:val="single" w:sz="4" w:space="0" w:color="000000"/>
              <w:right w:val="single" w:sz="4" w:space="0" w:color="auto"/>
            </w:tcBorders>
            <w:vAlign w:val="center"/>
            <w:hideMark/>
          </w:tcPr>
          <w:p w14:paraId="130EC9EB"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r>
      <w:tr w:rsidR="00707D72" w:rsidRPr="00707D72" w14:paraId="5F2F3071" w14:textId="77777777" w:rsidTr="00125E75">
        <w:trPr>
          <w:trHeight w:val="435"/>
          <w:jc w:val="center"/>
        </w:trPr>
        <w:tc>
          <w:tcPr>
            <w:tcW w:w="1940" w:type="dxa"/>
            <w:vMerge/>
            <w:tcBorders>
              <w:top w:val="nil"/>
              <w:left w:val="single" w:sz="4" w:space="0" w:color="auto"/>
              <w:bottom w:val="single" w:sz="4" w:space="0" w:color="auto"/>
              <w:right w:val="single" w:sz="4" w:space="0" w:color="auto"/>
            </w:tcBorders>
            <w:vAlign w:val="center"/>
            <w:hideMark/>
          </w:tcPr>
          <w:p w14:paraId="72579239"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1940" w:type="dxa"/>
            <w:vMerge/>
            <w:tcBorders>
              <w:top w:val="nil"/>
              <w:left w:val="single" w:sz="4" w:space="0" w:color="auto"/>
              <w:bottom w:val="single" w:sz="4" w:space="0" w:color="auto"/>
              <w:right w:val="single" w:sz="4" w:space="0" w:color="auto"/>
            </w:tcBorders>
            <w:vAlign w:val="center"/>
            <w:hideMark/>
          </w:tcPr>
          <w:p w14:paraId="24918793"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tcBorders>
              <w:top w:val="nil"/>
              <w:left w:val="nil"/>
              <w:bottom w:val="single" w:sz="4" w:space="0" w:color="auto"/>
              <w:right w:val="single" w:sz="4" w:space="0" w:color="auto"/>
            </w:tcBorders>
            <w:shd w:val="clear" w:color="auto" w:fill="auto"/>
            <w:noWrap/>
            <w:vAlign w:val="center"/>
            <w:hideMark/>
          </w:tcPr>
          <w:p w14:paraId="7E0AD768"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Costos Regulatorios</w:t>
            </w:r>
          </w:p>
        </w:tc>
        <w:tc>
          <w:tcPr>
            <w:tcW w:w="2100" w:type="dxa"/>
            <w:vMerge/>
            <w:tcBorders>
              <w:top w:val="nil"/>
              <w:left w:val="single" w:sz="4" w:space="0" w:color="auto"/>
              <w:bottom w:val="single" w:sz="4" w:space="0" w:color="000000"/>
              <w:right w:val="single" w:sz="4" w:space="0" w:color="auto"/>
            </w:tcBorders>
            <w:vAlign w:val="center"/>
            <w:hideMark/>
          </w:tcPr>
          <w:p w14:paraId="00F6BC27"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vMerge/>
            <w:tcBorders>
              <w:top w:val="nil"/>
              <w:left w:val="single" w:sz="4" w:space="0" w:color="auto"/>
              <w:bottom w:val="single" w:sz="4" w:space="0" w:color="000000"/>
              <w:right w:val="single" w:sz="4" w:space="0" w:color="auto"/>
            </w:tcBorders>
            <w:vAlign w:val="center"/>
            <w:hideMark/>
          </w:tcPr>
          <w:p w14:paraId="149CD1F4"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r>
      <w:tr w:rsidR="00707D72" w:rsidRPr="00707D72" w14:paraId="54D9BC59" w14:textId="77777777" w:rsidTr="00125E75">
        <w:trPr>
          <w:trHeight w:val="1365"/>
          <w:jc w:val="center"/>
        </w:trPr>
        <w:tc>
          <w:tcPr>
            <w:tcW w:w="1940" w:type="dxa"/>
            <w:vMerge w:val="restart"/>
            <w:tcBorders>
              <w:top w:val="nil"/>
              <w:left w:val="single" w:sz="4" w:space="0" w:color="auto"/>
              <w:bottom w:val="single" w:sz="4" w:space="0" w:color="auto"/>
              <w:right w:val="single" w:sz="4" w:space="0" w:color="auto"/>
            </w:tcBorders>
            <w:shd w:val="clear" w:color="auto" w:fill="auto"/>
            <w:vAlign w:val="center"/>
            <w:hideMark/>
          </w:tcPr>
          <w:p w14:paraId="30624A3D" w14:textId="2E15D76E" w:rsidR="00707D72" w:rsidRPr="00707D72" w:rsidRDefault="002A26CB" w:rsidP="002A1361">
            <w:pPr>
              <w:widowControl/>
              <w:jc w:val="center"/>
              <w:rPr>
                <w:rFonts w:ascii="Times New Roman" w:eastAsia="Times New Roman" w:hAnsi="Times New Roman" w:cs="Times New Roman"/>
                <w:color w:val="000000"/>
                <w:sz w:val="18"/>
                <w:szCs w:val="18"/>
                <w:lang w:eastAsia="es-HN"/>
              </w:rPr>
            </w:pPr>
            <w:r w:rsidRPr="002A26CB">
              <w:rPr>
                <w:rFonts w:ascii="Times New Roman" w:eastAsia="Times New Roman" w:hAnsi="Times New Roman" w:cs="Times New Roman"/>
                <w:color w:val="000000"/>
                <w:sz w:val="18"/>
                <w:szCs w:val="18"/>
                <w:lang w:eastAsia="es-HN"/>
              </w:rPr>
              <w:t>Contrastar la incidencia de las políticas gubernamentales en apoyo al crédito en el comportamiento general de la tasa de interés nominal en moneda nacional cobrada por los bancos comerciales en Honduras durante el período de 2019 a 2022.</w:t>
            </w:r>
          </w:p>
        </w:tc>
        <w:tc>
          <w:tcPr>
            <w:tcW w:w="1940" w:type="dxa"/>
            <w:vMerge w:val="restart"/>
            <w:tcBorders>
              <w:top w:val="nil"/>
              <w:left w:val="single" w:sz="4" w:space="0" w:color="auto"/>
              <w:bottom w:val="single" w:sz="4" w:space="0" w:color="auto"/>
              <w:right w:val="single" w:sz="4" w:space="0" w:color="auto"/>
            </w:tcBorders>
            <w:shd w:val="clear" w:color="auto" w:fill="auto"/>
            <w:vAlign w:val="center"/>
            <w:hideMark/>
          </w:tcPr>
          <w:p w14:paraId="45C6C699"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Políticas Gubernamentales</w:t>
            </w:r>
          </w:p>
        </w:tc>
        <w:tc>
          <w:tcPr>
            <w:tcW w:w="2100" w:type="dxa"/>
            <w:tcBorders>
              <w:top w:val="nil"/>
              <w:left w:val="nil"/>
              <w:bottom w:val="single" w:sz="4" w:space="0" w:color="auto"/>
              <w:right w:val="single" w:sz="4" w:space="0" w:color="auto"/>
            </w:tcBorders>
            <w:shd w:val="clear" w:color="auto" w:fill="auto"/>
            <w:noWrap/>
            <w:vAlign w:val="center"/>
            <w:hideMark/>
          </w:tcPr>
          <w:p w14:paraId="75BDBD83"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Política Crediticia</w:t>
            </w:r>
          </w:p>
        </w:tc>
        <w:tc>
          <w:tcPr>
            <w:tcW w:w="21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1C33F1" w14:textId="2BD34A00" w:rsidR="00707D72" w:rsidRPr="00707D72" w:rsidRDefault="00AA6A2C" w:rsidP="00707D72">
            <w:pPr>
              <w:widowControl/>
              <w:jc w:val="center"/>
              <w:rPr>
                <w:rFonts w:ascii="Times New Roman" w:eastAsia="Times New Roman" w:hAnsi="Times New Roman" w:cs="Times New Roman"/>
                <w:color w:val="000000"/>
                <w:sz w:val="18"/>
                <w:szCs w:val="18"/>
                <w:lang w:eastAsia="es-HN"/>
              </w:rPr>
            </w:pPr>
            <w:r>
              <w:rPr>
                <w:rFonts w:ascii="Times New Roman" w:eastAsia="Times New Roman" w:hAnsi="Times New Roman" w:cs="Times New Roman"/>
                <w:color w:val="000000"/>
                <w:sz w:val="18"/>
                <w:szCs w:val="18"/>
                <w:lang w:eastAsia="es-HN"/>
              </w:rPr>
              <w:t>Grupo Focal</w:t>
            </w:r>
          </w:p>
        </w:tc>
        <w:tc>
          <w:tcPr>
            <w:tcW w:w="21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016703" w14:textId="51DF0644" w:rsidR="00707D72" w:rsidRPr="00707D72" w:rsidRDefault="00F015DE" w:rsidP="00707D72">
            <w:pPr>
              <w:widowControl/>
              <w:jc w:val="center"/>
              <w:rPr>
                <w:rFonts w:ascii="Times New Roman" w:eastAsia="Times New Roman" w:hAnsi="Times New Roman" w:cs="Times New Roman"/>
                <w:color w:val="000000"/>
                <w:sz w:val="18"/>
                <w:szCs w:val="18"/>
                <w:lang w:eastAsia="es-HN"/>
              </w:rPr>
            </w:pPr>
            <w:r>
              <w:rPr>
                <w:rFonts w:ascii="Times New Roman" w:eastAsia="Times New Roman" w:hAnsi="Times New Roman" w:cs="Times New Roman"/>
                <w:color w:val="000000"/>
                <w:sz w:val="18"/>
                <w:szCs w:val="18"/>
                <w:lang w:eastAsia="es-HN"/>
              </w:rPr>
              <w:t>Preguntas Semi Estructuradas</w:t>
            </w:r>
          </w:p>
        </w:tc>
      </w:tr>
      <w:tr w:rsidR="00707D72" w:rsidRPr="00707D72" w14:paraId="5D3C117D" w14:textId="77777777" w:rsidTr="00125E75">
        <w:trPr>
          <w:trHeight w:val="1365"/>
          <w:jc w:val="center"/>
        </w:trPr>
        <w:tc>
          <w:tcPr>
            <w:tcW w:w="1940" w:type="dxa"/>
            <w:vMerge/>
            <w:tcBorders>
              <w:top w:val="nil"/>
              <w:left w:val="single" w:sz="4" w:space="0" w:color="auto"/>
              <w:bottom w:val="single" w:sz="4" w:space="0" w:color="auto"/>
              <w:right w:val="single" w:sz="4" w:space="0" w:color="auto"/>
            </w:tcBorders>
            <w:vAlign w:val="center"/>
            <w:hideMark/>
          </w:tcPr>
          <w:p w14:paraId="401B8F81"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1940" w:type="dxa"/>
            <w:vMerge/>
            <w:tcBorders>
              <w:top w:val="nil"/>
              <w:left w:val="single" w:sz="4" w:space="0" w:color="auto"/>
              <w:bottom w:val="single" w:sz="4" w:space="0" w:color="auto"/>
              <w:right w:val="single" w:sz="4" w:space="0" w:color="auto"/>
            </w:tcBorders>
            <w:vAlign w:val="center"/>
            <w:hideMark/>
          </w:tcPr>
          <w:p w14:paraId="7C5D1449"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tcBorders>
              <w:top w:val="nil"/>
              <w:left w:val="nil"/>
              <w:bottom w:val="single" w:sz="4" w:space="0" w:color="auto"/>
              <w:right w:val="single" w:sz="4" w:space="0" w:color="auto"/>
            </w:tcBorders>
            <w:shd w:val="clear" w:color="auto" w:fill="auto"/>
            <w:vAlign w:val="center"/>
            <w:hideMark/>
          </w:tcPr>
          <w:p w14:paraId="19E03F37"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Medidas de Alivio Financiero</w:t>
            </w:r>
          </w:p>
        </w:tc>
        <w:tc>
          <w:tcPr>
            <w:tcW w:w="2100" w:type="dxa"/>
            <w:vMerge/>
            <w:tcBorders>
              <w:top w:val="nil"/>
              <w:left w:val="single" w:sz="4" w:space="0" w:color="auto"/>
              <w:bottom w:val="single" w:sz="4" w:space="0" w:color="000000"/>
              <w:right w:val="single" w:sz="4" w:space="0" w:color="auto"/>
            </w:tcBorders>
            <w:vAlign w:val="center"/>
            <w:hideMark/>
          </w:tcPr>
          <w:p w14:paraId="4AE5DCD9"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vMerge/>
            <w:tcBorders>
              <w:top w:val="nil"/>
              <w:left w:val="single" w:sz="4" w:space="0" w:color="auto"/>
              <w:bottom w:val="single" w:sz="4" w:space="0" w:color="000000"/>
              <w:right w:val="single" w:sz="4" w:space="0" w:color="auto"/>
            </w:tcBorders>
            <w:vAlign w:val="center"/>
            <w:hideMark/>
          </w:tcPr>
          <w:p w14:paraId="6F564FB0"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r>
      <w:tr w:rsidR="00707D72" w:rsidRPr="00707D72" w14:paraId="6C8FE644" w14:textId="77777777" w:rsidTr="00125E75">
        <w:trPr>
          <w:trHeight w:val="1710"/>
          <w:jc w:val="center"/>
        </w:trPr>
        <w:tc>
          <w:tcPr>
            <w:tcW w:w="1940" w:type="dxa"/>
            <w:vMerge w:val="restart"/>
            <w:tcBorders>
              <w:top w:val="nil"/>
              <w:left w:val="single" w:sz="4" w:space="0" w:color="auto"/>
              <w:bottom w:val="single" w:sz="4" w:space="0" w:color="auto"/>
              <w:right w:val="single" w:sz="4" w:space="0" w:color="auto"/>
            </w:tcBorders>
            <w:shd w:val="clear" w:color="auto" w:fill="auto"/>
            <w:vAlign w:val="center"/>
            <w:hideMark/>
          </w:tcPr>
          <w:p w14:paraId="6477E0AB" w14:textId="4CD61913" w:rsidR="00707D72" w:rsidRPr="00707D72" w:rsidRDefault="002A26CB" w:rsidP="002A26CB">
            <w:pPr>
              <w:widowControl/>
              <w:jc w:val="center"/>
              <w:rPr>
                <w:rFonts w:ascii="Times New Roman" w:eastAsia="Times New Roman" w:hAnsi="Times New Roman" w:cs="Times New Roman"/>
                <w:color w:val="000000"/>
                <w:sz w:val="18"/>
                <w:szCs w:val="18"/>
                <w:lang w:eastAsia="es-HN"/>
              </w:rPr>
            </w:pPr>
            <w:r w:rsidRPr="002A26CB">
              <w:rPr>
                <w:rFonts w:ascii="Times New Roman" w:eastAsia="Times New Roman" w:hAnsi="Times New Roman" w:cs="Times New Roman"/>
                <w:color w:val="000000"/>
                <w:sz w:val="18"/>
                <w:szCs w:val="18"/>
                <w:lang w:eastAsia="es-HN"/>
              </w:rPr>
              <w:t>Elaborar un manual para la administración y gestión eficiente de costos administrativos para la toma de decisiones en instituciones financieras, relacionada con la optimización de procesos administrativos internos.</w:t>
            </w:r>
          </w:p>
        </w:tc>
        <w:tc>
          <w:tcPr>
            <w:tcW w:w="1940" w:type="dxa"/>
            <w:tcBorders>
              <w:top w:val="nil"/>
              <w:left w:val="nil"/>
              <w:bottom w:val="single" w:sz="4" w:space="0" w:color="auto"/>
              <w:right w:val="single" w:sz="4" w:space="0" w:color="auto"/>
            </w:tcBorders>
            <w:shd w:val="clear" w:color="auto" w:fill="auto"/>
            <w:vAlign w:val="center"/>
            <w:hideMark/>
          </w:tcPr>
          <w:p w14:paraId="65F2EE6A"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No Aplica.</w:t>
            </w:r>
          </w:p>
        </w:tc>
        <w:tc>
          <w:tcPr>
            <w:tcW w:w="21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B140BC"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No Aplica.</w:t>
            </w:r>
          </w:p>
        </w:tc>
        <w:tc>
          <w:tcPr>
            <w:tcW w:w="21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0D392D"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No Aplica.</w:t>
            </w:r>
          </w:p>
        </w:tc>
        <w:tc>
          <w:tcPr>
            <w:tcW w:w="21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5734C3"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No Aplica.</w:t>
            </w:r>
          </w:p>
        </w:tc>
      </w:tr>
      <w:tr w:rsidR="00707D72" w:rsidRPr="00707D72" w14:paraId="2722C8B7" w14:textId="77777777" w:rsidTr="00125E75">
        <w:trPr>
          <w:trHeight w:val="1710"/>
          <w:jc w:val="center"/>
        </w:trPr>
        <w:tc>
          <w:tcPr>
            <w:tcW w:w="1940" w:type="dxa"/>
            <w:vMerge/>
            <w:tcBorders>
              <w:top w:val="nil"/>
              <w:left w:val="single" w:sz="4" w:space="0" w:color="auto"/>
              <w:bottom w:val="single" w:sz="4" w:space="0" w:color="auto"/>
              <w:right w:val="single" w:sz="4" w:space="0" w:color="auto"/>
            </w:tcBorders>
            <w:vAlign w:val="center"/>
            <w:hideMark/>
          </w:tcPr>
          <w:p w14:paraId="6781BF34"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1940" w:type="dxa"/>
            <w:tcBorders>
              <w:top w:val="nil"/>
              <w:left w:val="nil"/>
              <w:bottom w:val="single" w:sz="4" w:space="0" w:color="auto"/>
              <w:right w:val="single" w:sz="4" w:space="0" w:color="auto"/>
            </w:tcBorders>
            <w:shd w:val="clear" w:color="auto" w:fill="auto"/>
            <w:vAlign w:val="center"/>
            <w:hideMark/>
          </w:tcPr>
          <w:p w14:paraId="77911B82" w14:textId="77777777" w:rsidR="00707D72" w:rsidRPr="00707D72" w:rsidRDefault="00707D72" w:rsidP="00707D72">
            <w:pPr>
              <w:widowControl/>
              <w:jc w:val="center"/>
              <w:rPr>
                <w:rFonts w:ascii="Times New Roman" w:eastAsia="Times New Roman" w:hAnsi="Times New Roman" w:cs="Times New Roman"/>
                <w:color w:val="000000"/>
                <w:sz w:val="18"/>
                <w:szCs w:val="18"/>
                <w:lang w:eastAsia="es-HN"/>
              </w:rPr>
            </w:pPr>
            <w:r w:rsidRPr="00707D72">
              <w:rPr>
                <w:rFonts w:ascii="Times New Roman" w:eastAsia="Times New Roman" w:hAnsi="Times New Roman" w:cs="Times New Roman"/>
                <w:color w:val="000000"/>
                <w:sz w:val="18"/>
                <w:szCs w:val="18"/>
                <w:lang w:eastAsia="es-HN"/>
              </w:rPr>
              <w:t>No Aplica.</w:t>
            </w:r>
          </w:p>
        </w:tc>
        <w:tc>
          <w:tcPr>
            <w:tcW w:w="2100" w:type="dxa"/>
            <w:vMerge/>
            <w:tcBorders>
              <w:top w:val="nil"/>
              <w:left w:val="single" w:sz="4" w:space="0" w:color="auto"/>
              <w:bottom w:val="single" w:sz="4" w:space="0" w:color="auto"/>
              <w:right w:val="single" w:sz="4" w:space="0" w:color="auto"/>
            </w:tcBorders>
            <w:vAlign w:val="center"/>
            <w:hideMark/>
          </w:tcPr>
          <w:p w14:paraId="14D94077"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vMerge/>
            <w:tcBorders>
              <w:top w:val="nil"/>
              <w:left w:val="single" w:sz="4" w:space="0" w:color="auto"/>
              <w:bottom w:val="single" w:sz="4" w:space="0" w:color="auto"/>
              <w:right w:val="single" w:sz="4" w:space="0" w:color="auto"/>
            </w:tcBorders>
            <w:vAlign w:val="center"/>
            <w:hideMark/>
          </w:tcPr>
          <w:p w14:paraId="6D8AE0FB"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c>
          <w:tcPr>
            <w:tcW w:w="2100" w:type="dxa"/>
            <w:vMerge/>
            <w:tcBorders>
              <w:top w:val="nil"/>
              <w:left w:val="single" w:sz="4" w:space="0" w:color="auto"/>
              <w:bottom w:val="single" w:sz="4" w:space="0" w:color="auto"/>
              <w:right w:val="single" w:sz="4" w:space="0" w:color="auto"/>
            </w:tcBorders>
            <w:vAlign w:val="center"/>
            <w:hideMark/>
          </w:tcPr>
          <w:p w14:paraId="03E5EF87" w14:textId="77777777" w:rsidR="00707D72" w:rsidRPr="00707D72" w:rsidRDefault="00707D72" w:rsidP="00707D72">
            <w:pPr>
              <w:widowControl/>
              <w:rPr>
                <w:rFonts w:ascii="Times New Roman" w:eastAsia="Times New Roman" w:hAnsi="Times New Roman" w:cs="Times New Roman"/>
                <w:color w:val="000000"/>
                <w:sz w:val="18"/>
                <w:szCs w:val="18"/>
                <w:lang w:eastAsia="es-HN"/>
              </w:rPr>
            </w:pPr>
          </w:p>
        </w:tc>
      </w:tr>
    </w:tbl>
    <w:p w14:paraId="564CAA56" w14:textId="437BEBFF" w:rsidR="008E5750" w:rsidRDefault="004107D4" w:rsidP="00434B43">
      <w:pPr>
        <w:widowControl/>
        <w:spacing w:line="480" w:lineRule="auto"/>
        <w:rPr>
          <w:rFonts w:ascii="Times New Roman" w:eastAsia="Calibri" w:hAnsi="Times New Roman" w:cs="Times New Roman"/>
          <w:sz w:val="24"/>
        </w:rPr>
      </w:pPr>
      <w:r>
        <w:rPr>
          <w:rFonts w:ascii="Times New Roman" w:eastAsia="Calibri" w:hAnsi="Times New Roman" w:cs="Times New Roman"/>
          <w:sz w:val="24"/>
        </w:rPr>
        <w:t xml:space="preserve">Fuente: Elaboración propia. </w:t>
      </w:r>
    </w:p>
    <w:p w14:paraId="3AB5E4A2" w14:textId="77777777" w:rsidR="00632900" w:rsidRDefault="00632900" w:rsidP="00434B43">
      <w:pPr>
        <w:widowControl/>
        <w:spacing w:line="480" w:lineRule="auto"/>
        <w:rPr>
          <w:rFonts w:ascii="Times New Roman" w:eastAsia="Calibri" w:hAnsi="Times New Roman" w:cs="Times New Roman"/>
          <w:sz w:val="24"/>
        </w:rPr>
      </w:pPr>
    </w:p>
    <w:p w14:paraId="1D1D8B1D" w14:textId="77777777" w:rsidR="00F015DE" w:rsidRDefault="00F015DE" w:rsidP="00F015DE">
      <w:pPr>
        <w:keepNext/>
        <w:widowControl/>
        <w:spacing w:after="200"/>
        <w:jc w:val="both"/>
        <w:rPr>
          <w:rFonts w:ascii="Times New Roman" w:eastAsia="Calibri" w:hAnsi="Times New Roman" w:cs="Times New Roman"/>
          <w:b/>
          <w:bCs/>
          <w:iCs/>
          <w:sz w:val="24"/>
          <w:szCs w:val="24"/>
        </w:rPr>
        <w:sectPr w:rsidR="00F015DE" w:rsidSect="00210E95">
          <w:pgSz w:w="12240" w:h="15840" w:code="1"/>
          <w:pgMar w:top="1440" w:right="1440" w:bottom="1440" w:left="1440" w:header="709" w:footer="709" w:gutter="0"/>
          <w:pgNumType w:start="1"/>
          <w:cols w:space="708"/>
          <w:docGrid w:linePitch="360"/>
        </w:sectPr>
      </w:pPr>
    </w:p>
    <w:p w14:paraId="263F8573" w14:textId="62C26015" w:rsidR="00F015DE" w:rsidRDefault="00F015DE" w:rsidP="00F015DE">
      <w:pPr>
        <w:keepNext/>
        <w:widowControl/>
        <w:spacing w:after="200"/>
        <w:jc w:val="both"/>
        <w:rPr>
          <w:rFonts w:ascii="Times New Roman" w:eastAsia="Calibri" w:hAnsi="Times New Roman" w:cs="Times New Roman"/>
          <w:b/>
          <w:bCs/>
          <w:iCs/>
          <w:sz w:val="24"/>
          <w:szCs w:val="24"/>
        </w:rPr>
      </w:pPr>
      <w:r w:rsidRPr="00434B43">
        <w:rPr>
          <w:rFonts w:ascii="Times New Roman" w:eastAsia="Calibri" w:hAnsi="Times New Roman" w:cs="Times New Roman"/>
          <w:b/>
          <w:bCs/>
          <w:iCs/>
          <w:sz w:val="24"/>
          <w:szCs w:val="24"/>
        </w:rPr>
        <w:lastRenderedPageBreak/>
        <w:t xml:space="preserve">Tabla </w:t>
      </w:r>
      <w:r>
        <w:rPr>
          <w:rFonts w:ascii="Times New Roman" w:eastAsia="Calibri" w:hAnsi="Times New Roman" w:cs="Times New Roman"/>
          <w:b/>
          <w:bCs/>
          <w:iCs/>
          <w:sz w:val="24"/>
          <w:szCs w:val="24"/>
        </w:rPr>
        <w:t>3</w:t>
      </w:r>
      <w:r w:rsidRPr="00434B43">
        <w:rPr>
          <w:rFonts w:ascii="Times New Roman" w:eastAsia="Calibri" w:hAnsi="Times New Roman" w:cs="Times New Roman"/>
          <w:b/>
          <w:bCs/>
          <w:iCs/>
          <w:sz w:val="24"/>
          <w:szCs w:val="24"/>
        </w:rPr>
        <w:t xml:space="preserve">. Operacionalización de las </w:t>
      </w:r>
      <w:r>
        <w:rPr>
          <w:rFonts w:ascii="Times New Roman" w:eastAsia="Calibri" w:hAnsi="Times New Roman" w:cs="Times New Roman"/>
          <w:b/>
          <w:bCs/>
          <w:iCs/>
          <w:sz w:val="24"/>
          <w:szCs w:val="24"/>
        </w:rPr>
        <w:t>V</w:t>
      </w:r>
      <w:r w:rsidRPr="00434B43">
        <w:rPr>
          <w:rFonts w:ascii="Times New Roman" w:eastAsia="Calibri" w:hAnsi="Times New Roman" w:cs="Times New Roman"/>
          <w:b/>
          <w:bCs/>
          <w:iCs/>
          <w:sz w:val="24"/>
          <w:szCs w:val="24"/>
        </w:rPr>
        <w:t>ariables</w:t>
      </w:r>
      <w:r>
        <w:rPr>
          <w:rFonts w:ascii="Times New Roman" w:eastAsia="Calibri" w:hAnsi="Times New Roman" w:cs="Times New Roman"/>
          <w:b/>
          <w:bCs/>
          <w:iCs/>
          <w:sz w:val="24"/>
          <w:szCs w:val="24"/>
        </w:rPr>
        <w:t xml:space="preserve"> – Matriz Es</w:t>
      </w:r>
      <w:r w:rsidR="00661BCD">
        <w:rPr>
          <w:rFonts w:ascii="Times New Roman" w:eastAsia="Calibri" w:hAnsi="Times New Roman" w:cs="Times New Roman"/>
          <w:b/>
          <w:bCs/>
          <w:iCs/>
          <w:sz w:val="24"/>
          <w:szCs w:val="24"/>
        </w:rPr>
        <w:t>quema</w:t>
      </w:r>
      <w:r>
        <w:rPr>
          <w:rFonts w:ascii="Times New Roman" w:eastAsia="Calibri" w:hAnsi="Times New Roman" w:cs="Times New Roman"/>
          <w:b/>
          <w:bCs/>
          <w:iCs/>
          <w:sz w:val="24"/>
          <w:szCs w:val="24"/>
        </w:rPr>
        <w:t xml:space="preserve"> </w:t>
      </w:r>
      <w:r w:rsidR="009A7196">
        <w:rPr>
          <w:rFonts w:ascii="Times New Roman" w:eastAsia="Calibri" w:hAnsi="Times New Roman" w:cs="Times New Roman"/>
          <w:b/>
          <w:bCs/>
          <w:iCs/>
          <w:sz w:val="24"/>
          <w:szCs w:val="24"/>
        </w:rPr>
        <w:t>para el Análisis Cualitativo</w:t>
      </w:r>
    </w:p>
    <w:tbl>
      <w:tblPr>
        <w:tblW w:w="15309" w:type="dxa"/>
        <w:tblInd w:w="-1139" w:type="dxa"/>
        <w:tblCellMar>
          <w:left w:w="70" w:type="dxa"/>
          <w:right w:w="70" w:type="dxa"/>
        </w:tblCellMar>
        <w:tblLook w:val="04A0" w:firstRow="1" w:lastRow="0" w:firstColumn="1" w:lastColumn="0" w:noHBand="0" w:noVBand="1"/>
      </w:tblPr>
      <w:tblGrid>
        <w:gridCol w:w="1451"/>
        <w:gridCol w:w="1668"/>
        <w:gridCol w:w="3002"/>
        <w:gridCol w:w="2243"/>
        <w:gridCol w:w="1701"/>
        <w:gridCol w:w="1701"/>
        <w:gridCol w:w="1842"/>
        <w:gridCol w:w="1701"/>
      </w:tblGrid>
      <w:tr w:rsidR="00B36A5F" w:rsidRPr="00F015DE" w14:paraId="4C927991" w14:textId="77777777" w:rsidTr="00B36A5F">
        <w:trPr>
          <w:trHeight w:val="366"/>
        </w:trPr>
        <w:tc>
          <w:tcPr>
            <w:tcW w:w="14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B2928D" w14:textId="77777777" w:rsidR="00F015DE" w:rsidRPr="00F015DE" w:rsidRDefault="00F015DE" w:rsidP="00F015DE">
            <w:pPr>
              <w:widowControl/>
              <w:jc w:val="center"/>
              <w:rPr>
                <w:rFonts w:ascii="Times New Roman" w:eastAsia="Times New Roman" w:hAnsi="Times New Roman" w:cs="Times New Roman"/>
                <w:b/>
                <w:bCs/>
                <w:color w:val="000000"/>
                <w:sz w:val="18"/>
                <w:szCs w:val="18"/>
                <w:lang w:eastAsia="es-HN"/>
              </w:rPr>
            </w:pPr>
            <w:r w:rsidRPr="00F015DE">
              <w:rPr>
                <w:rFonts w:ascii="Times New Roman" w:eastAsia="Times New Roman" w:hAnsi="Times New Roman" w:cs="Times New Roman"/>
                <w:b/>
                <w:bCs/>
                <w:color w:val="000000"/>
                <w:sz w:val="18"/>
                <w:szCs w:val="18"/>
                <w:lang w:eastAsia="es-HN"/>
              </w:rPr>
              <w:t>Objetivos de la Investigación</w:t>
            </w:r>
          </w:p>
        </w:tc>
        <w:tc>
          <w:tcPr>
            <w:tcW w:w="16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4AD0FED" w14:textId="77777777" w:rsidR="00F015DE" w:rsidRPr="00F015DE" w:rsidRDefault="00F015DE" w:rsidP="00F015DE">
            <w:pPr>
              <w:widowControl/>
              <w:jc w:val="center"/>
              <w:rPr>
                <w:rFonts w:ascii="Times New Roman" w:eastAsia="Times New Roman" w:hAnsi="Times New Roman" w:cs="Times New Roman"/>
                <w:b/>
                <w:bCs/>
                <w:color w:val="000000"/>
                <w:sz w:val="18"/>
                <w:szCs w:val="18"/>
                <w:lang w:eastAsia="es-HN"/>
              </w:rPr>
            </w:pPr>
            <w:r w:rsidRPr="00F015DE">
              <w:rPr>
                <w:rFonts w:ascii="Times New Roman" w:eastAsia="Times New Roman" w:hAnsi="Times New Roman" w:cs="Times New Roman"/>
                <w:b/>
                <w:bCs/>
                <w:color w:val="000000"/>
                <w:sz w:val="18"/>
                <w:szCs w:val="18"/>
                <w:lang w:eastAsia="es-HN"/>
              </w:rPr>
              <w:t>Variables</w:t>
            </w:r>
          </w:p>
        </w:tc>
        <w:tc>
          <w:tcPr>
            <w:tcW w:w="30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E48D5BC" w14:textId="77777777" w:rsidR="00F015DE" w:rsidRPr="00F015DE" w:rsidRDefault="00F015DE" w:rsidP="00F015DE">
            <w:pPr>
              <w:widowControl/>
              <w:jc w:val="center"/>
              <w:rPr>
                <w:rFonts w:ascii="Times New Roman" w:eastAsia="Times New Roman" w:hAnsi="Times New Roman" w:cs="Times New Roman"/>
                <w:b/>
                <w:bCs/>
                <w:color w:val="000000"/>
                <w:sz w:val="18"/>
                <w:szCs w:val="18"/>
                <w:lang w:eastAsia="es-HN"/>
              </w:rPr>
            </w:pPr>
            <w:r w:rsidRPr="00F015DE">
              <w:rPr>
                <w:rFonts w:ascii="Times New Roman" w:eastAsia="Times New Roman" w:hAnsi="Times New Roman" w:cs="Times New Roman"/>
                <w:b/>
                <w:bCs/>
                <w:color w:val="000000"/>
                <w:sz w:val="18"/>
                <w:szCs w:val="18"/>
                <w:lang w:eastAsia="es-HN"/>
              </w:rPr>
              <w:t>Definición Conceptual</w:t>
            </w:r>
          </w:p>
        </w:tc>
        <w:tc>
          <w:tcPr>
            <w:tcW w:w="22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B3C5096" w14:textId="77777777" w:rsidR="00F015DE" w:rsidRPr="00F015DE" w:rsidRDefault="00F015DE" w:rsidP="00F015DE">
            <w:pPr>
              <w:widowControl/>
              <w:jc w:val="center"/>
              <w:rPr>
                <w:rFonts w:ascii="Times New Roman" w:eastAsia="Times New Roman" w:hAnsi="Times New Roman" w:cs="Times New Roman"/>
                <w:b/>
                <w:bCs/>
                <w:color w:val="000000"/>
                <w:sz w:val="18"/>
                <w:szCs w:val="18"/>
                <w:lang w:eastAsia="es-HN"/>
              </w:rPr>
            </w:pPr>
            <w:r w:rsidRPr="00F015DE">
              <w:rPr>
                <w:rFonts w:ascii="Times New Roman" w:eastAsia="Times New Roman" w:hAnsi="Times New Roman" w:cs="Times New Roman"/>
                <w:b/>
                <w:bCs/>
                <w:color w:val="000000"/>
                <w:sz w:val="18"/>
                <w:szCs w:val="18"/>
                <w:lang w:eastAsia="es-HN"/>
              </w:rPr>
              <w:t>Definición Operacional</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3EC4250" w14:textId="77777777" w:rsidR="00F015DE" w:rsidRPr="00F015DE" w:rsidRDefault="00F015DE" w:rsidP="00F015DE">
            <w:pPr>
              <w:widowControl/>
              <w:jc w:val="center"/>
              <w:rPr>
                <w:rFonts w:ascii="Times New Roman" w:eastAsia="Times New Roman" w:hAnsi="Times New Roman" w:cs="Times New Roman"/>
                <w:b/>
                <w:bCs/>
                <w:color w:val="000000"/>
                <w:sz w:val="18"/>
                <w:szCs w:val="18"/>
                <w:lang w:eastAsia="es-HN"/>
              </w:rPr>
            </w:pPr>
            <w:r w:rsidRPr="00F015DE">
              <w:rPr>
                <w:rFonts w:ascii="Times New Roman" w:eastAsia="Times New Roman" w:hAnsi="Times New Roman" w:cs="Times New Roman"/>
                <w:b/>
                <w:bCs/>
                <w:color w:val="000000"/>
                <w:sz w:val="18"/>
                <w:szCs w:val="18"/>
                <w:lang w:eastAsia="es-HN"/>
              </w:rPr>
              <w:t>Dimensiones de Análisis</w:t>
            </w:r>
          </w:p>
        </w:tc>
        <w:tc>
          <w:tcPr>
            <w:tcW w:w="170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9B8DD44" w14:textId="159F212C" w:rsidR="00F015DE" w:rsidRPr="00F015DE" w:rsidRDefault="00B36A5F" w:rsidP="00F015DE">
            <w:pPr>
              <w:widowControl/>
              <w:jc w:val="center"/>
              <w:rPr>
                <w:rFonts w:ascii="Times New Roman" w:eastAsia="Times New Roman" w:hAnsi="Times New Roman" w:cs="Times New Roman"/>
                <w:b/>
                <w:bCs/>
                <w:color w:val="000000"/>
                <w:sz w:val="18"/>
                <w:szCs w:val="18"/>
                <w:lang w:eastAsia="es-HN"/>
              </w:rPr>
            </w:pPr>
            <w:r w:rsidRPr="00F015DE">
              <w:rPr>
                <w:rFonts w:ascii="Times New Roman" w:eastAsia="Times New Roman" w:hAnsi="Times New Roman" w:cs="Times New Roman"/>
                <w:b/>
                <w:bCs/>
                <w:color w:val="000000"/>
                <w:sz w:val="18"/>
                <w:szCs w:val="18"/>
                <w:lang w:eastAsia="es-HN"/>
              </w:rPr>
              <w:t>Estrategia</w:t>
            </w:r>
            <w:r w:rsidR="00F015DE" w:rsidRPr="00F015DE">
              <w:rPr>
                <w:rFonts w:ascii="Times New Roman" w:eastAsia="Times New Roman" w:hAnsi="Times New Roman" w:cs="Times New Roman"/>
                <w:b/>
                <w:bCs/>
                <w:color w:val="000000"/>
                <w:sz w:val="18"/>
                <w:szCs w:val="18"/>
                <w:lang w:eastAsia="es-HN"/>
              </w:rPr>
              <w:t xml:space="preserve"> de Recolección de Datos</w:t>
            </w:r>
          </w:p>
        </w:tc>
        <w:tc>
          <w:tcPr>
            <w:tcW w:w="18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40D4A40" w14:textId="77777777" w:rsidR="00F015DE" w:rsidRPr="00F015DE" w:rsidRDefault="00F015DE" w:rsidP="00F015DE">
            <w:pPr>
              <w:widowControl/>
              <w:jc w:val="center"/>
              <w:rPr>
                <w:rFonts w:ascii="Times New Roman" w:eastAsia="Times New Roman" w:hAnsi="Times New Roman" w:cs="Times New Roman"/>
                <w:b/>
                <w:bCs/>
                <w:color w:val="000000"/>
                <w:sz w:val="18"/>
                <w:szCs w:val="18"/>
                <w:lang w:eastAsia="es-HN"/>
              </w:rPr>
            </w:pPr>
            <w:r w:rsidRPr="00F015DE">
              <w:rPr>
                <w:rFonts w:ascii="Times New Roman" w:eastAsia="Times New Roman" w:hAnsi="Times New Roman" w:cs="Times New Roman"/>
                <w:b/>
                <w:bCs/>
                <w:color w:val="000000"/>
                <w:sz w:val="18"/>
                <w:szCs w:val="18"/>
                <w:lang w:eastAsia="es-HN"/>
              </w:rPr>
              <w:t>Indicadores</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E65D35" w14:textId="77777777" w:rsidR="00F015DE" w:rsidRPr="00F015DE" w:rsidRDefault="00F015DE" w:rsidP="00F015DE">
            <w:pPr>
              <w:widowControl/>
              <w:jc w:val="center"/>
              <w:rPr>
                <w:rFonts w:ascii="Times New Roman" w:eastAsia="Times New Roman" w:hAnsi="Times New Roman" w:cs="Times New Roman"/>
                <w:b/>
                <w:bCs/>
                <w:color w:val="000000"/>
                <w:sz w:val="18"/>
                <w:szCs w:val="18"/>
                <w:lang w:eastAsia="es-HN"/>
              </w:rPr>
            </w:pPr>
            <w:r w:rsidRPr="00F015DE">
              <w:rPr>
                <w:rFonts w:ascii="Times New Roman" w:eastAsia="Times New Roman" w:hAnsi="Times New Roman" w:cs="Times New Roman"/>
                <w:b/>
                <w:bCs/>
                <w:color w:val="000000"/>
                <w:sz w:val="18"/>
                <w:szCs w:val="18"/>
                <w:lang w:eastAsia="es-HN"/>
              </w:rPr>
              <w:t>Ítems</w:t>
            </w:r>
          </w:p>
        </w:tc>
      </w:tr>
      <w:tr w:rsidR="00B36A5F" w:rsidRPr="00F015DE" w14:paraId="5156FB78" w14:textId="77777777" w:rsidTr="00B36A5F">
        <w:trPr>
          <w:trHeight w:val="70"/>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A4E9C2C" w14:textId="77777777" w:rsidR="00F015DE" w:rsidRPr="00F015DE" w:rsidRDefault="00F015DE" w:rsidP="00F015DE">
            <w:pPr>
              <w:widowControl/>
              <w:jc w:val="center"/>
              <w:rPr>
                <w:rFonts w:ascii="Times New Roman" w:eastAsia="Times New Roman" w:hAnsi="Times New Roman" w:cs="Times New Roman"/>
                <w:b/>
                <w:bCs/>
                <w:color w:val="000000"/>
                <w:sz w:val="18"/>
                <w:szCs w:val="18"/>
                <w:lang w:eastAsia="es-HN"/>
              </w:rPr>
            </w:pPr>
            <w:r w:rsidRPr="00F015DE">
              <w:rPr>
                <w:rFonts w:ascii="Times New Roman" w:eastAsia="Times New Roman" w:hAnsi="Times New Roman" w:cs="Times New Roman"/>
                <w:b/>
                <w:bCs/>
                <w:color w:val="000000"/>
                <w:sz w:val="18"/>
                <w:szCs w:val="18"/>
                <w:lang w:eastAsia="es-HN"/>
              </w:rPr>
              <w:t>Especifico</w:t>
            </w:r>
          </w:p>
        </w:tc>
        <w:tc>
          <w:tcPr>
            <w:tcW w:w="1668" w:type="dxa"/>
            <w:vMerge/>
            <w:tcBorders>
              <w:top w:val="single" w:sz="4" w:space="0" w:color="auto"/>
              <w:left w:val="single" w:sz="4" w:space="0" w:color="auto"/>
              <w:bottom w:val="single" w:sz="4" w:space="0" w:color="auto"/>
              <w:right w:val="single" w:sz="4" w:space="0" w:color="auto"/>
            </w:tcBorders>
            <w:vAlign w:val="center"/>
            <w:hideMark/>
          </w:tcPr>
          <w:p w14:paraId="24CA1E6D" w14:textId="77777777" w:rsidR="00F015DE" w:rsidRPr="00F015DE" w:rsidRDefault="00F015DE" w:rsidP="00F015DE">
            <w:pPr>
              <w:widowControl/>
              <w:rPr>
                <w:rFonts w:ascii="Times New Roman" w:eastAsia="Times New Roman" w:hAnsi="Times New Roman" w:cs="Times New Roman"/>
                <w:b/>
                <w:bCs/>
                <w:color w:val="000000"/>
                <w:sz w:val="18"/>
                <w:szCs w:val="18"/>
                <w:lang w:eastAsia="es-HN"/>
              </w:rPr>
            </w:pPr>
          </w:p>
        </w:tc>
        <w:tc>
          <w:tcPr>
            <w:tcW w:w="3002" w:type="dxa"/>
            <w:vMerge/>
            <w:tcBorders>
              <w:top w:val="single" w:sz="4" w:space="0" w:color="auto"/>
              <w:left w:val="single" w:sz="4" w:space="0" w:color="auto"/>
              <w:bottom w:val="single" w:sz="4" w:space="0" w:color="auto"/>
              <w:right w:val="single" w:sz="4" w:space="0" w:color="auto"/>
            </w:tcBorders>
            <w:vAlign w:val="center"/>
            <w:hideMark/>
          </w:tcPr>
          <w:p w14:paraId="78FDF849" w14:textId="77777777" w:rsidR="00F015DE" w:rsidRPr="00F015DE" w:rsidRDefault="00F015DE" w:rsidP="00F015DE">
            <w:pPr>
              <w:widowControl/>
              <w:rPr>
                <w:rFonts w:ascii="Times New Roman" w:eastAsia="Times New Roman" w:hAnsi="Times New Roman" w:cs="Times New Roman"/>
                <w:b/>
                <w:bCs/>
                <w:color w:val="000000"/>
                <w:sz w:val="18"/>
                <w:szCs w:val="18"/>
                <w:lang w:eastAsia="es-HN"/>
              </w:rPr>
            </w:pPr>
          </w:p>
        </w:tc>
        <w:tc>
          <w:tcPr>
            <w:tcW w:w="2243" w:type="dxa"/>
            <w:vMerge/>
            <w:tcBorders>
              <w:top w:val="single" w:sz="4" w:space="0" w:color="auto"/>
              <w:left w:val="single" w:sz="4" w:space="0" w:color="auto"/>
              <w:bottom w:val="single" w:sz="4" w:space="0" w:color="auto"/>
              <w:right w:val="single" w:sz="4" w:space="0" w:color="auto"/>
            </w:tcBorders>
            <w:vAlign w:val="center"/>
            <w:hideMark/>
          </w:tcPr>
          <w:p w14:paraId="422B0DAB" w14:textId="77777777" w:rsidR="00F015DE" w:rsidRPr="00F015DE" w:rsidRDefault="00F015DE" w:rsidP="00F015DE">
            <w:pPr>
              <w:widowControl/>
              <w:rPr>
                <w:rFonts w:ascii="Times New Roman" w:eastAsia="Times New Roman" w:hAnsi="Times New Roman" w:cs="Times New Roman"/>
                <w:b/>
                <w:bCs/>
                <w:color w:val="000000"/>
                <w:sz w:val="18"/>
                <w:szCs w:val="18"/>
                <w:lang w:eastAsia="es-H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08B82A6C" w14:textId="77777777" w:rsidR="00F015DE" w:rsidRPr="00F015DE" w:rsidRDefault="00F015DE" w:rsidP="00F015DE">
            <w:pPr>
              <w:widowControl/>
              <w:rPr>
                <w:rFonts w:ascii="Times New Roman" w:eastAsia="Times New Roman" w:hAnsi="Times New Roman" w:cs="Times New Roman"/>
                <w:b/>
                <w:bCs/>
                <w:color w:val="000000"/>
                <w:sz w:val="18"/>
                <w:szCs w:val="18"/>
                <w:lang w:eastAsia="es-HN"/>
              </w:rPr>
            </w:pPr>
          </w:p>
        </w:tc>
        <w:tc>
          <w:tcPr>
            <w:tcW w:w="1701" w:type="dxa"/>
            <w:vMerge/>
            <w:tcBorders>
              <w:top w:val="single" w:sz="4" w:space="0" w:color="auto"/>
              <w:left w:val="single" w:sz="4" w:space="0" w:color="auto"/>
              <w:bottom w:val="single" w:sz="4" w:space="0" w:color="000000"/>
              <w:right w:val="single" w:sz="4" w:space="0" w:color="auto"/>
            </w:tcBorders>
            <w:vAlign w:val="center"/>
            <w:hideMark/>
          </w:tcPr>
          <w:p w14:paraId="1C4027C9" w14:textId="77777777" w:rsidR="00F015DE" w:rsidRPr="00F015DE" w:rsidRDefault="00F015DE" w:rsidP="00F015DE">
            <w:pPr>
              <w:widowControl/>
              <w:rPr>
                <w:rFonts w:ascii="Times New Roman" w:eastAsia="Times New Roman" w:hAnsi="Times New Roman" w:cs="Times New Roman"/>
                <w:b/>
                <w:bCs/>
                <w:color w:val="000000"/>
                <w:sz w:val="18"/>
                <w:szCs w:val="18"/>
                <w:lang w:eastAsia="es-HN"/>
              </w:rPr>
            </w:pPr>
          </w:p>
        </w:tc>
        <w:tc>
          <w:tcPr>
            <w:tcW w:w="1842" w:type="dxa"/>
            <w:vMerge/>
            <w:tcBorders>
              <w:top w:val="single" w:sz="4" w:space="0" w:color="auto"/>
              <w:left w:val="single" w:sz="4" w:space="0" w:color="auto"/>
              <w:bottom w:val="single" w:sz="4" w:space="0" w:color="auto"/>
              <w:right w:val="single" w:sz="4" w:space="0" w:color="auto"/>
            </w:tcBorders>
            <w:vAlign w:val="center"/>
            <w:hideMark/>
          </w:tcPr>
          <w:p w14:paraId="6443067C" w14:textId="77777777" w:rsidR="00F015DE" w:rsidRPr="00F015DE" w:rsidRDefault="00F015DE" w:rsidP="00F015DE">
            <w:pPr>
              <w:widowControl/>
              <w:rPr>
                <w:rFonts w:ascii="Times New Roman" w:eastAsia="Times New Roman" w:hAnsi="Times New Roman" w:cs="Times New Roman"/>
                <w:b/>
                <w:bCs/>
                <w:color w:val="000000"/>
                <w:sz w:val="18"/>
                <w:szCs w:val="18"/>
                <w:lang w:eastAsia="es-H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7A5CB349" w14:textId="77777777" w:rsidR="00F015DE" w:rsidRPr="00F015DE" w:rsidRDefault="00F015DE" w:rsidP="00F015DE">
            <w:pPr>
              <w:widowControl/>
              <w:rPr>
                <w:rFonts w:ascii="Times New Roman" w:eastAsia="Times New Roman" w:hAnsi="Times New Roman" w:cs="Times New Roman"/>
                <w:b/>
                <w:bCs/>
                <w:color w:val="000000"/>
                <w:sz w:val="18"/>
                <w:szCs w:val="18"/>
                <w:lang w:eastAsia="es-HN"/>
              </w:rPr>
            </w:pPr>
          </w:p>
        </w:tc>
      </w:tr>
      <w:tr w:rsidR="00934F29" w:rsidRPr="00F015DE" w14:paraId="69AE818B" w14:textId="77777777" w:rsidTr="00934F29">
        <w:trPr>
          <w:trHeight w:val="1440"/>
        </w:trPr>
        <w:tc>
          <w:tcPr>
            <w:tcW w:w="1451" w:type="dxa"/>
            <w:vMerge w:val="restart"/>
            <w:tcBorders>
              <w:top w:val="nil"/>
              <w:left w:val="single" w:sz="4" w:space="0" w:color="auto"/>
              <w:bottom w:val="single" w:sz="4" w:space="0" w:color="000000"/>
              <w:right w:val="single" w:sz="4" w:space="0" w:color="auto"/>
            </w:tcBorders>
            <w:shd w:val="clear" w:color="auto" w:fill="auto"/>
            <w:vAlign w:val="center"/>
            <w:hideMark/>
          </w:tcPr>
          <w:p w14:paraId="10F9FF7E" w14:textId="3E007F47" w:rsidR="00934F29" w:rsidRPr="00F015DE" w:rsidRDefault="00934F29" w:rsidP="00F015DE">
            <w:pPr>
              <w:widowControl/>
              <w:jc w:val="center"/>
              <w:rPr>
                <w:rFonts w:ascii="Times New Roman" w:eastAsia="Times New Roman" w:hAnsi="Times New Roman" w:cs="Times New Roman"/>
                <w:color w:val="000000"/>
                <w:sz w:val="18"/>
                <w:szCs w:val="18"/>
                <w:lang w:eastAsia="es-HN"/>
              </w:rPr>
            </w:pPr>
            <w:r w:rsidRPr="00F015DE">
              <w:rPr>
                <w:rFonts w:ascii="Times New Roman" w:eastAsia="Times New Roman" w:hAnsi="Times New Roman" w:cs="Times New Roman"/>
                <w:color w:val="000000"/>
                <w:sz w:val="18"/>
                <w:szCs w:val="18"/>
                <w:lang w:eastAsia="es-HN"/>
              </w:rPr>
              <w:t>Determinar los factores macroec</w:t>
            </w:r>
            <w:r>
              <w:rPr>
                <w:rFonts w:ascii="Times New Roman" w:eastAsia="Times New Roman" w:hAnsi="Times New Roman" w:cs="Times New Roman"/>
                <w:color w:val="000000"/>
                <w:sz w:val="18"/>
                <w:szCs w:val="18"/>
                <w:lang w:eastAsia="es-HN"/>
              </w:rPr>
              <w:t>onó</w:t>
            </w:r>
            <w:r w:rsidRPr="00F015DE">
              <w:rPr>
                <w:rFonts w:ascii="Times New Roman" w:eastAsia="Times New Roman" w:hAnsi="Times New Roman" w:cs="Times New Roman"/>
                <w:color w:val="000000"/>
                <w:sz w:val="18"/>
                <w:szCs w:val="18"/>
                <w:lang w:eastAsia="es-HN"/>
              </w:rPr>
              <w:t>micos</w:t>
            </w:r>
            <w:r>
              <w:rPr>
                <w:rFonts w:ascii="Times New Roman" w:eastAsia="Times New Roman" w:hAnsi="Times New Roman" w:cs="Times New Roman"/>
                <w:color w:val="000000"/>
                <w:sz w:val="18"/>
                <w:szCs w:val="18"/>
                <w:lang w:eastAsia="es-HN"/>
              </w:rPr>
              <w:t xml:space="preserve"> </w:t>
            </w:r>
            <w:r w:rsidRPr="00F015DE">
              <w:rPr>
                <w:rFonts w:ascii="Times New Roman" w:eastAsia="Times New Roman" w:hAnsi="Times New Roman" w:cs="Times New Roman"/>
                <w:color w:val="000000"/>
                <w:sz w:val="18"/>
                <w:szCs w:val="18"/>
                <w:lang w:eastAsia="es-HN"/>
              </w:rPr>
              <w:t>que influenciaron la tasa de interés nominal en moneda nacional cobrada por los bancos comerciales en Honduras durante el período de 2019 a 2022.</w:t>
            </w:r>
          </w:p>
        </w:tc>
        <w:tc>
          <w:tcPr>
            <w:tcW w:w="1668" w:type="dxa"/>
            <w:vMerge w:val="restart"/>
            <w:tcBorders>
              <w:top w:val="nil"/>
              <w:left w:val="single" w:sz="4" w:space="0" w:color="auto"/>
              <w:bottom w:val="single" w:sz="4" w:space="0" w:color="000000"/>
              <w:right w:val="single" w:sz="4" w:space="0" w:color="auto"/>
            </w:tcBorders>
            <w:shd w:val="clear" w:color="auto" w:fill="auto"/>
            <w:vAlign w:val="center"/>
            <w:hideMark/>
          </w:tcPr>
          <w:p w14:paraId="61CB3088" w14:textId="77777777" w:rsidR="00934F29" w:rsidRPr="00F015DE" w:rsidRDefault="00934F29" w:rsidP="00F015DE">
            <w:pPr>
              <w:widowControl/>
              <w:jc w:val="center"/>
              <w:rPr>
                <w:rFonts w:ascii="Times New Roman" w:eastAsia="Times New Roman" w:hAnsi="Times New Roman" w:cs="Times New Roman"/>
                <w:color w:val="000000"/>
                <w:sz w:val="18"/>
                <w:szCs w:val="18"/>
                <w:lang w:eastAsia="es-HN"/>
              </w:rPr>
            </w:pPr>
            <w:r w:rsidRPr="00F015DE">
              <w:rPr>
                <w:rFonts w:ascii="Times New Roman" w:eastAsia="Times New Roman" w:hAnsi="Times New Roman" w:cs="Times New Roman"/>
                <w:color w:val="000000"/>
                <w:sz w:val="18"/>
                <w:szCs w:val="18"/>
                <w:lang w:eastAsia="es-HN"/>
              </w:rPr>
              <w:t>Factores Macroeconómicos</w:t>
            </w:r>
          </w:p>
        </w:tc>
        <w:tc>
          <w:tcPr>
            <w:tcW w:w="3002" w:type="dxa"/>
            <w:vMerge w:val="restart"/>
            <w:tcBorders>
              <w:top w:val="nil"/>
              <w:left w:val="single" w:sz="4" w:space="0" w:color="auto"/>
              <w:bottom w:val="single" w:sz="4" w:space="0" w:color="000000"/>
              <w:right w:val="single" w:sz="4" w:space="0" w:color="auto"/>
            </w:tcBorders>
            <w:shd w:val="clear" w:color="auto" w:fill="auto"/>
            <w:vAlign w:val="center"/>
            <w:hideMark/>
          </w:tcPr>
          <w:p w14:paraId="4B11AE3E" w14:textId="77777777" w:rsidR="00934F29" w:rsidRPr="00F015DE" w:rsidRDefault="00934F29" w:rsidP="00F015DE">
            <w:pPr>
              <w:widowControl/>
              <w:jc w:val="center"/>
              <w:rPr>
                <w:rFonts w:ascii="Times New Roman" w:eastAsia="Times New Roman" w:hAnsi="Times New Roman" w:cs="Times New Roman"/>
                <w:color w:val="000000"/>
                <w:sz w:val="18"/>
                <w:szCs w:val="18"/>
                <w:lang w:eastAsia="es-HN"/>
              </w:rPr>
            </w:pPr>
            <w:r w:rsidRPr="00F015DE">
              <w:rPr>
                <w:rFonts w:ascii="Times New Roman" w:eastAsia="Times New Roman" w:hAnsi="Times New Roman" w:cs="Times New Roman"/>
                <w:color w:val="000000"/>
                <w:sz w:val="18"/>
                <w:szCs w:val="18"/>
                <w:lang w:eastAsia="es-HN"/>
              </w:rPr>
              <w:t>Son variables y elementos de gran escala que influyen en la economía de un país o región en su conjunto, estos factores se utilizan para analizar y evaluar la salud económica de una nación y comprender cómo se comporta y se desarrolla su economía en términos generales.</w:t>
            </w:r>
          </w:p>
        </w:tc>
        <w:tc>
          <w:tcPr>
            <w:tcW w:w="2243" w:type="dxa"/>
            <w:vMerge w:val="restart"/>
            <w:tcBorders>
              <w:top w:val="nil"/>
              <w:left w:val="single" w:sz="4" w:space="0" w:color="auto"/>
              <w:bottom w:val="single" w:sz="4" w:space="0" w:color="000000"/>
              <w:right w:val="single" w:sz="4" w:space="0" w:color="auto"/>
            </w:tcBorders>
            <w:shd w:val="clear" w:color="auto" w:fill="auto"/>
            <w:vAlign w:val="center"/>
            <w:hideMark/>
          </w:tcPr>
          <w:p w14:paraId="00565C64" w14:textId="39B5DCA7" w:rsidR="00934F29" w:rsidRPr="00F015DE" w:rsidRDefault="00934F29" w:rsidP="00F015DE">
            <w:pPr>
              <w:widowControl/>
              <w:jc w:val="center"/>
              <w:rPr>
                <w:rFonts w:ascii="Times New Roman" w:eastAsia="Times New Roman" w:hAnsi="Times New Roman" w:cs="Times New Roman"/>
                <w:color w:val="000000"/>
                <w:sz w:val="18"/>
                <w:szCs w:val="18"/>
                <w:lang w:eastAsia="es-HN"/>
              </w:rPr>
            </w:pPr>
            <w:r w:rsidRPr="00B36A5F">
              <w:rPr>
                <w:rFonts w:ascii="Times New Roman" w:eastAsia="Times New Roman" w:hAnsi="Times New Roman" w:cs="Times New Roman"/>
                <w:color w:val="000000"/>
                <w:sz w:val="18"/>
                <w:szCs w:val="18"/>
                <w:lang w:eastAsia="es-HN"/>
              </w:rPr>
              <w:t>Es una guía de entrevista diseñada para recopilar datos cualitativos en una investigación. Este instrumento consta de una serie de preguntas abiertas y temas predefinidos que el entrevistador seguirá, pero permite flexibilidad para explorar en profundidad las respuestas de los entrevistados. El instrumento garantiza una dirección coherente de la entrevista mientras permite una exploración más profunda y rica de los temas tratados.</w:t>
            </w:r>
          </w:p>
        </w:tc>
        <w:tc>
          <w:tcPr>
            <w:tcW w:w="1701" w:type="dxa"/>
            <w:tcBorders>
              <w:top w:val="nil"/>
              <w:left w:val="single" w:sz="4" w:space="0" w:color="auto"/>
              <w:bottom w:val="single" w:sz="4" w:space="0" w:color="000000"/>
              <w:right w:val="single" w:sz="4" w:space="0" w:color="auto"/>
            </w:tcBorders>
            <w:shd w:val="clear" w:color="auto" w:fill="auto"/>
            <w:noWrap/>
            <w:vAlign w:val="center"/>
            <w:hideMark/>
          </w:tcPr>
          <w:p w14:paraId="0C230FF8" w14:textId="77777777" w:rsidR="00934F29" w:rsidRPr="00F015DE" w:rsidRDefault="00934F29" w:rsidP="00F015DE">
            <w:pPr>
              <w:widowControl/>
              <w:jc w:val="center"/>
              <w:rPr>
                <w:rFonts w:ascii="Times New Roman" w:eastAsia="Times New Roman" w:hAnsi="Times New Roman" w:cs="Times New Roman"/>
                <w:color w:val="000000"/>
                <w:sz w:val="18"/>
                <w:szCs w:val="18"/>
                <w:lang w:eastAsia="es-HN"/>
              </w:rPr>
            </w:pPr>
            <w:r w:rsidRPr="00F015DE">
              <w:rPr>
                <w:rFonts w:ascii="Times New Roman" w:eastAsia="Times New Roman" w:hAnsi="Times New Roman" w:cs="Times New Roman"/>
                <w:color w:val="000000"/>
                <w:sz w:val="18"/>
                <w:szCs w:val="18"/>
                <w:lang w:eastAsia="es-HN"/>
              </w:rPr>
              <w:t>Indicadores Económicos</w:t>
            </w:r>
          </w:p>
        </w:tc>
        <w:tc>
          <w:tcPr>
            <w:tcW w:w="170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2853F2" w14:textId="6728F4A8" w:rsidR="00934F29" w:rsidRPr="00F015DE" w:rsidRDefault="00BE3E15" w:rsidP="00F015DE">
            <w:pPr>
              <w:widowControl/>
              <w:jc w:val="center"/>
              <w:rPr>
                <w:rFonts w:ascii="Times New Roman" w:eastAsia="Times New Roman" w:hAnsi="Times New Roman" w:cs="Times New Roman"/>
                <w:color w:val="000000"/>
                <w:sz w:val="18"/>
                <w:szCs w:val="18"/>
                <w:lang w:eastAsia="es-HN"/>
              </w:rPr>
            </w:pPr>
            <w:r w:rsidRPr="00AA6A2C">
              <w:rPr>
                <w:rFonts w:ascii="Times New Roman" w:eastAsia="Times New Roman" w:hAnsi="Times New Roman" w:cs="Times New Roman"/>
                <w:color w:val="000000"/>
                <w:sz w:val="18"/>
                <w:szCs w:val="18"/>
                <w:lang w:eastAsia="es-HN"/>
              </w:rPr>
              <w:t>Grupo Focal</w:t>
            </w:r>
          </w:p>
        </w:tc>
        <w:tc>
          <w:tcPr>
            <w:tcW w:w="1842" w:type="dxa"/>
            <w:tcBorders>
              <w:top w:val="nil"/>
              <w:left w:val="nil"/>
              <w:bottom w:val="single" w:sz="4" w:space="0" w:color="auto"/>
              <w:right w:val="single" w:sz="4" w:space="0" w:color="auto"/>
            </w:tcBorders>
            <w:shd w:val="clear" w:color="auto" w:fill="auto"/>
            <w:vAlign w:val="center"/>
            <w:hideMark/>
          </w:tcPr>
          <w:p w14:paraId="7E292B44" w14:textId="4FAF0ECA" w:rsidR="00934F29" w:rsidRPr="00D72DBF" w:rsidRDefault="00934F29" w:rsidP="00934F29">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Producto Interno Bruto (PIB)</w:t>
            </w:r>
          </w:p>
        </w:tc>
        <w:tc>
          <w:tcPr>
            <w:tcW w:w="1701" w:type="dxa"/>
            <w:tcBorders>
              <w:top w:val="nil"/>
              <w:left w:val="nil"/>
              <w:bottom w:val="single" w:sz="4" w:space="0" w:color="auto"/>
              <w:right w:val="single" w:sz="4" w:space="0" w:color="auto"/>
            </w:tcBorders>
            <w:shd w:val="clear" w:color="auto" w:fill="auto"/>
            <w:noWrap/>
            <w:vAlign w:val="center"/>
            <w:hideMark/>
          </w:tcPr>
          <w:p w14:paraId="0C6DC1BF" w14:textId="12A72419" w:rsidR="00934F29" w:rsidRPr="00D72DBF" w:rsidRDefault="00934F29" w:rsidP="00934F29">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 xml:space="preserve">Anexo 1, ítem </w:t>
            </w:r>
            <w:r w:rsidR="00D72DBF" w:rsidRPr="00D72DBF">
              <w:rPr>
                <w:rFonts w:ascii="Times New Roman" w:eastAsia="Times New Roman" w:hAnsi="Times New Roman" w:cs="Times New Roman"/>
                <w:sz w:val="18"/>
                <w:szCs w:val="18"/>
                <w:lang w:eastAsia="es-HN"/>
              </w:rPr>
              <w:t>1</w:t>
            </w:r>
          </w:p>
        </w:tc>
      </w:tr>
      <w:tr w:rsidR="00B36A5F" w:rsidRPr="00F015DE" w14:paraId="0AAB71BF" w14:textId="77777777" w:rsidTr="00934F29">
        <w:trPr>
          <w:trHeight w:val="720"/>
        </w:trPr>
        <w:tc>
          <w:tcPr>
            <w:tcW w:w="1451" w:type="dxa"/>
            <w:vMerge/>
            <w:tcBorders>
              <w:top w:val="nil"/>
              <w:left w:val="single" w:sz="4" w:space="0" w:color="auto"/>
              <w:bottom w:val="single" w:sz="4" w:space="0" w:color="000000"/>
              <w:right w:val="single" w:sz="4" w:space="0" w:color="auto"/>
            </w:tcBorders>
            <w:vAlign w:val="center"/>
            <w:hideMark/>
          </w:tcPr>
          <w:p w14:paraId="52EC00EE"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668" w:type="dxa"/>
            <w:vMerge/>
            <w:tcBorders>
              <w:top w:val="nil"/>
              <w:left w:val="single" w:sz="4" w:space="0" w:color="auto"/>
              <w:bottom w:val="single" w:sz="4" w:space="0" w:color="000000"/>
              <w:right w:val="single" w:sz="4" w:space="0" w:color="auto"/>
            </w:tcBorders>
            <w:vAlign w:val="center"/>
            <w:hideMark/>
          </w:tcPr>
          <w:p w14:paraId="42EC8C2B"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3002" w:type="dxa"/>
            <w:vMerge/>
            <w:tcBorders>
              <w:top w:val="nil"/>
              <w:left w:val="single" w:sz="4" w:space="0" w:color="auto"/>
              <w:bottom w:val="single" w:sz="4" w:space="0" w:color="000000"/>
              <w:right w:val="single" w:sz="4" w:space="0" w:color="auto"/>
            </w:tcBorders>
            <w:vAlign w:val="center"/>
            <w:hideMark/>
          </w:tcPr>
          <w:p w14:paraId="07CA2212"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2243" w:type="dxa"/>
            <w:vMerge/>
            <w:tcBorders>
              <w:top w:val="nil"/>
              <w:left w:val="single" w:sz="4" w:space="0" w:color="auto"/>
              <w:bottom w:val="single" w:sz="4" w:space="0" w:color="000000"/>
              <w:right w:val="single" w:sz="4" w:space="0" w:color="auto"/>
            </w:tcBorders>
            <w:vAlign w:val="center"/>
            <w:hideMark/>
          </w:tcPr>
          <w:p w14:paraId="7089B4D9"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70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EBDE64" w14:textId="77777777" w:rsidR="00F015DE" w:rsidRPr="00F015DE" w:rsidRDefault="00F015DE" w:rsidP="00F015DE">
            <w:pPr>
              <w:widowControl/>
              <w:jc w:val="center"/>
              <w:rPr>
                <w:rFonts w:ascii="Times New Roman" w:eastAsia="Times New Roman" w:hAnsi="Times New Roman" w:cs="Times New Roman"/>
                <w:color w:val="000000"/>
                <w:sz w:val="18"/>
                <w:szCs w:val="18"/>
                <w:lang w:eastAsia="es-HN"/>
              </w:rPr>
            </w:pPr>
            <w:r w:rsidRPr="00F015DE">
              <w:rPr>
                <w:rFonts w:ascii="Times New Roman" w:eastAsia="Times New Roman" w:hAnsi="Times New Roman" w:cs="Times New Roman"/>
                <w:color w:val="000000"/>
                <w:sz w:val="18"/>
                <w:szCs w:val="18"/>
                <w:lang w:eastAsia="es-HN"/>
              </w:rPr>
              <w:t>Políticas Monetaria</w:t>
            </w:r>
          </w:p>
        </w:tc>
        <w:tc>
          <w:tcPr>
            <w:tcW w:w="1701" w:type="dxa"/>
            <w:vMerge/>
            <w:tcBorders>
              <w:top w:val="nil"/>
              <w:left w:val="single" w:sz="4" w:space="0" w:color="auto"/>
              <w:bottom w:val="single" w:sz="4" w:space="0" w:color="000000"/>
              <w:right w:val="single" w:sz="4" w:space="0" w:color="auto"/>
            </w:tcBorders>
            <w:vAlign w:val="center"/>
            <w:hideMark/>
          </w:tcPr>
          <w:p w14:paraId="0CBFA262"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842" w:type="dxa"/>
            <w:tcBorders>
              <w:top w:val="single" w:sz="4" w:space="0" w:color="auto"/>
              <w:left w:val="nil"/>
              <w:bottom w:val="single" w:sz="4" w:space="0" w:color="auto"/>
              <w:right w:val="single" w:sz="4" w:space="0" w:color="auto"/>
            </w:tcBorders>
            <w:shd w:val="clear" w:color="auto" w:fill="auto"/>
            <w:vAlign w:val="center"/>
            <w:hideMark/>
          </w:tcPr>
          <w:p w14:paraId="2EC54D6A" w14:textId="77777777"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Tasa de Política Monetaria</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2379DBE" w14:textId="224499DE"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 xml:space="preserve">Anexo 1, ítem </w:t>
            </w:r>
            <w:r w:rsidR="00D72DBF" w:rsidRPr="00D72DBF">
              <w:rPr>
                <w:rFonts w:ascii="Times New Roman" w:eastAsia="Times New Roman" w:hAnsi="Times New Roman" w:cs="Times New Roman"/>
                <w:sz w:val="18"/>
                <w:szCs w:val="18"/>
                <w:lang w:eastAsia="es-HN"/>
              </w:rPr>
              <w:t>1-2</w:t>
            </w:r>
          </w:p>
        </w:tc>
      </w:tr>
      <w:tr w:rsidR="00B36A5F" w:rsidRPr="00F015DE" w14:paraId="14AAB2C4" w14:textId="77777777" w:rsidTr="00B36A5F">
        <w:trPr>
          <w:trHeight w:val="720"/>
        </w:trPr>
        <w:tc>
          <w:tcPr>
            <w:tcW w:w="1451" w:type="dxa"/>
            <w:vMerge/>
            <w:tcBorders>
              <w:top w:val="nil"/>
              <w:left w:val="single" w:sz="4" w:space="0" w:color="auto"/>
              <w:bottom w:val="single" w:sz="4" w:space="0" w:color="000000"/>
              <w:right w:val="single" w:sz="4" w:space="0" w:color="auto"/>
            </w:tcBorders>
            <w:vAlign w:val="center"/>
            <w:hideMark/>
          </w:tcPr>
          <w:p w14:paraId="6E375931"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668" w:type="dxa"/>
            <w:vMerge/>
            <w:tcBorders>
              <w:top w:val="nil"/>
              <w:left w:val="single" w:sz="4" w:space="0" w:color="auto"/>
              <w:bottom w:val="single" w:sz="4" w:space="0" w:color="000000"/>
              <w:right w:val="single" w:sz="4" w:space="0" w:color="auto"/>
            </w:tcBorders>
            <w:vAlign w:val="center"/>
            <w:hideMark/>
          </w:tcPr>
          <w:p w14:paraId="5C659E77"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3002" w:type="dxa"/>
            <w:vMerge/>
            <w:tcBorders>
              <w:top w:val="nil"/>
              <w:left w:val="single" w:sz="4" w:space="0" w:color="auto"/>
              <w:bottom w:val="single" w:sz="4" w:space="0" w:color="000000"/>
              <w:right w:val="single" w:sz="4" w:space="0" w:color="auto"/>
            </w:tcBorders>
            <w:vAlign w:val="center"/>
            <w:hideMark/>
          </w:tcPr>
          <w:p w14:paraId="417D2A33"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2243" w:type="dxa"/>
            <w:vMerge/>
            <w:tcBorders>
              <w:top w:val="nil"/>
              <w:left w:val="single" w:sz="4" w:space="0" w:color="auto"/>
              <w:bottom w:val="single" w:sz="4" w:space="0" w:color="000000"/>
              <w:right w:val="single" w:sz="4" w:space="0" w:color="auto"/>
            </w:tcBorders>
            <w:vAlign w:val="center"/>
            <w:hideMark/>
          </w:tcPr>
          <w:p w14:paraId="79C8C0BD"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701" w:type="dxa"/>
            <w:vMerge/>
            <w:tcBorders>
              <w:top w:val="nil"/>
              <w:left w:val="single" w:sz="4" w:space="0" w:color="auto"/>
              <w:bottom w:val="single" w:sz="4" w:space="0" w:color="000000"/>
              <w:right w:val="single" w:sz="4" w:space="0" w:color="auto"/>
            </w:tcBorders>
            <w:vAlign w:val="center"/>
            <w:hideMark/>
          </w:tcPr>
          <w:p w14:paraId="2597072D"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701" w:type="dxa"/>
            <w:vMerge/>
            <w:tcBorders>
              <w:top w:val="nil"/>
              <w:left w:val="single" w:sz="4" w:space="0" w:color="auto"/>
              <w:bottom w:val="single" w:sz="4" w:space="0" w:color="000000"/>
              <w:right w:val="single" w:sz="4" w:space="0" w:color="auto"/>
            </w:tcBorders>
            <w:vAlign w:val="center"/>
            <w:hideMark/>
          </w:tcPr>
          <w:p w14:paraId="2DFB0E35"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842" w:type="dxa"/>
            <w:tcBorders>
              <w:top w:val="nil"/>
              <w:left w:val="nil"/>
              <w:bottom w:val="single" w:sz="4" w:space="0" w:color="auto"/>
              <w:right w:val="single" w:sz="4" w:space="0" w:color="auto"/>
            </w:tcBorders>
            <w:shd w:val="clear" w:color="auto" w:fill="auto"/>
            <w:vAlign w:val="center"/>
            <w:hideMark/>
          </w:tcPr>
          <w:p w14:paraId="135CDE53" w14:textId="77777777"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Subasta de Valores del Banco Central de Honduras (SVBCH)</w:t>
            </w:r>
          </w:p>
        </w:tc>
        <w:tc>
          <w:tcPr>
            <w:tcW w:w="1701" w:type="dxa"/>
            <w:tcBorders>
              <w:top w:val="nil"/>
              <w:left w:val="nil"/>
              <w:bottom w:val="single" w:sz="4" w:space="0" w:color="auto"/>
              <w:right w:val="single" w:sz="4" w:space="0" w:color="auto"/>
            </w:tcBorders>
            <w:shd w:val="clear" w:color="auto" w:fill="auto"/>
            <w:noWrap/>
            <w:vAlign w:val="center"/>
            <w:hideMark/>
          </w:tcPr>
          <w:p w14:paraId="6CC9CC2C" w14:textId="4F912674"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Anexo 1, ítem 1</w:t>
            </w:r>
            <w:r w:rsidR="00D72DBF" w:rsidRPr="00D72DBF">
              <w:rPr>
                <w:rFonts w:ascii="Times New Roman" w:eastAsia="Times New Roman" w:hAnsi="Times New Roman" w:cs="Times New Roman"/>
                <w:sz w:val="18"/>
                <w:szCs w:val="18"/>
                <w:lang w:eastAsia="es-HN"/>
              </w:rPr>
              <w:t>-2</w:t>
            </w:r>
          </w:p>
        </w:tc>
      </w:tr>
      <w:tr w:rsidR="00B36A5F" w:rsidRPr="00F015DE" w14:paraId="01175F94" w14:textId="77777777" w:rsidTr="00B36A5F">
        <w:trPr>
          <w:trHeight w:val="487"/>
        </w:trPr>
        <w:tc>
          <w:tcPr>
            <w:tcW w:w="1451" w:type="dxa"/>
            <w:vMerge/>
            <w:tcBorders>
              <w:top w:val="nil"/>
              <w:left w:val="single" w:sz="4" w:space="0" w:color="auto"/>
              <w:bottom w:val="single" w:sz="4" w:space="0" w:color="000000"/>
              <w:right w:val="single" w:sz="4" w:space="0" w:color="auto"/>
            </w:tcBorders>
            <w:vAlign w:val="center"/>
            <w:hideMark/>
          </w:tcPr>
          <w:p w14:paraId="7398C990"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668" w:type="dxa"/>
            <w:vMerge/>
            <w:tcBorders>
              <w:top w:val="nil"/>
              <w:left w:val="single" w:sz="4" w:space="0" w:color="auto"/>
              <w:bottom w:val="single" w:sz="4" w:space="0" w:color="000000"/>
              <w:right w:val="single" w:sz="4" w:space="0" w:color="auto"/>
            </w:tcBorders>
            <w:vAlign w:val="center"/>
            <w:hideMark/>
          </w:tcPr>
          <w:p w14:paraId="47799AA3"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3002" w:type="dxa"/>
            <w:vMerge/>
            <w:tcBorders>
              <w:top w:val="nil"/>
              <w:left w:val="single" w:sz="4" w:space="0" w:color="auto"/>
              <w:bottom w:val="single" w:sz="4" w:space="0" w:color="000000"/>
              <w:right w:val="single" w:sz="4" w:space="0" w:color="auto"/>
            </w:tcBorders>
            <w:vAlign w:val="center"/>
            <w:hideMark/>
          </w:tcPr>
          <w:p w14:paraId="1F2E4CD6"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2243" w:type="dxa"/>
            <w:vMerge/>
            <w:tcBorders>
              <w:top w:val="nil"/>
              <w:left w:val="single" w:sz="4" w:space="0" w:color="auto"/>
              <w:bottom w:val="single" w:sz="4" w:space="0" w:color="000000"/>
              <w:right w:val="single" w:sz="4" w:space="0" w:color="auto"/>
            </w:tcBorders>
            <w:vAlign w:val="center"/>
            <w:hideMark/>
          </w:tcPr>
          <w:p w14:paraId="4E467D9D"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701" w:type="dxa"/>
            <w:vMerge/>
            <w:tcBorders>
              <w:top w:val="nil"/>
              <w:left w:val="single" w:sz="4" w:space="0" w:color="auto"/>
              <w:bottom w:val="single" w:sz="4" w:space="0" w:color="000000"/>
              <w:right w:val="single" w:sz="4" w:space="0" w:color="auto"/>
            </w:tcBorders>
            <w:vAlign w:val="center"/>
            <w:hideMark/>
          </w:tcPr>
          <w:p w14:paraId="014DE201"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701" w:type="dxa"/>
            <w:vMerge/>
            <w:tcBorders>
              <w:top w:val="nil"/>
              <w:left w:val="single" w:sz="4" w:space="0" w:color="auto"/>
              <w:bottom w:val="single" w:sz="4" w:space="0" w:color="000000"/>
              <w:right w:val="single" w:sz="4" w:space="0" w:color="auto"/>
            </w:tcBorders>
            <w:vAlign w:val="center"/>
            <w:hideMark/>
          </w:tcPr>
          <w:p w14:paraId="23E3FE68"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842" w:type="dxa"/>
            <w:tcBorders>
              <w:top w:val="nil"/>
              <w:left w:val="nil"/>
              <w:bottom w:val="single" w:sz="4" w:space="0" w:color="auto"/>
              <w:right w:val="single" w:sz="4" w:space="0" w:color="auto"/>
            </w:tcBorders>
            <w:shd w:val="clear" w:color="auto" w:fill="auto"/>
            <w:noWrap/>
            <w:vAlign w:val="center"/>
            <w:hideMark/>
          </w:tcPr>
          <w:p w14:paraId="7CA39E8A" w14:textId="32D737F8"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 xml:space="preserve">Ventanillas de </w:t>
            </w:r>
            <w:r w:rsidR="00B36A5F" w:rsidRPr="00D72DBF">
              <w:rPr>
                <w:rFonts w:ascii="Times New Roman" w:eastAsia="Times New Roman" w:hAnsi="Times New Roman" w:cs="Times New Roman"/>
                <w:sz w:val="18"/>
                <w:szCs w:val="18"/>
                <w:lang w:eastAsia="es-HN"/>
              </w:rPr>
              <w:t>Liquidez</w:t>
            </w:r>
          </w:p>
        </w:tc>
        <w:tc>
          <w:tcPr>
            <w:tcW w:w="1701" w:type="dxa"/>
            <w:tcBorders>
              <w:top w:val="nil"/>
              <w:left w:val="nil"/>
              <w:bottom w:val="single" w:sz="4" w:space="0" w:color="auto"/>
              <w:right w:val="single" w:sz="4" w:space="0" w:color="auto"/>
            </w:tcBorders>
            <w:shd w:val="clear" w:color="auto" w:fill="auto"/>
            <w:noWrap/>
            <w:vAlign w:val="center"/>
            <w:hideMark/>
          </w:tcPr>
          <w:p w14:paraId="2C0619C5" w14:textId="2E83C0F4"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Anexo 1, ítem 1</w:t>
            </w:r>
            <w:r w:rsidR="00D72DBF" w:rsidRPr="00D72DBF">
              <w:rPr>
                <w:rFonts w:ascii="Times New Roman" w:eastAsia="Times New Roman" w:hAnsi="Times New Roman" w:cs="Times New Roman"/>
                <w:sz w:val="18"/>
                <w:szCs w:val="18"/>
                <w:lang w:eastAsia="es-HN"/>
              </w:rPr>
              <w:t>-2</w:t>
            </w:r>
          </w:p>
        </w:tc>
      </w:tr>
      <w:tr w:rsidR="00B36A5F" w:rsidRPr="00F015DE" w14:paraId="2F08373C" w14:textId="77777777" w:rsidTr="00B36A5F">
        <w:trPr>
          <w:trHeight w:val="960"/>
        </w:trPr>
        <w:tc>
          <w:tcPr>
            <w:tcW w:w="1451" w:type="dxa"/>
            <w:vMerge w:val="restart"/>
            <w:tcBorders>
              <w:top w:val="nil"/>
              <w:left w:val="single" w:sz="4" w:space="0" w:color="auto"/>
              <w:bottom w:val="single" w:sz="4" w:space="0" w:color="auto"/>
              <w:right w:val="single" w:sz="4" w:space="0" w:color="auto"/>
            </w:tcBorders>
            <w:shd w:val="clear" w:color="auto" w:fill="auto"/>
            <w:vAlign w:val="center"/>
            <w:hideMark/>
          </w:tcPr>
          <w:p w14:paraId="78BA6F67" w14:textId="77777777" w:rsidR="00F015DE" w:rsidRPr="00F015DE" w:rsidRDefault="00F015DE" w:rsidP="00F015DE">
            <w:pPr>
              <w:widowControl/>
              <w:jc w:val="center"/>
              <w:rPr>
                <w:rFonts w:ascii="Times New Roman" w:eastAsia="Times New Roman" w:hAnsi="Times New Roman" w:cs="Times New Roman"/>
                <w:color w:val="000000"/>
                <w:sz w:val="18"/>
                <w:szCs w:val="18"/>
                <w:lang w:eastAsia="es-HN"/>
              </w:rPr>
            </w:pPr>
            <w:r w:rsidRPr="00F015DE">
              <w:rPr>
                <w:rFonts w:ascii="Times New Roman" w:eastAsia="Times New Roman" w:hAnsi="Times New Roman" w:cs="Times New Roman"/>
                <w:color w:val="000000"/>
                <w:sz w:val="18"/>
                <w:szCs w:val="18"/>
                <w:lang w:eastAsia="es-HN"/>
              </w:rPr>
              <w:t xml:space="preserve">Contrastar la incidencia de las políticas gubernamentales en apoyo al crédito en el comportamiento general de la tasa de interés nominal en moneda nacional cobrada por los bancos comerciales en Honduras durante el período de 2019 a 2022. </w:t>
            </w:r>
          </w:p>
        </w:tc>
        <w:tc>
          <w:tcPr>
            <w:tcW w:w="1668" w:type="dxa"/>
            <w:vMerge w:val="restart"/>
            <w:tcBorders>
              <w:top w:val="nil"/>
              <w:left w:val="single" w:sz="4" w:space="0" w:color="auto"/>
              <w:bottom w:val="single" w:sz="4" w:space="0" w:color="auto"/>
              <w:right w:val="single" w:sz="4" w:space="0" w:color="auto"/>
            </w:tcBorders>
            <w:shd w:val="clear" w:color="auto" w:fill="auto"/>
            <w:vAlign w:val="center"/>
            <w:hideMark/>
          </w:tcPr>
          <w:p w14:paraId="2350BCEE" w14:textId="77777777" w:rsidR="00F015DE" w:rsidRPr="00F015DE" w:rsidRDefault="00F015DE" w:rsidP="00F015DE">
            <w:pPr>
              <w:widowControl/>
              <w:jc w:val="center"/>
              <w:rPr>
                <w:rFonts w:ascii="Times New Roman" w:eastAsia="Times New Roman" w:hAnsi="Times New Roman" w:cs="Times New Roman"/>
                <w:color w:val="000000"/>
                <w:sz w:val="18"/>
                <w:szCs w:val="18"/>
                <w:lang w:eastAsia="es-HN"/>
              </w:rPr>
            </w:pPr>
            <w:r w:rsidRPr="00F015DE">
              <w:rPr>
                <w:rFonts w:ascii="Times New Roman" w:eastAsia="Times New Roman" w:hAnsi="Times New Roman" w:cs="Times New Roman"/>
                <w:color w:val="000000"/>
                <w:sz w:val="18"/>
                <w:szCs w:val="18"/>
                <w:lang w:eastAsia="es-HN"/>
              </w:rPr>
              <w:t>Políticas Gubernamentales</w:t>
            </w:r>
          </w:p>
        </w:tc>
        <w:tc>
          <w:tcPr>
            <w:tcW w:w="3002" w:type="dxa"/>
            <w:vMerge w:val="restart"/>
            <w:tcBorders>
              <w:top w:val="nil"/>
              <w:left w:val="single" w:sz="4" w:space="0" w:color="auto"/>
              <w:bottom w:val="single" w:sz="4" w:space="0" w:color="000000"/>
              <w:right w:val="single" w:sz="4" w:space="0" w:color="auto"/>
            </w:tcBorders>
            <w:shd w:val="clear" w:color="auto" w:fill="auto"/>
            <w:vAlign w:val="center"/>
            <w:hideMark/>
          </w:tcPr>
          <w:p w14:paraId="7FF745A3" w14:textId="75394D00" w:rsidR="00B36A5F" w:rsidRPr="00B36A5F" w:rsidRDefault="00F015DE" w:rsidP="00B36A5F">
            <w:pPr>
              <w:widowControl/>
              <w:jc w:val="center"/>
              <w:rPr>
                <w:rFonts w:ascii="Times New Roman" w:eastAsia="Times New Roman" w:hAnsi="Times New Roman" w:cs="Times New Roman"/>
                <w:sz w:val="18"/>
                <w:szCs w:val="18"/>
                <w:lang w:eastAsia="es-HN"/>
              </w:rPr>
            </w:pPr>
            <w:r w:rsidRPr="00F015DE">
              <w:rPr>
                <w:rFonts w:ascii="Times New Roman" w:eastAsia="Times New Roman" w:hAnsi="Times New Roman" w:cs="Times New Roman"/>
                <w:color w:val="000000"/>
                <w:sz w:val="18"/>
                <w:szCs w:val="18"/>
                <w:lang w:eastAsia="es-HN"/>
              </w:rPr>
              <w:t>Se refieren a las estrategias, acciones y decisiones planificadas y ejecutadas por el gobierno de un país o entidad política para abordar y resolver problemas específicos, alcanzar objetivos sociales o económicos, y regular diversos aspectos de la sociedad. En esencia, las políticas gubernamentales representan el conjunto de acciones deliberadas destinadas a influir en la sociedad y la economía con el fin de promover el bienestar general y el desarrollo sostenible. Estas políticas pueden manifestarse a través de leyes, regulaciones, programas, presupuestos y otras medidas implementadas por el gobierno en busca de resultados específicos.</w:t>
            </w:r>
          </w:p>
          <w:p w14:paraId="0A04C916" w14:textId="77777777" w:rsidR="00B36A5F" w:rsidRDefault="00B36A5F" w:rsidP="00B36A5F">
            <w:pPr>
              <w:rPr>
                <w:rFonts w:ascii="Times New Roman" w:eastAsia="Times New Roman" w:hAnsi="Times New Roman" w:cs="Times New Roman"/>
                <w:color w:val="000000"/>
                <w:sz w:val="18"/>
                <w:szCs w:val="18"/>
                <w:lang w:eastAsia="es-HN"/>
              </w:rPr>
            </w:pPr>
          </w:p>
          <w:p w14:paraId="6B6CB4E0" w14:textId="77777777" w:rsidR="00B36A5F" w:rsidRPr="00F015DE" w:rsidRDefault="00B36A5F" w:rsidP="00B36A5F">
            <w:pPr>
              <w:rPr>
                <w:rFonts w:ascii="Times New Roman" w:eastAsia="Times New Roman" w:hAnsi="Times New Roman" w:cs="Times New Roman"/>
                <w:sz w:val="18"/>
                <w:szCs w:val="18"/>
                <w:lang w:eastAsia="es-HN"/>
              </w:rPr>
            </w:pPr>
          </w:p>
        </w:tc>
        <w:tc>
          <w:tcPr>
            <w:tcW w:w="2243" w:type="dxa"/>
            <w:vMerge/>
            <w:tcBorders>
              <w:top w:val="nil"/>
              <w:left w:val="single" w:sz="4" w:space="0" w:color="auto"/>
              <w:bottom w:val="single" w:sz="4" w:space="0" w:color="000000"/>
              <w:right w:val="single" w:sz="4" w:space="0" w:color="auto"/>
            </w:tcBorders>
            <w:vAlign w:val="center"/>
            <w:hideMark/>
          </w:tcPr>
          <w:p w14:paraId="4463DAFA"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70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D48E59" w14:textId="77777777" w:rsidR="00F015DE" w:rsidRPr="00F015DE" w:rsidRDefault="00F015DE" w:rsidP="00F015DE">
            <w:pPr>
              <w:widowControl/>
              <w:jc w:val="center"/>
              <w:rPr>
                <w:rFonts w:ascii="Times New Roman" w:eastAsia="Times New Roman" w:hAnsi="Times New Roman" w:cs="Times New Roman"/>
                <w:color w:val="000000"/>
                <w:sz w:val="18"/>
                <w:szCs w:val="18"/>
                <w:lang w:eastAsia="es-HN"/>
              </w:rPr>
            </w:pPr>
            <w:r w:rsidRPr="00F015DE">
              <w:rPr>
                <w:rFonts w:ascii="Times New Roman" w:eastAsia="Times New Roman" w:hAnsi="Times New Roman" w:cs="Times New Roman"/>
                <w:color w:val="000000"/>
                <w:sz w:val="18"/>
                <w:szCs w:val="18"/>
                <w:lang w:eastAsia="es-HN"/>
              </w:rPr>
              <w:t>Política Crediticia</w:t>
            </w:r>
          </w:p>
        </w:tc>
        <w:tc>
          <w:tcPr>
            <w:tcW w:w="1701" w:type="dxa"/>
            <w:vMerge/>
            <w:tcBorders>
              <w:top w:val="nil"/>
              <w:left w:val="single" w:sz="4" w:space="0" w:color="auto"/>
              <w:bottom w:val="single" w:sz="4" w:space="0" w:color="000000"/>
              <w:right w:val="single" w:sz="4" w:space="0" w:color="auto"/>
            </w:tcBorders>
            <w:vAlign w:val="center"/>
            <w:hideMark/>
          </w:tcPr>
          <w:p w14:paraId="0665CAE5"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842" w:type="dxa"/>
            <w:tcBorders>
              <w:top w:val="nil"/>
              <w:left w:val="nil"/>
              <w:bottom w:val="single" w:sz="4" w:space="0" w:color="auto"/>
              <w:right w:val="single" w:sz="4" w:space="0" w:color="auto"/>
            </w:tcBorders>
            <w:shd w:val="clear" w:color="auto" w:fill="auto"/>
            <w:vAlign w:val="center"/>
            <w:hideMark/>
          </w:tcPr>
          <w:p w14:paraId="0A256F83" w14:textId="77777777"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Fondos BCH-BANHPROVI</w:t>
            </w:r>
          </w:p>
        </w:tc>
        <w:tc>
          <w:tcPr>
            <w:tcW w:w="1701" w:type="dxa"/>
            <w:tcBorders>
              <w:top w:val="nil"/>
              <w:left w:val="nil"/>
              <w:bottom w:val="single" w:sz="4" w:space="0" w:color="auto"/>
              <w:right w:val="single" w:sz="4" w:space="0" w:color="auto"/>
            </w:tcBorders>
            <w:shd w:val="clear" w:color="auto" w:fill="auto"/>
            <w:noWrap/>
            <w:vAlign w:val="center"/>
            <w:hideMark/>
          </w:tcPr>
          <w:p w14:paraId="5933B088" w14:textId="59F27A05"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 xml:space="preserve">Anexo 1, ítem </w:t>
            </w:r>
            <w:r w:rsidR="00D72DBF" w:rsidRPr="00D72DBF">
              <w:rPr>
                <w:rFonts w:ascii="Times New Roman" w:eastAsia="Times New Roman" w:hAnsi="Times New Roman" w:cs="Times New Roman"/>
                <w:sz w:val="18"/>
                <w:szCs w:val="18"/>
                <w:lang w:eastAsia="es-HN"/>
              </w:rPr>
              <w:t>3</w:t>
            </w:r>
          </w:p>
        </w:tc>
      </w:tr>
      <w:tr w:rsidR="00B36A5F" w:rsidRPr="00F015DE" w14:paraId="3A1DA681" w14:textId="77777777" w:rsidTr="00B36A5F">
        <w:trPr>
          <w:trHeight w:val="960"/>
        </w:trPr>
        <w:tc>
          <w:tcPr>
            <w:tcW w:w="1451" w:type="dxa"/>
            <w:vMerge/>
            <w:tcBorders>
              <w:top w:val="nil"/>
              <w:left w:val="single" w:sz="4" w:space="0" w:color="auto"/>
              <w:bottom w:val="single" w:sz="4" w:space="0" w:color="auto"/>
              <w:right w:val="single" w:sz="4" w:space="0" w:color="auto"/>
            </w:tcBorders>
            <w:vAlign w:val="center"/>
            <w:hideMark/>
          </w:tcPr>
          <w:p w14:paraId="693BCCDD"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668" w:type="dxa"/>
            <w:vMerge/>
            <w:tcBorders>
              <w:top w:val="nil"/>
              <w:left w:val="single" w:sz="4" w:space="0" w:color="auto"/>
              <w:bottom w:val="single" w:sz="4" w:space="0" w:color="auto"/>
              <w:right w:val="single" w:sz="4" w:space="0" w:color="auto"/>
            </w:tcBorders>
            <w:vAlign w:val="center"/>
            <w:hideMark/>
          </w:tcPr>
          <w:p w14:paraId="362F32D8"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3002" w:type="dxa"/>
            <w:vMerge/>
            <w:tcBorders>
              <w:top w:val="nil"/>
              <w:left w:val="single" w:sz="4" w:space="0" w:color="auto"/>
              <w:bottom w:val="single" w:sz="4" w:space="0" w:color="000000"/>
              <w:right w:val="single" w:sz="4" w:space="0" w:color="auto"/>
            </w:tcBorders>
            <w:vAlign w:val="center"/>
            <w:hideMark/>
          </w:tcPr>
          <w:p w14:paraId="4BBE6C46"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2243" w:type="dxa"/>
            <w:vMerge/>
            <w:tcBorders>
              <w:top w:val="nil"/>
              <w:left w:val="single" w:sz="4" w:space="0" w:color="auto"/>
              <w:bottom w:val="single" w:sz="4" w:space="0" w:color="000000"/>
              <w:right w:val="single" w:sz="4" w:space="0" w:color="auto"/>
            </w:tcBorders>
            <w:vAlign w:val="center"/>
            <w:hideMark/>
          </w:tcPr>
          <w:p w14:paraId="634C912B"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701" w:type="dxa"/>
            <w:vMerge/>
            <w:tcBorders>
              <w:top w:val="nil"/>
              <w:left w:val="single" w:sz="4" w:space="0" w:color="auto"/>
              <w:bottom w:val="single" w:sz="4" w:space="0" w:color="000000"/>
              <w:right w:val="single" w:sz="4" w:space="0" w:color="auto"/>
            </w:tcBorders>
            <w:vAlign w:val="center"/>
            <w:hideMark/>
          </w:tcPr>
          <w:p w14:paraId="0B6A135D"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701" w:type="dxa"/>
            <w:vMerge/>
            <w:tcBorders>
              <w:top w:val="nil"/>
              <w:left w:val="single" w:sz="4" w:space="0" w:color="auto"/>
              <w:bottom w:val="single" w:sz="4" w:space="0" w:color="000000"/>
              <w:right w:val="single" w:sz="4" w:space="0" w:color="auto"/>
            </w:tcBorders>
            <w:vAlign w:val="center"/>
            <w:hideMark/>
          </w:tcPr>
          <w:p w14:paraId="7F758A1C"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842" w:type="dxa"/>
            <w:tcBorders>
              <w:top w:val="nil"/>
              <w:left w:val="nil"/>
              <w:bottom w:val="single" w:sz="4" w:space="0" w:color="auto"/>
              <w:right w:val="single" w:sz="4" w:space="0" w:color="auto"/>
            </w:tcBorders>
            <w:shd w:val="clear" w:color="auto" w:fill="auto"/>
            <w:noWrap/>
            <w:vAlign w:val="center"/>
            <w:hideMark/>
          </w:tcPr>
          <w:p w14:paraId="5B403E45" w14:textId="77777777"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Fondos de Garantía</w:t>
            </w:r>
          </w:p>
        </w:tc>
        <w:tc>
          <w:tcPr>
            <w:tcW w:w="1701" w:type="dxa"/>
            <w:tcBorders>
              <w:top w:val="nil"/>
              <w:left w:val="nil"/>
              <w:bottom w:val="single" w:sz="4" w:space="0" w:color="auto"/>
              <w:right w:val="single" w:sz="4" w:space="0" w:color="auto"/>
            </w:tcBorders>
            <w:shd w:val="clear" w:color="auto" w:fill="auto"/>
            <w:noWrap/>
            <w:vAlign w:val="center"/>
            <w:hideMark/>
          </w:tcPr>
          <w:p w14:paraId="4AA1BEB3" w14:textId="48010191"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 xml:space="preserve">Anexo 1, ítem </w:t>
            </w:r>
            <w:r w:rsidR="00D72DBF" w:rsidRPr="00D72DBF">
              <w:rPr>
                <w:rFonts w:ascii="Times New Roman" w:eastAsia="Times New Roman" w:hAnsi="Times New Roman" w:cs="Times New Roman"/>
                <w:sz w:val="18"/>
                <w:szCs w:val="18"/>
                <w:lang w:eastAsia="es-HN"/>
              </w:rPr>
              <w:t>4</w:t>
            </w:r>
          </w:p>
        </w:tc>
      </w:tr>
      <w:tr w:rsidR="00B36A5F" w:rsidRPr="00F015DE" w14:paraId="58349080" w14:textId="77777777" w:rsidTr="00B36A5F">
        <w:trPr>
          <w:trHeight w:val="2009"/>
        </w:trPr>
        <w:tc>
          <w:tcPr>
            <w:tcW w:w="1451" w:type="dxa"/>
            <w:vMerge/>
            <w:tcBorders>
              <w:top w:val="nil"/>
              <w:left w:val="single" w:sz="4" w:space="0" w:color="auto"/>
              <w:bottom w:val="single" w:sz="4" w:space="0" w:color="auto"/>
              <w:right w:val="single" w:sz="4" w:space="0" w:color="auto"/>
            </w:tcBorders>
            <w:vAlign w:val="center"/>
            <w:hideMark/>
          </w:tcPr>
          <w:p w14:paraId="1E8975A9"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668" w:type="dxa"/>
            <w:vMerge/>
            <w:tcBorders>
              <w:top w:val="nil"/>
              <w:left w:val="single" w:sz="4" w:space="0" w:color="auto"/>
              <w:bottom w:val="single" w:sz="4" w:space="0" w:color="auto"/>
              <w:right w:val="single" w:sz="4" w:space="0" w:color="auto"/>
            </w:tcBorders>
            <w:vAlign w:val="center"/>
            <w:hideMark/>
          </w:tcPr>
          <w:p w14:paraId="1A73A339"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3002" w:type="dxa"/>
            <w:vMerge/>
            <w:tcBorders>
              <w:top w:val="nil"/>
              <w:left w:val="single" w:sz="4" w:space="0" w:color="auto"/>
              <w:bottom w:val="single" w:sz="4" w:space="0" w:color="000000"/>
              <w:right w:val="single" w:sz="4" w:space="0" w:color="auto"/>
            </w:tcBorders>
            <w:vAlign w:val="center"/>
            <w:hideMark/>
          </w:tcPr>
          <w:p w14:paraId="6149787A"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2243" w:type="dxa"/>
            <w:vMerge/>
            <w:tcBorders>
              <w:top w:val="nil"/>
              <w:left w:val="single" w:sz="4" w:space="0" w:color="auto"/>
              <w:bottom w:val="single" w:sz="4" w:space="0" w:color="000000"/>
              <w:right w:val="single" w:sz="4" w:space="0" w:color="auto"/>
            </w:tcBorders>
            <w:vAlign w:val="center"/>
            <w:hideMark/>
          </w:tcPr>
          <w:p w14:paraId="5A9FD80E"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701" w:type="dxa"/>
            <w:tcBorders>
              <w:top w:val="nil"/>
              <w:left w:val="nil"/>
              <w:bottom w:val="single" w:sz="4" w:space="0" w:color="auto"/>
              <w:right w:val="single" w:sz="4" w:space="0" w:color="auto"/>
            </w:tcBorders>
            <w:shd w:val="clear" w:color="auto" w:fill="auto"/>
            <w:vAlign w:val="center"/>
            <w:hideMark/>
          </w:tcPr>
          <w:p w14:paraId="7FFBF616" w14:textId="77777777" w:rsidR="00F015DE" w:rsidRDefault="00F015DE" w:rsidP="00F015DE">
            <w:pPr>
              <w:widowControl/>
              <w:jc w:val="center"/>
              <w:rPr>
                <w:rFonts w:ascii="Times New Roman" w:eastAsia="Times New Roman" w:hAnsi="Times New Roman" w:cs="Times New Roman"/>
                <w:color w:val="000000"/>
                <w:sz w:val="18"/>
                <w:szCs w:val="18"/>
                <w:lang w:eastAsia="es-HN"/>
              </w:rPr>
            </w:pPr>
            <w:r w:rsidRPr="00F015DE">
              <w:rPr>
                <w:rFonts w:ascii="Times New Roman" w:eastAsia="Times New Roman" w:hAnsi="Times New Roman" w:cs="Times New Roman"/>
                <w:color w:val="000000"/>
                <w:sz w:val="18"/>
                <w:szCs w:val="18"/>
                <w:lang w:eastAsia="es-HN"/>
              </w:rPr>
              <w:t>Medidas de Alivio Financiero</w:t>
            </w:r>
          </w:p>
          <w:p w14:paraId="68637EC5" w14:textId="77777777" w:rsidR="00B36A5F" w:rsidRPr="00B36A5F" w:rsidRDefault="00B36A5F" w:rsidP="00B36A5F">
            <w:pPr>
              <w:rPr>
                <w:rFonts w:ascii="Times New Roman" w:eastAsia="Times New Roman" w:hAnsi="Times New Roman" w:cs="Times New Roman"/>
                <w:sz w:val="18"/>
                <w:szCs w:val="18"/>
                <w:lang w:eastAsia="es-HN"/>
              </w:rPr>
            </w:pPr>
          </w:p>
          <w:p w14:paraId="314E74DD" w14:textId="77777777" w:rsidR="00B36A5F" w:rsidRPr="00B36A5F" w:rsidRDefault="00B36A5F" w:rsidP="00B36A5F">
            <w:pPr>
              <w:rPr>
                <w:rFonts w:ascii="Times New Roman" w:eastAsia="Times New Roman" w:hAnsi="Times New Roman" w:cs="Times New Roman"/>
                <w:sz w:val="18"/>
                <w:szCs w:val="18"/>
                <w:lang w:eastAsia="es-HN"/>
              </w:rPr>
            </w:pPr>
          </w:p>
          <w:p w14:paraId="7B6D2DD2" w14:textId="77777777" w:rsidR="00B36A5F" w:rsidRPr="00B36A5F" w:rsidRDefault="00B36A5F" w:rsidP="00B36A5F">
            <w:pPr>
              <w:rPr>
                <w:rFonts w:ascii="Times New Roman" w:eastAsia="Times New Roman" w:hAnsi="Times New Roman" w:cs="Times New Roman"/>
                <w:sz w:val="18"/>
                <w:szCs w:val="18"/>
                <w:lang w:eastAsia="es-HN"/>
              </w:rPr>
            </w:pPr>
          </w:p>
          <w:p w14:paraId="2895D148" w14:textId="77777777" w:rsidR="00B36A5F" w:rsidRPr="00B36A5F" w:rsidRDefault="00B36A5F" w:rsidP="00B36A5F">
            <w:pPr>
              <w:rPr>
                <w:rFonts w:ascii="Times New Roman" w:eastAsia="Times New Roman" w:hAnsi="Times New Roman" w:cs="Times New Roman"/>
                <w:sz w:val="18"/>
                <w:szCs w:val="18"/>
                <w:lang w:eastAsia="es-HN"/>
              </w:rPr>
            </w:pPr>
          </w:p>
          <w:p w14:paraId="585D2CAF" w14:textId="77777777" w:rsidR="00B36A5F" w:rsidRPr="00B36A5F" w:rsidRDefault="00B36A5F" w:rsidP="00B36A5F">
            <w:pPr>
              <w:rPr>
                <w:rFonts w:ascii="Times New Roman" w:eastAsia="Times New Roman" w:hAnsi="Times New Roman" w:cs="Times New Roman"/>
                <w:sz w:val="18"/>
                <w:szCs w:val="18"/>
                <w:lang w:eastAsia="es-HN"/>
              </w:rPr>
            </w:pPr>
          </w:p>
          <w:p w14:paraId="469B6676" w14:textId="77777777" w:rsidR="00B36A5F" w:rsidRDefault="00B36A5F" w:rsidP="00B36A5F">
            <w:pPr>
              <w:rPr>
                <w:rFonts w:ascii="Times New Roman" w:eastAsia="Times New Roman" w:hAnsi="Times New Roman" w:cs="Times New Roman"/>
                <w:color w:val="000000"/>
                <w:sz w:val="18"/>
                <w:szCs w:val="18"/>
                <w:lang w:eastAsia="es-HN"/>
              </w:rPr>
            </w:pPr>
          </w:p>
          <w:p w14:paraId="40A99BF8" w14:textId="77777777" w:rsidR="00B36A5F" w:rsidRPr="00B36A5F" w:rsidRDefault="00B36A5F" w:rsidP="00B36A5F">
            <w:pPr>
              <w:rPr>
                <w:rFonts w:ascii="Times New Roman" w:eastAsia="Times New Roman" w:hAnsi="Times New Roman" w:cs="Times New Roman"/>
                <w:sz w:val="18"/>
                <w:szCs w:val="18"/>
                <w:lang w:eastAsia="es-HN"/>
              </w:rPr>
            </w:pPr>
          </w:p>
          <w:p w14:paraId="0CC03178" w14:textId="77777777" w:rsidR="00B36A5F" w:rsidRPr="00B36A5F" w:rsidRDefault="00B36A5F" w:rsidP="00B36A5F">
            <w:pPr>
              <w:rPr>
                <w:rFonts w:ascii="Times New Roman" w:eastAsia="Times New Roman" w:hAnsi="Times New Roman" w:cs="Times New Roman"/>
                <w:sz w:val="18"/>
                <w:szCs w:val="18"/>
                <w:lang w:eastAsia="es-HN"/>
              </w:rPr>
            </w:pPr>
          </w:p>
          <w:p w14:paraId="7C590CA5" w14:textId="77777777" w:rsidR="00B36A5F" w:rsidRPr="00B36A5F" w:rsidRDefault="00B36A5F" w:rsidP="00B36A5F">
            <w:pPr>
              <w:rPr>
                <w:rFonts w:ascii="Times New Roman" w:eastAsia="Times New Roman" w:hAnsi="Times New Roman" w:cs="Times New Roman"/>
                <w:sz w:val="18"/>
                <w:szCs w:val="18"/>
                <w:lang w:eastAsia="es-HN"/>
              </w:rPr>
            </w:pPr>
          </w:p>
          <w:p w14:paraId="61FBDFB6" w14:textId="77777777" w:rsidR="00B36A5F" w:rsidRDefault="00B36A5F" w:rsidP="00B36A5F">
            <w:pPr>
              <w:rPr>
                <w:rFonts w:ascii="Times New Roman" w:eastAsia="Times New Roman" w:hAnsi="Times New Roman" w:cs="Times New Roman"/>
                <w:color w:val="000000"/>
                <w:sz w:val="18"/>
                <w:szCs w:val="18"/>
                <w:lang w:eastAsia="es-HN"/>
              </w:rPr>
            </w:pPr>
          </w:p>
          <w:p w14:paraId="3302C8D0" w14:textId="77777777" w:rsidR="00B36A5F" w:rsidRPr="00B36A5F" w:rsidRDefault="00B36A5F" w:rsidP="00B36A5F">
            <w:pPr>
              <w:rPr>
                <w:rFonts w:ascii="Times New Roman" w:eastAsia="Times New Roman" w:hAnsi="Times New Roman" w:cs="Times New Roman"/>
                <w:sz w:val="18"/>
                <w:szCs w:val="18"/>
                <w:lang w:eastAsia="es-HN"/>
              </w:rPr>
            </w:pPr>
          </w:p>
          <w:p w14:paraId="413074F7" w14:textId="77777777" w:rsidR="00B36A5F" w:rsidRPr="00F015DE" w:rsidRDefault="00B36A5F" w:rsidP="00B36A5F">
            <w:pPr>
              <w:rPr>
                <w:rFonts w:ascii="Times New Roman" w:eastAsia="Times New Roman" w:hAnsi="Times New Roman" w:cs="Times New Roman"/>
                <w:sz w:val="18"/>
                <w:szCs w:val="18"/>
                <w:lang w:eastAsia="es-HN"/>
              </w:rPr>
            </w:pPr>
          </w:p>
        </w:tc>
        <w:tc>
          <w:tcPr>
            <w:tcW w:w="1701" w:type="dxa"/>
            <w:vMerge/>
            <w:tcBorders>
              <w:top w:val="nil"/>
              <w:left w:val="single" w:sz="4" w:space="0" w:color="auto"/>
              <w:bottom w:val="single" w:sz="4" w:space="0" w:color="000000"/>
              <w:right w:val="single" w:sz="4" w:space="0" w:color="auto"/>
            </w:tcBorders>
            <w:vAlign w:val="center"/>
            <w:hideMark/>
          </w:tcPr>
          <w:p w14:paraId="7B040670" w14:textId="77777777" w:rsidR="00F015DE" w:rsidRPr="00F015DE" w:rsidRDefault="00F015DE" w:rsidP="00F015DE">
            <w:pPr>
              <w:widowControl/>
              <w:rPr>
                <w:rFonts w:ascii="Times New Roman" w:eastAsia="Times New Roman" w:hAnsi="Times New Roman" w:cs="Times New Roman"/>
                <w:color w:val="000000"/>
                <w:sz w:val="18"/>
                <w:szCs w:val="18"/>
                <w:lang w:eastAsia="es-HN"/>
              </w:rPr>
            </w:pPr>
          </w:p>
        </w:tc>
        <w:tc>
          <w:tcPr>
            <w:tcW w:w="1842" w:type="dxa"/>
            <w:tcBorders>
              <w:top w:val="nil"/>
              <w:left w:val="nil"/>
              <w:bottom w:val="single" w:sz="4" w:space="0" w:color="auto"/>
              <w:right w:val="single" w:sz="4" w:space="0" w:color="auto"/>
            </w:tcBorders>
            <w:shd w:val="clear" w:color="auto" w:fill="auto"/>
            <w:vAlign w:val="center"/>
            <w:hideMark/>
          </w:tcPr>
          <w:p w14:paraId="6477E74E" w14:textId="77777777"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Operaciones de Refinanciamiento o Readecuación de Deuda.</w:t>
            </w:r>
          </w:p>
        </w:tc>
        <w:tc>
          <w:tcPr>
            <w:tcW w:w="1701" w:type="dxa"/>
            <w:tcBorders>
              <w:top w:val="nil"/>
              <w:left w:val="nil"/>
              <w:bottom w:val="single" w:sz="4" w:space="0" w:color="auto"/>
              <w:right w:val="single" w:sz="4" w:space="0" w:color="auto"/>
            </w:tcBorders>
            <w:shd w:val="clear" w:color="auto" w:fill="auto"/>
            <w:noWrap/>
            <w:vAlign w:val="center"/>
            <w:hideMark/>
          </w:tcPr>
          <w:p w14:paraId="66F17579" w14:textId="43C5BEA6" w:rsidR="00F015DE" w:rsidRPr="00D72DBF" w:rsidRDefault="00F015DE" w:rsidP="00F015DE">
            <w:pPr>
              <w:widowControl/>
              <w:jc w:val="center"/>
              <w:rPr>
                <w:rFonts w:ascii="Times New Roman" w:eastAsia="Times New Roman" w:hAnsi="Times New Roman" w:cs="Times New Roman"/>
                <w:sz w:val="18"/>
                <w:szCs w:val="18"/>
                <w:lang w:eastAsia="es-HN"/>
              </w:rPr>
            </w:pPr>
            <w:r w:rsidRPr="00D72DBF">
              <w:rPr>
                <w:rFonts w:ascii="Times New Roman" w:eastAsia="Times New Roman" w:hAnsi="Times New Roman" w:cs="Times New Roman"/>
                <w:sz w:val="18"/>
                <w:szCs w:val="18"/>
                <w:lang w:eastAsia="es-HN"/>
              </w:rPr>
              <w:t xml:space="preserve">Anexo 1, ítem </w:t>
            </w:r>
            <w:r w:rsidR="00D72DBF" w:rsidRPr="00D72DBF">
              <w:rPr>
                <w:rFonts w:ascii="Times New Roman" w:eastAsia="Times New Roman" w:hAnsi="Times New Roman" w:cs="Times New Roman"/>
                <w:sz w:val="18"/>
                <w:szCs w:val="18"/>
                <w:lang w:eastAsia="es-HN"/>
              </w:rPr>
              <w:t>5</w:t>
            </w:r>
          </w:p>
        </w:tc>
      </w:tr>
    </w:tbl>
    <w:p w14:paraId="487FDA3F" w14:textId="77777777" w:rsidR="00CE296F" w:rsidRDefault="00CE296F" w:rsidP="00781208">
      <w:pPr>
        <w:keepNext/>
        <w:widowControl/>
        <w:spacing w:after="200"/>
        <w:jc w:val="both"/>
        <w:rPr>
          <w:rFonts w:ascii="Times New Roman" w:eastAsia="Calibri" w:hAnsi="Times New Roman" w:cs="Times New Roman"/>
          <w:b/>
          <w:bCs/>
          <w:iCs/>
          <w:sz w:val="24"/>
          <w:szCs w:val="24"/>
        </w:rPr>
        <w:sectPr w:rsidR="00CE296F" w:rsidSect="00151EC0">
          <w:pgSz w:w="15840" w:h="12240" w:orient="landscape" w:code="1"/>
          <w:pgMar w:top="1440" w:right="1440" w:bottom="1440" w:left="1440" w:header="709" w:footer="709" w:gutter="0"/>
          <w:cols w:space="708"/>
          <w:docGrid w:linePitch="360"/>
        </w:sectPr>
      </w:pPr>
    </w:p>
    <w:p w14:paraId="662BD247" w14:textId="49EE07EF" w:rsidR="00781208" w:rsidRDefault="00781208" w:rsidP="00781208">
      <w:pPr>
        <w:keepNext/>
        <w:widowControl/>
        <w:spacing w:after="200"/>
        <w:jc w:val="both"/>
        <w:rPr>
          <w:rFonts w:ascii="Times New Roman" w:eastAsia="Calibri" w:hAnsi="Times New Roman" w:cs="Times New Roman"/>
          <w:b/>
          <w:bCs/>
          <w:iCs/>
          <w:sz w:val="24"/>
          <w:szCs w:val="24"/>
        </w:rPr>
      </w:pPr>
      <w:r w:rsidRPr="00434B43">
        <w:rPr>
          <w:rFonts w:ascii="Times New Roman" w:eastAsia="Calibri" w:hAnsi="Times New Roman" w:cs="Times New Roman"/>
          <w:b/>
          <w:bCs/>
          <w:iCs/>
          <w:sz w:val="24"/>
          <w:szCs w:val="24"/>
        </w:rPr>
        <w:lastRenderedPageBreak/>
        <w:t xml:space="preserve">Tabla </w:t>
      </w:r>
      <w:r>
        <w:rPr>
          <w:rFonts w:ascii="Times New Roman" w:eastAsia="Calibri" w:hAnsi="Times New Roman" w:cs="Times New Roman"/>
          <w:b/>
          <w:bCs/>
          <w:iCs/>
          <w:sz w:val="24"/>
          <w:szCs w:val="24"/>
        </w:rPr>
        <w:t>3</w:t>
      </w:r>
      <w:r w:rsidRPr="00434B43">
        <w:rPr>
          <w:rFonts w:ascii="Times New Roman" w:eastAsia="Calibri" w:hAnsi="Times New Roman" w:cs="Times New Roman"/>
          <w:b/>
          <w:bCs/>
          <w:iCs/>
          <w:sz w:val="24"/>
          <w:szCs w:val="24"/>
        </w:rPr>
        <w:t xml:space="preserve">. Operacionalización de las </w:t>
      </w:r>
      <w:r>
        <w:rPr>
          <w:rFonts w:ascii="Times New Roman" w:eastAsia="Calibri" w:hAnsi="Times New Roman" w:cs="Times New Roman"/>
          <w:b/>
          <w:bCs/>
          <w:iCs/>
          <w:sz w:val="24"/>
          <w:szCs w:val="24"/>
        </w:rPr>
        <w:t>V</w:t>
      </w:r>
      <w:r w:rsidRPr="00434B43">
        <w:rPr>
          <w:rFonts w:ascii="Times New Roman" w:eastAsia="Calibri" w:hAnsi="Times New Roman" w:cs="Times New Roman"/>
          <w:b/>
          <w:bCs/>
          <w:iCs/>
          <w:sz w:val="24"/>
          <w:szCs w:val="24"/>
        </w:rPr>
        <w:t>ariables</w:t>
      </w:r>
      <w:r>
        <w:rPr>
          <w:rFonts w:ascii="Times New Roman" w:eastAsia="Calibri" w:hAnsi="Times New Roman" w:cs="Times New Roman"/>
          <w:b/>
          <w:bCs/>
          <w:iCs/>
          <w:sz w:val="24"/>
          <w:szCs w:val="24"/>
        </w:rPr>
        <w:t xml:space="preserve"> – </w:t>
      </w:r>
      <w:r w:rsidR="00E83000">
        <w:rPr>
          <w:rFonts w:ascii="Times New Roman" w:eastAsia="Calibri" w:hAnsi="Times New Roman" w:cs="Times New Roman"/>
          <w:b/>
          <w:bCs/>
          <w:iCs/>
          <w:sz w:val="24"/>
          <w:szCs w:val="24"/>
        </w:rPr>
        <w:t>Matriz Esquema para el Análisis Cuantitativo</w:t>
      </w:r>
    </w:p>
    <w:tbl>
      <w:tblPr>
        <w:tblW w:w="10490" w:type="dxa"/>
        <w:jc w:val="center"/>
        <w:tblLayout w:type="fixed"/>
        <w:tblCellMar>
          <w:left w:w="70" w:type="dxa"/>
          <w:right w:w="70" w:type="dxa"/>
        </w:tblCellMar>
        <w:tblLook w:val="04A0" w:firstRow="1" w:lastRow="0" w:firstColumn="1" w:lastColumn="0" w:noHBand="0" w:noVBand="1"/>
      </w:tblPr>
      <w:tblGrid>
        <w:gridCol w:w="1413"/>
        <w:gridCol w:w="992"/>
        <w:gridCol w:w="1139"/>
        <w:gridCol w:w="1134"/>
        <w:gridCol w:w="1129"/>
        <w:gridCol w:w="1134"/>
        <w:gridCol w:w="1281"/>
        <w:gridCol w:w="2268"/>
      </w:tblGrid>
      <w:tr w:rsidR="007819D9" w:rsidRPr="00CE296F" w14:paraId="52F83867" w14:textId="77777777" w:rsidTr="00FD699E">
        <w:trPr>
          <w:trHeight w:val="578"/>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A591DC" w14:textId="77777777" w:rsidR="00CE296F" w:rsidRPr="00CE296F" w:rsidRDefault="00CE296F" w:rsidP="00CE296F">
            <w:pPr>
              <w:widowControl/>
              <w:jc w:val="center"/>
              <w:rPr>
                <w:rFonts w:ascii="Times New Roman" w:eastAsia="Times New Roman" w:hAnsi="Times New Roman" w:cs="Times New Roman"/>
                <w:b/>
                <w:bCs/>
                <w:color w:val="000000"/>
                <w:sz w:val="18"/>
                <w:szCs w:val="18"/>
                <w:lang w:eastAsia="es-HN"/>
              </w:rPr>
            </w:pPr>
            <w:r w:rsidRPr="00CE296F">
              <w:rPr>
                <w:rFonts w:ascii="Times New Roman" w:eastAsia="Times New Roman" w:hAnsi="Times New Roman" w:cs="Times New Roman"/>
                <w:b/>
                <w:bCs/>
                <w:color w:val="000000"/>
                <w:sz w:val="18"/>
                <w:szCs w:val="18"/>
                <w:lang w:eastAsia="es-HN"/>
              </w:rPr>
              <w:t>Objetivos de la Investigación</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6D98595" w14:textId="77777777" w:rsidR="00CE296F" w:rsidRPr="00CE296F" w:rsidRDefault="00CE296F" w:rsidP="00CE296F">
            <w:pPr>
              <w:widowControl/>
              <w:jc w:val="center"/>
              <w:rPr>
                <w:rFonts w:ascii="Times New Roman" w:eastAsia="Times New Roman" w:hAnsi="Times New Roman" w:cs="Times New Roman"/>
                <w:b/>
                <w:bCs/>
                <w:color w:val="000000"/>
                <w:sz w:val="18"/>
                <w:szCs w:val="18"/>
                <w:lang w:eastAsia="es-HN"/>
              </w:rPr>
            </w:pPr>
            <w:r w:rsidRPr="00CE296F">
              <w:rPr>
                <w:rFonts w:ascii="Times New Roman" w:eastAsia="Times New Roman" w:hAnsi="Times New Roman" w:cs="Times New Roman"/>
                <w:b/>
                <w:bCs/>
                <w:color w:val="000000"/>
                <w:sz w:val="18"/>
                <w:szCs w:val="18"/>
                <w:lang w:eastAsia="es-HN"/>
              </w:rPr>
              <w:t>Variables</w:t>
            </w:r>
          </w:p>
        </w:tc>
        <w:tc>
          <w:tcPr>
            <w:tcW w:w="11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E664BE" w14:textId="77777777" w:rsidR="00CE296F" w:rsidRPr="00CE296F" w:rsidRDefault="00CE296F" w:rsidP="00CE296F">
            <w:pPr>
              <w:widowControl/>
              <w:jc w:val="center"/>
              <w:rPr>
                <w:rFonts w:ascii="Times New Roman" w:eastAsia="Times New Roman" w:hAnsi="Times New Roman" w:cs="Times New Roman"/>
                <w:b/>
                <w:bCs/>
                <w:color w:val="000000"/>
                <w:sz w:val="18"/>
                <w:szCs w:val="18"/>
                <w:lang w:eastAsia="es-HN"/>
              </w:rPr>
            </w:pPr>
            <w:r w:rsidRPr="00CE296F">
              <w:rPr>
                <w:rFonts w:ascii="Times New Roman" w:eastAsia="Times New Roman" w:hAnsi="Times New Roman" w:cs="Times New Roman"/>
                <w:b/>
                <w:bCs/>
                <w:color w:val="000000"/>
                <w:sz w:val="18"/>
                <w:szCs w:val="18"/>
                <w:lang w:eastAsia="es-HN"/>
              </w:rPr>
              <w:t>Dimensiones de Análisis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B3AF07" w14:textId="77777777" w:rsidR="00CE296F" w:rsidRPr="00CE296F" w:rsidRDefault="00CE296F" w:rsidP="00CE296F">
            <w:pPr>
              <w:widowControl/>
              <w:jc w:val="center"/>
              <w:rPr>
                <w:rFonts w:ascii="Times New Roman" w:eastAsia="Times New Roman" w:hAnsi="Times New Roman" w:cs="Times New Roman"/>
                <w:b/>
                <w:bCs/>
                <w:color w:val="000000"/>
                <w:sz w:val="18"/>
                <w:szCs w:val="18"/>
                <w:lang w:eastAsia="es-HN"/>
              </w:rPr>
            </w:pPr>
            <w:r w:rsidRPr="00CE296F">
              <w:rPr>
                <w:rFonts w:ascii="Times New Roman" w:eastAsia="Times New Roman" w:hAnsi="Times New Roman" w:cs="Times New Roman"/>
                <w:b/>
                <w:bCs/>
                <w:color w:val="000000"/>
                <w:sz w:val="18"/>
                <w:szCs w:val="18"/>
                <w:lang w:eastAsia="es-HN"/>
              </w:rPr>
              <w:t>Estrategia de Recolección de Datos</w:t>
            </w:r>
          </w:p>
        </w:tc>
        <w:tc>
          <w:tcPr>
            <w:tcW w:w="112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E4E8FDD" w14:textId="77777777" w:rsidR="00CE296F" w:rsidRPr="00CE296F" w:rsidRDefault="00CE296F" w:rsidP="00CE296F">
            <w:pPr>
              <w:widowControl/>
              <w:jc w:val="center"/>
              <w:rPr>
                <w:rFonts w:ascii="Times New Roman" w:eastAsia="Times New Roman" w:hAnsi="Times New Roman" w:cs="Times New Roman"/>
                <w:b/>
                <w:bCs/>
                <w:sz w:val="18"/>
                <w:szCs w:val="18"/>
                <w:lang w:eastAsia="es-HN"/>
              </w:rPr>
            </w:pPr>
            <w:r w:rsidRPr="00CE296F">
              <w:rPr>
                <w:rFonts w:ascii="Times New Roman" w:eastAsia="Times New Roman" w:hAnsi="Times New Roman" w:cs="Times New Roman"/>
                <w:b/>
                <w:bCs/>
                <w:sz w:val="18"/>
                <w:szCs w:val="18"/>
                <w:lang w:eastAsia="es-HN"/>
              </w:rPr>
              <w:t>Indicadores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6F1CF7A" w14:textId="77777777" w:rsidR="00CE296F" w:rsidRPr="00CE296F" w:rsidRDefault="00CE296F" w:rsidP="00CE296F">
            <w:pPr>
              <w:widowControl/>
              <w:jc w:val="center"/>
              <w:rPr>
                <w:rFonts w:ascii="Times New Roman" w:eastAsia="Times New Roman" w:hAnsi="Times New Roman" w:cs="Times New Roman"/>
                <w:b/>
                <w:bCs/>
                <w:sz w:val="18"/>
                <w:szCs w:val="18"/>
                <w:lang w:eastAsia="es-HN"/>
              </w:rPr>
            </w:pPr>
            <w:r w:rsidRPr="00CE296F">
              <w:rPr>
                <w:rFonts w:ascii="Times New Roman" w:eastAsia="Times New Roman" w:hAnsi="Times New Roman" w:cs="Times New Roman"/>
                <w:b/>
                <w:bCs/>
                <w:sz w:val="18"/>
                <w:szCs w:val="18"/>
                <w:lang w:eastAsia="es-HN"/>
              </w:rPr>
              <w:t>Parámetros</w:t>
            </w:r>
          </w:p>
        </w:tc>
        <w:tc>
          <w:tcPr>
            <w:tcW w:w="12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5B14C04" w14:textId="77777777" w:rsidR="00CE296F" w:rsidRPr="00CE296F" w:rsidRDefault="00CE296F" w:rsidP="00CE296F">
            <w:pPr>
              <w:widowControl/>
              <w:jc w:val="center"/>
              <w:rPr>
                <w:rFonts w:ascii="Times New Roman" w:eastAsia="Times New Roman" w:hAnsi="Times New Roman" w:cs="Times New Roman"/>
                <w:b/>
                <w:bCs/>
                <w:sz w:val="18"/>
                <w:szCs w:val="18"/>
                <w:lang w:eastAsia="es-HN"/>
              </w:rPr>
            </w:pPr>
            <w:r w:rsidRPr="00CE296F">
              <w:rPr>
                <w:rFonts w:ascii="Times New Roman" w:eastAsia="Times New Roman" w:hAnsi="Times New Roman" w:cs="Times New Roman"/>
                <w:b/>
                <w:bCs/>
                <w:sz w:val="18"/>
                <w:szCs w:val="18"/>
                <w:lang w:eastAsia="es-HN"/>
              </w:rPr>
              <w:t>Tipo de Fuente</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BE2759" w14:textId="77777777" w:rsidR="00CE296F" w:rsidRPr="00CE296F" w:rsidRDefault="00CE296F" w:rsidP="00CE296F">
            <w:pPr>
              <w:widowControl/>
              <w:jc w:val="center"/>
              <w:rPr>
                <w:rFonts w:ascii="Times New Roman" w:eastAsia="Times New Roman" w:hAnsi="Times New Roman" w:cs="Times New Roman"/>
                <w:b/>
                <w:bCs/>
                <w:sz w:val="18"/>
                <w:szCs w:val="18"/>
                <w:lang w:eastAsia="es-HN"/>
              </w:rPr>
            </w:pPr>
            <w:r w:rsidRPr="00CE296F">
              <w:rPr>
                <w:rFonts w:ascii="Times New Roman" w:eastAsia="Times New Roman" w:hAnsi="Times New Roman" w:cs="Times New Roman"/>
                <w:b/>
                <w:bCs/>
                <w:sz w:val="18"/>
                <w:szCs w:val="18"/>
                <w:lang w:eastAsia="es-HN"/>
              </w:rPr>
              <w:t>Referencia de la Fuente</w:t>
            </w:r>
          </w:p>
        </w:tc>
      </w:tr>
      <w:tr w:rsidR="007819D9" w:rsidRPr="00CE296F" w14:paraId="2F4CC676" w14:textId="77777777" w:rsidTr="00FD699E">
        <w:trPr>
          <w:trHeight w:val="240"/>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1798B4AB" w14:textId="77777777" w:rsidR="00CE296F" w:rsidRPr="00CE296F" w:rsidRDefault="00CE296F" w:rsidP="00CE296F">
            <w:pPr>
              <w:widowControl/>
              <w:jc w:val="center"/>
              <w:rPr>
                <w:rFonts w:ascii="Times New Roman" w:eastAsia="Times New Roman" w:hAnsi="Times New Roman" w:cs="Times New Roman"/>
                <w:b/>
                <w:bCs/>
                <w:color w:val="000000"/>
                <w:sz w:val="18"/>
                <w:szCs w:val="18"/>
                <w:lang w:eastAsia="es-HN"/>
              </w:rPr>
            </w:pPr>
            <w:r w:rsidRPr="00CE296F">
              <w:rPr>
                <w:rFonts w:ascii="Times New Roman" w:eastAsia="Times New Roman" w:hAnsi="Times New Roman" w:cs="Times New Roman"/>
                <w:b/>
                <w:bCs/>
                <w:color w:val="000000"/>
                <w:sz w:val="18"/>
                <w:szCs w:val="18"/>
                <w:lang w:eastAsia="es-HN"/>
              </w:rPr>
              <w:t>Especifico</w:t>
            </w: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5857B127" w14:textId="77777777" w:rsidR="00CE296F" w:rsidRPr="00CE296F" w:rsidRDefault="00CE296F" w:rsidP="00CE296F">
            <w:pPr>
              <w:widowControl/>
              <w:rPr>
                <w:rFonts w:ascii="Times New Roman" w:eastAsia="Times New Roman" w:hAnsi="Times New Roman" w:cs="Times New Roman"/>
                <w:b/>
                <w:bCs/>
                <w:color w:val="000000"/>
                <w:sz w:val="18"/>
                <w:szCs w:val="18"/>
                <w:lang w:eastAsia="es-HN"/>
              </w:rPr>
            </w:pPr>
          </w:p>
        </w:tc>
        <w:tc>
          <w:tcPr>
            <w:tcW w:w="1139" w:type="dxa"/>
            <w:vMerge/>
            <w:tcBorders>
              <w:top w:val="single" w:sz="4" w:space="0" w:color="auto"/>
              <w:left w:val="single" w:sz="4" w:space="0" w:color="auto"/>
              <w:bottom w:val="single" w:sz="4" w:space="0" w:color="auto"/>
              <w:right w:val="single" w:sz="4" w:space="0" w:color="auto"/>
            </w:tcBorders>
            <w:vAlign w:val="center"/>
            <w:hideMark/>
          </w:tcPr>
          <w:p w14:paraId="37340560" w14:textId="77777777" w:rsidR="00CE296F" w:rsidRPr="00CE296F" w:rsidRDefault="00CE296F" w:rsidP="00CE296F">
            <w:pPr>
              <w:widowControl/>
              <w:rPr>
                <w:rFonts w:ascii="Times New Roman" w:eastAsia="Times New Roman" w:hAnsi="Times New Roman" w:cs="Times New Roman"/>
                <w:b/>
                <w:bCs/>
                <w:color w:val="000000"/>
                <w:sz w:val="18"/>
                <w:szCs w:val="18"/>
                <w:lang w:eastAsia="es-HN"/>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61BF1667" w14:textId="77777777" w:rsidR="00CE296F" w:rsidRPr="00CE296F" w:rsidRDefault="00CE296F" w:rsidP="00CE296F">
            <w:pPr>
              <w:widowControl/>
              <w:rPr>
                <w:rFonts w:ascii="Times New Roman" w:eastAsia="Times New Roman" w:hAnsi="Times New Roman" w:cs="Times New Roman"/>
                <w:b/>
                <w:bCs/>
                <w:color w:val="000000"/>
                <w:sz w:val="18"/>
                <w:szCs w:val="18"/>
                <w:lang w:eastAsia="es-HN"/>
              </w:rPr>
            </w:pPr>
          </w:p>
        </w:tc>
        <w:tc>
          <w:tcPr>
            <w:tcW w:w="1129" w:type="dxa"/>
            <w:vMerge/>
            <w:tcBorders>
              <w:top w:val="single" w:sz="4" w:space="0" w:color="auto"/>
              <w:left w:val="single" w:sz="4" w:space="0" w:color="auto"/>
              <w:bottom w:val="single" w:sz="4" w:space="0" w:color="auto"/>
              <w:right w:val="single" w:sz="4" w:space="0" w:color="auto"/>
            </w:tcBorders>
            <w:vAlign w:val="center"/>
            <w:hideMark/>
          </w:tcPr>
          <w:p w14:paraId="7ACB6826" w14:textId="77777777" w:rsidR="00CE296F" w:rsidRPr="00CE296F" w:rsidRDefault="00CE296F" w:rsidP="00CE296F">
            <w:pPr>
              <w:widowControl/>
              <w:rPr>
                <w:rFonts w:ascii="Times New Roman" w:eastAsia="Times New Roman" w:hAnsi="Times New Roman" w:cs="Times New Roman"/>
                <w:b/>
                <w:bCs/>
                <w:sz w:val="18"/>
                <w:szCs w:val="18"/>
                <w:lang w:eastAsia="es-HN"/>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686767DF" w14:textId="77777777" w:rsidR="00CE296F" w:rsidRPr="00CE296F" w:rsidRDefault="00CE296F" w:rsidP="00CE296F">
            <w:pPr>
              <w:widowControl/>
              <w:rPr>
                <w:rFonts w:ascii="Times New Roman" w:eastAsia="Times New Roman" w:hAnsi="Times New Roman" w:cs="Times New Roman"/>
                <w:b/>
                <w:bCs/>
                <w:sz w:val="18"/>
                <w:szCs w:val="18"/>
                <w:lang w:eastAsia="es-HN"/>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6208CFC5" w14:textId="77777777" w:rsidR="00CE296F" w:rsidRPr="00CE296F" w:rsidRDefault="00CE296F" w:rsidP="00CE296F">
            <w:pPr>
              <w:widowControl/>
              <w:rPr>
                <w:rFonts w:ascii="Times New Roman" w:eastAsia="Times New Roman" w:hAnsi="Times New Roman" w:cs="Times New Roman"/>
                <w:b/>
                <w:bCs/>
                <w:sz w:val="18"/>
                <w:szCs w:val="18"/>
                <w:lang w:eastAsia="es-HN"/>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071798C7" w14:textId="77777777" w:rsidR="00CE296F" w:rsidRPr="00CE296F" w:rsidRDefault="00CE296F" w:rsidP="00CE296F">
            <w:pPr>
              <w:widowControl/>
              <w:rPr>
                <w:rFonts w:ascii="Times New Roman" w:eastAsia="Times New Roman" w:hAnsi="Times New Roman" w:cs="Times New Roman"/>
                <w:b/>
                <w:bCs/>
                <w:sz w:val="18"/>
                <w:szCs w:val="18"/>
                <w:lang w:eastAsia="es-HN"/>
              </w:rPr>
            </w:pPr>
          </w:p>
        </w:tc>
      </w:tr>
      <w:tr w:rsidR="007819D9" w:rsidRPr="00CE296F" w14:paraId="6F139D03" w14:textId="77777777" w:rsidTr="00FD699E">
        <w:trPr>
          <w:trHeight w:val="1575"/>
          <w:jc w:val="center"/>
        </w:trPr>
        <w:tc>
          <w:tcPr>
            <w:tcW w:w="1413" w:type="dxa"/>
            <w:vMerge w:val="restart"/>
            <w:tcBorders>
              <w:top w:val="nil"/>
              <w:left w:val="single" w:sz="4" w:space="0" w:color="auto"/>
              <w:bottom w:val="single" w:sz="4" w:space="0" w:color="auto"/>
              <w:right w:val="single" w:sz="4" w:space="0" w:color="auto"/>
            </w:tcBorders>
            <w:shd w:val="clear" w:color="auto" w:fill="auto"/>
            <w:vAlign w:val="center"/>
            <w:hideMark/>
          </w:tcPr>
          <w:p w14:paraId="2F66713D"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Identificar los principales factores financieros que determinaron la tasa de interés nominal en moneda nacional cobrada por los bancos comerciales en Honduras durante el período de 2019 a 2022.</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14:paraId="0812F8DF"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Factores Financieros</w:t>
            </w:r>
          </w:p>
        </w:tc>
        <w:tc>
          <w:tcPr>
            <w:tcW w:w="1139" w:type="dxa"/>
            <w:tcBorders>
              <w:top w:val="nil"/>
              <w:left w:val="nil"/>
              <w:bottom w:val="single" w:sz="4" w:space="0" w:color="auto"/>
              <w:right w:val="single" w:sz="4" w:space="0" w:color="auto"/>
            </w:tcBorders>
            <w:shd w:val="clear" w:color="auto" w:fill="auto"/>
            <w:noWrap/>
            <w:vAlign w:val="center"/>
            <w:hideMark/>
          </w:tcPr>
          <w:p w14:paraId="5AE22FF8"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Costo de Fondeo</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32571656"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Revisión Sistemática</w:t>
            </w:r>
          </w:p>
        </w:tc>
        <w:tc>
          <w:tcPr>
            <w:tcW w:w="1129" w:type="dxa"/>
            <w:tcBorders>
              <w:top w:val="nil"/>
              <w:left w:val="nil"/>
              <w:bottom w:val="single" w:sz="4" w:space="0" w:color="auto"/>
              <w:right w:val="single" w:sz="4" w:space="0" w:color="auto"/>
            </w:tcBorders>
            <w:shd w:val="clear" w:color="auto" w:fill="auto"/>
            <w:vAlign w:val="center"/>
            <w:hideMark/>
          </w:tcPr>
          <w:p w14:paraId="5200A188" w14:textId="4B834258"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Tasa de interés pasiva implícita</w:t>
            </w:r>
          </w:p>
        </w:tc>
        <w:tc>
          <w:tcPr>
            <w:tcW w:w="1134" w:type="dxa"/>
            <w:tcBorders>
              <w:top w:val="nil"/>
              <w:left w:val="nil"/>
              <w:bottom w:val="single" w:sz="4" w:space="0" w:color="auto"/>
              <w:right w:val="single" w:sz="4" w:space="0" w:color="auto"/>
            </w:tcBorders>
            <w:shd w:val="clear" w:color="auto" w:fill="auto"/>
            <w:vAlign w:val="center"/>
            <w:hideMark/>
          </w:tcPr>
          <w:p w14:paraId="7D41B266" w14:textId="1D4F4068"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Gastos Financieros sobre Obligaciones con los Depositantes</w:t>
            </w:r>
            <w:r w:rsidRPr="00CE296F">
              <w:rPr>
                <w:rFonts w:ascii="Times New Roman" w:eastAsia="Times New Roman" w:hAnsi="Times New Roman" w:cs="Times New Roman"/>
                <w:color w:val="000000"/>
                <w:sz w:val="18"/>
                <w:szCs w:val="18"/>
                <w:lang w:eastAsia="es-HN"/>
              </w:rPr>
              <w:br/>
              <w:t>Depósitos (tasa ex</w:t>
            </w:r>
            <w:r>
              <w:rPr>
                <w:rFonts w:ascii="Times New Roman" w:eastAsia="Times New Roman" w:hAnsi="Times New Roman" w:cs="Times New Roman"/>
                <w:color w:val="000000"/>
                <w:sz w:val="18"/>
                <w:szCs w:val="18"/>
                <w:lang w:eastAsia="es-HN"/>
              </w:rPr>
              <w:t xml:space="preserve"> </w:t>
            </w:r>
            <w:r w:rsidRPr="00CE296F">
              <w:rPr>
                <w:rFonts w:ascii="Times New Roman" w:eastAsia="Times New Roman" w:hAnsi="Times New Roman" w:cs="Times New Roman"/>
                <w:color w:val="000000"/>
                <w:sz w:val="18"/>
                <w:szCs w:val="18"/>
                <w:lang w:eastAsia="es-HN"/>
              </w:rPr>
              <w:t>post)</w:t>
            </w:r>
          </w:p>
        </w:tc>
        <w:tc>
          <w:tcPr>
            <w:tcW w:w="1281" w:type="dxa"/>
            <w:vMerge w:val="restart"/>
            <w:tcBorders>
              <w:top w:val="nil"/>
              <w:left w:val="single" w:sz="4" w:space="0" w:color="auto"/>
              <w:bottom w:val="nil"/>
              <w:right w:val="single" w:sz="4" w:space="0" w:color="auto"/>
            </w:tcBorders>
            <w:shd w:val="clear" w:color="auto" w:fill="auto"/>
            <w:vAlign w:val="center"/>
            <w:hideMark/>
          </w:tcPr>
          <w:p w14:paraId="5C65E4A5" w14:textId="3C494B90"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Estados Financieros Consolidados de los Bancos Comerciales, período de 2019 a 2022,</w:t>
            </w:r>
            <w:r>
              <w:rPr>
                <w:rFonts w:ascii="Times New Roman" w:eastAsia="Times New Roman" w:hAnsi="Times New Roman" w:cs="Times New Roman"/>
                <w:color w:val="000000"/>
                <w:sz w:val="18"/>
                <w:szCs w:val="18"/>
                <w:lang w:eastAsia="es-HN"/>
              </w:rPr>
              <w:t xml:space="preserve"> </w:t>
            </w:r>
            <w:r w:rsidRPr="00CE296F">
              <w:rPr>
                <w:rFonts w:ascii="Times New Roman" w:eastAsia="Times New Roman" w:hAnsi="Times New Roman" w:cs="Times New Roman"/>
                <w:color w:val="000000"/>
                <w:sz w:val="18"/>
                <w:szCs w:val="18"/>
                <w:lang w:eastAsia="es-HN"/>
              </w:rPr>
              <w:t>CNBS</w:t>
            </w:r>
            <w:r>
              <w:rPr>
                <w:rFonts w:ascii="Times New Roman" w:eastAsia="Times New Roman" w:hAnsi="Times New Roman" w:cs="Times New Roman"/>
                <w:color w:val="000000"/>
                <w:sz w:val="18"/>
                <w:szCs w:val="18"/>
                <w:lang w:eastAsia="es-HN"/>
              </w:rPr>
              <w:t>.</w:t>
            </w:r>
          </w:p>
        </w:tc>
        <w:tc>
          <w:tcPr>
            <w:tcW w:w="2268" w:type="dxa"/>
            <w:vMerge w:val="restart"/>
            <w:tcBorders>
              <w:top w:val="nil"/>
              <w:left w:val="single" w:sz="4" w:space="0" w:color="auto"/>
              <w:bottom w:val="nil"/>
              <w:right w:val="single" w:sz="4" w:space="0" w:color="auto"/>
            </w:tcBorders>
            <w:shd w:val="clear" w:color="auto" w:fill="auto"/>
            <w:vAlign w:val="center"/>
            <w:hideMark/>
          </w:tcPr>
          <w:p w14:paraId="4C0175DE" w14:textId="6490EBB7" w:rsidR="00CE296F" w:rsidRPr="00CE296F" w:rsidRDefault="00B027F6" w:rsidP="00CE296F">
            <w:pPr>
              <w:widowControl/>
              <w:jc w:val="center"/>
              <w:rPr>
                <w:rFonts w:ascii="Calibri" w:eastAsia="Times New Roman" w:hAnsi="Calibri" w:cs="Calibri"/>
                <w:color w:val="0563C1"/>
                <w:u w:val="single"/>
                <w:lang w:eastAsia="es-HN"/>
              </w:rPr>
            </w:pPr>
            <w:hyperlink r:id="rId18" w:history="1">
              <w:r w:rsidR="00CE296F" w:rsidRPr="00CE296F">
                <w:rPr>
                  <w:rStyle w:val="Hipervnculo"/>
                  <w:rFonts w:ascii="Calibri" w:eastAsia="Times New Roman" w:hAnsi="Calibri" w:cs="Calibri"/>
                  <w:lang w:eastAsia="es-HN"/>
                </w:rPr>
                <w:t>https://analitica.cnbs.gob.hn/</w:t>
              </w:r>
            </w:hyperlink>
          </w:p>
        </w:tc>
      </w:tr>
      <w:tr w:rsidR="007819D9" w:rsidRPr="00CE296F" w14:paraId="788527D5" w14:textId="77777777" w:rsidTr="00FD699E">
        <w:trPr>
          <w:trHeight w:val="1575"/>
          <w:jc w:val="center"/>
        </w:trPr>
        <w:tc>
          <w:tcPr>
            <w:tcW w:w="1413" w:type="dxa"/>
            <w:vMerge/>
            <w:tcBorders>
              <w:top w:val="nil"/>
              <w:left w:val="single" w:sz="4" w:space="0" w:color="auto"/>
              <w:bottom w:val="single" w:sz="4" w:space="0" w:color="auto"/>
              <w:right w:val="single" w:sz="4" w:space="0" w:color="auto"/>
            </w:tcBorders>
            <w:vAlign w:val="center"/>
            <w:hideMark/>
          </w:tcPr>
          <w:p w14:paraId="5E7B7459"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992" w:type="dxa"/>
            <w:vMerge/>
            <w:tcBorders>
              <w:top w:val="nil"/>
              <w:left w:val="single" w:sz="4" w:space="0" w:color="auto"/>
              <w:bottom w:val="single" w:sz="4" w:space="0" w:color="auto"/>
              <w:right w:val="single" w:sz="4" w:space="0" w:color="auto"/>
            </w:tcBorders>
            <w:vAlign w:val="center"/>
            <w:hideMark/>
          </w:tcPr>
          <w:p w14:paraId="412B68B4"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39" w:type="dxa"/>
            <w:tcBorders>
              <w:top w:val="nil"/>
              <w:left w:val="nil"/>
              <w:bottom w:val="single" w:sz="4" w:space="0" w:color="auto"/>
              <w:right w:val="single" w:sz="4" w:space="0" w:color="auto"/>
            </w:tcBorders>
            <w:shd w:val="clear" w:color="auto" w:fill="auto"/>
            <w:noWrap/>
            <w:vAlign w:val="center"/>
            <w:hideMark/>
          </w:tcPr>
          <w:p w14:paraId="395C8A39"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Excedente Apropiado</w:t>
            </w:r>
          </w:p>
        </w:tc>
        <w:tc>
          <w:tcPr>
            <w:tcW w:w="1134" w:type="dxa"/>
            <w:vMerge/>
            <w:tcBorders>
              <w:top w:val="nil"/>
              <w:left w:val="single" w:sz="4" w:space="0" w:color="auto"/>
              <w:bottom w:val="single" w:sz="4" w:space="0" w:color="auto"/>
              <w:right w:val="single" w:sz="4" w:space="0" w:color="auto"/>
            </w:tcBorders>
            <w:vAlign w:val="center"/>
            <w:hideMark/>
          </w:tcPr>
          <w:p w14:paraId="2E2F7577"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29" w:type="dxa"/>
            <w:tcBorders>
              <w:top w:val="nil"/>
              <w:left w:val="nil"/>
              <w:bottom w:val="single" w:sz="4" w:space="0" w:color="auto"/>
              <w:right w:val="single" w:sz="4" w:space="0" w:color="auto"/>
            </w:tcBorders>
            <w:shd w:val="clear" w:color="auto" w:fill="auto"/>
            <w:vAlign w:val="center"/>
            <w:hideMark/>
          </w:tcPr>
          <w:p w14:paraId="6DBA1804"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Rentabilidad sobre los Activos (ROA)</w:t>
            </w:r>
          </w:p>
        </w:tc>
        <w:tc>
          <w:tcPr>
            <w:tcW w:w="1134" w:type="dxa"/>
            <w:tcBorders>
              <w:top w:val="nil"/>
              <w:left w:val="nil"/>
              <w:bottom w:val="single" w:sz="4" w:space="0" w:color="auto"/>
              <w:right w:val="single" w:sz="4" w:space="0" w:color="auto"/>
            </w:tcBorders>
            <w:shd w:val="clear" w:color="auto" w:fill="auto"/>
            <w:vAlign w:val="center"/>
            <w:hideMark/>
          </w:tcPr>
          <w:p w14:paraId="17383DBA"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Beneficio Obtenido antes de Intereses e Impuesto (EBIT)</w:t>
            </w:r>
            <w:r w:rsidRPr="00CE296F">
              <w:rPr>
                <w:rFonts w:ascii="Times New Roman" w:eastAsia="Times New Roman" w:hAnsi="Times New Roman" w:cs="Times New Roman"/>
                <w:color w:val="000000"/>
                <w:sz w:val="18"/>
                <w:szCs w:val="18"/>
                <w:lang w:eastAsia="es-HN"/>
              </w:rPr>
              <w:br/>
              <w:t>Activos Totales</w:t>
            </w:r>
          </w:p>
        </w:tc>
        <w:tc>
          <w:tcPr>
            <w:tcW w:w="1281" w:type="dxa"/>
            <w:vMerge/>
            <w:tcBorders>
              <w:top w:val="nil"/>
              <w:left w:val="single" w:sz="4" w:space="0" w:color="auto"/>
              <w:bottom w:val="nil"/>
              <w:right w:val="single" w:sz="4" w:space="0" w:color="auto"/>
            </w:tcBorders>
            <w:vAlign w:val="center"/>
            <w:hideMark/>
          </w:tcPr>
          <w:p w14:paraId="63A4CE2D"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2268" w:type="dxa"/>
            <w:vMerge/>
            <w:tcBorders>
              <w:top w:val="nil"/>
              <w:left w:val="single" w:sz="4" w:space="0" w:color="auto"/>
              <w:bottom w:val="nil"/>
              <w:right w:val="single" w:sz="4" w:space="0" w:color="auto"/>
            </w:tcBorders>
            <w:vAlign w:val="center"/>
            <w:hideMark/>
          </w:tcPr>
          <w:p w14:paraId="44868ABC" w14:textId="77777777" w:rsidR="00CE296F" w:rsidRPr="00CE296F" w:rsidRDefault="00CE296F" w:rsidP="00CE296F">
            <w:pPr>
              <w:widowControl/>
              <w:rPr>
                <w:rFonts w:ascii="Calibri" w:eastAsia="Times New Roman" w:hAnsi="Calibri" w:cs="Calibri"/>
                <w:color w:val="0563C1"/>
                <w:u w:val="single"/>
                <w:lang w:eastAsia="es-HN"/>
              </w:rPr>
            </w:pPr>
          </w:p>
        </w:tc>
      </w:tr>
      <w:tr w:rsidR="007819D9" w:rsidRPr="00CE296F" w14:paraId="3C68E92D" w14:textId="77777777" w:rsidTr="00FD699E">
        <w:trPr>
          <w:trHeight w:val="1575"/>
          <w:jc w:val="center"/>
        </w:trPr>
        <w:tc>
          <w:tcPr>
            <w:tcW w:w="1413" w:type="dxa"/>
            <w:vMerge/>
            <w:tcBorders>
              <w:top w:val="nil"/>
              <w:left w:val="single" w:sz="4" w:space="0" w:color="auto"/>
              <w:bottom w:val="single" w:sz="4" w:space="0" w:color="auto"/>
              <w:right w:val="single" w:sz="4" w:space="0" w:color="auto"/>
            </w:tcBorders>
            <w:vAlign w:val="center"/>
            <w:hideMark/>
          </w:tcPr>
          <w:p w14:paraId="275618E8"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992" w:type="dxa"/>
            <w:vMerge/>
            <w:tcBorders>
              <w:top w:val="nil"/>
              <w:left w:val="single" w:sz="4" w:space="0" w:color="auto"/>
              <w:bottom w:val="single" w:sz="4" w:space="0" w:color="auto"/>
              <w:right w:val="single" w:sz="4" w:space="0" w:color="auto"/>
            </w:tcBorders>
            <w:vAlign w:val="center"/>
            <w:hideMark/>
          </w:tcPr>
          <w:p w14:paraId="2D063FF1"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3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CFDB36"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Costo de Oportunidad</w:t>
            </w:r>
          </w:p>
        </w:tc>
        <w:tc>
          <w:tcPr>
            <w:tcW w:w="1134" w:type="dxa"/>
            <w:vMerge/>
            <w:tcBorders>
              <w:top w:val="nil"/>
              <w:left w:val="single" w:sz="4" w:space="0" w:color="auto"/>
              <w:bottom w:val="single" w:sz="4" w:space="0" w:color="auto"/>
              <w:right w:val="single" w:sz="4" w:space="0" w:color="auto"/>
            </w:tcBorders>
            <w:vAlign w:val="center"/>
            <w:hideMark/>
          </w:tcPr>
          <w:p w14:paraId="38199E94"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29" w:type="dxa"/>
            <w:tcBorders>
              <w:top w:val="nil"/>
              <w:left w:val="nil"/>
              <w:bottom w:val="single" w:sz="4" w:space="0" w:color="auto"/>
              <w:right w:val="single" w:sz="4" w:space="0" w:color="auto"/>
            </w:tcBorders>
            <w:shd w:val="clear" w:color="auto" w:fill="auto"/>
            <w:noWrap/>
            <w:vAlign w:val="center"/>
            <w:hideMark/>
          </w:tcPr>
          <w:p w14:paraId="49E56630" w14:textId="7D4DCE63"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Cartera Provisionada</w:t>
            </w:r>
          </w:p>
        </w:tc>
        <w:tc>
          <w:tcPr>
            <w:tcW w:w="1134" w:type="dxa"/>
            <w:tcBorders>
              <w:top w:val="nil"/>
              <w:left w:val="nil"/>
              <w:bottom w:val="single" w:sz="4" w:space="0" w:color="auto"/>
              <w:right w:val="single" w:sz="4" w:space="0" w:color="auto"/>
            </w:tcBorders>
            <w:shd w:val="clear" w:color="auto" w:fill="auto"/>
            <w:vAlign w:val="center"/>
            <w:hideMark/>
          </w:tcPr>
          <w:p w14:paraId="008E11CA"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Amortización sobre Préstamos, Descuentos y Negociaciones</w:t>
            </w:r>
            <w:r w:rsidRPr="00CE296F">
              <w:rPr>
                <w:rFonts w:ascii="Times New Roman" w:eastAsia="Times New Roman" w:hAnsi="Times New Roman" w:cs="Times New Roman"/>
                <w:color w:val="000000"/>
                <w:sz w:val="18"/>
                <w:szCs w:val="18"/>
                <w:lang w:eastAsia="es-HN"/>
              </w:rPr>
              <w:br/>
              <w:t>Activos Totales</w:t>
            </w:r>
          </w:p>
        </w:tc>
        <w:tc>
          <w:tcPr>
            <w:tcW w:w="1281" w:type="dxa"/>
            <w:vMerge w:val="restart"/>
            <w:tcBorders>
              <w:top w:val="nil"/>
              <w:left w:val="single" w:sz="4" w:space="0" w:color="auto"/>
              <w:bottom w:val="nil"/>
              <w:right w:val="single" w:sz="4" w:space="0" w:color="auto"/>
            </w:tcBorders>
            <w:shd w:val="clear" w:color="auto" w:fill="auto"/>
            <w:vAlign w:val="center"/>
            <w:hideMark/>
          </w:tcPr>
          <w:p w14:paraId="654D1765" w14:textId="073CBEFA"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Encaje Bancario Requerido y Efectivo por Moneda, período de 2019, a 2022, Estadísticas Monetarias y Financieras Armonizadas, BCH.</w:t>
            </w:r>
          </w:p>
        </w:tc>
        <w:tc>
          <w:tcPr>
            <w:tcW w:w="2268" w:type="dxa"/>
            <w:vMerge w:val="restart"/>
            <w:tcBorders>
              <w:top w:val="nil"/>
              <w:left w:val="single" w:sz="4" w:space="0" w:color="auto"/>
              <w:bottom w:val="nil"/>
              <w:right w:val="single" w:sz="4" w:space="0" w:color="auto"/>
            </w:tcBorders>
            <w:shd w:val="clear" w:color="auto" w:fill="auto"/>
            <w:vAlign w:val="center"/>
            <w:hideMark/>
          </w:tcPr>
          <w:p w14:paraId="5987738E" w14:textId="77777777" w:rsidR="00CE296F" w:rsidRPr="00CE296F" w:rsidRDefault="00B027F6" w:rsidP="00CE296F">
            <w:pPr>
              <w:widowControl/>
              <w:jc w:val="center"/>
              <w:rPr>
                <w:rFonts w:ascii="Calibri" w:eastAsia="Times New Roman" w:hAnsi="Calibri" w:cs="Calibri"/>
                <w:color w:val="0563C1"/>
                <w:u w:val="single"/>
                <w:lang w:eastAsia="es-HN"/>
              </w:rPr>
            </w:pPr>
            <w:hyperlink r:id="rId19" w:history="1">
              <w:r w:rsidR="00CE296F" w:rsidRPr="00CE296F">
                <w:rPr>
                  <w:rFonts w:ascii="Calibri" w:eastAsia="Times New Roman" w:hAnsi="Calibri" w:cs="Calibri"/>
                  <w:color w:val="0563C1"/>
                  <w:u w:val="single"/>
                  <w:lang w:eastAsia="es-HN"/>
                </w:rPr>
                <w:t>https://www.bch.hn/estadisticas-y-publicaciones-economicas/sector-monetario</w:t>
              </w:r>
            </w:hyperlink>
          </w:p>
        </w:tc>
      </w:tr>
      <w:tr w:rsidR="007819D9" w:rsidRPr="00CE296F" w14:paraId="715D86A6" w14:textId="77777777" w:rsidTr="00FD699E">
        <w:trPr>
          <w:trHeight w:val="1575"/>
          <w:jc w:val="center"/>
        </w:trPr>
        <w:tc>
          <w:tcPr>
            <w:tcW w:w="1413" w:type="dxa"/>
            <w:vMerge/>
            <w:tcBorders>
              <w:top w:val="nil"/>
              <w:left w:val="single" w:sz="4" w:space="0" w:color="auto"/>
              <w:bottom w:val="single" w:sz="4" w:space="0" w:color="auto"/>
              <w:right w:val="single" w:sz="4" w:space="0" w:color="auto"/>
            </w:tcBorders>
            <w:vAlign w:val="center"/>
            <w:hideMark/>
          </w:tcPr>
          <w:p w14:paraId="1FC62DFB"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992" w:type="dxa"/>
            <w:vMerge/>
            <w:tcBorders>
              <w:top w:val="nil"/>
              <w:left w:val="single" w:sz="4" w:space="0" w:color="auto"/>
              <w:bottom w:val="single" w:sz="4" w:space="0" w:color="auto"/>
              <w:right w:val="single" w:sz="4" w:space="0" w:color="auto"/>
            </w:tcBorders>
            <w:vAlign w:val="center"/>
            <w:hideMark/>
          </w:tcPr>
          <w:p w14:paraId="10DEA65E"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39" w:type="dxa"/>
            <w:vMerge/>
            <w:tcBorders>
              <w:top w:val="nil"/>
              <w:left w:val="single" w:sz="4" w:space="0" w:color="auto"/>
              <w:bottom w:val="single" w:sz="4" w:space="0" w:color="auto"/>
              <w:right w:val="single" w:sz="4" w:space="0" w:color="auto"/>
            </w:tcBorders>
            <w:vAlign w:val="center"/>
            <w:hideMark/>
          </w:tcPr>
          <w:p w14:paraId="48A10FC2"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65E65460"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29" w:type="dxa"/>
            <w:tcBorders>
              <w:top w:val="nil"/>
              <w:left w:val="nil"/>
              <w:bottom w:val="single" w:sz="4" w:space="0" w:color="auto"/>
              <w:right w:val="single" w:sz="4" w:space="0" w:color="auto"/>
            </w:tcBorders>
            <w:shd w:val="clear" w:color="auto" w:fill="auto"/>
            <w:noWrap/>
            <w:vAlign w:val="center"/>
            <w:hideMark/>
          </w:tcPr>
          <w:p w14:paraId="503FCAFB"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Activos menos rentables</w:t>
            </w:r>
          </w:p>
        </w:tc>
        <w:tc>
          <w:tcPr>
            <w:tcW w:w="1134" w:type="dxa"/>
            <w:tcBorders>
              <w:top w:val="nil"/>
              <w:left w:val="nil"/>
              <w:bottom w:val="single" w:sz="4" w:space="0" w:color="auto"/>
              <w:right w:val="single" w:sz="4" w:space="0" w:color="auto"/>
            </w:tcBorders>
            <w:shd w:val="clear" w:color="auto" w:fill="auto"/>
            <w:vAlign w:val="center"/>
            <w:hideMark/>
          </w:tcPr>
          <w:p w14:paraId="3A5ACC6F"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Cartera Vencida</w:t>
            </w:r>
            <w:r w:rsidRPr="00CE296F">
              <w:rPr>
                <w:rFonts w:ascii="Times New Roman" w:eastAsia="Times New Roman" w:hAnsi="Times New Roman" w:cs="Times New Roman"/>
                <w:color w:val="000000"/>
                <w:sz w:val="18"/>
                <w:szCs w:val="18"/>
                <w:lang w:eastAsia="es-HN"/>
              </w:rPr>
              <w:br/>
              <w:t>Encaje</w:t>
            </w:r>
            <w:r w:rsidRPr="00CE296F">
              <w:rPr>
                <w:rFonts w:ascii="Times New Roman" w:eastAsia="Times New Roman" w:hAnsi="Times New Roman" w:cs="Times New Roman"/>
                <w:color w:val="000000"/>
                <w:sz w:val="18"/>
                <w:szCs w:val="18"/>
                <w:lang w:eastAsia="es-HN"/>
              </w:rPr>
              <w:br/>
              <w:t>Letras y Subasta Diaria</w:t>
            </w:r>
          </w:p>
        </w:tc>
        <w:tc>
          <w:tcPr>
            <w:tcW w:w="1281" w:type="dxa"/>
            <w:vMerge/>
            <w:tcBorders>
              <w:top w:val="nil"/>
              <w:left w:val="single" w:sz="4" w:space="0" w:color="auto"/>
              <w:bottom w:val="nil"/>
              <w:right w:val="single" w:sz="4" w:space="0" w:color="auto"/>
            </w:tcBorders>
            <w:vAlign w:val="center"/>
            <w:hideMark/>
          </w:tcPr>
          <w:p w14:paraId="4861A294"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2268" w:type="dxa"/>
            <w:vMerge/>
            <w:tcBorders>
              <w:top w:val="nil"/>
              <w:left w:val="single" w:sz="4" w:space="0" w:color="auto"/>
              <w:bottom w:val="nil"/>
              <w:right w:val="single" w:sz="4" w:space="0" w:color="auto"/>
            </w:tcBorders>
            <w:vAlign w:val="center"/>
            <w:hideMark/>
          </w:tcPr>
          <w:p w14:paraId="64A6E2F4" w14:textId="77777777" w:rsidR="00CE296F" w:rsidRPr="00CE296F" w:rsidRDefault="00CE296F" w:rsidP="00CE296F">
            <w:pPr>
              <w:widowControl/>
              <w:rPr>
                <w:rFonts w:ascii="Calibri" w:eastAsia="Times New Roman" w:hAnsi="Calibri" w:cs="Calibri"/>
                <w:color w:val="0563C1"/>
                <w:u w:val="single"/>
                <w:lang w:eastAsia="es-HN"/>
              </w:rPr>
            </w:pPr>
          </w:p>
        </w:tc>
      </w:tr>
      <w:tr w:rsidR="007819D9" w:rsidRPr="00CE296F" w14:paraId="6190BAD0" w14:textId="77777777" w:rsidTr="00FD699E">
        <w:trPr>
          <w:trHeight w:val="1575"/>
          <w:jc w:val="center"/>
        </w:trPr>
        <w:tc>
          <w:tcPr>
            <w:tcW w:w="1413" w:type="dxa"/>
            <w:vMerge/>
            <w:tcBorders>
              <w:top w:val="nil"/>
              <w:left w:val="single" w:sz="4" w:space="0" w:color="auto"/>
              <w:bottom w:val="single" w:sz="4" w:space="0" w:color="auto"/>
              <w:right w:val="single" w:sz="4" w:space="0" w:color="auto"/>
            </w:tcBorders>
            <w:vAlign w:val="center"/>
            <w:hideMark/>
          </w:tcPr>
          <w:p w14:paraId="2C03909B"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992" w:type="dxa"/>
            <w:vMerge/>
            <w:tcBorders>
              <w:top w:val="nil"/>
              <w:left w:val="single" w:sz="4" w:space="0" w:color="auto"/>
              <w:bottom w:val="single" w:sz="4" w:space="0" w:color="auto"/>
              <w:right w:val="single" w:sz="4" w:space="0" w:color="auto"/>
            </w:tcBorders>
            <w:vAlign w:val="center"/>
            <w:hideMark/>
          </w:tcPr>
          <w:p w14:paraId="1FCF5F5B"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39" w:type="dxa"/>
            <w:vMerge/>
            <w:tcBorders>
              <w:top w:val="nil"/>
              <w:left w:val="single" w:sz="4" w:space="0" w:color="auto"/>
              <w:bottom w:val="single" w:sz="4" w:space="0" w:color="auto"/>
              <w:right w:val="single" w:sz="4" w:space="0" w:color="auto"/>
            </w:tcBorders>
            <w:vAlign w:val="center"/>
            <w:hideMark/>
          </w:tcPr>
          <w:p w14:paraId="7189DFC0"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5159C3B5"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29" w:type="dxa"/>
            <w:tcBorders>
              <w:top w:val="nil"/>
              <w:left w:val="nil"/>
              <w:bottom w:val="single" w:sz="4" w:space="0" w:color="auto"/>
              <w:right w:val="single" w:sz="4" w:space="0" w:color="auto"/>
            </w:tcBorders>
            <w:shd w:val="clear" w:color="auto" w:fill="auto"/>
            <w:noWrap/>
            <w:vAlign w:val="center"/>
            <w:hideMark/>
          </w:tcPr>
          <w:p w14:paraId="7BB5D370"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Gastos Administrativos</w:t>
            </w:r>
          </w:p>
        </w:tc>
        <w:tc>
          <w:tcPr>
            <w:tcW w:w="1134" w:type="dxa"/>
            <w:tcBorders>
              <w:top w:val="nil"/>
              <w:left w:val="nil"/>
              <w:bottom w:val="single" w:sz="4" w:space="0" w:color="auto"/>
              <w:right w:val="single" w:sz="4" w:space="0" w:color="auto"/>
            </w:tcBorders>
            <w:shd w:val="clear" w:color="auto" w:fill="auto"/>
            <w:vAlign w:val="center"/>
            <w:hideMark/>
          </w:tcPr>
          <w:p w14:paraId="097D63FB"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Gastos Administrativos</w:t>
            </w:r>
            <w:r w:rsidRPr="00CE296F">
              <w:rPr>
                <w:rFonts w:ascii="Times New Roman" w:eastAsia="Times New Roman" w:hAnsi="Times New Roman" w:cs="Times New Roman"/>
                <w:color w:val="000000"/>
                <w:sz w:val="18"/>
                <w:szCs w:val="18"/>
                <w:lang w:eastAsia="es-HN"/>
              </w:rPr>
              <w:br/>
              <w:t>Activos Totales</w:t>
            </w:r>
          </w:p>
        </w:tc>
        <w:tc>
          <w:tcPr>
            <w:tcW w:w="1281" w:type="dxa"/>
            <w:vMerge w:val="restart"/>
            <w:tcBorders>
              <w:top w:val="nil"/>
              <w:left w:val="single" w:sz="4" w:space="0" w:color="auto"/>
              <w:bottom w:val="single" w:sz="4" w:space="0" w:color="000000"/>
              <w:right w:val="single" w:sz="4" w:space="0" w:color="auto"/>
            </w:tcBorders>
            <w:shd w:val="clear" w:color="auto" w:fill="auto"/>
            <w:vAlign w:val="center"/>
            <w:hideMark/>
          </w:tcPr>
          <w:p w14:paraId="2A714410" w14:textId="57D72ED8"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 xml:space="preserve">Información de las Subasta de Valores Gubernamentales, período de 2019 a 2022, Estadísticas Operaciones Monetarias, BCH. </w:t>
            </w:r>
          </w:p>
        </w:tc>
        <w:tc>
          <w:tcPr>
            <w:tcW w:w="2268" w:type="dxa"/>
            <w:vMerge w:val="restart"/>
            <w:tcBorders>
              <w:top w:val="nil"/>
              <w:left w:val="single" w:sz="4" w:space="0" w:color="auto"/>
              <w:bottom w:val="single" w:sz="4" w:space="0" w:color="000000"/>
              <w:right w:val="single" w:sz="4" w:space="0" w:color="auto"/>
            </w:tcBorders>
            <w:shd w:val="clear" w:color="auto" w:fill="auto"/>
            <w:vAlign w:val="center"/>
            <w:hideMark/>
          </w:tcPr>
          <w:p w14:paraId="564CF646" w14:textId="77777777" w:rsidR="00CE296F" w:rsidRPr="00CE296F" w:rsidRDefault="00B027F6" w:rsidP="00CE296F">
            <w:pPr>
              <w:widowControl/>
              <w:jc w:val="center"/>
              <w:rPr>
                <w:rFonts w:ascii="Calibri" w:eastAsia="Times New Roman" w:hAnsi="Calibri" w:cs="Calibri"/>
                <w:color w:val="0563C1"/>
                <w:u w:val="single"/>
                <w:lang w:eastAsia="es-HN"/>
              </w:rPr>
            </w:pPr>
            <w:hyperlink r:id="rId20" w:history="1">
              <w:r w:rsidR="00CE296F" w:rsidRPr="00CE296F">
                <w:rPr>
                  <w:rFonts w:ascii="Calibri" w:eastAsia="Times New Roman" w:hAnsi="Calibri" w:cs="Calibri"/>
                  <w:color w:val="0563C1"/>
                  <w:u w:val="single"/>
                  <w:lang w:eastAsia="es-HN"/>
                </w:rPr>
                <w:t>https://www.bch.hn/politica-institucional/politica-monetaria/estadisticas-operaciones-monetarias</w:t>
              </w:r>
            </w:hyperlink>
          </w:p>
        </w:tc>
      </w:tr>
      <w:tr w:rsidR="007819D9" w:rsidRPr="00CE296F" w14:paraId="35A8018D" w14:textId="77777777" w:rsidTr="00FD699E">
        <w:trPr>
          <w:trHeight w:val="1575"/>
          <w:jc w:val="center"/>
        </w:trPr>
        <w:tc>
          <w:tcPr>
            <w:tcW w:w="1413" w:type="dxa"/>
            <w:vMerge/>
            <w:tcBorders>
              <w:top w:val="nil"/>
              <w:left w:val="single" w:sz="4" w:space="0" w:color="auto"/>
              <w:bottom w:val="single" w:sz="4" w:space="0" w:color="auto"/>
              <w:right w:val="single" w:sz="4" w:space="0" w:color="auto"/>
            </w:tcBorders>
            <w:vAlign w:val="center"/>
            <w:hideMark/>
          </w:tcPr>
          <w:p w14:paraId="085BA02C"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992" w:type="dxa"/>
            <w:vMerge/>
            <w:tcBorders>
              <w:top w:val="nil"/>
              <w:left w:val="single" w:sz="4" w:space="0" w:color="auto"/>
              <w:bottom w:val="single" w:sz="4" w:space="0" w:color="auto"/>
              <w:right w:val="single" w:sz="4" w:space="0" w:color="auto"/>
            </w:tcBorders>
            <w:vAlign w:val="center"/>
            <w:hideMark/>
          </w:tcPr>
          <w:p w14:paraId="3E1C6CF6"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39" w:type="dxa"/>
            <w:tcBorders>
              <w:top w:val="nil"/>
              <w:left w:val="nil"/>
              <w:bottom w:val="single" w:sz="4" w:space="0" w:color="auto"/>
              <w:right w:val="single" w:sz="4" w:space="0" w:color="auto"/>
            </w:tcBorders>
            <w:shd w:val="clear" w:color="auto" w:fill="auto"/>
            <w:noWrap/>
            <w:vAlign w:val="center"/>
            <w:hideMark/>
          </w:tcPr>
          <w:p w14:paraId="638CDCF3"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Costos Regulatorios</w:t>
            </w:r>
          </w:p>
        </w:tc>
        <w:tc>
          <w:tcPr>
            <w:tcW w:w="1134" w:type="dxa"/>
            <w:vMerge/>
            <w:tcBorders>
              <w:top w:val="nil"/>
              <w:left w:val="single" w:sz="4" w:space="0" w:color="auto"/>
              <w:bottom w:val="single" w:sz="4" w:space="0" w:color="auto"/>
              <w:right w:val="single" w:sz="4" w:space="0" w:color="auto"/>
            </w:tcBorders>
            <w:vAlign w:val="center"/>
            <w:hideMark/>
          </w:tcPr>
          <w:p w14:paraId="2E055056"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1129" w:type="dxa"/>
            <w:tcBorders>
              <w:top w:val="nil"/>
              <w:left w:val="nil"/>
              <w:bottom w:val="single" w:sz="4" w:space="0" w:color="auto"/>
              <w:right w:val="single" w:sz="4" w:space="0" w:color="auto"/>
            </w:tcBorders>
            <w:shd w:val="clear" w:color="auto" w:fill="auto"/>
            <w:noWrap/>
            <w:vAlign w:val="center"/>
            <w:hideMark/>
          </w:tcPr>
          <w:p w14:paraId="1CE7C8F6"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Impuestos</w:t>
            </w:r>
          </w:p>
        </w:tc>
        <w:tc>
          <w:tcPr>
            <w:tcW w:w="1134" w:type="dxa"/>
            <w:tcBorders>
              <w:top w:val="nil"/>
              <w:left w:val="nil"/>
              <w:bottom w:val="single" w:sz="4" w:space="0" w:color="auto"/>
              <w:right w:val="single" w:sz="4" w:space="0" w:color="auto"/>
            </w:tcBorders>
            <w:shd w:val="clear" w:color="auto" w:fill="auto"/>
            <w:vAlign w:val="center"/>
            <w:hideMark/>
          </w:tcPr>
          <w:p w14:paraId="0315576B" w14:textId="77777777" w:rsidR="00CE296F" w:rsidRPr="00CE296F" w:rsidRDefault="00CE296F" w:rsidP="00CE296F">
            <w:pPr>
              <w:widowControl/>
              <w:jc w:val="center"/>
              <w:rPr>
                <w:rFonts w:ascii="Times New Roman" w:eastAsia="Times New Roman" w:hAnsi="Times New Roman" w:cs="Times New Roman"/>
                <w:color w:val="000000"/>
                <w:sz w:val="18"/>
                <w:szCs w:val="18"/>
                <w:lang w:eastAsia="es-HN"/>
              </w:rPr>
            </w:pPr>
            <w:r w:rsidRPr="00CE296F">
              <w:rPr>
                <w:rFonts w:ascii="Times New Roman" w:eastAsia="Times New Roman" w:hAnsi="Times New Roman" w:cs="Times New Roman"/>
                <w:color w:val="000000"/>
                <w:sz w:val="18"/>
                <w:szCs w:val="18"/>
                <w:lang w:eastAsia="es-HN"/>
              </w:rPr>
              <w:t>Impuestos sobre la Renta</w:t>
            </w:r>
            <w:r w:rsidRPr="00CE296F">
              <w:rPr>
                <w:rFonts w:ascii="Times New Roman" w:eastAsia="Times New Roman" w:hAnsi="Times New Roman" w:cs="Times New Roman"/>
                <w:color w:val="000000"/>
                <w:sz w:val="18"/>
                <w:szCs w:val="18"/>
                <w:lang w:eastAsia="es-HN"/>
              </w:rPr>
              <w:br/>
              <w:t>Activos Totales</w:t>
            </w:r>
          </w:p>
        </w:tc>
        <w:tc>
          <w:tcPr>
            <w:tcW w:w="1281" w:type="dxa"/>
            <w:vMerge/>
            <w:tcBorders>
              <w:top w:val="nil"/>
              <w:left w:val="single" w:sz="4" w:space="0" w:color="auto"/>
              <w:bottom w:val="single" w:sz="4" w:space="0" w:color="000000"/>
              <w:right w:val="single" w:sz="4" w:space="0" w:color="auto"/>
            </w:tcBorders>
            <w:vAlign w:val="center"/>
            <w:hideMark/>
          </w:tcPr>
          <w:p w14:paraId="64C75360" w14:textId="77777777" w:rsidR="00CE296F" w:rsidRPr="00CE296F" w:rsidRDefault="00CE296F" w:rsidP="00CE296F">
            <w:pPr>
              <w:widowControl/>
              <w:rPr>
                <w:rFonts w:ascii="Times New Roman" w:eastAsia="Times New Roman" w:hAnsi="Times New Roman" w:cs="Times New Roman"/>
                <w:color w:val="000000"/>
                <w:sz w:val="18"/>
                <w:szCs w:val="18"/>
                <w:lang w:eastAsia="es-HN"/>
              </w:rPr>
            </w:pPr>
          </w:p>
        </w:tc>
        <w:tc>
          <w:tcPr>
            <w:tcW w:w="2268" w:type="dxa"/>
            <w:vMerge/>
            <w:tcBorders>
              <w:top w:val="nil"/>
              <w:left w:val="single" w:sz="4" w:space="0" w:color="auto"/>
              <w:bottom w:val="single" w:sz="4" w:space="0" w:color="000000"/>
              <w:right w:val="single" w:sz="4" w:space="0" w:color="auto"/>
            </w:tcBorders>
            <w:vAlign w:val="center"/>
            <w:hideMark/>
          </w:tcPr>
          <w:p w14:paraId="4DD669DC" w14:textId="77777777" w:rsidR="00CE296F" w:rsidRPr="00CE296F" w:rsidRDefault="00CE296F" w:rsidP="00CE296F">
            <w:pPr>
              <w:widowControl/>
              <w:rPr>
                <w:rFonts w:ascii="Calibri" w:eastAsia="Times New Roman" w:hAnsi="Calibri" w:cs="Calibri"/>
                <w:color w:val="0563C1"/>
                <w:u w:val="single"/>
                <w:lang w:eastAsia="es-HN"/>
              </w:rPr>
            </w:pPr>
          </w:p>
        </w:tc>
      </w:tr>
    </w:tbl>
    <w:p w14:paraId="7BACC0E3" w14:textId="279FC913" w:rsidR="00F015DE" w:rsidRDefault="00FD699E" w:rsidP="00AA676E">
      <w:pPr>
        <w:pStyle w:val="TextoPrincipal"/>
        <w:spacing w:line="360" w:lineRule="auto"/>
      </w:pPr>
      <w:r w:rsidRPr="00AA676E">
        <w:rPr>
          <w:b/>
          <w:bCs/>
        </w:rPr>
        <w:t>Fuente:</w:t>
      </w:r>
      <w:r w:rsidRPr="00AA676E">
        <w:t xml:space="preserve"> Elaboración propia. </w:t>
      </w:r>
    </w:p>
    <w:p w14:paraId="2F4953A1" w14:textId="77777777" w:rsidR="00125E75" w:rsidRDefault="00125E75" w:rsidP="00AA676E">
      <w:pPr>
        <w:pStyle w:val="TextoPrincipal"/>
        <w:spacing w:line="360" w:lineRule="auto"/>
      </w:pPr>
    </w:p>
    <w:p w14:paraId="20DA0F17" w14:textId="77777777" w:rsidR="00125E75" w:rsidRPr="00AA676E" w:rsidRDefault="00125E75" w:rsidP="00AA676E">
      <w:pPr>
        <w:pStyle w:val="TextoPrincipal"/>
        <w:spacing w:line="360" w:lineRule="auto"/>
      </w:pPr>
    </w:p>
    <w:p w14:paraId="706D37EB" w14:textId="53DEEB61" w:rsidR="00700419" w:rsidRPr="00434B43" w:rsidRDefault="00700419" w:rsidP="00700419">
      <w:pPr>
        <w:keepNext/>
        <w:keepLines/>
        <w:widowControl/>
        <w:tabs>
          <w:tab w:val="left" w:pos="1276"/>
        </w:tabs>
        <w:spacing w:line="360" w:lineRule="auto"/>
        <w:ind w:firstLine="567"/>
        <w:jc w:val="both"/>
        <w:outlineLvl w:val="2"/>
        <w:rPr>
          <w:rFonts w:ascii="Times New Roman" w:eastAsia="Calibri" w:hAnsi="Times New Roman" w:cs="Calibri"/>
          <w:b/>
          <w:sz w:val="24"/>
          <w:szCs w:val="28"/>
          <w:lang w:eastAsia="es-HN"/>
        </w:rPr>
      </w:pPr>
      <w:bookmarkStart w:id="109" w:name="_Toc155066620"/>
      <w:r w:rsidRPr="00434B43">
        <w:rPr>
          <w:rFonts w:ascii="Times New Roman" w:eastAsia="Calibri" w:hAnsi="Times New Roman" w:cs="Calibri"/>
          <w:b/>
          <w:sz w:val="24"/>
          <w:szCs w:val="28"/>
          <w:lang w:eastAsia="es-HN"/>
        </w:rPr>
        <w:lastRenderedPageBreak/>
        <w:t>3.1.</w:t>
      </w:r>
      <w:r>
        <w:rPr>
          <w:rFonts w:ascii="Times New Roman" w:eastAsia="Calibri" w:hAnsi="Times New Roman" w:cs="Calibri"/>
          <w:b/>
          <w:sz w:val="24"/>
          <w:szCs w:val="28"/>
          <w:lang w:eastAsia="es-HN"/>
        </w:rPr>
        <w:t>4</w:t>
      </w:r>
      <w:r w:rsidRPr="00434B43">
        <w:rPr>
          <w:rFonts w:ascii="Times New Roman" w:eastAsia="Calibri" w:hAnsi="Times New Roman" w:cs="Calibri"/>
          <w:b/>
          <w:sz w:val="24"/>
          <w:szCs w:val="28"/>
          <w:lang w:eastAsia="es-HN"/>
        </w:rPr>
        <w:t xml:space="preserve"> </w:t>
      </w:r>
      <w:r>
        <w:rPr>
          <w:rFonts w:ascii="Times New Roman" w:eastAsia="Calibri" w:hAnsi="Times New Roman" w:cs="Calibri"/>
          <w:b/>
          <w:sz w:val="24"/>
          <w:szCs w:val="28"/>
          <w:lang w:eastAsia="es-HN"/>
        </w:rPr>
        <w:t>HIPÓTESIS</w:t>
      </w:r>
      <w:bookmarkEnd w:id="109"/>
      <w:r w:rsidRPr="00434B43">
        <w:rPr>
          <w:rFonts w:ascii="Times New Roman" w:eastAsia="Calibri" w:hAnsi="Times New Roman" w:cs="Calibri"/>
          <w:b/>
          <w:sz w:val="24"/>
          <w:szCs w:val="28"/>
          <w:lang w:eastAsia="es-HN"/>
        </w:rPr>
        <w:t xml:space="preserve"> </w:t>
      </w:r>
    </w:p>
    <w:p w14:paraId="50946FEA" w14:textId="3A466A80" w:rsidR="000F7E06" w:rsidRPr="003B3FCF" w:rsidRDefault="00700419" w:rsidP="00AA676E">
      <w:pPr>
        <w:pStyle w:val="TextoPrincipal"/>
        <w:spacing w:line="360" w:lineRule="auto"/>
      </w:pPr>
      <w:r w:rsidRPr="003B3FCF">
        <w:t xml:space="preserve">En el marco de la presente investigación, se hace importante enfatizar que no se formularán hipótesis, ya que el alcance de este estudio </w:t>
      </w:r>
      <w:r w:rsidR="0025658D">
        <w:t xml:space="preserve">es descriptivo, donde se busca describir y caracterizar el fenómeno de estudio en un período específico. </w:t>
      </w:r>
    </w:p>
    <w:p w14:paraId="171A01F9" w14:textId="48F9863E" w:rsidR="00FB3A77" w:rsidRPr="003B3FCF" w:rsidRDefault="00700419" w:rsidP="00AA676E">
      <w:pPr>
        <w:pStyle w:val="TextoPrincipal"/>
        <w:spacing w:line="360" w:lineRule="auto"/>
      </w:pPr>
      <w:r w:rsidRPr="003B3FCF">
        <w:t>El objetivo principal es obtener una comprensión clara y detallada de los fenómenos o variables de interés, sin buscar demostrar relaciones causales o realizar predicciones. En su lugar, se realizará una recopilación sistemática de datos, análisis y presentación de resultados</w:t>
      </w:r>
      <w:r w:rsidR="000F7E06" w:rsidRPr="003B3FCF">
        <w:t>, que permitan ofrecer una visión objetiva y completa de la situación que se está estudiando; asimismo,</w:t>
      </w:r>
      <w:r w:rsidR="000F7E06" w:rsidRPr="000F7E06">
        <w:t xml:space="preserve"> </w:t>
      </w:r>
      <w:r w:rsidR="000F7E06" w:rsidRPr="003B3FCF">
        <w:t>se recopilara datos cualitativos a través de entrevistas, centrándose en comprender las experiencias, percepciones y significados que los participantes atribuyen al fenómeno estudiado.</w:t>
      </w:r>
      <w:r w:rsidRPr="003B3FCF">
        <w:t xml:space="preserve"> </w:t>
      </w:r>
    </w:p>
    <w:p w14:paraId="7E2B0DB8" w14:textId="2A0D6F4E" w:rsidR="00434B43" w:rsidRPr="00434B43" w:rsidRDefault="00434B43" w:rsidP="00151EC0">
      <w:pPr>
        <w:keepNext/>
        <w:keepLines/>
        <w:widowControl/>
        <w:spacing w:before="75" w:after="75" w:line="480" w:lineRule="auto"/>
        <w:outlineLvl w:val="1"/>
        <w:rPr>
          <w:rFonts w:ascii="Times New Roman" w:eastAsia="Calibri" w:hAnsi="Times New Roman" w:cs="Times New Roman"/>
          <w:sz w:val="24"/>
          <w:lang w:eastAsia="es-HN"/>
        </w:rPr>
      </w:pPr>
      <w:bookmarkStart w:id="110" w:name="_Toc86695218"/>
      <w:bookmarkStart w:id="111" w:name="_Toc115041272"/>
      <w:bookmarkStart w:id="112" w:name="_Toc155066621"/>
      <w:r w:rsidRPr="00434B43">
        <w:rPr>
          <w:rFonts w:ascii="Times New Roman" w:eastAsia="Calibri" w:hAnsi="Times New Roman" w:cs="Calibri"/>
          <w:b/>
          <w:sz w:val="24"/>
          <w:szCs w:val="36"/>
          <w:lang w:eastAsia="es-HN"/>
        </w:rPr>
        <w:t>3.2 E</w:t>
      </w:r>
      <w:bookmarkEnd w:id="110"/>
      <w:r w:rsidRPr="00434B43">
        <w:rPr>
          <w:rFonts w:ascii="Times New Roman" w:eastAsia="Calibri" w:hAnsi="Times New Roman" w:cs="Calibri"/>
          <w:b/>
          <w:sz w:val="24"/>
          <w:szCs w:val="36"/>
          <w:lang w:eastAsia="es-HN"/>
        </w:rPr>
        <w:t>NFOQUE Y MÉTODOS</w:t>
      </w:r>
      <w:bookmarkEnd w:id="111"/>
      <w:bookmarkEnd w:id="112"/>
      <w:r w:rsidRPr="00434B43">
        <w:rPr>
          <w:rFonts w:ascii="Times New Roman" w:eastAsia="Calibri" w:hAnsi="Times New Roman" w:cs="Times New Roman"/>
          <w:sz w:val="24"/>
          <w:lang w:eastAsia="es-HN"/>
        </w:rPr>
        <w:tab/>
      </w:r>
    </w:p>
    <w:p w14:paraId="54BA363E" w14:textId="5936E574" w:rsidR="00434B43" w:rsidRPr="00434B43" w:rsidRDefault="00151EC0" w:rsidP="00434B43">
      <w:pPr>
        <w:widowControl/>
        <w:spacing w:line="480" w:lineRule="auto"/>
        <w:jc w:val="both"/>
        <w:rPr>
          <w:rFonts w:ascii="Times New Roman" w:eastAsia="Calibri" w:hAnsi="Times New Roman" w:cs="Times New Roman"/>
          <w:sz w:val="24"/>
          <w:lang w:eastAsia="es-HN"/>
        </w:rPr>
      </w:pPr>
      <w:r w:rsidRPr="00434B43">
        <w:rPr>
          <w:rFonts w:ascii="Times New Roman" w:eastAsia="Calibri" w:hAnsi="Times New Roman" w:cs="Calibri"/>
          <w:b/>
          <w:noProof/>
          <w:sz w:val="24"/>
          <w:szCs w:val="36"/>
          <w:lang w:eastAsia="es-HN"/>
        </w:rPr>
        <w:drawing>
          <wp:anchor distT="0" distB="0" distL="114300" distR="114300" simplePos="0" relativeHeight="251659264" behindDoc="0" locked="0" layoutInCell="1" allowOverlap="1" wp14:anchorId="7BA23DAD" wp14:editId="1AD06DAA">
            <wp:simplePos x="0" y="0"/>
            <wp:positionH relativeFrom="margin">
              <wp:posOffset>428625</wp:posOffset>
            </wp:positionH>
            <wp:positionV relativeFrom="paragraph">
              <wp:posOffset>13335</wp:posOffset>
            </wp:positionV>
            <wp:extent cx="5019675" cy="4337685"/>
            <wp:effectExtent l="0" t="0" r="66675" b="0"/>
            <wp:wrapSquare wrapText="bothSides"/>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14:sizeRelH relativeFrom="margin">
              <wp14:pctWidth>0</wp14:pctWidth>
            </wp14:sizeRelH>
            <wp14:sizeRelV relativeFrom="margin">
              <wp14:pctHeight>0</wp14:pctHeight>
            </wp14:sizeRelV>
          </wp:anchor>
        </w:drawing>
      </w:r>
    </w:p>
    <w:p w14:paraId="06BFBFAB" w14:textId="77777777" w:rsidR="00434B43" w:rsidRPr="00434B43" w:rsidRDefault="00434B43" w:rsidP="00434B43">
      <w:pPr>
        <w:widowControl/>
        <w:spacing w:line="480" w:lineRule="auto"/>
        <w:jc w:val="both"/>
        <w:rPr>
          <w:rFonts w:ascii="Times New Roman" w:eastAsia="Calibri" w:hAnsi="Times New Roman" w:cs="Times New Roman"/>
          <w:sz w:val="24"/>
          <w:lang w:eastAsia="es-HN"/>
        </w:rPr>
      </w:pPr>
    </w:p>
    <w:p w14:paraId="0528C01E" w14:textId="77777777" w:rsidR="00434B43" w:rsidRPr="00434B43" w:rsidRDefault="00434B43" w:rsidP="00434B43">
      <w:pPr>
        <w:widowControl/>
        <w:spacing w:line="480" w:lineRule="auto"/>
        <w:jc w:val="both"/>
        <w:rPr>
          <w:rFonts w:ascii="Times New Roman" w:eastAsia="Calibri" w:hAnsi="Times New Roman" w:cs="Times New Roman"/>
          <w:sz w:val="24"/>
          <w:lang w:eastAsia="es-HN"/>
        </w:rPr>
      </w:pPr>
    </w:p>
    <w:p w14:paraId="075EECD5" w14:textId="77777777" w:rsidR="00434B43" w:rsidRPr="00434B43" w:rsidRDefault="00434B43" w:rsidP="00434B43">
      <w:pPr>
        <w:widowControl/>
        <w:spacing w:line="480" w:lineRule="auto"/>
        <w:jc w:val="both"/>
        <w:rPr>
          <w:rFonts w:ascii="Times New Roman" w:eastAsia="Calibri" w:hAnsi="Times New Roman" w:cs="Times New Roman"/>
          <w:sz w:val="24"/>
          <w:lang w:eastAsia="es-HN"/>
        </w:rPr>
      </w:pPr>
    </w:p>
    <w:p w14:paraId="5FB0681E" w14:textId="77777777" w:rsidR="00434B43" w:rsidRPr="00434B43" w:rsidRDefault="00434B43" w:rsidP="00434B43">
      <w:pPr>
        <w:widowControl/>
        <w:spacing w:line="480" w:lineRule="auto"/>
        <w:jc w:val="both"/>
        <w:rPr>
          <w:rFonts w:ascii="Times New Roman" w:eastAsia="Calibri" w:hAnsi="Times New Roman" w:cs="Times New Roman"/>
          <w:sz w:val="24"/>
          <w:lang w:eastAsia="es-HN"/>
        </w:rPr>
      </w:pPr>
    </w:p>
    <w:p w14:paraId="0D971E58" w14:textId="77777777" w:rsidR="00434B43" w:rsidRPr="00434B43" w:rsidRDefault="00434B43" w:rsidP="00434B43">
      <w:pPr>
        <w:widowControl/>
        <w:spacing w:line="480" w:lineRule="auto"/>
        <w:jc w:val="both"/>
        <w:rPr>
          <w:rFonts w:ascii="Times New Roman" w:eastAsia="Calibri" w:hAnsi="Times New Roman" w:cs="Times New Roman"/>
          <w:sz w:val="24"/>
          <w:lang w:eastAsia="es-HN"/>
        </w:rPr>
      </w:pPr>
    </w:p>
    <w:p w14:paraId="7973C878" w14:textId="77777777" w:rsidR="00434B43" w:rsidRPr="00434B43" w:rsidRDefault="00434B43" w:rsidP="00434B43">
      <w:pPr>
        <w:widowControl/>
        <w:spacing w:line="480" w:lineRule="auto"/>
        <w:jc w:val="both"/>
        <w:rPr>
          <w:rFonts w:ascii="Times New Roman" w:eastAsia="Calibri" w:hAnsi="Times New Roman" w:cs="Times New Roman"/>
          <w:sz w:val="24"/>
          <w:lang w:eastAsia="es-HN"/>
        </w:rPr>
      </w:pPr>
    </w:p>
    <w:p w14:paraId="69DE8DC4" w14:textId="77777777" w:rsidR="00434B43" w:rsidRPr="00434B43" w:rsidRDefault="00434B43" w:rsidP="00434B43">
      <w:pPr>
        <w:widowControl/>
        <w:spacing w:line="480" w:lineRule="auto"/>
        <w:jc w:val="both"/>
        <w:rPr>
          <w:rFonts w:ascii="Times New Roman" w:eastAsia="Calibri" w:hAnsi="Times New Roman" w:cs="Times New Roman"/>
          <w:sz w:val="24"/>
          <w:lang w:eastAsia="es-HN"/>
        </w:rPr>
      </w:pPr>
    </w:p>
    <w:p w14:paraId="19F180E1" w14:textId="77777777" w:rsidR="00434B43" w:rsidRDefault="00434B43" w:rsidP="00434B43">
      <w:pPr>
        <w:widowControl/>
        <w:spacing w:line="480" w:lineRule="auto"/>
        <w:jc w:val="both"/>
        <w:rPr>
          <w:rFonts w:ascii="Times New Roman" w:eastAsia="Calibri" w:hAnsi="Times New Roman" w:cs="Times New Roman"/>
          <w:sz w:val="24"/>
          <w:lang w:eastAsia="es-HN"/>
        </w:rPr>
      </w:pPr>
    </w:p>
    <w:p w14:paraId="28EECAD8" w14:textId="77777777" w:rsidR="000A69EB" w:rsidRDefault="000A69EB" w:rsidP="00434B43">
      <w:pPr>
        <w:widowControl/>
        <w:spacing w:line="480" w:lineRule="auto"/>
        <w:jc w:val="both"/>
        <w:rPr>
          <w:rFonts w:ascii="Times New Roman" w:eastAsia="Calibri" w:hAnsi="Times New Roman" w:cs="Times New Roman"/>
          <w:sz w:val="24"/>
          <w:lang w:eastAsia="es-HN"/>
        </w:rPr>
      </w:pPr>
    </w:p>
    <w:p w14:paraId="76061A77" w14:textId="0BF67072" w:rsidR="00FB3A77" w:rsidRPr="00AA676E" w:rsidRDefault="00FB3A77" w:rsidP="00AA676E">
      <w:pPr>
        <w:pStyle w:val="TextoPrincipal"/>
        <w:spacing w:line="360" w:lineRule="auto"/>
      </w:pPr>
      <w:r w:rsidRPr="00AA676E">
        <w:rPr>
          <w:b/>
          <w:bCs/>
        </w:rPr>
        <w:t>Figura 2.</w:t>
      </w:r>
      <w:r w:rsidRPr="00AA676E">
        <w:t xml:space="preserve"> Diagrama de Enfoque y Métodos</w:t>
      </w:r>
      <w:r w:rsidR="00AA676E">
        <w:t>.</w:t>
      </w:r>
    </w:p>
    <w:p w14:paraId="52D9B860" w14:textId="4EB1D215" w:rsidR="000A69EB" w:rsidRPr="00AA676E" w:rsidRDefault="00FB3A77" w:rsidP="00125E75">
      <w:pPr>
        <w:pStyle w:val="TextoPrincipal"/>
        <w:spacing w:line="360" w:lineRule="auto"/>
      </w:pPr>
      <w:r w:rsidRPr="00AA676E">
        <w:rPr>
          <w:b/>
          <w:bCs/>
        </w:rPr>
        <w:t>Fuente</w:t>
      </w:r>
      <w:r w:rsidRPr="00AA676E">
        <w:t>: Elaboración propia</w:t>
      </w:r>
      <w:r w:rsidR="00AA676E">
        <w:t>.</w:t>
      </w:r>
    </w:p>
    <w:p w14:paraId="181BF261" w14:textId="77777777" w:rsidR="00B151FF" w:rsidRDefault="00FB3A77" w:rsidP="00AA676E">
      <w:pPr>
        <w:pStyle w:val="TextoPrincipal"/>
        <w:spacing w:line="360" w:lineRule="auto"/>
      </w:pPr>
      <w:r w:rsidRPr="003B3FCF">
        <w:lastRenderedPageBreak/>
        <w:t>La presente investigación mantendrá un enfoque mixto considerando que los métodos de recolección de información nos brindaran datos cualitativos como cuantitativos basándonos en la naturaleza de la investigación y en los objetivos específicos. Ambos enfoques ofrecen ventajas particulares que pueden mejorar la calidad y validez de los datos</w:t>
      </w:r>
      <w:r w:rsidR="002203C9">
        <w:t xml:space="preserve"> en sus respectivos contextos. </w:t>
      </w:r>
    </w:p>
    <w:p w14:paraId="127505D1" w14:textId="7BE4EB18" w:rsidR="003B3FCF" w:rsidRDefault="002203C9" w:rsidP="00AA676E">
      <w:pPr>
        <w:pStyle w:val="TextoPrincipal"/>
        <w:spacing w:line="360" w:lineRule="auto"/>
      </w:pPr>
      <w:r>
        <w:t>Se empleó</w:t>
      </w:r>
      <w:r w:rsidR="00FB3A77" w:rsidRPr="003B3FCF">
        <w:t xml:space="preserve"> </w:t>
      </w:r>
      <w:r>
        <w:t>la</w:t>
      </w:r>
      <w:r w:rsidR="00FB3A77" w:rsidRPr="003B3FCF">
        <w:t xml:space="preserve"> técnica </w:t>
      </w:r>
      <w:r>
        <w:t xml:space="preserve">de revisión sistemática de la información (RSI) </w:t>
      </w:r>
      <w:r w:rsidR="00FB3A77" w:rsidRPr="003B3FCF">
        <w:t>para el enfoque cuantitativo</w:t>
      </w:r>
      <w:r>
        <w:t>,</w:t>
      </w:r>
      <w:r w:rsidR="00FB3A77" w:rsidRPr="003B3FCF">
        <w:t xml:space="preserve"> ya que proporciona una estructura organizada para recopilar y analizar información que ayuda en el análisis temático al proporcionar una manera sistemática de organizar y</w:t>
      </w:r>
      <w:r>
        <w:t xml:space="preserve"> categorizar la información cuanti</w:t>
      </w:r>
      <w:r w:rsidR="00FB3A77" w:rsidRPr="003B3FCF">
        <w:t xml:space="preserve">tativa, esto es especialmente útil cuando se trabaja con datos ricos y complejos. </w:t>
      </w:r>
    </w:p>
    <w:p w14:paraId="2E2A56EF" w14:textId="37B896BF" w:rsidR="00D01F4F" w:rsidRPr="003B3FCF" w:rsidRDefault="002203C9" w:rsidP="00E35F0D">
      <w:pPr>
        <w:pStyle w:val="TextoPrincipal"/>
        <w:spacing w:line="360" w:lineRule="auto"/>
      </w:pPr>
      <w:r>
        <w:t>Para los datos cualitativos se empleó</w:t>
      </w:r>
      <w:r w:rsidR="00FB3A77" w:rsidRPr="003B3FCF">
        <w:t xml:space="preserve"> la</w:t>
      </w:r>
      <w:r>
        <w:t xml:space="preserve"> técnica de grupo focal a través de entrevistas</w:t>
      </w:r>
      <w:r w:rsidR="00FB3A77" w:rsidRPr="003B3FCF">
        <w:t xml:space="preserve"> </w:t>
      </w:r>
      <w:r>
        <w:t xml:space="preserve">semi estructuradas, </w:t>
      </w:r>
      <w:r w:rsidR="00FB3A77" w:rsidRPr="003B3FCF">
        <w:t xml:space="preserve">ya que </w:t>
      </w:r>
      <w:r>
        <w:t>permitió</w:t>
      </w:r>
      <w:r w:rsidR="00FB3A77" w:rsidRPr="003B3FCF">
        <w:t xml:space="preserve"> acceder a la experiencia y conocimiento especializado de </w:t>
      </w:r>
      <w:r w:rsidR="00DC1210">
        <w:t xml:space="preserve">sujetos </w:t>
      </w:r>
      <w:r w:rsidR="00482137">
        <w:t>c</w:t>
      </w:r>
      <w:r w:rsidR="00FB3A77" w:rsidRPr="003B3FCF">
        <w:t xml:space="preserve">on un profundo entendimiento </w:t>
      </w:r>
      <w:r w:rsidR="00482137">
        <w:t>en el sistema financiero acorde al</w:t>
      </w:r>
      <w:r w:rsidR="008431D2">
        <w:t xml:space="preserve"> tema de investigación, en busca de elementos coyunturales macroeconómicos.</w:t>
      </w:r>
      <w:r w:rsidR="00FB3A77" w:rsidRPr="003B3FCF">
        <w:t xml:space="preserve"> </w:t>
      </w:r>
    </w:p>
    <w:p w14:paraId="629B69BD" w14:textId="77777777" w:rsidR="00434B43" w:rsidRPr="00434B43" w:rsidRDefault="00434B43" w:rsidP="00434B43">
      <w:pPr>
        <w:keepNext/>
        <w:keepLines/>
        <w:widowControl/>
        <w:spacing w:before="75" w:after="75" w:line="480" w:lineRule="auto"/>
        <w:jc w:val="both"/>
        <w:outlineLvl w:val="1"/>
        <w:rPr>
          <w:rFonts w:ascii="Times New Roman" w:eastAsia="Calibri" w:hAnsi="Times New Roman" w:cs="Calibri"/>
          <w:b/>
          <w:sz w:val="24"/>
          <w:szCs w:val="36"/>
          <w:lang w:eastAsia="es-HN"/>
        </w:rPr>
      </w:pPr>
      <w:bookmarkStart w:id="113" w:name="_Toc86695219"/>
      <w:bookmarkStart w:id="114" w:name="_Toc115041273"/>
      <w:bookmarkStart w:id="115" w:name="_Toc155066622"/>
      <w:r w:rsidRPr="00434B43">
        <w:rPr>
          <w:rFonts w:ascii="Times New Roman" w:eastAsia="Calibri" w:hAnsi="Times New Roman" w:cs="Calibri"/>
          <w:b/>
          <w:sz w:val="24"/>
          <w:szCs w:val="36"/>
          <w:lang w:eastAsia="es-HN"/>
        </w:rPr>
        <w:t>3.3 D</w:t>
      </w:r>
      <w:bookmarkEnd w:id="113"/>
      <w:r w:rsidRPr="00434B43">
        <w:rPr>
          <w:rFonts w:ascii="Times New Roman" w:eastAsia="Calibri" w:hAnsi="Times New Roman" w:cs="Calibri"/>
          <w:b/>
          <w:sz w:val="24"/>
          <w:szCs w:val="36"/>
          <w:lang w:eastAsia="es-HN"/>
        </w:rPr>
        <w:t>ISEÑO DE LA INVESTIGACIÓN</w:t>
      </w:r>
      <w:bookmarkEnd w:id="114"/>
      <w:bookmarkEnd w:id="115"/>
    </w:p>
    <w:p w14:paraId="49CC612F" w14:textId="396E0B50" w:rsidR="00434B43" w:rsidRPr="00434B43" w:rsidRDefault="00434B43" w:rsidP="00434B43">
      <w:pPr>
        <w:keepNext/>
        <w:keepLines/>
        <w:widowControl/>
        <w:tabs>
          <w:tab w:val="left" w:pos="1276"/>
        </w:tabs>
        <w:spacing w:line="360" w:lineRule="auto"/>
        <w:ind w:firstLine="567"/>
        <w:jc w:val="both"/>
        <w:outlineLvl w:val="2"/>
        <w:rPr>
          <w:rFonts w:ascii="Times New Roman" w:eastAsia="Calibri" w:hAnsi="Times New Roman" w:cs="Calibri"/>
          <w:b/>
          <w:sz w:val="24"/>
          <w:szCs w:val="28"/>
          <w:lang w:eastAsia="es-HN"/>
        </w:rPr>
      </w:pPr>
      <w:bookmarkStart w:id="116" w:name="_Toc86695220"/>
      <w:bookmarkStart w:id="117" w:name="_Toc115041275"/>
      <w:bookmarkStart w:id="118" w:name="_Toc155066623"/>
      <w:r w:rsidRPr="00434B43">
        <w:rPr>
          <w:rFonts w:ascii="Times New Roman" w:eastAsia="Calibri" w:hAnsi="Times New Roman" w:cs="Calibri"/>
          <w:b/>
          <w:sz w:val="24"/>
          <w:szCs w:val="28"/>
          <w:lang w:eastAsia="es-HN"/>
        </w:rPr>
        <w:t>3.3.</w:t>
      </w:r>
      <w:r w:rsidR="0024161E">
        <w:rPr>
          <w:rFonts w:ascii="Times New Roman" w:eastAsia="Calibri" w:hAnsi="Times New Roman" w:cs="Calibri"/>
          <w:b/>
          <w:sz w:val="24"/>
          <w:szCs w:val="28"/>
          <w:lang w:eastAsia="es-HN"/>
        </w:rPr>
        <w:t>1</w:t>
      </w:r>
      <w:r w:rsidRPr="00434B43">
        <w:rPr>
          <w:rFonts w:ascii="Times New Roman" w:eastAsia="Calibri" w:hAnsi="Times New Roman" w:cs="Calibri"/>
          <w:b/>
          <w:sz w:val="24"/>
          <w:szCs w:val="28"/>
          <w:lang w:eastAsia="es-HN"/>
        </w:rPr>
        <w:t xml:space="preserve"> P</w:t>
      </w:r>
      <w:bookmarkEnd w:id="116"/>
      <w:r w:rsidRPr="00434B43">
        <w:rPr>
          <w:rFonts w:ascii="Times New Roman" w:eastAsia="Calibri" w:hAnsi="Times New Roman" w:cs="Calibri"/>
          <w:b/>
          <w:sz w:val="24"/>
          <w:szCs w:val="28"/>
          <w:lang w:eastAsia="es-HN"/>
        </w:rPr>
        <w:t>OBLACIÓN</w:t>
      </w:r>
      <w:bookmarkEnd w:id="117"/>
      <w:bookmarkEnd w:id="118"/>
      <w:r w:rsidRPr="00434B43">
        <w:rPr>
          <w:rFonts w:ascii="Times New Roman" w:eastAsia="Calibri" w:hAnsi="Times New Roman" w:cs="Calibri"/>
          <w:b/>
          <w:sz w:val="24"/>
          <w:szCs w:val="28"/>
          <w:lang w:eastAsia="es-HN"/>
        </w:rPr>
        <w:t xml:space="preserve"> </w:t>
      </w:r>
    </w:p>
    <w:p w14:paraId="40B91C12" w14:textId="77777777" w:rsidR="00434B43" w:rsidRPr="003B3FCF" w:rsidRDefault="00434B43" w:rsidP="00AA676E">
      <w:pPr>
        <w:pStyle w:val="TextoPrincipal"/>
        <w:spacing w:line="360" w:lineRule="auto"/>
      </w:pPr>
      <w:r w:rsidRPr="003B3FCF">
        <w:t>Es el conjunto de personas u objetos de los que se desea conocer algo en una investigación. "El universo o población puede estar constituido por personas, animales, registros médicos, los nacimientos, las muestras de laboratorio, los accidentes viales entre otros" (Pineda et. al, 1994).</w:t>
      </w:r>
    </w:p>
    <w:p w14:paraId="68E8FE26" w14:textId="49530431" w:rsidR="004E38CE" w:rsidRPr="003B3FCF" w:rsidRDefault="004E38CE" w:rsidP="00AA676E">
      <w:pPr>
        <w:pStyle w:val="TextoPrincipal"/>
        <w:spacing w:line="360" w:lineRule="auto"/>
      </w:pPr>
      <w:r w:rsidRPr="003B3FCF">
        <w:t>La población objeto de estudio de esta investigación serán los quince bancos comerciales del sistema financiero con operaciones en el país durante el período 2019-2022, siendo los elementos de medición los estados financieros de las instituciones bancarias y la estadística monetaria copilada por los entes reguladores en el período descrito; así como</w:t>
      </w:r>
      <w:r w:rsidR="00151EC0" w:rsidRPr="003B3FCF">
        <w:t>,</w:t>
      </w:r>
      <w:r w:rsidRPr="003B3FCF">
        <w:t xml:space="preserve"> actores clave del sistema financiero y monetario del país que puedan aportar información valiosa a la investigación.</w:t>
      </w:r>
    </w:p>
    <w:p w14:paraId="26E7455B" w14:textId="77777777" w:rsidR="00434B43" w:rsidRPr="00434B43" w:rsidRDefault="00434B43" w:rsidP="00434B43">
      <w:pPr>
        <w:keepNext/>
        <w:keepLines/>
        <w:widowControl/>
        <w:tabs>
          <w:tab w:val="left" w:pos="1276"/>
        </w:tabs>
        <w:spacing w:line="360" w:lineRule="auto"/>
        <w:ind w:firstLine="567"/>
        <w:jc w:val="both"/>
        <w:outlineLvl w:val="2"/>
        <w:rPr>
          <w:rFonts w:ascii="Times New Roman" w:eastAsia="Calibri" w:hAnsi="Times New Roman" w:cs="Calibri"/>
          <w:b/>
          <w:sz w:val="24"/>
          <w:szCs w:val="28"/>
          <w:lang w:eastAsia="es-HN"/>
        </w:rPr>
      </w:pPr>
      <w:bookmarkStart w:id="119" w:name="_Toc86695221"/>
      <w:bookmarkStart w:id="120" w:name="_Toc115041276"/>
      <w:bookmarkStart w:id="121" w:name="_Toc155066624"/>
      <w:r w:rsidRPr="00434B43">
        <w:rPr>
          <w:rFonts w:ascii="Times New Roman" w:eastAsia="Calibri" w:hAnsi="Times New Roman" w:cs="Calibri"/>
          <w:b/>
          <w:sz w:val="24"/>
          <w:szCs w:val="28"/>
          <w:lang w:eastAsia="es-HN"/>
        </w:rPr>
        <w:t>3.3.3 M</w:t>
      </w:r>
      <w:bookmarkEnd w:id="119"/>
      <w:r w:rsidRPr="00434B43">
        <w:rPr>
          <w:rFonts w:ascii="Times New Roman" w:eastAsia="Calibri" w:hAnsi="Times New Roman" w:cs="Calibri"/>
          <w:b/>
          <w:sz w:val="24"/>
          <w:szCs w:val="28"/>
          <w:lang w:eastAsia="es-HN"/>
        </w:rPr>
        <w:t>UESTRA</w:t>
      </w:r>
      <w:bookmarkEnd w:id="120"/>
      <w:bookmarkEnd w:id="121"/>
    </w:p>
    <w:p w14:paraId="115C85F5" w14:textId="38F6B28E" w:rsidR="00434B43" w:rsidRPr="003B3FCF" w:rsidRDefault="00434B43" w:rsidP="00AA676E">
      <w:pPr>
        <w:pStyle w:val="TextoPrincipal"/>
        <w:spacing w:line="360" w:lineRule="auto"/>
      </w:pPr>
      <w:r w:rsidRPr="003B3FCF">
        <w:t xml:space="preserve">Es un subconjunto o parte del universo o población en que se llevará a cabo la investigación, la muestra es una parte representativa de la población (Pineda et. al, 1994). </w:t>
      </w:r>
      <w:r w:rsidR="00227BBF" w:rsidRPr="003B3FCF">
        <w:t xml:space="preserve">En la presente investigación, considerando la naturaleza de los datos y las fuentes de información se optará por realizar muestreo por conveniencia y muestra de expertos. </w:t>
      </w:r>
    </w:p>
    <w:p w14:paraId="258BCFF0" w14:textId="77777777" w:rsidR="00434B43" w:rsidRPr="00434B43" w:rsidRDefault="00434B43" w:rsidP="00434B43">
      <w:pPr>
        <w:keepNext/>
        <w:keepLines/>
        <w:widowControl/>
        <w:tabs>
          <w:tab w:val="left" w:pos="1276"/>
        </w:tabs>
        <w:spacing w:line="360" w:lineRule="auto"/>
        <w:ind w:left="720" w:firstLine="567"/>
        <w:jc w:val="both"/>
        <w:outlineLvl w:val="2"/>
        <w:rPr>
          <w:rFonts w:ascii="Times New Roman" w:eastAsia="Calibri" w:hAnsi="Times New Roman" w:cs="Calibri"/>
          <w:b/>
          <w:sz w:val="24"/>
          <w:szCs w:val="28"/>
          <w:lang w:eastAsia="es-HN"/>
        </w:rPr>
      </w:pPr>
      <w:bookmarkStart w:id="122" w:name="_Toc115041277"/>
      <w:bookmarkStart w:id="123" w:name="_Toc155066625"/>
      <w:r w:rsidRPr="00434B43">
        <w:rPr>
          <w:rFonts w:ascii="Times New Roman" w:eastAsia="Calibri" w:hAnsi="Times New Roman" w:cs="Calibri"/>
          <w:b/>
          <w:sz w:val="24"/>
          <w:szCs w:val="28"/>
          <w:lang w:eastAsia="es-HN"/>
        </w:rPr>
        <w:lastRenderedPageBreak/>
        <w:t>3.3.3.1 TÉCNICAS DE MUESTREO</w:t>
      </w:r>
      <w:bookmarkEnd w:id="122"/>
      <w:bookmarkEnd w:id="123"/>
    </w:p>
    <w:p w14:paraId="3BC175D5" w14:textId="3D9D1889" w:rsidR="00434B43" w:rsidRPr="003B3FCF" w:rsidRDefault="00C63BC2" w:rsidP="00AA676E">
      <w:pPr>
        <w:pStyle w:val="TextoPrincipal"/>
        <w:spacing w:line="360" w:lineRule="auto"/>
      </w:pPr>
      <w:r w:rsidRPr="003B3FCF">
        <w:t>Para efectos del presente estudio</w:t>
      </w:r>
      <w:r w:rsidR="00227BBF" w:rsidRPr="003B3FCF">
        <w:t xml:space="preserve"> se realizará un muestreo por conveniencia,</w:t>
      </w:r>
      <w:r w:rsidRPr="003B3FCF">
        <w:t xml:space="preserve"> dado que se analiza el comportamiento de un grupo específico, en este caso </w:t>
      </w:r>
      <w:r w:rsidR="00227BBF" w:rsidRPr="003B3FCF">
        <w:t>los estados financieros consolidados d</w:t>
      </w:r>
      <w:r w:rsidRPr="003B3FCF">
        <w:t>el sistema bancario de Honduras; sin la necesidad de generalizar los resultados a una población más amplia.</w:t>
      </w:r>
    </w:p>
    <w:p w14:paraId="724BABF0" w14:textId="70024848" w:rsidR="005E561B" w:rsidRPr="003B3FCF" w:rsidRDefault="005E561B" w:rsidP="00AA676E">
      <w:pPr>
        <w:pStyle w:val="TextoPrincipal"/>
        <w:spacing w:line="360" w:lineRule="auto"/>
      </w:pPr>
      <w:r w:rsidRPr="003B3FCF">
        <w:t xml:space="preserve">Asimismo, en el marco de esta investigación centrada en una variable económica de interés nacional, en este caso la tasa de interés activa; se utilizará una muestra de expertos basándose en la premisa de que su profundo conocimiento y experiencia en sectores clave relacionados con la tasa de interés, permitirá aportar una perspectiva única y valiosa sobre el tema. </w:t>
      </w:r>
    </w:p>
    <w:p w14:paraId="07D235D0" w14:textId="26D8289E" w:rsidR="00434B43" w:rsidRPr="00434B43" w:rsidRDefault="00434B43" w:rsidP="00434B43">
      <w:pPr>
        <w:keepNext/>
        <w:keepLines/>
        <w:widowControl/>
        <w:spacing w:line="480" w:lineRule="auto"/>
        <w:jc w:val="both"/>
        <w:outlineLvl w:val="1"/>
        <w:rPr>
          <w:rFonts w:ascii="Times New Roman" w:eastAsia="Calibri" w:hAnsi="Times New Roman" w:cs="Calibri"/>
          <w:b/>
          <w:sz w:val="24"/>
          <w:szCs w:val="36"/>
          <w:lang w:eastAsia="es-HN"/>
        </w:rPr>
      </w:pPr>
      <w:bookmarkStart w:id="124" w:name="_Toc115041278"/>
      <w:bookmarkStart w:id="125" w:name="_Toc155066626"/>
      <w:r w:rsidRPr="00434B43">
        <w:rPr>
          <w:rFonts w:ascii="Times New Roman" w:eastAsia="Calibri" w:hAnsi="Times New Roman" w:cs="Calibri"/>
          <w:b/>
          <w:sz w:val="24"/>
          <w:szCs w:val="36"/>
          <w:lang w:eastAsia="es-HN"/>
        </w:rPr>
        <w:t>3.4 TÉCNICAS</w:t>
      </w:r>
      <w:r w:rsidR="00C13F3A">
        <w:rPr>
          <w:rFonts w:ascii="Times New Roman" w:eastAsia="Calibri" w:hAnsi="Times New Roman" w:cs="Calibri"/>
          <w:b/>
          <w:sz w:val="24"/>
          <w:szCs w:val="36"/>
          <w:lang w:eastAsia="es-HN"/>
        </w:rPr>
        <w:t xml:space="preserve">, </w:t>
      </w:r>
      <w:r w:rsidRPr="00434B43">
        <w:rPr>
          <w:rFonts w:ascii="Times New Roman" w:eastAsia="Calibri" w:hAnsi="Times New Roman" w:cs="Calibri"/>
          <w:b/>
          <w:sz w:val="24"/>
          <w:szCs w:val="36"/>
          <w:lang w:eastAsia="es-HN"/>
        </w:rPr>
        <w:t xml:space="preserve">INSTRUMENTOS </w:t>
      </w:r>
      <w:r w:rsidR="00C13F3A">
        <w:rPr>
          <w:rFonts w:ascii="Times New Roman" w:eastAsia="Calibri" w:hAnsi="Times New Roman" w:cs="Calibri"/>
          <w:b/>
          <w:sz w:val="24"/>
          <w:szCs w:val="36"/>
          <w:lang w:eastAsia="es-HN"/>
        </w:rPr>
        <w:t xml:space="preserve">Y PROCEDIMIENTOS </w:t>
      </w:r>
      <w:r w:rsidRPr="00434B43">
        <w:rPr>
          <w:rFonts w:ascii="Times New Roman" w:eastAsia="Calibri" w:hAnsi="Times New Roman" w:cs="Calibri"/>
          <w:b/>
          <w:sz w:val="24"/>
          <w:szCs w:val="36"/>
          <w:lang w:eastAsia="es-HN"/>
        </w:rPr>
        <w:t>APLICADOS</w:t>
      </w:r>
      <w:bookmarkEnd w:id="124"/>
      <w:bookmarkEnd w:id="125"/>
    </w:p>
    <w:p w14:paraId="6B0EB742" w14:textId="77777777" w:rsidR="00D867BC" w:rsidRDefault="00D867BC" w:rsidP="00D867BC">
      <w:pPr>
        <w:keepNext/>
        <w:keepLines/>
        <w:widowControl/>
        <w:spacing w:line="480" w:lineRule="auto"/>
        <w:ind w:left="720"/>
        <w:jc w:val="both"/>
        <w:outlineLvl w:val="1"/>
        <w:rPr>
          <w:rFonts w:ascii="Times New Roman" w:eastAsia="Calibri" w:hAnsi="Times New Roman" w:cs="Calibri"/>
          <w:b/>
          <w:sz w:val="24"/>
          <w:szCs w:val="36"/>
          <w:lang w:eastAsia="es-HN"/>
        </w:rPr>
      </w:pPr>
      <w:bookmarkStart w:id="126" w:name="_Toc155066627"/>
      <w:bookmarkStart w:id="127" w:name="_Toc115041279"/>
      <w:r w:rsidRPr="00434B43">
        <w:rPr>
          <w:rFonts w:ascii="Times New Roman" w:eastAsia="Calibri" w:hAnsi="Times New Roman" w:cs="Calibri"/>
          <w:b/>
          <w:sz w:val="24"/>
          <w:szCs w:val="36"/>
          <w:lang w:eastAsia="es-HN"/>
        </w:rPr>
        <w:t>3.4.1 TÉCNICAS</w:t>
      </w:r>
      <w:bookmarkEnd w:id="126"/>
    </w:p>
    <w:p w14:paraId="6DCF91ED" w14:textId="335FDCB6" w:rsidR="00D867BC" w:rsidRPr="003B3FCF" w:rsidRDefault="00D867BC" w:rsidP="00AA676E">
      <w:pPr>
        <w:pStyle w:val="TextoPrincipal"/>
        <w:spacing w:line="360" w:lineRule="auto"/>
      </w:pPr>
      <w:r w:rsidRPr="003B3FCF">
        <w:t>La técnica de investigación es un conjunto de reglas y procedimientos que le permiten al investigador establecer la relación con objeto o sujeto de la investigación. (Agreda, 2003, p. 163).</w:t>
      </w:r>
    </w:p>
    <w:p w14:paraId="49837993" w14:textId="2806D946" w:rsidR="00D867BC" w:rsidRPr="00D867BC" w:rsidRDefault="00D867BC" w:rsidP="00D867BC">
      <w:pPr>
        <w:keepNext/>
        <w:keepLines/>
        <w:widowControl/>
        <w:tabs>
          <w:tab w:val="left" w:pos="1276"/>
        </w:tabs>
        <w:spacing w:line="360" w:lineRule="auto"/>
        <w:ind w:left="720" w:firstLine="567"/>
        <w:jc w:val="both"/>
        <w:outlineLvl w:val="2"/>
        <w:rPr>
          <w:rFonts w:ascii="Times New Roman" w:eastAsia="Calibri" w:hAnsi="Times New Roman" w:cs="Calibri"/>
          <w:b/>
          <w:sz w:val="24"/>
          <w:szCs w:val="28"/>
          <w:lang w:eastAsia="es-HN"/>
        </w:rPr>
      </w:pPr>
      <w:bookmarkStart w:id="128" w:name="_Toc155066628"/>
      <w:r w:rsidRPr="00DE4075">
        <w:rPr>
          <w:rFonts w:ascii="Times New Roman" w:eastAsia="Calibri" w:hAnsi="Times New Roman" w:cs="Calibri"/>
          <w:b/>
          <w:sz w:val="24"/>
          <w:szCs w:val="28"/>
          <w:lang w:eastAsia="es-HN"/>
        </w:rPr>
        <w:t>3.4.</w:t>
      </w:r>
      <w:r>
        <w:rPr>
          <w:rFonts w:ascii="Times New Roman" w:eastAsia="Calibri" w:hAnsi="Times New Roman" w:cs="Calibri"/>
          <w:b/>
          <w:sz w:val="24"/>
          <w:szCs w:val="28"/>
          <w:lang w:eastAsia="es-HN"/>
        </w:rPr>
        <w:t>1</w:t>
      </w:r>
      <w:r w:rsidRPr="00DE4075">
        <w:rPr>
          <w:rFonts w:ascii="Times New Roman" w:eastAsia="Calibri" w:hAnsi="Times New Roman" w:cs="Calibri"/>
          <w:b/>
          <w:sz w:val="24"/>
          <w:szCs w:val="28"/>
          <w:lang w:eastAsia="es-HN"/>
        </w:rPr>
        <w:t xml:space="preserve">.1 </w:t>
      </w:r>
      <w:r w:rsidR="00BA1285">
        <w:rPr>
          <w:rFonts w:ascii="Times New Roman" w:eastAsia="Calibri" w:hAnsi="Times New Roman" w:cs="Calibri"/>
          <w:b/>
          <w:sz w:val="24"/>
          <w:szCs w:val="28"/>
          <w:lang w:eastAsia="es-HN"/>
        </w:rPr>
        <w:t>GRUPO FOCAL</w:t>
      </w:r>
      <w:bookmarkEnd w:id="128"/>
    </w:p>
    <w:p w14:paraId="50BC10C3" w14:textId="0E3A9CEF" w:rsidR="00D867BC" w:rsidRPr="003B3FCF" w:rsidRDefault="00D867BC" w:rsidP="00AA676E">
      <w:pPr>
        <w:pStyle w:val="TextoPrincipal"/>
        <w:spacing w:line="360" w:lineRule="auto"/>
      </w:pPr>
      <w:r w:rsidRPr="003B3FCF">
        <w:t xml:space="preserve">En el marco de esta investigación, se empleará la técnica de </w:t>
      </w:r>
      <w:r w:rsidR="001B7BCA">
        <w:t xml:space="preserve">grupo focal a través de una </w:t>
      </w:r>
      <w:r w:rsidRPr="003B3FCF">
        <w:t>entrevista como método de recopilación de información, considerándose como apropiada debido a su flexibilidad y capacidad para profundizar en las perspectivas y experiencias de las personas clave en el sistema gubernamental y bancario.</w:t>
      </w:r>
    </w:p>
    <w:p w14:paraId="1365714F" w14:textId="3DC3BEA5" w:rsidR="00D867BC" w:rsidRPr="00834AEB" w:rsidRDefault="00D867BC" w:rsidP="00D867BC">
      <w:pPr>
        <w:keepNext/>
        <w:keepLines/>
        <w:widowControl/>
        <w:tabs>
          <w:tab w:val="left" w:pos="1276"/>
        </w:tabs>
        <w:spacing w:line="360" w:lineRule="auto"/>
        <w:ind w:left="720" w:firstLine="567"/>
        <w:jc w:val="both"/>
        <w:outlineLvl w:val="2"/>
        <w:rPr>
          <w:rFonts w:ascii="Times New Roman" w:eastAsia="Calibri" w:hAnsi="Times New Roman" w:cs="Calibri"/>
          <w:b/>
          <w:sz w:val="24"/>
          <w:szCs w:val="28"/>
          <w:lang w:eastAsia="es-HN"/>
        </w:rPr>
      </w:pPr>
      <w:bookmarkStart w:id="129" w:name="_Toc155066629"/>
      <w:r w:rsidRPr="00DE4075">
        <w:rPr>
          <w:rFonts w:ascii="Times New Roman" w:eastAsia="Calibri" w:hAnsi="Times New Roman" w:cs="Calibri"/>
          <w:b/>
          <w:sz w:val="24"/>
          <w:szCs w:val="28"/>
          <w:lang w:eastAsia="es-HN"/>
        </w:rPr>
        <w:t>3.4.</w:t>
      </w:r>
      <w:r>
        <w:rPr>
          <w:rFonts w:ascii="Times New Roman" w:eastAsia="Calibri" w:hAnsi="Times New Roman" w:cs="Calibri"/>
          <w:b/>
          <w:sz w:val="24"/>
          <w:szCs w:val="28"/>
          <w:lang w:eastAsia="es-HN"/>
        </w:rPr>
        <w:t>1</w:t>
      </w:r>
      <w:r w:rsidRPr="00DE4075">
        <w:rPr>
          <w:rFonts w:ascii="Times New Roman" w:eastAsia="Calibri" w:hAnsi="Times New Roman" w:cs="Calibri"/>
          <w:b/>
          <w:sz w:val="24"/>
          <w:szCs w:val="28"/>
          <w:lang w:eastAsia="es-HN"/>
        </w:rPr>
        <w:t>.</w:t>
      </w:r>
      <w:r>
        <w:rPr>
          <w:rFonts w:ascii="Times New Roman" w:eastAsia="Calibri" w:hAnsi="Times New Roman" w:cs="Calibri"/>
          <w:b/>
          <w:sz w:val="24"/>
          <w:szCs w:val="28"/>
          <w:lang w:eastAsia="es-HN"/>
        </w:rPr>
        <w:t>2</w:t>
      </w:r>
      <w:r w:rsidRPr="00DE4075">
        <w:rPr>
          <w:rFonts w:ascii="Times New Roman" w:eastAsia="Calibri" w:hAnsi="Times New Roman" w:cs="Calibri"/>
          <w:b/>
          <w:sz w:val="24"/>
          <w:szCs w:val="28"/>
          <w:lang w:eastAsia="es-HN"/>
        </w:rPr>
        <w:t xml:space="preserve"> </w:t>
      </w:r>
      <w:r>
        <w:rPr>
          <w:rFonts w:ascii="Times New Roman" w:eastAsia="Calibri" w:hAnsi="Times New Roman" w:cs="Calibri"/>
          <w:b/>
          <w:sz w:val="24"/>
          <w:szCs w:val="28"/>
          <w:lang w:eastAsia="es-HN"/>
        </w:rPr>
        <w:t>REVISIÓN SISTEMATICA</w:t>
      </w:r>
      <w:bookmarkEnd w:id="129"/>
      <w:r>
        <w:rPr>
          <w:rFonts w:ascii="Times New Roman" w:eastAsia="Calibri" w:hAnsi="Times New Roman" w:cs="Calibri"/>
          <w:b/>
          <w:sz w:val="24"/>
          <w:szCs w:val="28"/>
          <w:lang w:eastAsia="es-HN"/>
        </w:rPr>
        <w:t xml:space="preserve"> </w:t>
      </w:r>
    </w:p>
    <w:p w14:paraId="16CB9089" w14:textId="07708B45" w:rsidR="00D867BC" w:rsidRPr="003B3FCF" w:rsidRDefault="00D867BC" w:rsidP="00AA676E">
      <w:pPr>
        <w:pStyle w:val="TextoPrincipal"/>
        <w:spacing w:line="360" w:lineRule="auto"/>
      </w:pPr>
      <w:r w:rsidRPr="003B3FCF">
        <w:t xml:space="preserve">De igual forma, se empleará la técnica de revisión sistemática de los estados financieros consolidados del sector bancario de Honduras, como una metodología crucial para la recopilación de datos necesarios para la descomposición de la tasa de interés activa nominal. Esta técnica implica un análisis exhaustivo y detallado de los informes financieros publicados por las instituciones bancarias en el país, lo que nos permitirá acceder a información relevante sobre los componentes que contribuyen a la determinación de las tasas de interés activas. </w:t>
      </w:r>
    </w:p>
    <w:p w14:paraId="26672057" w14:textId="38A83B8B" w:rsidR="00434B43" w:rsidRPr="00434B43" w:rsidRDefault="00434B43" w:rsidP="00434B43">
      <w:pPr>
        <w:keepNext/>
        <w:keepLines/>
        <w:widowControl/>
        <w:spacing w:line="480" w:lineRule="auto"/>
        <w:ind w:left="720"/>
        <w:jc w:val="both"/>
        <w:outlineLvl w:val="1"/>
        <w:rPr>
          <w:rFonts w:ascii="Times New Roman" w:eastAsia="Calibri" w:hAnsi="Times New Roman" w:cs="Calibri"/>
          <w:b/>
          <w:sz w:val="24"/>
          <w:szCs w:val="36"/>
          <w:lang w:eastAsia="es-HN"/>
        </w:rPr>
      </w:pPr>
      <w:bookmarkStart w:id="130" w:name="_Toc155066630"/>
      <w:r w:rsidRPr="00434B43">
        <w:rPr>
          <w:rFonts w:ascii="Times New Roman" w:eastAsia="Calibri" w:hAnsi="Times New Roman" w:cs="Calibri"/>
          <w:b/>
          <w:sz w:val="24"/>
          <w:szCs w:val="36"/>
          <w:lang w:eastAsia="es-HN"/>
        </w:rPr>
        <w:t>3.4.</w:t>
      </w:r>
      <w:r w:rsidR="00D867BC">
        <w:rPr>
          <w:rFonts w:ascii="Times New Roman" w:eastAsia="Calibri" w:hAnsi="Times New Roman" w:cs="Calibri"/>
          <w:b/>
          <w:sz w:val="24"/>
          <w:szCs w:val="36"/>
          <w:lang w:eastAsia="es-HN"/>
        </w:rPr>
        <w:t>2</w:t>
      </w:r>
      <w:r w:rsidRPr="00434B43">
        <w:rPr>
          <w:rFonts w:ascii="Times New Roman" w:eastAsia="Calibri" w:hAnsi="Times New Roman" w:cs="Calibri"/>
          <w:b/>
          <w:sz w:val="24"/>
          <w:szCs w:val="36"/>
          <w:lang w:eastAsia="es-HN"/>
        </w:rPr>
        <w:t xml:space="preserve"> </w:t>
      </w:r>
      <w:bookmarkEnd w:id="127"/>
      <w:r w:rsidR="00D867BC">
        <w:rPr>
          <w:rFonts w:ascii="Times New Roman" w:eastAsia="Calibri" w:hAnsi="Times New Roman" w:cs="Calibri"/>
          <w:b/>
          <w:sz w:val="24"/>
          <w:szCs w:val="36"/>
          <w:lang w:eastAsia="es-HN"/>
        </w:rPr>
        <w:t>INSTRUMENTOS</w:t>
      </w:r>
      <w:bookmarkEnd w:id="130"/>
    </w:p>
    <w:p w14:paraId="5D5070C9" w14:textId="77777777" w:rsidR="00434B43" w:rsidRPr="003B3FCF" w:rsidRDefault="00434B43" w:rsidP="00AA676E">
      <w:pPr>
        <w:pStyle w:val="TextoPrincipal"/>
        <w:spacing w:line="360" w:lineRule="auto"/>
      </w:pPr>
      <w:r w:rsidRPr="003B3FCF">
        <w:t xml:space="preserve">La técnica a aplicar será la de observación de los datos recolectados, la cual podemos definir como “La observación debe ser consciente, es la búsqueda deliberada guiada por un objetivo o propósito bien determinado y definido, sistemática y planificada cuidadosamente y estar </w:t>
      </w:r>
      <w:r w:rsidRPr="003B3FCF">
        <w:lastRenderedPageBreak/>
        <w:t>inscrita en el proceso de investigación a realizar” (</w:t>
      </w:r>
      <w:proofErr w:type="gramStart"/>
      <w:r w:rsidRPr="003B3FCF">
        <w:t>Abril</w:t>
      </w:r>
      <w:proofErr w:type="gramEnd"/>
      <w:r w:rsidRPr="003B3FCF">
        <w:t>, 2008).</w:t>
      </w:r>
    </w:p>
    <w:p w14:paraId="68E4E789" w14:textId="77777777" w:rsidR="00DE4075" w:rsidRPr="003B3FCF" w:rsidRDefault="00DE4075" w:rsidP="00AA676E">
      <w:pPr>
        <w:pStyle w:val="TextoPrincipal"/>
        <w:spacing w:line="360" w:lineRule="auto"/>
      </w:pPr>
      <w:r w:rsidRPr="003B3FCF">
        <w:t>En la presente investigación se hace uso de los siguientes instrumentos:</w:t>
      </w:r>
    </w:p>
    <w:p w14:paraId="38710863" w14:textId="2B28333C" w:rsidR="00DE4075" w:rsidRPr="00834AEB" w:rsidRDefault="00DE4075" w:rsidP="00834AEB">
      <w:pPr>
        <w:keepNext/>
        <w:keepLines/>
        <w:widowControl/>
        <w:tabs>
          <w:tab w:val="left" w:pos="1276"/>
        </w:tabs>
        <w:spacing w:line="360" w:lineRule="auto"/>
        <w:ind w:left="720" w:firstLine="567"/>
        <w:jc w:val="both"/>
        <w:outlineLvl w:val="2"/>
        <w:rPr>
          <w:rFonts w:ascii="Times New Roman" w:eastAsia="Calibri" w:hAnsi="Times New Roman" w:cs="Calibri"/>
          <w:b/>
          <w:sz w:val="24"/>
          <w:szCs w:val="28"/>
          <w:lang w:eastAsia="es-HN"/>
        </w:rPr>
      </w:pPr>
      <w:bookmarkStart w:id="131" w:name="_Toc155066631"/>
      <w:r w:rsidRPr="00DE4075">
        <w:rPr>
          <w:rFonts w:ascii="Times New Roman" w:eastAsia="Calibri" w:hAnsi="Times New Roman" w:cs="Calibri"/>
          <w:b/>
          <w:sz w:val="24"/>
          <w:szCs w:val="28"/>
          <w:lang w:eastAsia="es-HN"/>
        </w:rPr>
        <w:t>3.4.</w:t>
      </w:r>
      <w:r w:rsidR="00D867BC">
        <w:rPr>
          <w:rFonts w:ascii="Times New Roman" w:eastAsia="Calibri" w:hAnsi="Times New Roman" w:cs="Calibri"/>
          <w:b/>
          <w:sz w:val="24"/>
          <w:szCs w:val="28"/>
          <w:lang w:eastAsia="es-HN"/>
        </w:rPr>
        <w:t>2</w:t>
      </w:r>
      <w:r w:rsidRPr="00DE4075">
        <w:rPr>
          <w:rFonts w:ascii="Times New Roman" w:eastAsia="Calibri" w:hAnsi="Times New Roman" w:cs="Calibri"/>
          <w:b/>
          <w:sz w:val="24"/>
          <w:szCs w:val="28"/>
          <w:lang w:eastAsia="es-HN"/>
        </w:rPr>
        <w:t xml:space="preserve">.1 </w:t>
      </w:r>
      <w:r w:rsidR="00E02791">
        <w:rPr>
          <w:rFonts w:ascii="Times New Roman" w:eastAsia="Calibri" w:hAnsi="Times New Roman" w:cs="Calibri"/>
          <w:b/>
          <w:sz w:val="24"/>
          <w:szCs w:val="28"/>
          <w:lang w:eastAsia="es-HN"/>
        </w:rPr>
        <w:t>ENTREVISTA</w:t>
      </w:r>
      <w:bookmarkEnd w:id="131"/>
    </w:p>
    <w:p w14:paraId="33B8CAA9" w14:textId="18B0F9E3" w:rsidR="002A1361" w:rsidRPr="00AA676E" w:rsidRDefault="00834AEB" w:rsidP="00246379">
      <w:pPr>
        <w:pStyle w:val="TextoPrincipal"/>
        <w:spacing w:line="360" w:lineRule="auto"/>
        <w:rPr>
          <w:b/>
          <w:bCs/>
        </w:rPr>
      </w:pPr>
      <w:r w:rsidRPr="003B3FCF">
        <w:t xml:space="preserve">Se </w:t>
      </w:r>
      <w:r w:rsidR="00127090" w:rsidRPr="003B3FCF">
        <w:t>lle</w:t>
      </w:r>
      <w:r w:rsidR="00127090">
        <w:t>vó</w:t>
      </w:r>
      <w:r w:rsidRPr="003B3FCF">
        <w:t xml:space="preserve"> a cabo entrevistas </w:t>
      </w:r>
      <w:r w:rsidR="00D867BC" w:rsidRPr="003B3FCF">
        <w:t xml:space="preserve">semi estructuras de </w:t>
      </w:r>
      <w:r w:rsidR="00457B6C">
        <w:t>conformada como grupo focal</w:t>
      </w:r>
      <w:r w:rsidR="00061BFF">
        <w:t xml:space="preserve"> de</w:t>
      </w:r>
      <w:r w:rsidRPr="003B3FCF">
        <w:t xml:space="preserve"> personas que ocupan posiciones influyentes y estratégicas en el área de interés de esta investigación</w:t>
      </w:r>
      <w:r w:rsidR="00061BFF">
        <w:t xml:space="preserve">. </w:t>
      </w:r>
      <w:r w:rsidRPr="003B3FCF">
        <w:t xml:space="preserve">La entrevista costa de </w:t>
      </w:r>
      <w:r w:rsidR="00061BFF">
        <w:t>5</w:t>
      </w:r>
      <w:r w:rsidRPr="003B3FCF">
        <w:t xml:space="preserve"> preguntas </w:t>
      </w:r>
      <w:r w:rsidR="00061BFF">
        <w:t xml:space="preserve">semi estructuradas </w:t>
      </w:r>
      <w:r w:rsidRPr="003B3FCF">
        <w:t xml:space="preserve">abiertas, diseñadas para permitir a los participantes expresar sus puntos de vista, compartir conocimientos y proporcionar información detallada sobre el tema de las tasas de interés en Honduras.  </w:t>
      </w:r>
    </w:p>
    <w:p w14:paraId="6C7A7C70" w14:textId="7EDB47CC" w:rsidR="002A1361" w:rsidRDefault="002A1361" w:rsidP="00AA676E">
      <w:pPr>
        <w:pStyle w:val="TextoPrincipal"/>
        <w:spacing w:line="360" w:lineRule="auto"/>
      </w:pPr>
      <w:r w:rsidRPr="002A1361">
        <w:t>Para la validación del instrumento anterior, se utilizó la técnica de Juicio de Experto para conocer la probabilidad de error probable en la configuración del instrumento. Se contó con la ayuda de cuatro profesionales en distintas áreas, como ser: Proyectos, Catedrático, analista de la CNBS y profesional independiente; a fin de extraer sus valoraciones en cuanto al instrumento y poder realizar los ajustes necesarios, y poder desarrollar un instrumento congruente, claro en su redacción y no</w:t>
      </w:r>
      <w:r w:rsidR="000A69EB">
        <w:t xml:space="preserve"> t</w:t>
      </w:r>
      <w:r w:rsidR="000A69EB" w:rsidRPr="002A1361">
        <w:t>endencioso</w:t>
      </w:r>
      <w:r w:rsidR="00AA676E">
        <w:t>.</w:t>
      </w:r>
    </w:p>
    <w:p w14:paraId="5AFE5DE8" w14:textId="3204C754" w:rsidR="002A1361" w:rsidRPr="00AA676E" w:rsidRDefault="002A1361" w:rsidP="00AA676E">
      <w:pPr>
        <w:pStyle w:val="TextoPrincipal"/>
        <w:spacing w:line="360" w:lineRule="auto"/>
        <w:rPr>
          <w:b/>
          <w:bCs/>
        </w:rPr>
      </w:pPr>
      <w:r w:rsidRPr="00AA676E">
        <w:rPr>
          <w:b/>
          <w:bCs/>
        </w:rPr>
        <w:t>Indicadores Macroeconómicos</w:t>
      </w:r>
    </w:p>
    <w:p w14:paraId="6B656C4A" w14:textId="77777777" w:rsidR="002A1361" w:rsidRPr="002A1361" w:rsidRDefault="002A1361" w:rsidP="007E7E61">
      <w:pPr>
        <w:pStyle w:val="TextoPrincipal"/>
        <w:numPr>
          <w:ilvl w:val="0"/>
          <w:numId w:val="7"/>
        </w:numPr>
        <w:spacing w:line="360" w:lineRule="auto"/>
      </w:pPr>
      <w:r w:rsidRPr="002A1361">
        <w:t>Criterios de Validación: Relevancia y coherencia con la literatura existente.</w:t>
      </w:r>
    </w:p>
    <w:p w14:paraId="2CF83903" w14:textId="77777777" w:rsidR="002A1361" w:rsidRPr="002A1361" w:rsidRDefault="002A1361" w:rsidP="007E7E61">
      <w:pPr>
        <w:pStyle w:val="TextoPrincipal"/>
        <w:numPr>
          <w:ilvl w:val="0"/>
          <w:numId w:val="7"/>
        </w:numPr>
        <w:spacing w:line="360" w:lineRule="auto"/>
      </w:pPr>
      <w:r w:rsidRPr="002A1361">
        <w:t>Resultados: Se observa un alto nivel de concordancia con las teorías económicas establecidas.</w:t>
      </w:r>
    </w:p>
    <w:p w14:paraId="49AFF1BE" w14:textId="77777777" w:rsidR="002A1361" w:rsidRPr="002A1361" w:rsidRDefault="002A1361" w:rsidP="007E7E61">
      <w:pPr>
        <w:pStyle w:val="TextoPrincipal"/>
        <w:numPr>
          <w:ilvl w:val="0"/>
          <w:numId w:val="7"/>
        </w:numPr>
        <w:spacing w:line="360" w:lineRule="auto"/>
      </w:pPr>
      <w:r w:rsidRPr="002A1361">
        <w:t>Implicaciones: El tema es válido y proporciona una base sólida para el análisis económico.</w:t>
      </w:r>
    </w:p>
    <w:p w14:paraId="139E3696" w14:textId="5524AFAB" w:rsidR="000A69EB" w:rsidRPr="00AA676E" w:rsidRDefault="000A69EB" w:rsidP="00AA676E">
      <w:pPr>
        <w:pStyle w:val="TextoPrincipal"/>
        <w:spacing w:line="360" w:lineRule="auto"/>
        <w:rPr>
          <w:b/>
          <w:bCs/>
        </w:rPr>
      </w:pPr>
      <w:r w:rsidRPr="00AA676E">
        <w:rPr>
          <w:b/>
          <w:bCs/>
        </w:rPr>
        <w:t>Políticas Monetarias y Fiscales</w:t>
      </w:r>
    </w:p>
    <w:p w14:paraId="37A0E751" w14:textId="77777777" w:rsidR="000A69EB" w:rsidRPr="000A69EB" w:rsidRDefault="000A69EB" w:rsidP="007E7E61">
      <w:pPr>
        <w:pStyle w:val="TextoPrincipal"/>
        <w:numPr>
          <w:ilvl w:val="0"/>
          <w:numId w:val="6"/>
        </w:numPr>
        <w:spacing w:line="360" w:lineRule="auto"/>
      </w:pPr>
      <w:r w:rsidRPr="000A69EB">
        <w:t>Criterios de Validación: Consistencia con las políticas económicas actuales.</w:t>
      </w:r>
    </w:p>
    <w:p w14:paraId="32D6EB90" w14:textId="77777777" w:rsidR="000A69EB" w:rsidRPr="000A69EB" w:rsidRDefault="000A69EB" w:rsidP="007E7E61">
      <w:pPr>
        <w:pStyle w:val="TextoPrincipal"/>
        <w:numPr>
          <w:ilvl w:val="0"/>
          <w:numId w:val="6"/>
        </w:numPr>
        <w:spacing w:line="360" w:lineRule="auto"/>
      </w:pPr>
      <w:r w:rsidRPr="000A69EB">
        <w:t>Resultados: Se identifican patrones que sugieren una conexión clara entre las políticas y las tasas nominales.</w:t>
      </w:r>
    </w:p>
    <w:p w14:paraId="2388931B" w14:textId="7A17C4AE" w:rsidR="002A1361" w:rsidRDefault="000A69EB" w:rsidP="007E7E61">
      <w:pPr>
        <w:pStyle w:val="TextoPrincipal"/>
        <w:numPr>
          <w:ilvl w:val="0"/>
          <w:numId w:val="6"/>
        </w:numPr>
        <w:spacing w:line="360" w:lineRule="auto"/>
      </w:pPr>
      <w:r w:rsidRPr="000A69EB">
        <w:t>Implicaciones: El tema es válido y puede ofrecer información valiosa sobre el impacto de las políticas.</w:t>
      </w:r>
    </w:p>
    <w:p w14:paraId="7FA61E29" w14:textId="77777777" w:rsidR="000A69EB" w:rsidRPr="00AA676E" w:rsidRDefault="000A69EB" w:rsidP="00AA676E">
      <w:pPr>
        <w:pStyle w:val="TextoPrincipal"/>
        <w:spacing w:line="360" w:lineRule="auto"/>
        <w:ind w:left="720" w:firstLine="0"/>
        <w:rPr>
          <w:b/>
          <w:bCs/>
        </w:rPr>
      </w:pPr>
      <w:r w:rsidRPr="00AA676E">
        <w:rPr>
          <w:b/>
          <w:bCs/>
        </w:rPr>
        <w:t>Criterios de Validación General:</w:t>
      </w:r>
    </w:p>
    <w:p w14:paraId="073EF975" w14:textId="77777777" w:rsidR="000A69EB" w:rsidRPr="000A69EB" w:rsidRDefault="000A69EB" w:rsidP="007E7E61">
      <w:pPr>
        <w:pStyle w:val="TextoPrincipal"/>
        <w:numPr>
          <w:ilvl w:val="0"/>
          <w:numId w:val="4"/>
        </w:numPr>
        <w:spacing w:line="360" w:lineRule="auto"/>
      </w:pPr>
      <w:r w:rsidRPr="000A69EB">
        <w:lastRenderedPageBreak/>
        <w:t>Confiabilidad de las respuestas a lo largo de las secciones.</w:t>
      </w:r>
    </w:p>
    <w:p w14:paraId="15F4B2B5" w14:textId="77777777" w:rsidR="000A69EB" w:rsidRPr="000A69EB" w:rsidRDefault="000A69EB" w:rsidP="007E7E61">
      <w:pPr>
        <w:pStyle w:val="TextoPrincipal"/>
        <w:numPr>
          <w:ilvl w:val="0"/>
          <w:numId w:val="4"/>
        </w:numPr>
        <w:spacing w:line="360" w:lineRule="auto"/>
      </w:pPr>
      <w:r w:rsidRPr="000A69EB">
        <w:t>Coherencia en las respuestas a preguntas similares.</w:t>
      </w:r>
    </w:p>
    <w:p w14:paraId="14355470" w14:textId="247F628C" w:rsidR="000A69EB" w:rsidRPr="00125E75" w:rsidRDefault="000A69EB" w:rsidP="00125E75">
      <w:pPr>
        <w:pStyle w:val="TextoPrincipal"/>
        <w:spacing w:line="360" w:lineRule="auto"/>
        <w:rPr>
          <w:b/>
          <w:bCs/>
        </w:rPr>
      </w:pPr>
      <w:r w:rsidRPr="00125E75">
        <w:rPr>
          <w:b/>
          <w:bCs/>
        </w:rPr>
        <w:t>Resultados:</w:t>
      </w:r>
    </w:p>
    <w:p w14:paraId="5CF4FD2A" w14:textId="77777777" w:rsidR="000A69EB" w:rsidRPr="000A69EB" w:rsidRDefault="000A69EB" w:rsidP="007E7E61">
      <w:pPr>
        <w:pStyle w:val="TextoPrincipal"/>
        <w:numPr>
          <w:ilvl w:val="0"/>
          <w:numId w:val="4"/>
        </w:numPr>
        <w:spacing w:line="360" w:lineRule="auto"/>
      </w:pPr>
      <w:r w:rsidRPr="000A69EB">
        <w:t>Alta confiabilidad y coherencia en las respuestas, indicando consistencia en las percepciones de los participantes.</w:t>
      </w:r>
    </w:p>
    <w:p w14:paraId="3DA1221A" w14:textId="77777777" w:rsidR="000A69EB" w:rsidRPr="000A69EB" w:rsidRDefault="000A69EB" w:rsidP="007E7E61">
      <w:pPr>
        <w:pStyle w:val="TextoPrincipal"/>
        <w:numPr>
          <w:ilvl w:val="0"/>
          <w:numId w:val="4"/>
        </w:numPr>
        <w:spacing w:line="360" w:lineRule="auto"/>
      </w:pPr>
      <w:r w:rsidRPr="000A69EB">
        <w:t>La mayoría de los participantes demostraron comprensión y consistencia en sus respuestas a lo largo del instrumento.</w:t>
      </w:r>
    </w:p>
    <w:p w14:paraId="25C88450" w14:textId="4E1FE102" w:rsidR="000A69EB" w:rsidRPr="00CB78C3" w:rsidRDefault="000A69EB" w:rsidP="00CB78C3">
      <w:pPr>
        <w:pStyle w:val="TextoPrincipal"/>
        <w:spacing w:line="360" w:lineRule="auto"/>
        <w:rPr>
          <w:b/>
          <w:bCs/>
        </w:rPr>
      </w:pPr>
      <w:r w:rsidRPr="00CB78C3">
        <w:rPr>
          <w:b/>
          <w:bCs/>
        </w:rPr>
        <w:t>Implicaciones:</w:t>
      </w:r>
    </w:p>
    <w:p w14:paraId="1888B03B" w14:textId="77777777" w:rsidR="000A69EB" w:rsidRPr="000A69EB" w:rsidRDefault="000A69EB" w:rsidP="007E7E61">
      <w:pPr>
        <w:pStyle w:val="TextoPrincipal"/>
        <w:numPr>
          <w:ilvl w:val="0"/>
          <w:numId w:val="4"/>
        </w:numPr>
        <w:spacing w:line="360" w:lineRule="auto"/>
      </w:pPr>
      <w:r w:rsidRPr="000A69EB">
        <w:t>El instrumento es válido y confiable en general para capturar percepciones sobre las tasas nominales en Honduras.</w:t>
      </w:r>
    </w:p>
    <w:p w14:paraId="6264BC42" w14:textId="2BC83A24" w:rsidR="002A1361" w:rsidRPr="00061BFF" w:rsidRDefault="000A69EB" w:rsidP="007E7E61">
      <w:pPr>
        <w:pStyle w:val="TextoPrincipal"/>
        <w:numPr>
          <w:ilvl w:val="0"/>
          <w:numId w:val="4"/>
        </w:numPr>
        <w:spacing w:line="360" w:lineRule="auto"/>
      </w:pPr>
      <w:r w:rsidRPr="000A69EB">
        <w:t>Los resultados respaldan la solidez del enfoque metodológico y la relevancia de los temas seleccionados.</w:t>
      </w:r>
    </w:p>
    <w:p w14:paraId="3D29A83F" w14:textId="367E2B7A" w:rsidR="00A20C5A" w:rsidRPr="00834AEB" w:rsidRDefault="00A20C5A" w:rsidP="00A20C5A">
      <w:pPr>
        <w:keepNext/>
        <w:keepLines/>
        <w:widowControl/>
        <w:tabs>
          <w:tab w:val="left" w:pos="1276"/>
        </w:tabs>
        <w:spacing w:line="360" w:lineRule="auto"/>
        <w:ind w:left="720" w:firstLine="567"/>
        <w:jc w:val="both"/>
        <w:outlineLvl w:val="2"/>
        <w:rPr>
          <w:rFonts w:ascii="Times New Roman" w:eastAsia="Calibri" w:hAnsi="Times New Roman" w:cs="Calibri"/>
          <w:b/>
          <w:sz w:val="24"/>
          <w:szCs w:val="28"/>
          <w:lang w:eastAsia="es-HN"/>
        </w:rPr>
      </w:pPr>
      <w:bookmarkStart w:id="132" w:name="_Toc155066632"/>
      <w:r w:rsidRPr="00DE4075">
        <w:rPr>
          <w:rFonts w:ascii="Times New Roman" w:eastAsia="Calibri" w:hAnsi="Times New Roman" w:cs="Calibri"/>
          <w:b/>
          <w:sz w:val="24"/>
          <w:szCs w:val="28"/>
          <w:lang w:eastAsia="es-HN"/>
        </w:rPr>
        <w:t>3.4.</w:t>
      </w:r>
      <w:r w:rsidR="00D867BC">
        <w:rPr>
          <w:rFonts w:ascii="Times New Roman" w:eastAsia="Calibri" w:hAnsi="Times New Roman" w:cs="Calibri"/>
          <w:b/>
          <w:sz w:val="24"/>
          <w:szCs w:val="28"/>
          <w:lang w:eastAsia="es-HN"/>
        </w:rPr>
        <w:t>2</w:t>
      </w:r>
      <w:r w:rsidRPr="00DE4075">
        <w:rPr>
          <w:rFonts w:ascii="Times New Roman" w:eastAsia="Calibri" w:hAnsi="Times New Roman" w:cs="Calibri"/>
          <w:b/>
          <w:sz w:val="24"/>
          <w:szCs w:val="28"/>
          <w:lang w:eastAsia="es-HN"/>
        </w:rPr>
        <w:t>.</w:t>
      </w:r>
      <w:r w:rsidR="00DB3477">
        <w:rPr>
          <w:rFonts w:ascii="Times New Roman" w:eastAsia="Calibri" w:hAnsi="Times New Roman" w:cs="Calibri"/>
          <w:b/>
          <w:sz w:val="24"/>
          <w:szCs w:val="28"/>
          <w:lang w:eastAsia="es-HN"/>
        </w:rPr>
        <w:t>2</w:t>
      </w:r>
      <w:r w:rsidRPr="00DE4075">
        <w:rPr>
          <w:rFonts w:ascii="Times New Roman" w:eastAsia="Calibri" w:hAnsi="Times New Roman" w:cs="Calibri"/>
          <w:b/>
          <w:sz w:val="24"/>
          <w:szCs w:val="28"/>
          <w:lang w:eastAsia="es-HN"/>
        </w:rPr>
        <w:t xml:space="preserve"> </w:t>
      </w:r>
      <w:r w:rsidR="00D867BC">
        <w:rPr>
          <w:rFonts w:ascii="Times New Roman" w:eastAsia="Calibri" w:hAnsi="Times New Roman" w:cs="Calibri"/>
          <w:b/>
          <w:sz w:val="24"/>
          <w:szCs w:val="28"/>
          <w:lang w:eastAsia="es-HN"/>
        </w:rPr>
        <w:t>FICHA TÉCNICA</w:t>
      </w:r>
      <w:bookmarkEnd w:id="132"/>
    </w:p>
    <w:p w14:paraId="266A04E9" w14:textId="5BEDF153" w:rsidR="000D40D1" w:rsidRPr="00AA676E" w:rsidRDefault="00092A17" w:rsidP="00AA676E">
      <w:pPr>
        <w:pStyle w:val="TextoPrincipal"/>
        <w:spacing w:line="360" w:lineRule="auto"/>
      </w:pPr>
      <w:r w:rsidRPr="00AA676E">
        <w:t xml:space="preserve">A través de </w:t>
      </w:r>
      <w:r w:rsidR="00035016" w:rsidRPr="00AA676E">
        <w:t>una ficha técnica</w:t>
      </w:r>
      <w:r w:rsidRPr="00AA676E">
        <w:t xml:space="preserve">, </w:t>
      </w:r>
      <w:r w:rsidR="00692415" w:rsidRPr="00AA676E">
        <w:t>se</w:t>
      </w:r>
      <w:r w:rsidRPr="00AA676E">
        <w:t xml:space="preserve"> desglosar</w:t>
      </w:r>
      <w:r w:rsidR="00692415" w:rsidRPr="00AA676E">
        <w:t>á</w:t>
      </w:r>
      <w:r w:rsidRPr="00AA676E">
        <w:t xml:space="preserve"> y examinar</w:t>
      </w:r>
      <w:r w:rsidR="00692415" w:rsidRPr="00AA676E">
        <w:t>á</w:t>
      </w:r>
      <w:r w:rsidRPr="00AA676E">
        <w:t xml:space="preserve"> en profundidad los factores macroeconómicos y financieros que inciden en la formación de las tasas de interés, proporcionando así una base sólida </w:t>
      </w:r>
      <w:r w:rsidR="00711BBE" w:rsidRPr="00AA676E">
        <w:t xml:space="preserve">al </w:t>
      </w:r>
      <w:r w:rsidRPr="00AA676E">
        <w:t>análisis y comprensión de este aspecto crítico del sector bancario hondureño.</w:t>
      </w:r>
    </w:p>
    <w:p w14:paraId="6A72B860" w14:textId="43DDA1CA" w:rsidR="00D41AE3" w:rsidRPr="00434B43" w:rsidRDefault="00D41AE3" w:rsidP="00D41AE3">
      <w:pPr>
        <w:keepNext/>
        <w:keepLines/>
        <w:widowControl/>
        <w:spacing w:line="480" w:lineRule="auto"/>
        <w:ind w:left="720"/>
        <w:jc w:val="both"/>
        <w:outlineLvl w:val="1"/>
        <w:rPr>
          <w:rFonts w:ascii="Times New Roman" w:eastAsia="Calibri" w:hAnsi="Times New Roman" w:cs="Calibri"/>
          <w:b/>
          <w:sz w:val="24"/>
          <w:szCs w:val="36"/>
          <w:lang w:eastAsia="es-HN"/>
        </w:rPr>
      </w:pPr>
      <w:bookmarkStart w:id="133" w:name="_Toc155066633"/>
      <w:r w:rsidRPr="00434B43">
        <w:rPr>
          <w:rFonts w:ascii="Times New Roman" w:eastAsia="Calibri" w:hAnsi="Times New Roman" w:cs="Calibri"/>
          <w:b/>
          <w:sz w:val="24"/>
          <w:szCs w:val="36"/>
          <w:lang w:eastAsia="es-HN"/>
        </w:rPr>
        <w:t>3.4.</w:t>
      </w:r>
      <w:r>
        <w:rPr>
          <w:rFonts w:ascii="Times New Roman" w:eastAsia="Calibri" w:hAnsi="Times New Roman" w:cs="Calibri"/>
          <w:b/>
          <w:sz w:val="24"/>
          <w:szCs w:val="36"/>
          <w:lang w:eastAsia="es-HN"/>
        </w:rPr>
        <w:t>3</w:t>
      </w:r>
      <w:r w:rsidRPr="00434B43">
        <w:rPr>
          <w:rFonts w:ascii="Times New Roman" w:eastAsia="Calibri" w:hAnsi="Times New Roman" w:cs="Calibri"/>
          <w:b/>
          <w:sz w:val="24"/>
          <w:szCs w:val="36"/>
          <w:lang w:eastAsia="es-HN"/>
        </w:rPr>
        <w:t xml:space="preserve"> </w:t>
      </w:r>
      <w:r>
        <w:rPr>
          <w:rFonts w:ascii="Times New Roman" w:eastAsia="Calibri" w:hAnsi="Times New Roman" w:cs="Calibri"/>
          <w:b/>
          <w:sz w:val="24"/>
          <w:szCs w:val="36"/>
          <w:lang w:eastAsia="es-HN"/>
        </w:rPr>
        <w:t>PROCEDIMIENTOS</w:t>
      </w:r>
      <w:bookmarkEnd w:id="133"/>
    </w:p>
    <w:p w14:paraId="0B529F4A" w14:textId="0688634A" w:rsidR="00D41AE3" w:rsidRPr="00AA676E" w:rsidRDefault="00127090" w:rsidP="00AA676E">
      <w:pPr>
        <w:pStyle w:val="TextoPrincipal"/>
        <w:spacing w:line="360" w:lineRule="auto"/>
      </w:pPr>
      <w:r>
        <w:t>A continuación, se presenta</w:t>
      </w:r>
      <w:r w:rsidR="00D41AE3" w:rsidRPr="00AA676E">
        <w:t xml:space="preserve"> un esquema de procedimientos para la aplicación de los instrumentos de investigación en tu estudio, considerando la entrevista </w:t>
      </w:r>
      <w:r w:rsidR="00457B6C">
        <w:t>con un grupo focal</w:t>
      </w:r>
      <w:r w:rsidR="00D41AE3" w:rsidRPr="00AA676E">
        <w:t xml:space="preserve"> y la recopilación de datos de estados financieros consolidados:</w:t>
      </w:r>
    </w:p>
    <w:p w14:paraId="1A06445D" w14:textId="4175C7FB" w:rsidR="00D41AE3" w:rsidRPr="00834AEB" w:rsidRDefault="00D41AE3" w:rsidP="00D41AE3">
      <w:pPr>
        <w:keepNext/>
        <w:keepLines/>
        <w:widowControl/>
        <w:tabs>
          <w:tab w:val="left" w:pos="1276"/>
        </w:tabs>
        <w:spacing w:line="360" w:lineRule="auto"/>
        <w:ind w:left="720" w:firstLine="567"/>
        <w:jc w:val="both"/>
        <w:outlineLvl w:val="2"/>
        <w:rPr>
          <w:rFonts w:ascii="Times New Roman" w:eastAsia="Calibri" w:hAnsi="Times New Roman" w:cs="Calibri"/>
          <w:b/>
          <w:sz w:val="24"/>
          <w:szCs w:val="28"/>
          <w:lang w:eastAsia="es-HN"/>
        </w:rPr>
      </w:pPr>
      <w:bookmarkStart w:id="134" w:name="_Toc155066634"/>
      <w:r w:rsidRPr="00DE4075">
        <w:rPr>
          <w:rFonts w:ascii="Times New Roman" w:eastAsia="Calibri" w:hAnsi="Times New Roman" w:cs="Calibri"/>
          <w:b/>
          <w:sz w:val="24"/>
          <w:szCs w:val="28"/>
          <w:lang w:eastAsia="es-HN"/>
        </w:rPr>
        <w:t>3.4.</w:t>
      </w:r>
      <w:r>
        <w:rPr>
          <w:rFonts w:ascii="Times New Roman" w:eastAsia="Calibri" w:hAnsi="Times New Roman" w:cs="Calibri"/>
          <w:b/>
          <w:sz w:val="24"/>
          <w:szCs w:val="28"/>
          <w:lang w:eastAsia="es-HN"/>
        </w:rPr>
        <w:t>3</w:t>
      </w:r>
      <w:r w:rsidRPr="00DE4075">
        <w:rPr>
          <w:rFonts w:ascii="Times New Roman" w:eastAsia="Calibri" w:hAnsi="Times New Roman" w:cs="Calibri"/>
          <w:b/>
          <w:sz w:val="24"/>
          <w:szCs w:val="28"/>
          <w:lang w:eastAsia="es-HN"/>
        </w:rPr>
        <w:t xml:space="preserve">.1 </w:t>
      </w:r>
      <w:r>
        <w:rPr>
          <w:rFonts w:ascii="Times New Roman" w:eastAsia="Calibri" w:hAnsi="Times New Roman" w:cs="Calibri"/>
          <w:b/>
          <w:sz w:val="24"/>
          <w:szCs w:val="28"/>
          <w:lang w:eastAsia="es-HN"/>
        </w:rPr>
        <w:t xml:space="preserve">ENTREVISTA </w:t>
      </w:r>
      <w:r w:rsidR="00457B6C">
        <w:rPr>
          <w:rFonts w:ascii="Times New Roman" w:eastAsia="Calibri" w:hAnsi="Times New Roman" w:cs="Calibri"/>
          <w:b/>
          <w:sz w:val="24"/>
          <w:szCs w:val="28"/>
          <w:lang w:eastAsia="es-HN"/>
        </w:rPr>
        <w:t>CON GRUPO FOCAL</w:t>
      </w:r>
      <w:bookmarkEnd w:id="134"/>
    </w:p>
    <w:p w14:paraId="7A5C8C87" w14:textId="74938D2E" w:rsidR="00D41AE3" w:rsidRPr="00AA676E" w:rsidRDefault="00D41AE3" w:rsidP="007E7E61">
      <w:pPr>
        <w:pStyle w:val="TextoPrincipal"/>
        <w:numPr>
          <w:ilvl w:val="0"/>
          <w:numId w:val="10"/>
        </w:numPr>
        <w:spacing w:line="360" w:lineRule="auto"/>
      </w:pPr>
      <w:r w:rsidRPr="00AA676E">
        <w:rPr>
          <w:b/>
          <w:bCs/>
        </w:rPr>
        <w:t>Selección de Participantes:</w:t>
      </w:r>
      <w:r w:rsidRPr="00AA676E">
        <w:t xml:space="preserve"> Identificar y seleccionar a </w:t>
      </w:r>
      <w:r w:rsidR="00061BFF" w:rsidRPr="00AA676E">
        <w:t>2</w:t>
      </w:r>
      <w:r w:rsidRPr="00AA676E">
        <w:t xml:space="preserve"> actores clave del sector de interés en la investigación. Estos participantes deben tener un conocimiento profundo y experiencia relevante en el tema.</w:t>
      </w:r>
    </w:p>
    <w:p w14:paraId="0194AAAF" w14:textId="3F64ABD4" w:rsidR="00061BFF" w:rsidRPr="00AA676E" w:rsidRDefault="00D41AE3" w:rsidP="007E7E61">
      <w:pPr>
        <w:pStyle w:val="TextoPrincipal"/>
        <w:numPr>
          <w:ilvl w:val="0"/>
          <w:numId w:val="10"/>
        </w:numPr>
        <w:spacing w:line="360" w:lineRule="auto"/>
      </w:pPr>
      <w:r w:rsidRPr="00AA676E">
        <w:rPr>
          <w:b/>
          <w:bCs/>
        </w:rPr>
        <w:t>Contacto y Consentimiento:</w:t>
      </w:r>
      <w:r w:rsidRPr="00AA676E">
        <w:t xml:space="preserve"> Contactar a los participantes por correo electrónico o teléfono para explicarles el propósito de la investigación y solicitar su </w:t>
      </w:r>
      <w:r w:rsidRPr="00AA676E">
        <w:lastRenderedPageBreak/>
        <w:t xml:space="preserve">participación voluntaria. </w:t>
      </w:r>
    </w:p>
    <w:p w14:paraId="6CCCE6FF" w14:textId="2D3D478F" w:rsidR="00D41AE3" w:rsidRPr="00AA676E" w:rsidRDefault="00D41AE3" w:rsidP="007E7E61">
      <w:pPr>
        <w:pStyle w:val="TextoPrincipal"/>
        <w:numPr>
          <w:ilvl w:val="0"/>
          <w:numId w:val="10"/>
        </w:numPr>
        <w:spacing w:line="360" w:lineRule="auto"/>
      </w:pPr>
      <w:r w:rsidRPr="00AA676E">
        <w:rPr>
          <w:b/>
          <w:bCs/>
        </w:rPr>
        <w:t>Programar Entrevista:</w:t>
      </w:r>
      <w:r w:rsidRPr="00AA676E">
        <w:t xml:space="preserve"> Coordinar las fechas y horarios de la entrevista con los participantes según su disponibilidad. </w:t>
      </w:r>
    </w:p>
    <w:p w14:paraId="7FB98ABA" w14:textId="22EF0B73" w:rsidR="00D41AE3" w:rsidRPr="00AA676E" w:rsidRDefault="00D41AE3" w:rsidP="007E7E61">
      <w:pPr>
        <w:pStyle w:val="TextoPrincipal"/>
        <w:numPr>
          <w:ilvl w:val="0"/>
          <w:numId w:val="10"/>
        </w:numPr>
        <w:spacing w:line="360" w:lineRule="auto"/>
      </w:pPr>
      <w:r w:rsidRPr="00AA676E">
        <w:rPr>
          <w:b/>
          <w:bCs/>
        </w:rPr>
        <w:t>Conducción de Entrevista:</w:t>
      </w:r>
      <w:r w:rsidRPr="00AA676E">
        <w:t xml:space="preserve"> Realizar la entrevista de acuerdo con el cuestionario diseñado. </w:t>
      </w:r>
    </w:p>
    <w:p w14:paraId="1673A91D" w14:textId="5096335D" w:rsidR="00D41AE3" w:rsidRPr="00AA676E" w:rsidRDefault="00D41AE3" w:rsidP="007E7E61">
      <w:pPr>
        <w:pStyle w:val="TextoPrincipal"/>
        <w:numPr>
          <w:ilvl w:val="0"/>
          <w:numId w:val="10"/>
        </w:numPr>
        <w:spacing w:line="360" w:lineRule="auto"/>
      </w:pPr>
      <w:r w:rsidRPr="00AA676E">
        <w:rPr>
          <w:b/>
          <w:bCs/>
        </w:rPr>
        <w:t>Grabación y Toma de Notas:</w:t>
      </w:r>
      <w:r w:rsidRPr="00AA676E">
        <w:t xml:space="preserve"> Grabar la entrevista (con el consentimiento de los participantes) para garantizar la precisión de los datos. Además, tomar notas de campo durante la entrevista para capturar detalles adicionales.</w:t>
      </w:r>
    </w:p>
    <w:p w14:paraId="1169BBE2" w14:textId="71734EC7" w:rsidR="00D41AE3" w:rsidRPr="00AA676E" w:rsidRDefault="00D41AE3" w:rsidP="007E7E61">
      <w:pPr>
        <w:pStyle w:val="TextoPrincipal"/>
        <w:numPr>
          <w:ilvl w:val="0"/>
          <w:numId w:val="10"/>
        </w:numPr>
        <w:spacing w:line="360" w:lineRule="auto"/>
      </w:pPr>
      <w:r w:rsidRPr="00AA676E">
        <w:rPr>
          <w:b/>
          <w:bCs/>
        </w:rPr>
        <w:t>Transcripción de Entrevista</w:t>
      </w:r>
      <w:r w:rsidR="00DF7E21" w:rsidRPr="00AA676E">
        <w:rPr>
          <w:b/>
          <w:bCs/>
        </w:rPr>
        <w:t>:</w:t>
      </w:r>
      <w:r w:rsidR="00DF7E21" w:rsidRPr="00AA676E">
        <w:t xml:space="preserve"> </w:t>
      </w:r>
      <w:r w:rsidRPr="00AA676E">
        <w:t>Transcribir las grabaciones de la entrevista en documentos escritos para facilitar el análisis de los datos.</w:t>
      </w:r>
    </w:p>
    <w:p w14:paraId="68FCC631" w14:textId="1B863F14" w:rsidR="00D41AE3" w:rsidRPr="00AA676E" w:rsidRDefault="00D41AE3" w:rsidP="007E7E61">
      <w:pPr>
        <w:pStyle w:val="TextoPrincipal"/>
        <w:numPr>
          <w:ilvl w:val="0"/>
          <w:numId w:val="10"/>
        </w:numPr>
        <w:spacing w:line="360" w:lineRule="auto"/>
      </w:pPr>
      <w:r w:rsidRPr="00AA676E">
        <w:rPr>
          <w:b/>
          <w:bCs/>
        </w:rPr>
        <w:t>Análisis de Datos:</w:t>
      </w:r>
      <w:r w:rsidRPr="00AA676E">
        <w:t xml:space="preserve"> Utilizar técnicas de análisis cualitativo, como el análisis de contenido, para identificar patrones, temas y esencias en las respuestas de los participantes.</w:t>
      </w:r>
    </w:p>
    <w:p w14:paraId="3AA28301" w14:textId="3A7CC75F" w:rsidR="00D41AE3" w:rsidRPr="00D41AE3" w:rsidRDefault="00D41AE3" w:rsidP="007E7E61">
      <w:pPr>
        <w:pStyle w:val="TextoPrincipal"/>
        <w:numPr>
          <w:ilvl w:val="0"/>
          <w:numId w:val="10"/>
        </w:numPr>
        <w:spacing w:line="360" w:lineRule="auto"/>
        <w:rPr>
          <w:rFonts w:eastAsia="Calibri"/>
        </w:rPr>
      </w:pPr>
      <w:r w:rsidRPr="00AA676E">
        <w:rPr>
          <w:b/>
          <w:bCs/>
        </w:rPr>
        <w:t>Validación de Datos:</w:t>
      </w:r>
      <w:r w:rsidR="00DF7E21" w:rsidRPr="00AA676E">
        <w:t xml:space="preserve"> </w:t>
      </w:r>
      <w:r w:rsidRPr="00AA676E">
        <w:t xml:space="preserve">Enviar los resultados o resúmenes de la entrevista a los participantes para </w:t>
      </w:r>
      <w:r w:rsidRPr="00D41AE3">
        <w:rPr>
          <w:rFonts w:eastAsia="Calibri"/>
        </w:rPr>
        <w:t>su verificación y confirmación, lo que aumenta la validez y la calidad de los datos.</w:t>
      </w:r>
    </w:p>
    <w:p w14:paraId="7994EBB6" w14:textId="7271FC94" w:rsidR="00D41AE3" w:rsidRPr="00DF7E21" w:rsidRDefault="00DF7E21" w:rsidP="00DF7E21">
      <w:pPr>
        <w:keepNext/>
        <w:keepLines/>
        <w:widowControl/>
        <w:tabs>
          <w:tab w:val="left" w:pos="1276"/>
        </w:tabs>
        <w:spacing w:line="360" w:lineRule="auto"/>
        <w:ind w:left="720" w:firstLine="567"/>
        <w:jc w:val="both"/>
        <w:outlineLvl w:val="2"/>
        <w:rPr>
          <w:rFonts w:ascii="Times New Roman" w:eastAsia="Calibri" w:hAnsi="Times New Roman" w:cs="Calibri"/>
          <w:b/>
          <w:sz w:val="24"/>
          <w:szCs w:val="28"/>
          <w:lang w:eastAsia="es-HN"/>
        </w:rPr>
      </w:pPr>
      <w:bookmarkStart w:id="135" w:name="_Toc155066635"/>
      <w:r w:rsidRPr="00DE4075">
        <w:rPr>
          <w:rFonts w:ascii="Times New Roman" w:eastAsia="Calibri" w:hAnsi="Times New Roman" w:cs="Calibri"/>
          <w:b/>
          <w:sz w:val="24"/>
          <w:szCs w:val="28"/>
          <w:lang w:eastAsia="es-HN"/>
        </w:rPr>
        <w:t>3.4.</w:t>
      </w:r>
      <w:r>
        <w:rPr>
          <w:rFonts w:ascii="Times New Roman" w:eastAsia="Calibri" w:hAnsi="Times New Roman" w:cs="Calibri"/>
          <w:b/>
          <w:sz w:val="24"/>
          <w:szCs w:val="28"/>
          <w:lang w:eastAsia="es-HN"/>
        </w:rPr>
        <w:t>3</w:t>
      </w:r>
      <w:r w:rsidRPr="00DE4075">
        <w:rPr>
          <w:rFonts w:ascii="Times New Roman" w:eastAsia="Calibri" w:hAnsi="Times New Roman" w:cs="Calibri"/>
          <w:b/>
          <w:sz w:val="24"/>
          <w:szCs w:val="28"/>
          <w:lang w:eastAsia="es-HN"/>
        </w:rPr>
        <w:t>.</w:t>
      </w:r>
      <w:r>
        <w:rPr>
          <w:rFonts w:ascii="Times New Roman" w:eastAsia="Calibri" w:hAnsi="Times New Roman" w:cs="Calibri"/>
          <w:b/>
          <w:sz w:val="24"/>
          <w:szCs w:val="28"/>
          <w:lang w:eastAsia="es-HN"/>
        </w:rPr>
        <w:t>2</w:t>
      </w:r>
      <w:r w:rsidRPr="00DE4075">
        <w:rPr>
          <w:rFonts w:ascii="Times New Roman" w:eastAsia="Calibri" w:hAnsi="Times New Roman" w:cs="Calibri"/>
          <w:b/>
          <w:sz w:val="24"/>
          <w:szCs w:val="28"/>
          <w:lang w:eastAsia="es-HN"/>
        </w:rPr>
        <w:t xml:space="preserve"> </w:t>
      </w:r>
      <w:r>
        <w:rPr>
          <w:rFonts w:ascii="Times New Roman" w:eastAsia="Calibri" w:hAnsi="Times New Roman" w:cs="Calibri"/>
          <w:b/>
          <w:sz w:val="24"/>
          <w:szCs w:val="28"/>
          <w:lang w:eastAsia="es-HN"/>
        </w:rPr>
        <w:t>RECOPILACIÓN DE DATOS CON FIC</w:t>
      </w:r>
      <w:r w:rsidR="00457B6C">
        <w:rPr>
          <w:rFonts w:ascii="Times New Roman" w:eastAsia="Calibri" w:hAnsi="Times New Roman" w:cs="Calibri"/>
          <w:b/>
          <w:sz w:val="24"/>
          <w:szCs w:val="28"/>
          <w:lang w:eastAsia="es-HN"/>
        </w:rPr>
        <w:t>H</w:t>
      </w:r>
      <w:r>
        <w:rPr>
          <w:rFonts w:ascii="Times New Roman" w:eastAsia="Calibri" w:hAnsi="Times New Roman" w:cs="Calibri"/>
          <w:b/>
          <w:sz w:val="24"/>
          <w:szCs w:val="28"/>
          <w:lang w:eastAsia="es-HN"/>
        </w:rPr>
        <w:t>A TÉCNICA</w:t>
      </w:r>
      <w:bookmarkEnd w:id="135"/>
    </w:p>
    <w:p w14:paraId="2C6530C0" w14:textId="2D33FD50" w:rsidR="00D41AE3" w:rsidRPr="002747C8" w:rsidRDefault="00D41AE3" w:rsidP="007E7E61">
      <w:pPr>
        <w:pStyle w:val="TextoPrincipal"/>
        <w:numPr>
          <w:ilvl w:val="0"/>
          <w:numId w:val="11"/>
        </w:numPr>
        <w:spacing w:line="360" w:lineRule="auto"/>
      </w:pPr>
      <w:r w:rsidRPr="00AA676E">
        <w:rPr>
          <w:b/>
          <w:bCs/>
        </w:rPr>
        <w:t>Descarga de Estados Financieros:</w:t>
      </w:r>
      <w:r w:rsidRPr="002747C8">
        <w:t xml:space="preserve"> Acceder a las páginas web de las instituciones bancarias y descargar los estados financieros consolidados disponibles para el período de interés en formato electrónico.</w:t>
      </w:r>
    </w:p>
    <w:p w14:paraId="56933DA4" w14:textId="2342D1B4" w:rsidR="00D41AE3" w:rsidRPr="002747C8" w:rsidRDefault="00D41AE3" w:rsidP="007E7E61">
      <w:pPr>
        <w:pStyle w:val="TextoPrincipal"/>
        <w:numPr>
          <w:ilvl w:val="0"/>
          <w:numId w:val="11"/>
        </w:numPr>
        <w:spacing w:line="360" w:lineRule="auto"/>
      </w:pPr>
      <w:r w:rsidRPr="00AA676E">
        <w:rPr>
          <w:b/>
          <w:bCs/>
        </w:rPr>
        <w:t>Organización de Datos:</w:t>
      </w:r>
      <w:r w:rsidRPr="002747C8">
        <w:t xml:space="preserve"> Organizar los datos descargados en una estructura de carpetas o archivos electrónicos para facilitar su acceso y referencia.</w:t>
      </w:r>
    </w:p>
    <w:p w14:paraId="0F4C083A" w14:textId="77777777" w:rsidR="00742338" w:rsidRPr="002747C8" w:rsidRDefault="00D41AE3" w:rsidP="007E7E61">
      <w:pPr>
        <w:pStyle w:val="TextoPrincipal"/>
        <w:numPr>
          <w:ilvl w:val="0"/>
          <w:numId w:val="11"/>
        </w:numPr>
        <w:spacing w:line="360" w:lineRule="auto"/>
      </w:pPr>
      <w:r w:rsidRPr="00AA676E">
        <w:rPr>
          <w:b/>
          <w:bCs/>
        </w:rPr>
        <w:t>Validación de Datos:</w:t>
      </w:r>
      <w:r w:rsidR="00742338" w:rsidRPr="002747C8">
        <w:t xml:space="preserve"> </w:t>
      </w:r>
      <w:r w:rsidRPr="002747C8">
        <w:t>Verificar la precisión y la integridad de los datos descargados y almacenados. Comprobar que los números y las cifras sean coherentes y estén en el formato correcto.</w:t>
      </w:r>
    </w:p>
    <w:p w14:paraId="0B9C3E63" w14:textId="73306772" w:rsidR="00D41AE3" w:rsidRPr="002747C8" w:rsidRDefault="00D41AE3" w:rsidP="007E7E61">
      <w:pPr>
        <w:pStyle w:val="TextoPrincipal"/>
        <w:numPr>
          <w:ilvl w:val="0"/>
          <w:numId w:val="11"/>
        </w:numPr>
        <w:spacing w:line="360" w:lineRule="auto"/>
      </w:pPr>
      <w:r w:rsidRPr="00AA676E">
        <w:rPr>
          <w:b/>
          <w:bCs/>
        </w:rPr>
        <w:t>Archivo y Respaldo:</w:t>
      </w:r>
      <w:r w:rsidRPr="002747C8">
        <w:t xml:space="preserve"> Guardar copias de respaldo de los datos descargados y de la ficha técnica en caso de pérdida de información.</w:t>
      </w:r>
    </w:p>
    <w:p w14:paraId="41FE89B5" w14:textId="40C41B26" w:rsidR="00D41AE3" w:rsidRPr="002747C8" w:rsidRDefault="00D41AE3" w:rsidP="007E7E61">
      <w:pPr>
        <w:pStyle w:val="TextoPrincipal"/>
        <w:numPr>
          <w:ilvl w:val="0"/>
          <w:numId w:val="11"/>
        </w:numPr>
        <w:spacing w:line="360" w:lineRule="auto"/>
      </w:pPr>
      <w:r w:rsidRPr="00AA676E">
        <w:rPr>
          <w:b/>
          <w:bCs/>
        </w:rPr>
        <w:lastRenderedPageBreak/>
        <w:t>Registro y Documentación:</w:t>
      </w:r>
      <w:r w:rsidRPr="002747C8">
        <w:t xml:space="preserve"> Registrar todas las fuentes, fechas de descarga y detalles relevantes en un registro de datos para rastrear y documentar el proceso de recopilación.</w:t>
      </w:r>
    </w:p>
    <w:p w14:paraId="4771DDFC" w14:textId="59E65C3A" w:rsidR="00742338" w:rsidRPr="004F6D10" w:rsidRDefault="00742338" w:rsidP="004F6D10">
      <w:pPr>
        <w:pStyle w:val="Ttulo2"/>
        <w:rPr>
          <w:rFonts w:cs="Times New Roman"/>
          <w:b w:val="0"/>
          <w:bCs w:val="0"/>
          <w:szCs w:val="24"/>
          <w:lang w:val="es-MX"/>
        </w:rPr>
      </w:pPr>
      <w:bookmarkStart w:id="136" w:name="_Toc115718825"/>
      <w:bookmarkStart w:id="137" w:name="_Toc122123363"/>
      <w:bookmarkStart w:id="138" w:name="_Toc155066636"/>
      <w:r w:rsidRPr="00406AB1">
        <w:rPr>
          <w:rFonts w:cs="Times New Roman"/>
          <w:szCs w:val="24"/>
          <w:lang w:val="es-MX"/>
        </w:rPr>
        <w:t>3.5 FUENTE DE INFORMACION</w:t>
      </w:r>
      <w:bookmarkEnd w:id="136"/>
      <w:bookmarkEnd w:id="137"/>
      <w:bookmarkEnd w:id="138"/>
    </w:p>
    <w:p w14:paraId="0D8F9C4B" w14:textId="70627370" w:rsidR="00742338" w:rsidRPr="002747C8" w:rsidRDefault="00742338" w:rsidP="002747C8">
      <w:pPr>
        <w:pStyle w:val="TextoPrincipal"/>
        <w:spacing w:line="360" w:lineRule="auto"/>
      </w:pPr>
      <w:r w:rsidRPr="002747C8">
        <w:t xml:space="preserve">Las fuentes de información en una investigación deben ser recolectadas mediante un procedimiento sistematizado y adecuado a las características de la investigación, alineado a los objetivos, al marco teórico, a las hipótesis, al tipo de estudio y al diseño definido. A medida se apliquen mayores controles de recolección de información esto brindará un mayor grado de confiabilidad </w:t>
      </w:r>
      <w:sdt>
        <w:sdtPr>
          <w:id w:val="-132943826"/>
          <w:citation/>
        </w:sdtPr>
        <w:sdtEndPr/>
        <w:sdtContent>
          <w:r w:rsidRPr="002747C8">
            <w:fldChar w:fldCharType="begin"/>
          </w:r>
          <w:r w:rsidRPr="002747C8">
            <w:instrText xml:space="preserve">CITATION Ber16 \l 2058 </w:instrText>
          </w:r>
          <w:r w:rsidRPr="002747C8">
            <w:fldChar w:fldCharType="separate"/>
          </w:r>
          <w:r w:rsidRPr="002747C8">
            <w:t>(Bernal, 2016)</w:t>
          </w:r>
          <w:r w:rsidRPr="002747C8">
            <w:fldChar w:fldCharType="end"/>
          </w:r>
        </w:sdtContent>
      </w:sdt>
      <w:r w:rsidR="004F6D10" w:rsidRPr="002747C8">
        <w:t>.</w:t>
      </w:r>
    </w:p>
    <w:p w14:paraId="596B9A53" w14:textId="77777777" w:rsidR="00742338" w:rsidRPr="00406AB1" w:rsidRDefault="00742338" w:rsidP="00742338">
      <w:pPr>
        <w:pStyle w:val="Ttulo3"/>
        <w:ind w:firstLine="567"/>
        <w:rPr>
          <w:rFonts w:eastAsia="Times New Roman" w:cs="Times New Roman"/>
          <w:lang w:val="es-MX" w:eastAsia="es-ES"/>
        </w:rPr>
      </w:pPr>
      <w:bookmarkStart w:id="139" w:name="_Toc115718826"/>
      <w:bookmarkStart w:id="140" w:name="_Toc122123364"/>
      <w:bookmarkStart w:id="141" w:name="_Toc155066637"/>
      <w:r w:rsidRPr="00406AB1">
        <w:rPr>
          <w:rFonts w:eastAsia="Times New Roman" w:cs="Times New Roman"/>
          <w:lang w:val="es-MX" w:eastAsia="es-ES"/>
        </w:rPr>
        <w:t>3.5.1 FUENTES PRIMARIAS</w:t>
      </w:r>
      <w:bookmarkEnd w:id="139"/>
      <w:bookmarkEnd w:id="140"/>
      <w:bookmarkEnd w:id="141"/>
    </w:p>
    <w:p w14:paraId="32A604B4" w14:textId="5FCC441B" w:rsidR="00742338" w:rsidRPr="002747C8" w:rsidRDefault="00843ECC" w:rsidP="002747C8">
      <w:pPr>
        <w:pStyle w:val="TextoPrincipal"/>
        <w:spacing w:line="360" w:lineRule="auto"/>
      </w:pPr>
      <w:r w:rsidRPr="002747C8">
        <w:t xml:space="preserve">Como principal fuente de información, se consideró los Estados Financieros de los Bancos Comerciales descargados de forma libre de la página web oficial de la Comisión Nacional de Bancos y Seguros (CNBS) y estadística monetaria descargada de forma libre del Banco Central de Honduras (BCH); así como las valoraciones recopiladas de las entrevistas </w:t>
      </w:r>
      <w:r w:rsidR="00023458">
        <w:t>con el grupo focal conformado por</w:t>
      </w:r>
      <w:r w:rsidRPr="002747C8">
        <w:t xml:space="preserve"> agentes clave del sector económico de Honduras. </w:t>
      </w:r>
    </w:p>
    <w:p w14:paraId="3216E3AE" w14:textId="770CA58E" w:rsidR="00843ECC" w:rsidRPr="00406AB1" w:rsidRDefault="00843ECC" w:rsidP="00843ECC">
      <w:pPr>
        <w:pStyle w:val="Ttulo3"/>
        <w:ind w:firstLine="567"/>
        <w:rPr>
          <w:rFonts w:eastAsia="Times New Roman" w:cs="Times New Roman"/>
          <w:lang w:val="es-MX" w:eastAsia="es-ES"/>
        </w:rPr>
      </w:pPr>
      <w:bookmarkStart w:id="142" w:name="_Toc155066638"/>
      <w:r w:rsidRPr="00406AB1">
        <w:rPr>
          <w:rFonts w:eastAsia="Times New Roman" w:cs="Times New Roman"/>
          <w:lang w:val="es-MX" w:eastAsia="es-ES"/>
        </w:rPr>
        <w:t>3.5.</w:t>
      </w:r>
      <w:r>
        <w:rPr>
          <w:rFonts w:eastAsia="Times New Roman" w:cs="Times New Roman"/>
          <w:lang w:val="es-MX" w:eastAsia="es-ES"/>
        </w:rPr>
        <w:t>2</w:t>
      </w:r>
      <w:r w:rsidRPr="00406AB1">
        <w:rPr>
          <w:rFonts w:eastAsia="Times New Roman" w:cs="Times New Roman"/>
          <w:lang w:val="es-MX" w:eastAsia="es-ES"/>
        </w:rPr>
        <w:t xml:space="preserve"> FUENTES </w:t>
      </w:r>
      <w:r>
        <w:rPr>
          <w:rFonts w:eastAsia="Times New Roman" w:cs="Times New Roman"/>
          <w:lang w:val="es-MX" w:eastAsia="es-ES"/>
        </w:rPr>
        <w:t>SECUNDARIAS</w:t>
      </w:r>
      <w:bookmarkEnd w:id="142"/>
    </w:p>
    <w:p w14:paraId="07A97202" w14:textId="4BEDF5BD" w:rsidR="00843ECC" w:rsidRPr="002747C8" w:rsidRDefault="00843ECC" w:rsidP="002747C8">
      <w:pPr>
        <w:pStyle w:val="TextoPrincipal"/>
        <w:spacing w:line="360" w:lineRule="auto"/>
      </w:pPr>
      <w:r w:rsidRPr="002747C8">
        <w:t>Informes, páginas web oficiales de instituciones gubernamentales, leyes y decretos, entre otros.</w:t>
      </w:r>
    </w:p>
    <w:p w14:paraId="48578AF9" w14:textId="77777777" w:rsidR="00843ECC" w:rsidRDefault="00843ECC" w:rsidP="00D41AE3">
      <w:pPr>
        <w:widowControl/>
        <w:spacing w:line="480" w:lineRule="auto"/>
        <w:ind w:firstLine="720"/>
        <w:jc w:val="both"/>
        <w:rPr>
          <w:rFonts w:ascii="Times New Roman" w:eastAsia="Calibri" w:hAnsi="Times New Roman" w:cs="Times New Roman"/>
          <w:sz w:val="24"/>
        </w:rPr>
      </w:pPr>
    </w:p>
    <w:p w14:paraId="5C1183EB" w14:textId="77777777" w:rsidR="00843ECC" w:rsidRDefault="00843ECC" w:rsidP="00D41AE3">
      <w:pPr>
        <w:widowControl/>
        <w:spacing w:line="480" w:lineRule="auto"/>
        <w:ind w:firstLine="720"/>
        <w:jc w:val="both"/>
        <w:rPr>
          <w:rFonts w:ascii="Times New Roman" w:eastAsia="Calibri" w:hAnsi="Times New Roman" w:cs="Times New Roman"/>
          <w:sz w:val="24"/>
        </w:rPr>
      </w:pPr>
    </w:p>
    <w:p w14:paraId="1031B063" w14:textId="77777777" w:rsidR="00843ECC" w:rsidRDefault="00843ECC" w:rsidP="00D41AE3">
      <w:pPr>
        <w:widowControl/>
        <w:spacing w:line="480" w:lineRule="auto"/>
        <w:ind w:firstLine="720"/>
        <w:jc w:val="both"/>
        <w:rPr>
          <w:rFonts w:ascii="Times New Roman" w:eastAsia="Calibri" w:hAnsi="Times New Roman" w:cs="Times New Roman"/>
          <w:sz w:val="24"/>
        </w:rPr>
      </w:pPr>
    </w:p>
    <w:p w14:paraId="15644217" w14:textId="77777777" w:rsidR="00061BFF" w:rsidRDefault="00061BFF" w:rsidP="00D41AE3">
      <w:pPr>
        <w:widowControl/>
        <w:spacing w:line="480" w:lineRule="auto"/>
        <w:ind w:firstLine="720"/>
        <w:jc w:val="both"/>
        <w:rPr>
          <w:rFonts w:ascii="Times New Roman" w:eastAsia="Calibri" w:hAnsi="Times New Roman" w:cs="Times New Roman"/>
          <w:sz w:val="24"/>
        </w:rPr>
      </w:pPr>
    </w:p>
    <w:p w14:paraId="64337D76" w14:textId="77777777" w:rsidR="00061BFF" w:rsidRDefault="00061BFF" w:rsidP="00D41AE3">
      <w:pPr>
        <w:widowControl/>
        <w:spacing w:line="480" w:lineRule="auto"/>
        <w:ind w:firstLine="720"/>
        <w:jc w:val="both"/>
        <w:rPr>
          <w:rFonts w:ascii="Times New Roman" w:eastAsia="Calibri" w:hAnsi="Times New Roman" w:cs="Times New Roman"/>
          <w:sz w:val="24"/>
        </w:rPr>
      </w:pPr>
    </w:p>
    <w:p w14:paraId="74F986D0" w14:textId="77777777" w:rsidR="00061BFF" w:rsidRDefault="00061BFF" w:rsidP="00D41AE3">
      <w:pPr>
        <w:widowControl/>
        <w:spacing w:line="480" w:lineRule="auto"/>
        <w:ind w:firstLine="720"/>
        <w:jc w:val="both"/>
        <w:rPr>
          <w:rFonts w:ascii="Times New Roman" w:eastAsia="Calibri" w:hAnsi="Times New Roman" w:cs="Times New Roman"/>
          <w:sz w:val="24"/>
        </w:rPr>
      </w:pPr>
    </w:p>
    <w:p w14:paraId="11451367" w14:textId="77777777" w:rsidR="00061BFF" w:rsidRDefault="00061BFF" w:rsidP="00D41AE3">
      <w:pPr>
        <w:widowControl/>
        <w:spacing w:line="480" w:lineRule="auto"/>
        <w:ind w:firstLine="720"/>
        <w:jc w:val="both"/>
        <w:rPr>
          <w:rFonts w:ascii="Times New Roman" w:eastAsia="Calibri" w:hAnsi="Times New Roman" w:cs="Times New Roman"/>
          <w:sz w:val="24"/>
        </w:rPr>
      </w:pPr>
    </w:p>
    <w:p w14:paraId="4CFFAC73" w14:textId="77777777" w:rsidR="004F524B" w:rsidRDefault="004F524B" w:rsidP="003B3FCF">
      <w:pPr>
        <w:widowControl/>
        <w:spacing w:line="480" w:lineRule="auto"/>
        <w:jc w:val="both"/>
        <w:rPr>
          <w:rFonts w:ascii="Times New Roman" w:eastAsia="Calibri" w:hAnsi="Times New Roman" w:cs="Times New Roman"/>
          <w:sz w:val="24"/>
        </w:rPr>
      </w:pPr>
    </w:p>
    <w:p w14:paraId="5F1FDDE9" w14:textId="77777777" w:rsidR="00F33250" w:rsidRDefault="00F33250" w:rsidP="003B3FCF">
      <w:pPr>
        <w:widowControl/>
        <w:spacing w:line="480" w:lineRule="auto"/>
        <w:jc w:val="both"/>
        <w:rPr>
          <w:rFonts w:ascii="Times New Roman" w:eastAsia="Calibri" w:hAnsi="Times New Roman" w:cs="Times New Roman"/>
          <w:sz w:val="24"/>
        </w:rPr>
      </w:pPr>
    </w:p>
    <w:p w14:paraId="2A2DE286" w14:textId="77777777" w:rsidR="004F524B" w:rsidRPr="000916B1" w:rsidRDefault="004F524B" w:rsidP="004F524B">
      <w:pPr>
        <w:keepNext/>
        <w:keepLines/>
        <w:widowControl/>
        <w:spacing w:line="360" w:lineRule="auto"/>
        <w:jc w:val="center"/>
        <w:outlineLvl w:val="0"/>
        <w:rPr>
          <w:rFonts w:ascii="Times New Roman" w:eastAsia="Calibri" w:hAnsi="Times New Roman" w:cs="Times New Roman"/>
          <w:b/>
          <w:bCs/>
          <w:sz w:val="28"/>
          <w:szCs w:val="24"/>
        </w:rPr>
      </w:pPr>
      <w:bookmarkStart w:id="143" w:name="_Toc122123366"/>
      <w:bookmarkStart w:id="144" w:name="_Toc155066639"/>
      <w:r w:rsidRPr="000916B1">
        <w:rPr>
          <w:rFonts w:ascii="Times New Roman" w:eastAsia="Calibri" w:hAnsi="Times New Roman" w:cs="Times New Roman"/>
          <w:b/>
          <w:bCs/>
          <w:sz w:val="28"/>
          <w:szCs w:val="24"/>
        </w:rPr>
        <w:lastRenderedPageBreak/>
        <w:t>CAPITULO IV. RESULTADOS Y ANÁLISIS</w:t>
      </w:r>
      <w:bookmarkEnd w:id="143"/>
      <w:bookmarkEnd w:id="144"/>
    </w:p>
    <w:p w14:paraId="3D57E5D4" w14:textId="2443E288" w:rsidR="004F524B" w:rsidRPr="002747C8" w:rsidRDefault="004F524B" w:rsidP="002747C8">
      <w:pPr>
        <w:pStyle w:val="TextoPrincipal"/>
        <w:spacing w:line="360" w:lineRule="auto"/>
      </w:pPr>
      <w:r w:rsidRPr="002747C8">
        <w:t xml:space="preserve">En el siguiente </w:t>
      </w:r>
      <w:r w:rsidR="00127090" w:rsidRPr="002747C8">
        <w:t>capítulo</w:t>
      </w:r>
      <w:r w:rsidRPr="002747C8">
        <w:t xml:space="preserve"> se presenta la información recolectada y condensada en datos específicos de importancia junto con análisis de cada uno de ellos para poder dar respuesta a cada uno de los objetivos elegidos para este estudio. Se analiza y procesa la información que corresponde al estudio de las variables de estudio mediante sus dimensiones, así como el estudio de cada uno de sus indicadores y como estos se desarrollan dentro de la institución. </w:t>
      </w:r>
    </w:p>
    <w:p w14:paraId="7018C3DD" w14:textId="77777777" w:rsidR="004F524B" w:rsidRPr="00DE7211" w:rsidRDefault="004F524B" w:rsidP="004F524B">
      <w:pPr>
        <w:keepNext/>
        <w:keepLines/>
        <w:widowControl/>
        <w:spacing w:line="480" w:lineRule="auto"/>
        <w:outlineLvl w:val="1"/>
        <w:rPr>
          <w:rFonts w:ascii="Times New Roman" w:eastAsia="Calibri" w:hAnsi="Times New Roman" w:cs="Calibri"/>
          <w:b/>
          <w:sz w:val="24"/>
          <w:szCs w:val="36"/>
          <w:lang w:eastAsia="es-HN"/>
        </w:rPr>
      </w:pPr>
      <w:bookmarkStart w:id="145" w:name="_Toc122123367"/>
      <w:bookmarkStart w:id="146" w:name="_Toc155066640"/>
      <w:r w:rsidRPr="00DE7211">
        <w:rPr>
          <w:rFonts w:ascii="Times New Roman" w:eastAsia="Calibri" w:hAnsi="Times New Roman" w:cs="Calibri"/>
          <w:b/>
          <w:sz w:val="24"/>
          <w:szCs w:val="36"/>
          <w:lang w:eastAsia="es-HN"/>
        </w:rPr>
        <w:t>4.1 INFORME DE PROCESO DE RECOLECCIÓN DE DATOS</w:t>
      </w:r>
      <w:bookmarkEnd w:id="145"/>
      <w:bookmarkEnd w:id="146"/>
      <w:r w:rsidRPr="00DE7211">
        <w:rPr>
          <w:rFonts w:ascii="Times New Roman" w:eastAsia="Calibri" w:hAnsi="Times New Roman" w:cs="Calibri"/>
          <w:b/>
          <w:sz w:val="24"/>
          <w:szCs w:val="36"/>
          <w:lang w:eastAsia="es-HN"/>
        </w:rPr>
        <w:t xml:space="preserve"> </w:t>
      </w:r>
    </w:p>
    <w:p w14:paraId="3EDBABEA" w14:textId="03CA5110" w:rsidR="00FB6DD3" w:rsidRPr="002747C8" w:rsidRDefault="004F524B" w:rsidP="002747C8">
      <w:pPr>
        <w:pStyle w:val="TextoPrincipal"/>
        <w:spacing w:line="360" w:lineRule="auto"/>
      </w:pPr>
      <w:r w:rsidRPr="002747C8">
        <w:t>En el proceso de recolección de datos para la técnica de revisión sistemática, se implementó un modelo aritmético sencillo para la descomposición de la tasa de interés</w:t>
      </w:r>
      <w:r w:rsidR="005B76C1" w:rsidRPr="002747C8">
        <w:t xml:space="preserve"> aplicado por el Centro para la Estabilidad Financiera de Argentina (2006)</w:t>
      </w:r>
      <w:r w:rsidRPr="002747C8">
        <w:t>, enfocado especialmente en sus componentes financieros</w:t>
      </w:r>
      <w:r w:rsidR="00171486" w:rsidRPr="002747C8">
        <w:t xml:space="preserve"> </w:t>
      </w:r>
      <w:r w:rsidR="00FB6DD3" w:rsidRPr="002747C8">
        <w:t xml:space="preserve">para calcular el impacto que tienen los mismos sobre la tasa la activa; </w:t>
      </w:r>
      <w:r w:rsidR="00171486" w:rsidRPr="002747C8">
        <w:t xml:space="preserve">la cual puede expresarse de la siguiente forma: </w:t>
      </w:r>
    </w:p>
    <w:p w14:paraId="165518C5" w14:textId="6EEF2CE9" w:rsidR="00171486" w:rsidRDefault="00171486" w:rsidP="004F524B">
      <w:pPr>
        <w:widowControl/>
        <w:spacing w:line="480" w:lineRule="auto"/>
        <w:ind w:firstLine="720"/>
        <w:rPr>
          <w:rFonts w:ascii="Times New Roman" w:eastAsia="Calibri" w:hAnsi="Times New Roman" w:cs="Times New Roman"/>
          <w:sz w:val="24"/>
        </w:rPr>
      </w:pPr>
      <m:oMathPara>
        <m:oMath>
          <m:r>
            <w:rPr>
              <w:rFonts w:ascii="Cambria Math" w:eastAsia="Calibri" w:hAnsi="Cambria Math" w:cs="Times New Roman"/>
              <w:sz w:val="24"/>
            </w:rPr>
            <m:t>i=ROA+g+t+c+</m:t>
          </m:r>
          <m:d>
            <m:dPr>
              <m:ctrlPr>
                <w:rPr>
                  <w:rFonts w:ascii="Cambria Math" w:eastAsia="Calibri" w:hAnsi="Cambria Math" w:cs="Times New Roman"/>
                  <w:i/>
                  <w:sz w:val="24"/>
                </w:rPr>
              </m:ctrlPr>
            </m:dPr>
            <m:e>
              <m:r>
                <w:rPr>
                  <w:rFonts w:ascii="Cambria Math" w:eastAsia="Calibri" w:hAnsi="Cambria Math" w:cs="Times New Roman"/>
                  <w:sz w:val="24"/>
                </w:rPr>
                <m:t xml:space="preserve">1- </m:t>
              </m:r>
              <m:f>
                <m:fPr>
                  <m:ctrlPr>
                    <w:rPr>
                      <w:rFonts w:ascii="Cambria Math" w:eastAsia="Calibri" w:hAnsi="Cambria Math" w:cs="Times New Roman"/>
                      <w:i/>
                      <w:sz w:val="24"/>
                    </w:rPr>
                  </m:ctrlPr>
                </m:fPr>
                <m:num>
                  <m:r>
                    <w:rPr>
                      <w:rFonts w:ascii="Cambria Math" w:eastAsia="Calibri" w:hAnsi="Cambria Math" w:cs="Times New Roman"/>
                      <w:sz w:val="24"/>
                    </w:rPr>
                    <m:t>1</m:t>
                  </m:r>
                </m:num>
                <m:den>
                  <m:r>
                    <w:rPr>
                      <w:rFonts w:ascii="Cambria Math" w:eastAsia="Calibri" w:hAnsi="Cambria Math" w:cs="Times New Roman"/>
                      <w:sz w:val="24"/>
                    </w:rPr>
                    <m:t>δ</m:t>
                  </m:r>
                </m:den>
              </m:f>
            </m:e>
          </m:d>
          <m:r>
            <w:rPr>
              <w:rFonts w:ascii="Cambria Math" w:eastAsia="Calibri" w:hAnsi="Cambria Math" w:cs="Calibri"/>
              <w:sz w:val="24"/>
            </w:rPr>
            <m:t>*</m:t>
          </m:r>
          <m:r>
            <w:rPr>
              <w:rFonts w:ascii="Cambria Math" w:eastAsia="Calibri" w:hAnsi="Cambria Math" w:cs="Times New Roman"/>
              <w:sz w:val="24"/>
            </w:rPr>
            <m:t xml:space="preserve">r+ </m:t>
          </m:r>
          <m:sSub>
            <m:sSubPr>
              <m:ctrlPr>
                <w:rPr>
                  <w:rFonts w:ascii="Cambria Math" w:eastAsia="Calibri" w:hAnsi="Cambria Math" w:cs="Times New Roman"/>
                  <w:i/>
                  <w:sz w:val="24"/>
                </w:rPr>
              </m:ctrlPr>
            </m:sSubPr>
            <m:e>
              <m:r>
                <w:rPr>
                  <w:rFonts w:ascii="Cambria Math" w:eastAsia="Calibri" w:hAnsi="Cambria Math" w:cs="Times New Roman"/>
                  <w:sz w:val="24"/>
                </w:rPr>
                <m:t>∝</m:t>
              </m:r>
            </m:e>
            <m:sub>
              <m:r>
                <w:rPr>
                  <w:rFonts w:ascii="Cambria Math" w:eastAsia="Calibri" w:hAnsi="Cambria Math" w:cs="Times New Roman"/>
                  <w:sz w:val="24"/>
                </w:rPr>
                <m:t>Prev</m:t>
              </m:r>
            </m:sub>
          </m:sSub>
          <m:r>
            <w:rPr>
              <w:rFonts w:ascii="Cambria Math" w:eastAsia="Calibri" w:hAnsi="Cambria Math" w:cs="Times New Roman"/>
              <w:sz w:val="24"/>
            </w:rPr>
            <m:t xml:space="preserve">*i+ </m:t>
          </m:r>
          <m:sSub>
            <m:sSubPr>
              <m:ctrlPr>
                <w:rPr>
                  <w:rFonts w:ascii="Cambria Math" w:eastAsia="Calibri" w:hAnsi="Cambria Math" w:cs="Times New Roman"/>
                  <w:i/>
                  <w:sz w:val="24"/>
                </w:rPr>
              </m:ctrlPr>
            </m:sSubPr>
            <m:e>
              <m:r>
                <w:rPr>
                  <w:rFonts w:ascii="Cambria Math" w:eastAsia="Calibri" w:hAnsi="Cambria Math" w:cs="Times New Roman"/>
                  <w:sz w:val="24"/>
                </w:rPr>
                <m:t>∝</m:t>
              </m:r>
            </m:e>
            <m:sub>
              <m:r>
                <w:rPr>
                  <w:rFonts w:ascii="Cambria Math" w:eastAsia="Calibri" w:hAnsi="Cambria Math" w:cs="Times New Roman"/>
                  <w:sz w:val="24"/>
                </w:rPr>
                <m:t>Amr</m:t>
              </m:r>
            </m:sub>
          </m:sSub>
          <m:r>
            <w:rPr>
              <w:rFonts w:ascii="Cambria Math" w:eastAsia="Calibri" w:hAnsi="Cambria Math" w:cs="Times New Roman"/>
              <w:sz w:val="24"/>
            </w:rPr>
            <m:t>(i-</m:t>
          </m:r>
          <m:sSub>
            <m:sSubPr>
              <m:ctrlPr>
                <w:rPr>
                  <w:rFonts w:ascii="Cambria Math" w:eastAsia="Calibri" w:hAnsi="Cambria Math" w:cs="Times New Roman"/>
                  <w:i/>
                  <w:sz w:val="24"/>
                </w:rPr>
              </m:ctrlPr>
            </m:sSubPr>
            <m:e>
              <m:r>
                <w:rPr>
                  <w:rFonts w:ascii="Cambria Math" w:eastAsia="Calibri" w:hAnsi="Cambria Math" w:cs="Times New Roman"/>
                  <w:sz w:val="24"/>
                </w:rPr>
                <m:t>r</m:t>
              </m:r>
            </m:e>
            <m:sub>
              <m:r>
                <w:rPr>
                  <w:rFonts w:ascii="Cambria Math" w:eastAsia="Calibri" w:hAnsi="Cambria Math" w:cs="Times New Roman"/>
                  <w:sz w:val="24"/>
                </w:rPr>
                <m:t>Amr</m:t>
              </m:r>
            </m:sub>
          </m:sSub>
          <m:r>
            <w:rPr>
              <w:rFonts w:ascii="Cambria Math" w:eastAsia="Calibri" w:hAnsi="Cambria Math" w:cs="Times New Roman"/>
              <w:sz w:val="24"/>
            </w:rPr>
            <m:t>)</m:t>
          </m:r>
        </m:oMath>
      </m:oMathPara>
    </w:p>
    <w:p w14:paraId="4D1A589B" w14:textId="0436EAAD" w:rsidR="00CA1C67" w:rsidRDefault="00CA1C67" w:rsidP="004F524B">
      <w:pPr>
        <w:widowControl/>
        <w:spacing w:line="480" w:lineRule="auto"/>
        <w:ind w:firstLine="720"/>
        <w:rPr>
          <w:rFonts w:ascii="Times New Roman" w:eastAsia="Calibri" w:hAnsi="Times New Roman" w:cs="Times New Roman"/>
          <w:sz w:val="24"/>
        </w:rPr>
      </w:pPr>
      <w:r>
        <w:rPr>
          <w:rFonts w:ascii="Times New Roman" w:eastAsia="Calibri" w:hAnsi="Times New Roman" w:cs="Times New Roman"/>
          <w:sz w:val="24"/>
        </w:rPr>
        <w:t>En d</w:t>
      </w:r>
      <w:r w:rsidRPr="00CA1C67">
        <w:rPr>
          <w:rFonts w:ascii="Times New Roman" w:eastAsia="Calibri" w:hAnsi="Times New Roman" w:cs="Times New Roman"/>
          <w:sz w:val="24"/>
        </w:rPr>
        <w:t>onde:</w:t>
      </w:r>
    </w:p>
    <w:p w14:paraId="241FF78F" w14:textId="3CB91104" w:rsidR="00CA1C67" w:rsidRPr="00CA1C67" w:rsidRDefault="001F3EA1" w:rsidP="004F524B">
      <w:pPr>
        <w:widowControl/>
        <w:spacing w:line="480" w:lineRule="auto"/>
        <w:ind w:firstLine="720"/>
        <w:rPr>
          <w:rFonts w:ascii="Times New Roman" w:eastAsia="Calibri" w:hAnsi="Times New Roman" w:cs="Times New Roman"/>
          <w:sz w:val="24"/>
        </w:rPr>
      </w:pPr>
      <m:oMathPara>
        <m:oMath>
          <m:r>
            <m:rPr>
              <m:sty m:val="bi"/>
            </m:rPr>
            <w:rPr>
              <w:rFonts w:ascii="Cambria Math" w:eastAsia="Calibri" w:hAnsi="Cambria Math" w:cs="Times New Roman"/>
              <w:sz w:val="24"/>
            </w:rPr>
            <m:t>i</m:t>
          </m:r>
          <m:d>
            <m:dPr>
              <m:ctrlPr>
                <w:rPr>
                  <w:rFonts w:ascii="Cambria Math" w:eastAsia="Calibri" w:hAnsi="Cambria Math" w:cs="Times New Roman"/>
                  <w:b/>
                  <w:bCs/>
                  <w:i/>
                  <w:sz w:val="24"/>
                </w:rPr>
              </m:ctrlPr>
            </m:dPr>
            <m:e>
              <m:r>
                <m:rPr>
                  <m:sty m:val="bi"/>
                </m:rPr>
                <w:rPr>
                  <w:rFonts w:ascii="Cambria Math" w:eastAsia="Calibri" w:hAnsi="Cambria Math" w:cs="Times New Roman"/>
                  <w:sz w:val="24"/>
                </w:rPr>
                <m:t>lado izquierdo</m:t>
              </m:r>
            </m:e>
          </m:d>
          <m:r>
            <w:rPr>
              <w:rFonts w:ascii="Cambria Math" w:eastAsia="Calibri" w:hAnsi="Cambria Math" w:cs="Times New Roman"/>
              <w:sz w:val="24"/>
            </w:rPr>
            <m:t xml:space="preserve">=Costo del Crédito Bancario </m:t>
          </m:r>
          <m:d>
            <m:dPr>
              <m:ctrlPr>
                <w:rPr>
                  <w:rFonts w:ascii="Cambria Math" w:eastAsia="Calibri" w:hAnsi="Cambria Math" w:cs="Times New Roman"/>
                  <w:i/>
                  <w:sz w:val="24"/>
                </w:rPr>
              </m:ctrlPr>
            </m:dPr>
            <m:e>
              <m:r>
                <w:rPr>
                  <w:rFonts w:ascii="Cambria Math" w:eastAsia="Calibri" w:hAnsi="Cambria Math" w:cs="Times New Roman"/>
                  <w:sz w:val="24"/>
                </w:rPr>
                <m:t>tasa activa</m:t>
              </m:r>
            </m:e>
          </m:d>
        </m:oMath>
      </m:oMathPara>
    </w:p>
    <w:p w14:paraId="7E4216C3" w14:textId="3FA7E09F" w:rsidR="00CA1C67" w:rsidRPr="00CA1C67" w:rsidRDefault="001F3EA1" w:rsidP="004F524B">
      <w:pPr>
        <w:widowControl/>
        <w:spacing w:line="480" w:lineRule="auto"/>
        <w:ind w:firstLine="720"/>
        <w:rPr>
          <w:rFonts w:ascii="Times New Roman" w:eastAsia="Calibri" w:hAnsi="Times New Roman" w:cs="Times New Roman"/>
          <w:sz w:val="24"/>
        </w:rPr>
      </w:pPr>
      <m:oMathPara>
        <m:oMath>
          <m:r>
            <m:rPr>
              <m:sty m:val="bi"/>
            </m:rPr>
            <w:rPr>
              <w:rFonts w:ascii="Cambria Math" w:eastAsia="Calibri" w:hAnsi="Cambria Math" w:cs="Times New Roman"/>
              <w:sz w:val="24"/>
            </w:rPr>
            <m:t>ROA</m:t>
          </m:r>
          <m:r>
            <w:rPr>
              <w:rFonts w:ascii="Cambria Math" w:eastAsia="Calibri" w:hAnsi="Cambria Math" w:cs="Times New Roman"/>
              <w:sz w:val="24"/>
            </w:rPr>
            <m:t>=Rentabilidad de los Activos</m:t>
          </m:r>
        </m:oMath>
      </m:oMathPara>
    </w:p>
    <w:p w14:paraId="44884B3B" w14:textId="126EDA15" w:rsidR="00CA1C67" w:rsidRPr="00CA1C67" w:rsidRDefault="001F3EA1" w:rsidP="004F524B">
      <w:pPr>
        <w:widowControl/>
        <w:spacing w:line="480" w:lineRule="auto"/>
        <w:ind w:firstLine="720"/>
        <w:rPr>
          <w:rFonts w:ascii="Times New Roman" w:eastAsia="Calibri" w:hAnsi="Times New Roman" w:cs="Times New Roman"/>
          <w:sz w:val="24"/>
        </w:rPr>
      </w:pPr>
      <m:oMathPara>
        <m:oMath>
          <m:r>
            <m:rPr>
              <m:sty m:val="bi"/>
            </m:rPr>
            <w:rPr>
              <w:rFonts w:ascii="Cambria Math" w:eastAsia="Calibri" w:hAnsi="Cambria Math" w:cs="Times New Roman"/>
              <w:sz w:val="24"/>
            </w:rPr>
            <m:t>g</m:t>
          </m:r>
          <m:r>
            <w:rPr>
              <w:rFonts w:ascii="Cambria Math" w:eastAsia="Calibri" w:hAnsi="Cambria Math" w:cs="Times New Roman"/>
              <w:sz w:val="24"/>
            </w:rPr>
            <m:t>=Costos Administrativos</m:t>
          </m:r>
        </m:oMath>
      </m:oMathPara>
    </w:p>
    <w:p w14:paraId="7E665E62" w14:textId="5F376562" w:rsidR="00CA1C67" w:rsidRPr="001F3EA1" w:rsidRDefault="001F3EA1" w:rsidP="004F524B">
      <w:pPr>
        <w:widowControl/>
        <w:spacing w:line="480" w:lineRule="auto"/>
        <w:ind w:firstLine="720"/>
        <w:rPr>
          <w:rFonts w:eastAsiaTheme="minorEastAsia"/>
          <w:sz w:val="24"/>
        </w:rPr>
      </w:pPr>
      <m:oMathPara>
        <m:oMath>
          <m:r>
            <m:rPr>
              <m:sty m:val="bi"/>
            </m:rPr>
            <w:rPr>
              <w:rFonts w:ascii="Cambria Math" w:eastAsia="Calibri" w:hAnsi="Cambria Math" w:cs="Times New Roman"/>
              <w:sz w:val="24"/>
            </w:rPr>
            <m:t>t</m:t>
          </m:r>
          <m:r>
            <w:rPr>
              <w:rFonts w:ascii="Cambria Math" w:eastAsia="Calibri" w:hAnsi="Cambria Math" w:cs="Times New Roman"/>
              <w:sz w:val="24"/>
            </w:rPr>
            <m:t>=Impuestos de las Ganancias</m:t>
          </m:r>
        </m:oMath>
      </m:oMathPara>
    </w:p>
    <w:p w14:paraId="04DD591C" w14:textId="191EDC55" w:rsidR="001F3EA1" w:rsidRPr="001F3EA1" w:rsidRDefault="00B027F6" w:rsidP="004F524B">
      <w:pPr>
        <w:widowControl/>
        <w:spacing w:line="480" w:lineRule="auto"/>
        <w:ind w:firstLine="720"/>
        <w:rPr>
          <w:rFonts w:eastAsiaTheme="minorEastAsia"/>
          <w:sz w:val="24"/>
        </w:rPr>
      </w:pPr>
      <m:oMathPara>
        <m:oMath>
          <m:d>
            <m:dPr>
              <m:ctrlPr>
                <w:rPr>
                  <w:rFonts w:ascii="Cambria Math" w:eastAsia="Calibri" w:hAnsi="Cambria Math" w:cs="Times New Roman"/>
                  <w:b/>
                  <w:bCs/>
                  <w:i/>
                  <w:sz w:val="24"/>
                </w:rPr>
              </m:ctrlPr>
            </m:dPr>
            <m:e>
              <m:r>
                <m:rPr>
                  <m:sty m:val="bi"/>
                </m:rPr>
                <w:rPr>
                  <w:rFonts w:ascii="Cambria Math" w:eastAsia="Calibri" w:hAnsi="Cambria Math" w:cs="Times New Roman"/>
                  <w:sz w:val="24"/>
                </w:rPr>
                <m:t xml:space="preserve">1- </m:t>
              </m:r>
              <m:f>
                <m:fPr>
                  <m:ctrlPr>
                    <w:rPr>
                      <w:rFonts w:ascii="Cambria Math" w:eastAsia="Calibri" w:hAnsi="Cambria Math" w:cs="Times New Roman"/>
                      <w:b/>
                      <w:bCs/>
                      <w:i/>
                      <w:sz w:val="24"/>
                    </w:rPr>
                  </m:ctrlPr>
                </m:fPr>
                <m:num>
                  <m:r>
                    <m:rPr>
                      <m:sty m:val="bi"/>
                    </m:rPr>
                    <w:rPr>
                      <w:rFonts w:ascii="Cambria Math" w:eastAsia="Calibri" w:hAnsi="Cambria Math" w:cs="Times New Roman"/>
                      <w:sz w:val="24"/>
                    </w:rPr>
                    <m:t>1</m:t>
                  </m:r>
                </m:num>
                <m:den>
                  <m:r>
                    <m:rPr>
                      <m:sty m:val="bi"/>
                    </m:rPr>
                    <w:rPr>
                      <w:rFonts w:ascii="Cambria Math" w:eastAsia="Calibri" w:hAnsi="Cambria Math" w:cs="Times New Roman"/>
                      <w:sz w:val="24"/>
                    </w:rPr>
                    <m:t>δ</m:t>
                  </m:r>
                </m:den>
              </m:f>
            </m:e>
          </m:d>
          <m:r>
            <m:rPr>
              <m:sty m:val="bi"/>
            </m:rPr>
            <w:rPr>
              <w:rFonts w:ascii="Cambria Math" w:eastAsia="Calibri" w:hAnsi="Cambria Math" w:cs="Calibri"/>
              <w:sz w:val="24"/>
            </w:rPr>
            <m:t>*</m:t>
          </m:r>
          <m:r>
            <m:rPr>
              <m:sty m:val="bi"/>
            </m:rPr>
            <w:rPr>
              <w:rFonts w:ascii="Cambria Math" w:eastAsia="Calibri" w:hAnsi="Cambria Math" w:cs="Times New Roman"/>
              <w:sz w:val="24"/>
            </w:rPr>
            <m:t>r</m:t>
          </m:r>
          <m:r>
            <w:rPr>
              <w:rFonts w:ascii="Cambria Math" w:eastAsia="Calibri" w:hAnsi="Cambria Math" w:cs="Times New Roman"/>
              <w:sz w:val="24"/>
            </w:rPr>
            <m:t>=Componente de Fondeo;</m:t>
          </m:r>
          <m:r>
            <m:rPr>
              <m:sty m:val="bi"/>
            </m:rPr>
            <w:rPr>
              <w:rFonts w:ascii="Cambria Math" w:eastAsia="Calibri" w:hAnsi="Cambria Math" w:cs="Times New Roman"/>
              <w:sz w:val="24"/>
            </w:rPr>
            <m:t xml:space="preserve"> </m:t>
          </m:r>
          <m:r>
            <m:rPr>
              <m:sty m:val="bi"/>
            </m:rPr>
            <w:rPr>
              <w:rFonts w:ascii="Cambria Math" w:eastAsia="Calibri" w:hAnsi="Cambria Math" w:cs="Calibri"/>
              <w:sz w:val="24"/>
            </w:rPr>
            <m:t>δ</m:t>
          </m:r>
          <m:r>
            <w:rPr>
              <w:rFonts w:ascii="Cambria Math" w:eastAsia="Calibri" w:hAnsi="Cambria Math" w:cs="Times New Roman"/>
              <w:sz w:val="24"/>
            </w:rPr>
            <m:t xml:space="preserve">=Apalancamiento y </m:t>
          </m:r>
          <m:r>
            <m:rPr>
              <m:sty m:val="bi"/>
            </m:rPr>
            <w:rPr>
              <w:rFonts w:ascii="Cambria Math" w:eastAsia="Calibri" w:hAnsi="Cambria Math" w:cs="Times New Roman"/>
              <w:sz w:val="24"/>
            </w:rPr>
            <m:t>r</m:t>
          </m:r>
          <m:r>
            <w:rPr>
              <w:rFonts w:ascii="Cambria Math" w:eastAsia="Calibri" w:hAnsi="Cambria Math" w:cs="Times New Roman"/>
              <w:sz w:val="24"/>
            </w:rPr>
            <m:t>=Costo de Fondeo</m:t>
          </m:r>
        </m:oMath>
      </m:oMathPara>
    </w:p>
    <w:p w14:paraId="71A69B20" w14:textId="690520D4" w:rsidR="001F3EA1" w:rsidRPr="00EB16E5" w:rsidRDefault="001F3EA1" w:rsidP="004F524B">
      <w:pPr>
        <w:widowControl/>
        <w:spacing w:line="480" w:lineRule="auto"/>
        <w:ind w:firstLine="720"/>
        <w:rPr>
          <w:rFonts w:eastAsiaTheme="minorEastAsia"/>
          <w:sz w:val="24"/>
        </w:rPr>
      </w:pPr>
      <m:oMathPara>
        <m:oMath>
          <m:r>
            <m:rPr>
              <m:sty m:val="bi"/>
            </m:rPr>
            <w:rPr>
              <w:rFonts w:ascii="Cambria Math" w:eastAsia="Calibri" w:hAnsi="Cambria Math" w:cs="Times New Roman"/>
              <w:sz w:val="24"/>
            </w:rPr>
            <m:t>c</m:t>
          </m:r>
          <m:r>
            <w:rPr>
              <w:rFonts w:ascii="Cambria Math" w:eastAsia="Calibri" w:hAnsi="Cambria Math" w:cs="Times New Roman"/>
              <w:sz w:val="24"/>
            </w:rPr>
            <m:t>=Cartera Irregular (Pérdidas Estimación por Deterioro de Préstamos)</m:t>
          </m:r>
        </m:oMath>
      </m:oMathPara>
    </w:p>
    <w:p w14:paraId="559F281D" w14:textId="1BE36E4E" w:rsidR="00EB16E5" w:rsidRPr="00EB16E5" w:rsidRDefault="00B027F6" w:rsidP="004F524B">
      <w:pPr>
        <w:widowControl/>
        <w:spacing w:line="480" w:lineRule="auto"/>
        <w:ind w:firstLine="720"/>
        <w:rPr>
          <w:rFonts w:eastAsiaTheme="minorEastAsia"/>
          <w:sz w:val="24"/>
        </w:rPr>
      </w:pPr>
      <m:oMathPara>
        <m:oMath>
          <m:sSub>
            <m:sSubPr>
              <m:ctrlPr>
                <w:rPr>
                  <w:rFonts w:ascii="Cambria Math" w:eastAsia="Calibri" w:hAnsi="Cambria Math" w:cs="Times New Roman"/>
                  <w:b/>
                  <w:bCs/>
                  <w:i/>
                  <w:sz w:val="24"/>
                </w:rPr>
              </m:ctrlPr>
            </m:sSubPr>
            <m:e>
              <m:r>
                <m:rPr>
                  <m:sty m:val="bi"/>
                </m:rPr>
                <w:rPr>
                  <w:rFonts w:ascii="Cambria Math" w:eastAsia="Calibri" w:hAnsi="Cambria Math" w:cs="Times New Roman"/>
                  <w:sz w:val="24"/>
                </w:rPr>
                <m:t>∝</m:t>
              </m:r>
            </m:e>
            <m:sub>
              <m:r>
                <m:rPr>
                  <m:sty m:val="bi"/>
                </m:rPr>
                <w:rPr>
                  <w:rFonts w:ascii="Cambria Math" w:eastAsia="Calibri" w:hAnsi="Cambria Math" w:cs="Times New Roman"/>
                  <w:sz w:val="24"/>
                </w:rPr>
                <m:t>Prev</m:t>
              </m:r>
            </m:sub>
          </m:sSub>
          <m:r>
            <m:rPr>
              <m:sty m:val="bi"/>
            </m:rPr>
            <w:rPr>
              <w:rFonts w:ascii="Cambria Math" w:eastAsia="Calibri" w:hAnsi="Cambria Math" w:cs="Times New Roman"/>
              <w:sz w:val="24"/>
            </w:rPr>
            <m:t xml:space="preserve"> </m:t>
          </m:r>
          <m:r>
            <w:rPr>
              <w:rFonts w:ascii="Cambria Math" w:eastAsia="Calibri" w:hAnsi="Cambria Math" w:cs="Times New Roman"/>
              <w:sz w:val="24"/>
            </w:rPr>
            <m:t>=Cartera Previsionada</m:t>
          </m:r>
        </m:oMath>
      </m:oMathPara>
    </w:p>
    <w:p w14:paraId="727E14FC" w14:textId="2BBAE877" w:rsidR="00EB16E5" w:rsidRDefault="00EB16E5" w:rsidP="004F524B">
      <w:pPr>
        <w:widowControl/>
        <w:spacing w:line="480" w:lineRule="auto"/>
        <w:ind w:firstLine="720"/>
      </w:pPr>
      <m:oMathPara>
        <m:oMath>
          <m:r>
            <m:rPr>
              <m:sty m:val="bi"/>
            </m:rPr>
            <w:rPr>
              <w:rFonts w:ascii="Cambria Math" w:eastAsia="Calibri" w:hAnsi="Cambria Math" w:cs="Times New Roman"/>
              <w:sz w:val="24"/>
            </w:rPr>
            <m:t>i</m:t>
          </m:r>
          <m:d>
            <m:dPr>
              <m:ctrlPr>
                <w:rPr>
                  <w:rFonts w:ascii="Cambria Math" w:eastAsia="Calibri" w:hAnsi="Cambria Math" w:cs="Times New Roman"/>
                  <w:b/>
                  <w:bCs/>
                  <w:i/>
                  <w:sz w:val="24"/>
                </w:rPr>
              </m:ctrlPr>
            </m:dPr>
            <m:e>
              <m:r>
                <m:rPr>
                  <m:sty m:val="bi"/>
                </m:rPr>
                <w:rPr>
                  <w:rFonts w:ascii="Cambria Math" w:eastAsia="Calibri" w:hAnsi="Cambria Math" w:cs="Times New Roman"/>
                  <w:sz w:val="24"/>
                </w:rPr>
                <m:t>lado derecho</m:t>
              </m:r>
            </m:e>
          </m:d>
          <m:r>
            <w:rPr>
              <w:rFonts w:ascii="Cambria Math" w:eastAsia="Calibri" w:hAnsi="Cambria Math" w:cs="Times New Roman"/>
              <w:sz w:val="24"/>
            </w:rPr>
            <m:t>=Tasa de Interés Activa Implícita</m:t>
          </m:r>
        </m:oMath>
      </m:oMathPara>
    </w:p>
    <w:p w14:paraId="76DE1EB3" w14:textId="462DF3BE" w:rsidR="00CA1C67" w:rsidRPr="00EB16E5" w:rsidRDefault="00B027F6" w:rsidP="00EB16E5">
      <w:pPr>
        <w:widowControl/>
        <w:spacing w:line="480" w:lineRule="auto"/>
        <w:rPr>
          <w:rFonts w:eastAsiaTheme="minorEastAsia"/>
          <w:sz w:val="24"/>
        </w:rPr>
      </w:pPr>
      <m:oMathPara>
        <m:oMath>
          <m:sSub>
            <m:sSubPr>
              <m:ctrlPr>
                <w:rPr>
                  <w:rFonts w:ascii="Cambria Math" w:eastAsia="Calibri" w:hAnsi="Cambria Math" w:cs="Times New Roman"/>
                  <w:b/>
                  <w:bCs/>
                  <w:i/>
                  <w:sz w:val="24"/>
                </w:rPr>
              </m:ctrlPr>
            </m:sSubPr>
            <m:e>
              <m:r>
                <m:rPr>
                  <m:sty m:val="bi"/>
                </m:rPr>
                <w:rPr>
                  <w:rFonts w:ascii="Cambria Math" w:eastAsia="Calibri" w:hAnsi="Cambria Math" w:cs="Times New Roman"/>
                  <w:sz w:val="24"/>
                </w:rPr>
                <m:t>∝</m:t>
              </m:r>
            </m:e>
            <m:sub>
              <m:r>
                <m:rPr>
                  <m:sty m:val="bi"/>
                </m:rPr>
                <w:rPr>
                  <w:rFonts w:ascii="Cambria Math" w:eastAsia="Calibri" w:hAnsi="Cambria Math" w:cs="Times New Roman"/>
                  <w:sz w:val="24"/>
                </w:rPr>
                <m:t>Amr</m:t>
              </m:r>
            </m:sub>
          </m:sSub>
          <m:r>
            <m:rPr>
              <m:sty m:val="bi"/>
            </m:rPr>
            <w:rPr>
              <w:rFonts w:ascii="Cambria Math" w:eastAsia="Calibri" w:hAnsi="Cambria Math" w:cs="Times New Roman"/>
              <w:sz w:val="24"/>
            </w:rPr>
            <m:t xml:space="preserve"> </m:t>
          </m:r>
          <m:r>
            <w:rPr>
              <w:rFonts w:ascii="Cambria Math" w:eastAsia="Calibri" w:hAnsi="Cambria Math" w:cs="Times New Roman"/>
              <w:sz w:val="24"/>
            </w:rPr>
            <m:t>=Activos Menos Rentables</m:t>
          </m:r>
        </m:oMath>
      </m:oMathPara>
    </w:p>
    <w:p w14:paraId="3D8ECCAC" w14:textId="3E7AC943" w:rsidR="001171E5" w:rsidRPr="00360610" w:rsidRDefault="00B027F6" w:rsidP="00360610">
      <w:pPr>
        <w:widowControl/>
        <w:spacing w:line="480" w:lineRule="auto"/>
        <w:rPr>
          <w:rFonts w:eastAsiaTheme="minorEastAsia"/>
        </w:rPr>
      </w:pPr>
      <m:oMathPara>
        <m:oMath>
          <m:sSub>
            <m:sSubPr>
              <m:ctrlPr>
                <w:rPr>
                  <w:rFonts w:ascii="Cambria Math" w:eastAsia="Calibri" w:hAnsi="Cambria Math" w:cs="Times New Roman"/>
                  <w:b/>
                  <w:bCs/>
                  <w:i/>
                  <w:sz w:val="24"/>
                </w:rPr>
              </m:ctrlPr>
            </m:sSubPr>
            <m:e>
              <m:r>
                <m:rPr>
                  <m:sty m:val="bi"/>
                </m:rPr>
                <w:rPr>
                  <w:rFonts w:ascii="Cambria Math" w:eastAsia="Calibri" w:hAnsi="Cambria Math" w:cs="Times New Roman"/>
                  <w:sz w:val="24"/>
                </w:rPr>
                <m:t>r</m:t>
              </m:r>
            </m:e>
            <m:sub>
              <m:r>
                <m:rPr>
                  <m:sty m:val="bi"/>
                </m:rPr>
                <w:rPr>
                  <w:rFonts w:ascii="Cambria Math" w:eastAsia="Calibri" w:hAnsi="Cambria Math" w:cs="Times New Roman"/>
                  <w:sz w:val="24"/>
                </w:rPr>
                <m:t>Amr</m:t>
              </m:r>
            </m:sub>
          </m:sSub>
          <m:r>
            <w:rPr>
              <w:rFonts w:ascii="Cambria Math" w:eastAsia="Calibri" w:hAnsi="Cambria Math" w:cs="Times New Roman"/>
              <w:sz w:val="24"/>
            </w:rPr>
            <m:t>=Rentabilidad de los Activos Menos Rentables</m:t>
          </m:r>
        </m:oMath>
      </m:oMathPara>
    </w:p>
    <w:p w14:paraId="7D47BFA5" w14:textId="77777777" w:rsidR="00C76338" w:rsidRPr="002747C8" w:rsidRDefault="00360610" w:rsidP="002747C8">
      <w:pPr>
        <w:pStyle w:val="TextoPrincipal"/>
        <w:spacing w:line="360" w:lineRule="auto"/>
      </w:pPr>
      <w:r w:rsidRPr="002747C8">
        <w:lastRenderedPageBreak/>
        <w:t xml:space="preserve">Esta ecuación descompone de manera lineal los diversos componentes cuya suma constituye la tasa de interés total promedio cobrada por los bancos comerciales. Dichos elementos abarcan no solo el rendimiento neto obtenido por los bancos (ROA), los gastos administrativos (g), los impuestos (t), los cargos (c) y el costo de financiamiento (r), sino también los costos de oportunidad relacionados con la tenencia de cartera vencida y activos que son "menos rentables" que los préstamos, como los títulos valores, los bienes fijos y otros activos. </w:t>
      </w:r>
    </w:p>
    <w:p w14:paraId="58222113" w14:textId="7DCEB020" w:rsidR="00FB6DD3" w:rsidRPr="002747C8" w:rsidRDefault="00360610" w:rsidP="002747C8">
      <w:pPr>
        <w:pStyle w:val="TextoPrincipal"/>
        <w:spacing w:line="360" w:lineRule="auto"/>
      </w:pPr>
      <w:r w:rsidRPr="002747C8">
        <w:t>Cabe destacar que, en esta metodología los encajes se consideran como un costo de oportunidad asociado con las disponibilidades, y no como un aumento en el costo de financiamiento ni como una carga tributaria adicional (considerando que los encajes a menudo se perciben como una especie de "impuesto").</w:t>
      </w:r>
      <w:r w:rsidR="00C76338" w:rsidRPr="002747C8">
        <w:t xml:space="preserve"> Asimismo, La descomposición no se resuelve únicamente basándose en variables "exógenas", ya que la tasa de interés también está presente en la parte derecha de la ecuación.</w:t>
      </w:r>
    </w:p>
    <w:p w14:paraId="011EEAED" w14:textId="6242202E" w:rsidR="004F524B" w:rsidRPr="002747C8" w:rsidRDefault="004F524B" w:rsidP="002747C8">
      <w:pPr>
        <w:pStyle w:val="TextoPrincipal"/>
        <w:spacing w:line="360" w:lineRule="auto"/>
      </w:pPr>
      <w:r w:rsidRPr="002747C8">
        <w:t xml:space="preserve">Los datos necesarios para completar este análisis se obtuvieron de manera libre, accediendo a la página web oficial de la Comisión Nacional de Bancos y Seguros (CNBS), donde desde dicha fuente, se descargaron los estados financieros consolidados de los </w:t>
      </w:r>
      <w:r w:rsidR="00127090">
        <w:t>quince</w:t>
      </w:r>
      <w:r w:rsidRPr="002747C8">
        <w:t xml:space="preserve"> bancos que actualmente operan en el país. Además, se complementaron estos datos monetarios con información específica relacionada con los niveles de encaje y valores, así como sus respectivos rendimientos, los cuales fueron obtenidos directamente de la página web oficial del BCH. Este enfoque garantiza la integridad y confiabilidad de los datos utilizados en el análisis de descomposición de la tasa de interés, proporcionando una base sólida para la interpretación de los resultados.</w:t>
      </w:r>
    </w:p>
    <w:p w14:paraId="2457E045" w14:textId="165B8F82" w:rsidR="00D83E20" w:rsidRPr="00B7035B" w:rsidRDefault="004F524B" w:rsidP="00B7035B">
      <w:pPr>
        <w:keepNext/>
        <w:keepLines/>
        <w:widowControl/>
        <w:spacing w:line="480" w:lineRule="auto"/>
        <w:outlineLvl w:val="1"/>
        <w:rPr>
          <w:rFonts w:ascii="Times New Roman" w:eastAsia="Times New Roman" w:hAnsi="Times New Roman" w:cs="Times New Roman"/>
          <w:b/>
          <w:bCs/>
          <w:sz w:val="24"/>
          <w:szCs w:val="24"/>
          <w:lang w:eastAsia="es-ES"/>
        </w:rPr>
      </w:pPr>
      <w:bookmarkStart w:id="147" w:name="_Toc122123368"/>
      <w:bookmarkStart w:id="148" w:name="_Toc155066641"/>
      <w:r w:rsidRPr="00884B54">
        <w:rPr>
          <w:rFonts w:ascii="Times New Roman" w:eastAsia="Calibri" w:hAnsi="Times New Roman" w:cs="Calibri"/>
          <w:b/>
          <w:sz w:val="24"/>
          <w:szCs w:val="36"/>
          <w:lang w:eastAsia="es-HN"/>
        </w:rPr>
        <w:t>4.2 RESULTADOS Y ANALISIS DE LAS TECNICAS APLICADAS</w:t>
      </w:r>
      <w:bookmarkEnd w:id="147"/>
      <w:bookmarkEnd w:id="148"/>
    </w:p>
    <w:p w14:paraId="70A35E5F" w14:textId="77777777" w:rsidR="00EF0766" w:rsidRPr="002747C8" w:rsidRDefault="00EF0766" w:rsidP="002747C8">
      <w:pPr>
        <w:pStyle w:val="TextoPrincipal"/>
        <w:spacing w:line="360" w:lineRule="auto"/>
      </w:pPr>
      <w:r w:rsidRPr="002747C8">
        <w:t xml:space="preserve">Según la metodología empleada, los resultados sugieren que los ingresos recibidos por intereses de préstamos son destinados a cubrir con previsiones préstamos impagos (pérdida contable), cubrir el costo de fondeo total, cubrir los gastos administrativos (netos de ingresos por comisiones y otros servicios), generar una rentabilidad para el banco, el pago de impuestos, y el “financiamiento” de los activos menos rentables (como liquidez, títulos valores del Gobierno con poca rentabilidad, bienes fijos, entre otros). </w:t>
      </w:r>
    </w:p>
    <w:p w14:paraId="1DB2C9BF" w14:textId="2BA9EADB" w:rsidR="00EF0766" w:rsidRDefault="00EF0766" w:rsidP="002747C8">
      <w:pPr>
        <w:pStyle w:val="TextoPrincipal"/>
        <w:spacing w:line="360" w:lineRule="auto"/>
      </w:pPr>
      <w:r w:rsidRPr="002747C8">
        <w:t xml:space="preserve">Lo anterior implica que, si un banco desea mantener una rentabilidad dada, deberá cobrar una tasa activa promedio mucho más alta si la participación de los préstamos en el activo es muy baja (y la participación de activos menos rentables, muy alta), que si gran parte del activo está </w:t>
      </w:r>
      <w:r w:rsidRPr="002747C8">
        <w:lastRenderedPageBreak/>
        <w:t xml:space="preserve">compuesto por préstamos. Este efecto es el que está reflejado en la variable ‘Activos menos rentables’, que incluye también el costo de oportunidad de tener estos activos que no son préstamos al sector privado: cuando menor es el rendimiento promedio de estos activos, mayor es su costo de oportunidad (la pérdida por no tener préstamos es mayor) y la incidencia de los ‘Activos menos rentables’ en la tasa activa promedio es mayor. </w:t>
      </w:r>
    </w:p>
    <w:p w14:paraId="1BFEEAED" w14:textId="1C10018C" w:rsidR="002D3521" w:rsidRPr="005D02E2" w:rsidRDefault="002D3521" w:rsidP="002D3521">
      <w:pPr>
        <w:pStyle w:val="Ttulo3"/>
        <w:ind w:firstLine="567"/>
        <w:rPr>
          <w:rFonts w:eastAsia="Times New Roman" w:cs="Times New Roman"/>
          <w:lang w:val="es-MX" w:eastAsia="es-ES"/>
        </w:rPr>
      </w:pPr>
      <w:bookmarkStart w:id="149" w:name="_Toc155066644"/>
      <w:r>
        <w:rPr>
          <w:rFonts w:eastAsia="Times New Roman" w:cs="Times New Roman"/>
          <w:lang w:val="es-MX" w:eastAsia="es-ES"/>
        </w:rPr>
        <w:t>4</w:t>
      </w:r>
      <w:r w:rsidRPr="00406AB1">
        <w:rPr>
          <w:rFonts w:eastAsia="Times New Roman" w:cs="Times New Roman"/>
          <w:lang w:val="es-MX" w:eastAsia="es-ES"/>
        </w:rPr>
        <w:t>.</w:t>
      </w:r>
      <w:r>
        <w:rPr>
          <w:rFonts w:eastAsia="Times New Roman" w:cs="Times New Roman"/>
          <w:lang w:val="es-MX" w:eastAsia="es-ES"/>
        </w:rPr>
        <w:t>2</w:t>
      </w:r>
      <w:r w:rsidRPr="00406AB1">
        <w:rPr>
          <w:rFonts w:eastAsia="Times New Roman" w:cs="Times New Roman"/>
          <w:lang w:val="es-MX" w:eastAsia="es-ES"/>
        </w:rPr>
        <w:t>.</w:t>
      </w:r>
      <w:r>
        <w:rPr>
          <w:rFonts w:eastAsia="Times New Roman" w:cs="Times New Roman"/>
          <w:lang w:val="es-MX" w:eastAsia="es-ES"/>
        </w:rPr>
        <w:t>1. COMPONENTE DE FONDEO</w:t>
      </w:r>
      <w:bookmarkEnd w:id="149"/>
      <w:r>
        <w:rPr>
          <w:rFonts w:eastAsia="Times New Roman" w:cs="Times New Roman"/>
          <w:lang w:val="es-MX" w:eastAsia="es-ES"/>
        </w:rPr>
        <w:t xml:space="preserve"> Y TASA DE INTERÉS PASIVA IMPLÍCITA</w:t>
      </w:r>
    </w:p>
    <w:p w14:paraId="1D874E42" w14:textId="77777777" w:rsidR="002D3521" w:rsidRPr="002747C8" w:rsidRDefault="002D3521" w:rsidP="002D3521">
      <w:pPr>
        <w:pStyle w:val="TextoPrincipal"/>
        <w:spacing w:line="360" w:lineRule="auto"/>
      </w:pPr>
      <w:r w:rsidRPr="002747C8">
        <w:t xml:space="preserve">En cuanto al componente de fondeo, que es el precio que los bancos tienen que pagar para obtener fondos que utilizarán en sus actividades financieras, especialmente para realizar préstamos y cubrir otras obligaciones financieras; y se calcula a partir de la tasa de interés pasiva implícita (gastos financieros entre depósitos) y el apalancamiento financiero. </w:t>
      </w:r>
    </w:p>
    <w:p w14:paraId="6AD1EA61" w14:textId="77777777" w:rsidR="002D3521" w:rsidRDefault="002D3521" w:rsidP="002D3521">
      <w:pPr>
        <w:pStyle w:val="TextoPrincipal"/>
        <w:spacing w:line="360" w:lineRule="auto"/>
      </w:pPr>
      <w:r w:rsidRPr="002747C8">
        <w:t xml:space="preserve">Para explicar dicho comportamiento, es necesario, analizar el comportamiento de la tasa pasiva implícita </w:t>
      </w:r>
      <w:r>
        <w:t xml:space="preserve">(ver Figura 5), </w:t>
      </w:r>
      <w:r w:rsidRPr="002747C8">
        <w:t xml:space="preserve">que se vio </w:t>
      </w:r>
      <w:r>
        <w:t xml:space="preserve">reducida al pasar de 3.88% en 2019 a 2.13% en 2022, </w:t>
      </w:r>
      <w:r w:rsidRPr="002747C8">
        <w:t>explicad</w:t>
      </w:r>
      <w:r>
        <w:t>o</w:t>
      </w:r>
      <w:r w:rsidRPr="002747C8">
        <w:t xml:space="preserve"> por el incremento de los depósitos de los usuarios financieros, en particular, se registró un aumento de L69,576.22 miles en 2020 en relación a lo registrado el año anterior, comportamiento influenciado por la incertidumbre de la duración y los efectos de la pandemia Covid-19, por lo que, los usuarios financieros pospusieron sus proyectos de inversión y prefirieron mantener sus depósitos en sus cuentas bancarias, ocasionando una reducción en la tasa de interés pasiva. Para los años posteriores, se observa un comportamiento similar. </w:t>
      </w:r>
    </w:p>
    <w:p w14:paraId="1219721E" w14:textId="77777777" w:rsidR="002D3521" w:rsidRPr="002747C8" w:rsidRDefault="002D3521" w:rsidP="002D3521">
      <w:pPr>
        <w:pStyle w:val="TextoPrincipal"/>
        <w:spacing w:line="360" w:lineRule="auto"/>
      </w:pPr>
      <w:r w:rsidRPr="002747C8">
        <w:t>En tanto, los gastos financieros en el período posterior a la pandemia, denotan una reducción atribuida principalmente a la disminución de la Tasa de Política Monetaria que realizó el BCH al ubicarla en 3.00%, afectando directamente la tasa de los préstamos interbancarios y de la subasta de valores del BCH, que son unas de las principales fuentes de fondeo de los bancos comerciales</w:t>
      </w:r>
      <w:r>
        <w:t xml:space="preserve">; por lo que, se redujeron de L14,023.3 miles en 2019 a L11,290.5 miles en 2022, significando una variación negativa porcentual de 19.5%. </w:t>
      </w:r>
    </w:p>
    <w:p w14:paraId="753BAB82" w14:textId="77777777" w:rsidR="002D3521" w:rsidRDefault="002D3521" w:rsidP="002D3521">
      <w:pPr>
        <w:widowControl/>
        <w:spacing w:line="480" w:lineRule="auto"/>
        <w:ind w:firstLine="720"/>
        <w:jc w:val="center"/>
        <w:rPr>
          <w:rFonts w:ascii="Times New Roman" w:eastAsia="Calibri" w:hAnsi="Times New Roman" w:cs="Times New Roman"/>
          <w:sz w:val="24"/>
        </w:rPr>
      </w:pPr>
      <w:r>
        <w:rPr>
          <w:rFonts w:ascii="Times New Roman" w:eastAsia="Calibri" w:hAnsi="Times New Roman" w:cs="Times New Roman"/>
          <w:noProof/>
          <w:sz w:val="24"/>
          <w:lang w:eastAsia="es-HN"/>
        </w:rPr>
        <w:lastRenderedPageBreak/>
        <w:drawing>
          <wp:inline distT="0" distB="0" distL="0" distR="0" wp14:anchorId="2FD9926F" wp14:editId="48D389C2">
            <wp:extent cx="4800600" cy="2556459"/>
            <wp:effectExtent l="0" t="0" r="0" b="0"/>
            <wp:docPr id="127299921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28079" cy="2571092"/>
                    </a:xfrm>
                    <a:prstGeom prst="rect">
                      <a:avLst/>
                    </a:prstGeom>
                    <a:noFill/>
                  </pic:spPr>
                </pic:pic>
              </a:graphicData>
            </a:graphic>
          </wp:inline>
        </w:drawing>
      </w:r>
    </w:p>
    <w:p w14:paraId="0D2F866D" w14:textId="390D8699" w:rsidR="002D3521" w:rsidRPr="002747C8" w:rsidRDefault="002D3521" w:rsidP="002D3521">
      <w:pPr>
        <w:pStyle w:val="TextoPrincipal"/>
        <w:spacing w:line="360" w:lineRule="auto"/>
      </w:pPr>
      <w:r w:rsidRPr="002747C8">
        <w:rPr>
          <w:b/>
          <w:bCs/>
        </w:rPr>
        <w:t xml:space="preserve">Figura </w:t>
      </w:r>
      <w:r>
        <w:rPr>
          <w:b/>
          <w:bCs/>
        </w:rPr>
        <w:t>3</w:t>
      </w:r>
      <w:r w:rsidRPr="002747C8">
        <w:rPr>
          <w:b/>
          <w:bCs/>
        </w:rPr>
        <w:t>.</w:t>
      </w:r>
      <w:r w:rsidRPr="002747C8">
        <w:t xml:space="preserve"> </w:t>
      </w:r>
      <w:r w:rsidRPr="00A92396">
        <w:rPr>
          <w:b/>
        </w:rPr>
        <w:t>Componentes de la Tasa de Interés Pasiva Implícita.</w:t>
      </w:r>
    </w:p>
    <w:p w14:paraId="7344C229" w14:textId="77777777" w:rsidR="002D3521" w:rsidRPr="00CF39AB" w:rsidRDefault="002D3521" w:rsidP="002D3521">
      <w:pPr>
        <w:pStyle w:val="TextoPrincipal"/>
        <w:spacing w:line="360" w:lineRule="auto"/>
      </w:pPr>
      <w:r w:rsidRPr="00B151FF">
        <w:rPr>
          <w:bCs/>
        </w:rPr>
        <w:t>Fuente:</w:t>
      </w:r>
      <w:r w:rsidRPr="00B151FF">
        <w:t xml:space="preserve"> Elab</w:t>
      </w:r>
      <w:r w:rsidRPr="00CF39AB">
        <w:t>oración propia con datos de la página web de la CNBS.</w:t>
      </w:r>
    </w:p>
    <w:p w14:paraId="64B9F9DE" w14:textId="386AFE92" w:rsidR="005D02E2" w:rsidRPr="005D02E2" w:rsidRDefault="005D02E2" w:rsidP="005D02E2">
      <w:pPr>
        <w:pStyle w:val="Ttulo3"/>
        <w:ind w:firstLine="567"/>
        <w:rPr>
          <w:rFonts w:eastAsia="Times New Roman" w:cs="Times New Roman"/>
          <w:lang w:val="es-MX" w:eastAsia="es-ES"/>
        </w:rPr>
      </w:pPr>
      <w:bookmarkStart w:id="150" w:name="_Toc155066642"/>
      <w:r>
        <w:rPr>
          <w:rFonts w:eastAsia="Times New Roman" w:cs="Times New Roman"/>
          <w:lang w:val="es-MX" w:eastAsia="es-ES"/>
        </w:rPr>
        <w:t>4</w:t>
      </w:r>
      <w:r w:rsidRPr="00406AB1">
        <w:rPr>
          <w:rFonts w:eastAsia="Times New Roman" w:cs="Times New Roman"/>
          <w:lang w:val="es-MX" w:eastAsia="es-ES"/>
        </w:rPr>
        <w:t>.</w:t>
      </w:r>
      <w:r>
        <w:rPr>
          <w:rFonts w:eastAsia="Times New Roman" w:cs="Times New Roman"/>
          <w:lang w:val="es-MX" w:eastAsia="es-ES"/>
        </w:rPr>
        <w:t>2</w:t>
      </w:r>
      <w:r w:rsidRPr="00406AB1">
        <w:rPr>
          <w:rFonts w:eastAsia="Times New Roman" w:cs="Times New Roman"/>
          <w:lang w:val="es-MX" w:eastAsia="es-ES"/>
        </w:rPr>
        <w:t>.</w:t>
      </w:r>
      <w:r w:rsidR="002D3521">
        <w:rPr>
          <w:rFonts w:eastAsia="Times New Roman" w:cs="Times New Roman"/>
          <w:lang w:val="es-MX" w:eastAsia="es-ES"/>
        </w:rPr>
        <w:t>2</w:t>
      </w:r>
      <w:r w:rsidRPr="00406AB1">
        <w:rPr>
          <w:rFonts w:eastAsia="Times New Roman" w:cs="Times New Roman"/>
          <w:lang w:val="es-MX" w:eastAsia="es-ES"/>
        </w:rPr>
        <w:t xml:space="preserve"> </w:t>
      </w:r>
      <w:r>
        <w:rPr>
          <w:rFonts w:eastAsia="Times New Roman" w:cs="Times New Roman"/>
          <w:lang w:val="es-MX" w:eastAsia="es-ES"/>
        </w:rPr>
        <w:t>CARTERA PREVISIONADA</w:t>
      </w:r>
      <w:bookmarkEnd w:id="150"/>
    </w:p>
    <w:p w14:paraId="04F55F67" w14:textId="77C2E80F" w:rsidR="00AE2632" w:rsidRPr="002747C8" w:rsidRDefault="00DB2F78" w:rsidP="002747C8">
      <w:pPr>
        <w:pStyle w:val="TextoPrincipal"/>
        <w:spacing w:line="360" w:lineRule="auto"/>
      </w:pPr>
      <w:r w:rsidRPr="002747C8">
        <w:t xml:space="preserve">Las previsiones de préstamos impagos, conocida como la pérdida contable, se calcula a partir de las </w:t>
      </w:r>
      <w:r w:rsidR="001D2EEE" w:rsidRPr="002747C8">
        <w:t xml:space="preserve">previsiones, los activos totales y la tasa de interés </w:t>
      </w:r>
      <w:r w:rsidR="00DE3E2E" w:rsidRPr="002747C8">
        <w:t xml:space="preserve">activa </w:t>
      </w:r>
      <w:r w:rsidR="001D2EEE" w:rsidRPr="002747C8">
        <w:t xml:space="preserve">implícita ex post. </w:t>
      </w:r>
      <w:r w:rsidR="0004671C" w:rsidRPr="002747C8">
        <w:t>En el período de análisis l</w:t>
      </w:r>
      <w:r w:rsidR="001D2EEE" w:rsidRPr="002747C8">
        <w:t xml:space="preserve">as </w:t>
      </w:r>
      <w:r w:rsidRPr="002747C8">
        <w:t>reservas financieras que los bancos establecen para cubrir posibles pérdidas por incumplimiento de pago de los clientes en sus préstamos</w:t>
      </w:r>
      <w:r w:rsidR="0004671C" w:rsidRPr="002747C8">
        <w:t>,</w:t>
      </w:r>
      <w:r w:rsidRPr="002747C8">
        <w:t xml:space="preserve"> </w:t>
      </w:r>
      <w:r w:rsidR="006A5C6A" w:rsidRPr="002747C8">
        <w:t xml:space="preserve">como se refleja en la Figura 3, </w:t>
      </w:r>
      <w:r w:rsidRPr="002747C8">
        <w:t xml:space="preserve">han tenido un comportamiento </w:t>
      </w:r>
      <w:r w:rsidR="0004671C" w:rsidRPr="002747C8">
        <w:t xml:space="preserve">creciente, al pasar de L6,180.56 miles en 2019 a L8,262.20 en 2022, comportamiento que estuvo de acorde con el crecimiento de los activos totales del sistema financiero, que al cierre de 2022 se ubicaron en L718,523.59 miles, luego de registrar en 2019 una cifra de L514,206.34 miles. </w:t>
      </w:r>
    </w:p>
    <w:p w14:paraId="4DC92C1A" w14:textId="6B695219" w:rsidR="00DB2F78" w:rsidRPr="002747C8" w:rsidRDefault="0004671C" w:rsidP="002747C8">
      <w:pPr>
        <w:pStyle w:val="TextoPrincipal"/>
        <w:spacing w:line="360" w:lineRule="auto"/>
      </w:pPr>
      <w:r w:rsidRPr="002747C8">
        <w:t>En este punto, es importante resaltar que, los bancos comerciales en la pandemia no tuvieron un mayor impacto en sus activos</w:t>
      </w:r>
      <w:r w:rsidR="00F33250">
        <w:t>,</w:t>
      </w:r>
      <w:r w:rsidRPr="002747C8">
        <w:t xml:space="preserve"> debido a la histórica solidez contable del sistema financiero, así como por la constante vigilancia de las entidades regulatorias para salvaguardar </w:t>
      </w:r>
      <w:r w:rsidR="00C92407" w:rsidRPr="002747C8">
        <w:t>los intereses</w:t>
      </w:r>
      <w:r w:rsidRPr="002747C8">
        <w:t xml:space="preserve"> de la banca y de sus usuarios financieros. </w:t>
      </w:r>
      <w:r w:rsidR="00F33250">
        <w:t>Es así que, los activos totales del sistema bancario pasaron de L586,333.9 miles en 2020 a totalizar L718,523.6 miles en 2022</w:t>
      </w:r>
      <w:r w:rsidR="00C0468C">
        <w:t>, representando un crecimiento de 22.5% entre dicho período.</w:t>
      </w:r>
    </w:p>
    <w:p w14:paraId="3A20ED2D" w14:textId="77777777" w:rsidR="006A5C6A" w:rsidRDefault="006A5C6A" w:rsidP="006A5C6A">
      <w:pPr>
        <w:widowControl/>
        <w:spacing w:line="480" w:lineRule="auto"/>
        <w:ind w:firstLine="720"/>
        <w:jc w:val="center"/>
        <w:rPr>
          <w:rFonts w:ascii="Times New Roman" w:eastAsia="Calibri" w:hAnsi="Times New Roman" w:cs="Times New Roman"/>
          <w:noProof/>
          <w:sz w:val="24"/>
        </w:rPr>
      </w:pPr>
      <w:r>
        <w:rPr>
          <w:rFonts w:ascii="Times New Roman" w:eastAsia="Calibri" w:hAnsi="Times New Roman" w:cs="Times New Roman"/>
          <w:noProof/>
          <w:sz w:val="24"/>
          <w:lang w:eastAsia="es-HN"/>
        </w:rPr>
        <w:lastRenderedPageBreak/>
        <w:drawing>
          <wp:inline distT="0" distB="0" distL="0" distR="0" wp14:anchorId="5E50F414" wp14:editId="6A8F781A">
            <wp:extent cx="3570136" cy="2059388"/>
            <wp:effectExtent l="0" t="0" r="0" b="0"/>
            <wp:docPr id="1995037885"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617059" cy="2086455"/>
                    </a:xfrm>
                    <a:prstGeom prst="rect">
                      <a:avLst/>
                    </a:prstGeom>
                    <a:noFill/>
                  </pic:spPr>
                </pic:pic>
              </a:graphicData>
            </a:graphic>
          </wp:inline>
        </w:drawing>
      </w:r>
    </w:p>
    <w:p w14:paraId="1C37982A" w14:textId="07078F5C" w:rsidR="006A5C6A" w:rsidRPr="00FE6F07" w:rsidRDefault="006A5C6A" w:rsidP="002747C8">
      <w:pPr>
        <w:pStyle w:val="TextoPrincipal"/>
        <w:spacing w:line="360" w:lineRule="auto"/>
      </w:pPr>
      <w:r w:rsidRPr="002747C8">
        <w:rPr>
          <w:b/>
          <w:bCs/>
        </w:rPr>
        <w:t xml:space="preserve">Figura </w:t>
      </w:r>
      <w:r w:rsidR="002D3521">
        <w:rPr>
          <w:b/>
          <w:bCs/>
        </w:rPr>
        <w:t>4</w:t>
      </w:r>
      <w:r w:rsidRPr="002747C8">
        <w:rPr>
          <w:b/>
          <w:bCs/>
        </w:rPr>
        <w:t>.</w:t>
      </w:r>
      <w:r w:rsidRPr="002747C8">
        <w:t xml:space="preserve"> </w:t>
      </w:r>
      <w:r w:rsidRPr="00FE6F07">
        <w:rPr>
          <w:b/>
        </w:rPr>
        <w:t xml:space="preserve">Cartera </w:t>
      </w:r>
      <w:proofErr w:type="spellStart"/>
      <w:r w:rsidRPr="00FE6F07">
        <w:rPr>
          <w:b/>
        </w:rPr>
        <w:t>Previsionada</w:t>
      </w:r>
      <w:proofErr w:type="spellEnd"/>
    </w:p>
    <w:p w14:paraId="04C1E7C1" w14:textId="0C3EF3B2" w:rsidR="006A5C6A" w:rsidRPr="00FE6F07" w:rsidRDefault="006A5C6A" w:rsidP="002747C8">
      <w:pPr>
        <w:pStyle w:val="TextoPrincipal"/>
        <w:spacing w:line="360" w:lineRule="auto"/>
      </w:pPr>
      <w:r w:rsidRPr="00B151FF">
        <w:rPr>
          <w:bCs/>
        </w:rPr>
        <w:t>Fuente:</w:t>
      </w:r>
      <w:r w:rsidRPr="00FE6F07">
        <w:t xml:space="preserve"> Elaboración propia con datos de la página web de la CNBS.</w:t>
      </w:r>
    </w:p>
    <w:p w14:paraId="748BBDD0" w14:textId="055C22DD" w:rsidR="002D3521" w:rsidRPr="005D02E2" w:rsidRDefault="002D3521" w:rsidP="002D3521">
      <w:pPr>
        <w:pStyle w:val="Ttulo3"/>
        <w:ind w:firstLine="567"/>
        <w:rPr>
          <w:rFonts w:eastAsia="Times New Roman" w:cs="Times New Roman"/>
          <w:lang w:val="es-MX" w:eastAsia="es-ES"/>
        </w:rPr>
      </w:pPr>
      <w:bookmarkStart w:id="151" w:name="_Toc155066646"/>
      <w:bookmarkStart w:id="152" w:name="_Toc155066643"/>
      <w:r>
        <w:rPr>
          <w:rFonts w:eastAsia="Times New Roman" w:cs="Times New Roman"/>
          <w:lang w:val="es-MX" w:eastAsia="es-ES"/>
        </w:rPr>
        <w:t>4</w:t>
      </w:r>
      <w:r w:rsidRPr="00406AB1">
        <w:rPr>
          <w:rFonts w:eastAsia="Times New Roman" w:cs="Times New Roman"/>
          <w:lang w:val="es-MX" w:eastAsia="es-ES"/>
        </w:rPr>
        <w:t>.</w:t>
      </w:r>
      <w:r>
        <w:rPr>
          <w:rFonts w:eastAsia="Times New Roman" w:cs="Times New Roman"/>
          <w:lang w:val="es-MX" w:eastAsia="es-ES"/>
        </w:rPr>
        <w:t>2</w:t>
      </w:r>
      <w:r w:rsidRPr="00406AB1">
        <w:rPr>
          <w:rFonts w:eastAsia="Times New Roman" w:cs="Times New Roman"/>
          <w:lang w:val="es-MX" w:eastAsia="es-ES"/>
        </w:rPr>
        <w:t>.</w:t>
      </w:r>
      <w:r>
        <w:rPr>
          <w:rFonts w:eastAsia="Times New Roman" w:cs="Times New Roman"/>
          <w:lang w:val="es-MX" w:eastAsia="es-ES"/>
        </w:rPr>
        <w:t>3 COSTOS ADMINISTRATIVOS</w:t>
      </w:r>
      <w:bookmarkEnd w:id="151"/>
    </w:p>
    <w:p w14:paraId="2FFDC136" w14:textId="77777777" w:rsidR="002D3521" w:rsidRDefault="002D3521" w:rsidP="002D3521">
      <w:pPr>
        <w:pStyle w:val="TextoPrincipal"/>
        <w:spacing w:line="360" w:lineRule="auto"/>
      </w:pPr>
      <w:r w:rsidRPr="002747C8">
        <w:t xml:space="preserve">En cuanto a los gastos administrativos (netos de ingresos por comisiones y otros servicios), que para efectos de esta metodología se calculó como ratio entre los activos totales, en el período de estudio, se evidencia un significativo aumento, al pasar de L19,337.00 miles en 2019 a L23,948.54 miles en 2022, representando un aumento del 23.85%; comportamiento que pudo haber estado influenciado por varios factores, entre ellos la adopción de protocolos de sanidad ante las restricciones que significó la pandemia del Covid-19, así como la implementación de nuevos procesos tecnológicos y operativos ante las mismas restricciones de la pandemia. </w:t>
      </w:r>
    </w:p>
    <w:p w14:paraId="34E9F6C8" w14:textId="77777777" w:rsidR="002D3521" w:rsidRDefault="002D3521" w:rsidP="002D3521">
      <w:pPr>
        <w:pStyle w:val="TextoPrincipal"/>
        <w:spacing w:line="360" w:lineRule="auto"/>
        <w:jc w:val="center"/>
        <w:rPr>
          <w:rFonts w:eastAsia="Calibri"/>
        </w:rPr>
      </w:pPr>
      <w:r>
        <w:rPr>
          <w:rFonts w:eastAsia="Calibri"/>
          <w:noProof/>
          <w:lang w:eastAsia="es-HN"/>
        </w:rPr>
        <w:drawing>
          <wp:inline distT="0" distB="0" distL="0" distR="0" wp14:anchorId="0E46EBD1" wp14:editId="51D1569D">
            <wp:extent cx="4010025" cy="2410458"/>
            <wp:effectExtent l="0" t="0" r="0" b="9525"/>
            <wp:docPr id="32422096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19087" cy="2415905"/>
                    </a:xfrm>
                    <a:prstGeom prst="rect">
                      <a:avLst/>
                    </a:prstGeom>
                    <a:noFill/>
                  </pic:spPr>
                </pic:pic>
              </a:graphicData>
            </a:graphic>
          </wp:inline>
        </w:drawing>
      </w:r>
    </w:p>
    <w:p w14:paraId="0EAD190C" w14:textId="2DA451A0" w:rsidR="002D3521" w:rsidRPr="00A20902" w:rsidRDefault="002D3521" w:rsidP="002D3521">
      <w:pPr>
        <w:widowControl/>
        <w:spacing w:line="480" w:lineRule="auto"/>
        <w:ind w:firstLine="720"/>
        <w:rPr>
          <w:rFonts w:ascii="Times New Roman" w:eastAsia="Calibri" w:hAnsi="Times New Roman" w:cs="Times New Roman"/>
        </w:rPr>
      </w:pPr>
      <w:r w:rsidRPr="00A20902">
        <w:rPr>
          <w:rFonts w:ascii="Times New Roman" w:eastAsia="Calibri" w:hAnsi="Times New Roman" w:cs="Times New Roman"/>
          <w:b/>
          <w:bCs/>
        </w:rPr>
        <w:t xml:space="preserve">Figura </w:t>
      </w:r>
      <w:r>
        <w:rPr>
          <w:rFonts w:ascii="Times New Roman" w:eastAsia="Calibri" w:hAnsi="Times New Roman" w:cs="Times New Roman"/>
          <w:b/>
          <w:bCs/>
        </w:rPr>
        <w:t>5.</w:t>
      </w:r>
      <w:r w:rsidRPr="00A20902">
        <w:rPr>
          <w:rFonts w:ascii="Times New Roman" w:eastAsia="Calibri" w:hAnsi="Times New Roman" w:cs="Times New Roman"/>
        </w:rPr>
        <w:t xml:space="preserve"> </w:t>
      </w:r>
      <w:r w:rsidRPr="00786CB6">
        <w:rPr>
          <w:rFonts w:ascii="Times New Roman" w:eastAsia="Calibri" w:hAnsi="Times New Roman" w:cs="Times New Roman"/>
          <w:b/>
          <w:sz w:val="24"/>
        </w:rPr>
        <w:t>Costos Administrativos.</w:t>
      </w:r>
    </w:p>
    <w:p w14:paraId="21A6924A" w14:textId="77777777" w:rsidR="002D3521" w:rsidRPr="00A20902" w:rsidRDefault="002D3521" w:rsidP="002D3521">
      <w:pPr>
        <w:widowControl/>
        <w:spacing w:line="480" w:lineRule="auto"/>
        <w:ind w:firstLine="720"/>
        <w:rPr>
          <w:rFonts w:ascii="Times New Roman" w:eastAsia="Calibri" w:hAnsi="Times New Roman" w:cs="Times New Roman"/>
        </w:rPr>
      </w:pPr>
      <w:r w:rsidRPr="00B151FF">
        <w:rPr>
          <w:rFonts w:ascii="Times New Roman" w:eastAsia="Calibri" w:hAnsi="Times New Roman" w:cs="Times New Roman"/>
          <w:bCs/>
        </w:rPr>
        <w:t>Fuente:</w:t>
      </w:r>
      <w:r w:rsidRPr="00A20902">
        <w:rPr>
          <w:rFonts w:ascii="Times New Roman" w:eastAsia="Calibri" w:hAnsi="Times New Roman" w:cs="Times New Roman"/>
        </w:rPr>
        <w:t xml:space="preserve"> Elaboración propia con datos de la página web de</w:t>
      </w:r>
      <w:r>
        <w:rPr>
          <w:rFonts w:ascii="Times New Roman" w:eastAsia="Calibri" w:hAnsi="Times New Roman" w:cs="Times New Roman"/>
        </w:rPr>
        <w:t xml:space="preserve"> la CNBS.</w:t>
      </w:r>
    </w:p>
    <w:p w14:paraId="5505EB43" w14:textId="538CA722" w:rsidR="005D02E2" w:rsidRPr="00CF39AB" w:rsidRDefault="005D02E2" w:rsidP="005D02E2">
      <w:pPr>
        <w:pStyle w:val="Ttulo3"/>
        <w:ind w:firstLine="567"/>
        <w:rPr>
          <w:rFonts w:eastAsia="Times New Roman" w:cs="Times New Roman"/>
          <w:lang w:val="es-MX" w:eastAsia="es-ES"/>
        </w:rPr>
      </w:pPr>
      <w:bookmarkStart w:id="153" w:name="_Toc155066645"/>
      <w:bookmarkEnd w:id="152"/>
      <w:r w:rsidRPr="00CF39AB">
        <w:rPr>
          <w:rFonts w:eastAsia="Times New Roman" w:cs="Times New Roman"/>
          <w:lang w:val="es-MX" w:eastAsia="es-ES"/>
        </w:rPr>
        <w:lastRenderedPageBreak/>
        <w:t>4.2.4 APALANCAMIENTO FINANCIERO</w:t>
      </w:r>
      <w:bookmarkEnd w:id="153"/>
    </w:p>
    <w:p w14:paraId="0EA010EA" w14:textId="482D7834" w:rsidR="00C4686F" w:rsidRPr="002747C8" w:rsidRDefault="00C4686F" w:rsidP="002747C8">
      <w:pPr>
        <w:pStyle w:val="TextoPrincipal"/>
        <w:spacing w:line="360" w:lineRule="auto"/>
      </w:pPr>
      <w:r w:rsidRPr="00CF39AB">
        <w:t xml:space="preserve">Al respecto del apalancamiento financiero, </w:t>
      </w:r>
      <w:r w:rsidR="00DC0E02" w:rsidRPr="00CF39AB">
        <w:t xml:space="preserve">que se refiere al uso de deuda o endeudamiento por parte de los bancos comerciales para aumentar la inversión y la rentabilidad de sus fondos propios; </w:t>
      </w:r>
      <w:r w:rsidR="00A675C4" w:rsidRPr="00CF39AB">
        <w:t xml:space="preserve">y se calcula a partir del pasivo total y su patrimonio neto; </w:t>
      </w:r>
      <w:r w:rsidR="004E76B2" w:rsidRPr="00CF39AB">
        <w:t>en el período de 2019-2022, mantuvo un comportamiento similar</w:t>
      </w:r>
      <w:r w:rsidR="00641ECD" w:rsidRPr="00CF39AB">
        <w:t xml:space="preserve"> como se ilustra en la Figura 6</w:t>
      </w:r>
      <w:r w:rsidR="004E76B2" w:rsidRPr="00CF39AB">
        <w:t xml:space="preserve">, en línea con el comportamiento creciente histórico que registran estos indicadores. </w:t>
      </w:r>
      <w:r w:rsidR="00641ECD" w:rsidRPr="00CF39AB">
        <w:t>Particularmente, los pasivos totales del sector bancario pasaron de L460,741.8 miles en 2019 a L649,536.3 miles en 2022, significando un crecimiento en el período del 41.0%; por su parte, el patrimonio neto registró un crecimiento en el período de 29.0%, al pasar de L53,464.6 miles en 2019 a L68,987.3 miles en 2023.</w:t>
      </w:r>
    </w:p>
    <w:p w14:paraId="24925485" w14:textId="4D818349" w:rsidR="00A675C4" w:rsidRDefault="00A675C4" w:rsidP="00A675C4">
      <w:pPr>
        <w:widowControl/>
        <w:spacing w:line="480" w:lineRule="auto"/>
        <w:ind w:firstLine="720"/>
        <w:jc w:val="center"/>
        <w:rPr>
          <w:rFonts w:ascii="Times New Roman" w:eastAsia="Calibri" w:hAnsi="Times New Roman" w:cs="Times New Roman"/>
          <w:sz w:val="24"/>
        </w:rPr>
      </w:pPr>
      <w:r>
        <w:rPr>
          <w:rFonts w:ascii="Times New Roman" w:eastAsia="Calibri" w:hAnsi="Times New Roman" w:cs="Times New Roman"/>
          <w:noProof/>
          <w:sz w:val="24"/>
          <w:lang w:eastAsia="es-HN"/>
        </w:rPr>
        <w:drawing>
          <wp:inline distT="0" distB="0" distL="0" distR="0" wp14:anchorId="6F33A6AD" wp14:editId="0340E1A5">
            <wp:extent cx="4343400" cy="2862472"/>
            <wp:effectExtent l="0" t="0" r="0" b="0"/>
            <wp:docPr id="143149974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56748" cy="2871269"/>
                    </a:xfrm>
                    <a:prstGeom prst="rect">
                      <a:avLst/>
                    </a:prstGeom>
                    <a:noFill/>
                  </pic:spPr>
                </pic:pic>
              </a:graphicData>
            </a:graphic>
          </wp:inline>
        </w:drawing>
      </w:r>
    </w:p>
    <w:p w14:paraId="4AF566EF" w14:textId="24E06639" w:rsidR="00A20902" w:rsidRPr="00B151FF" w:rsidRDefault="00A20902" w:rsidP="00A20902">
      <w:pPr>
        <w:widowControl/>
        <w:spacing w:line="480" w:lineRule="auto"/>
        <w:ind w:firstLine="720"/>
        <w:rPr>
          <w:rFonts w:ascii="Times New Roman" w:eastAsia="Calibri" w:hAnsi="Times New Roman" w:cs="Times New Roman"/>
        </w:rPr>
      </w:pPr>
      <w:r w:rsidRPr="00A20902">
        <w:rPr>
          <w:rFonts w:ascii="Times New Roman" w:eastAsia="Calibri" w:hAnsi="Times New Roman" w:cs="Times New Roman"/>
          <w:b/>
          <w:bCs/>
        </w:rPr>
        <w:t xml:space="preserve">Figura </w:t>
      </w:r>
      <w:r>
        <w:rPr>
          <w:rFonts w:ascii="Times New Roman" w:eastAsia="Calibri" w:hAnsi="Times New Roman" w:cs="Times New Roman"/>
          <w:b/>
          <w:bCs/>
        </w:rPr>
        <w:t>6</w:t>
      </w:r>
      <w:r w:rsidRPr="00A20902">
        <w:rPr>
          <w:rFonts w:ascii="Times New Roman" w:eastAsia="Calibri" w:hAnsi="Times New Roman" w:cs="Times New Roman"/>
          <w:b/>
          <w:bCs/>
        </w:rPr>
        <w:t>.</w:t>
      </w:r>
      <w:r w:rsidRPr="00A20902">
        <w:rPr>
          <w:rFonts w:ascii="Times New Roman" w:eastAsia="Calibri" w:hAnsi="Times New Roman" w:cs="Times New Roman"/>
        </w:rPr>
        <w:t xml:space="preserve"> </w:t>
      </w:r>
      <w:r w:rsidRPr="00FE6F07">
        <w:rPr>
          <w:rFonts w:ascii="Times New Roman" w:eastAsia="Calibri" w:hAnsi="Times New Roman" w:cs="Times New Roman"/>
          <w:b/>
          <w:sz w:val="24"/>
        </w:rPr>
        <w:t>Componentes del Apalancamiento Financiero.</w:t>
      </w:r>
    </w:p>
    <w:p w14:paraId="36B7F9C2" w14:textId="5866C845" w:rsidR="00A20902" w:rsidRPr="00A20902" w:rsidRDefault="00A20902" w:rsidP="00A20902">
      <w:pPr>
        <w:widowControl/>
        <w:spacing w:line="480" w:lineRule="auto"/>
        <w:ind w:firstLine="720"/>
        <w:rPr>
          <w:rFonts w:ascii="Times New Roman" w:eastAsia="Calibri" w:hAnsi="Times New Roman" w:cs="Times New Roman"/>
        </w:rPr>
      </w:pPr>
      <w:r w:rsidRPr="00B151FF">
        <w:rPr>
          <w:rFonts w:ascii="Times New Roman" w:eastAsia="Calibri" w:hAnsi="Times New Roman" w:cs="Times New Roman"/>
          <w:bCs/>
        </w:rPr>
        <w:t>Fuente:</w:t>
      </w:r>
      <w:r w:rsidRPr="00B151FF">
        <w:rPr>
          <w:rFonts w:ascii="Times New Roman" w:eastAsia="Calibri" w:hAnsi="Times New Roman" w:cs="Times New Roman"/>
        </w:rPr>
        <w:t xml:space="preserve"> Ela</w:t>
      </w:r>
      <w:r w:rsidRPr="00A20902">
        <w:rPr>
          <w:rFonts w:ascii="Times New Roman" w:eastAsia="Calibri" w:hAnsi="Times New Roman" w:cs="Times New Roman"/>
        </w:rPr>
        <w:t>boración propia con datos de la página web de</w:t>
      </w:r>
      <w:r>
        <w:rPr>
          <w:rFonts w:ascii="Times New Roman" w:eastAsia="Calibri" w:hAnsi="Times New Roman" w:cs="Times New Roman"/>
        </w:rPr>
        <w:t xml:space="preserve"> la CNBS.</w:t>
      </w:r>
    </w:p>
    <w:p w14:paraId="59FF59B1" w14:textId="61E956A1" w:rsidR="002D3521" w:rsidRPr="005D02E2" w:rsidRDefault="002D3521" w:rsidP="002D3521">
      <w:pPr>
        <w:pStyle w:val="Ttulo3"/>
        <w:ind w:firstLine="567"/>
        <w:rPr>
          <w:rFonts w:eastAsia="Times New Roman" w:cs="Times New Roman"/>
          <w:lang w:val="es-MX" w:eastAsia="es-ES"/>
        </w:rPr>
      </w:pPr>
      <w:bookmarkStart w:id="154" w:name="_Toc155066647"/>
      <w:r>
        <w:rPr>
          <w:rFonts w:eastAsia="Times New Roman" w:cs="Times New Roman"/>
          <w:lang w:val="es-MX" w:eastAsia="es-ES"/>
        </w:rPr>
        <w:t>4</w:t>
      </w:r>
      <w:r w:rsidRPr="00406AB1">
        <w:rPr>
          <w:rFonts w:eastAsia="Times New Roman" w:cs="Times New Roman"/>
          <w:lang w:val="es-MX" w:eastAsia="es-ES"/>
        </w:rPr>
        <w:t>.</w:t>
      </w:r>
      <w:r>
        <w:rPr>
          <w:rFonts w:eastAsia="Times New Roman" w:cs="Times New Roman"/>
          <w:lang w:val="es-MX" w:eastAsia="es-ES"/>
        </w:rPr>
        <w:t>2</w:t>
      </w:r>
      <w:r w:rsidRPr="00406AB1">
        <w:rPr>
          <w:rFonts w:eastAsia="Times New Roman" w:cs="Times New Roman"/>
          <w:lang w:val="es-MX" w:eastAsia="es-ES"/>
        </w:rPr>
        <w:t>.</w:t>
      </w:r>
      <w:r>
        <w:rPr>
          <w:rFonts w:eastAsia="Times New Roman" w:cs="Times New Roman"/>
          <w:lang w:val="es-MX" w:eastAsia="es-ES"/>
        </w:rPr>
        <w:t>5 TASA DE INTERÉS ACTIVA IMPLÍCITA</w:t>
      </w:r>
    </w:p>
    <w:p w14:paraId="3420C95F" w14:textId="77777777" w:rsidR="002D3521" w:rsidRPr="002747C8" w:rsidRDefault="002D3521" w:rsidP="002D3521">
      <w:pPr>
        <w:pStyle w:val="TextoPrincipal"/>
        <w:spacing w:line="360" w:lineRule="auto"/>
      </w:pPr>
      <w:r w:rsidRPr="002747C8">
        <w:t xml:space="preserve">En tanto, tal como se destaca en la Figura 4, la tasa de interés activa implícita ex post (i = lado derecho), que es la tasa de interés real que se aplica a un préstamo una vez que se han considerado todos los costos, comisiones y ajustes que puedan afectar el costo total del préstamo; se calcula a partir de los ingresos financieros anualizados (intereses, comisiones, etc.) y de los créditos otorgados (préstamos e intereses); dicha tasa en 2020 aumento en 1.83 </w:t>
      </w:r>
      <w:proofErr w:type="spellStart"/>
      <w:r w:rsidRPr="002747C8">
        <w:t>pp</w:t>
      </w:r>
      <w:proofErr w:type="spellEnd"/>
      <w:r w:rsidRPr="002747C8">
        <w:t xml:space="preserve"> en relación al año anterior, debido principalmente al considerable aumento de los ingresos financieros en ese año, que pasaron de L58,910.53 miles a L66,171.06, en parte debido a el proceso de restructuración </w:t>
      </w:r>
      <w:r w:rsidRPr="002747C8">
        <w:lastRenderedPageBreak/>
        <w:t xml:space="preserve">de préstamos y otorgamiento de capital que se suscitó en ese período, donde las personas ante la crisis del covid-19 se acercaron a los bancos a restructurar sus préstamos y en ocasiones se dieron los casos que solicitaban capital adicional o nuevo con las garantías que ya estaban es custodia de dichos bancos. </w:t>
      </w:r>
    </w:p>
    <w:p w14:paraId="68DA14D4" w14:textId="77777777" w:rsidR="002D3521" w:rsidRDefault="002D3521" w:rsidP="002D3521">
      <w:pPr>
        <w:widowControl/>
        <w:spacing w:line="480" w:lineRule="auto"/>
        <w:ind w:firstLine="720"/>
        <w:jc w:val="center"/>
        <w:rPr>
          <w:rFonts w:ascii="Times New Roman" w:eastAsia="Calibri" w:hAnsi="Times New Roman" w:cs="Times New Roman"/>
          <w:sz w:val="24"/>
        </w:rPr>
      </w:pPr>
      <w:r>
        <w:rPr>
          <w:rFonts w:ascii="Times New Roman" w:eastAsia="Calibri" w:hAnsi="Times New Roman" w:cs="Times New Roman"/>
          <w:noProof/>
          <w:sz w:val="24"/>
          <w:lang w:eastAsia="es-HN"/>
        </w:rPr>
        <w:drawing>
          <wp:inline distT="0" distB="0" distL="0" distR="0" wp14:anchorId="6C0CD2B7" wp14:editId="42FCA812">
            <wp:extent cx="4143375" cy="2590800"/>
            <wp:effectExtent l="0" t="0" r="9525" b="0"/>
            <wp:docPr id="613361756"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144087" cy="2591245"/>
                    </a:xfrm>
                    <a:prstGeom prst="rect">
                      <a:avLst/>
                    </a:prstGeom>
                    <a:noFill/>
                  </pic:spPr>
                </pic:pic>
              </a:graphicData>
            </a:graphic>
          </wp:inline>
        </w:drawing>
      </w:r>
    </w:p>
    <w:p w14:paraId="115E089F" w14:textId="7EFDCBB7" w:rsidR="002D3521" w:rsidRPr="00FE6F07" w:rsidRDefault="002D3521" w:rsidP="002D3521">
      <w:pPr>
        <w:pStyle w:val="TextoPrincipal"/>
        <w:spacing w:line="360" w:lineRule="auto"/>
        <w:rPr>
          <w:b/>
        </w:rPr>
      </w:pPr>
      <w:r w:rsidRPr="002747C8">
        <w:rPr>
          <w:b/>
          <w:bCs/>
        </w:rPr>
        <w:t xml:space="preserve">Figura </w:t>
      </w:r>
      <w:r>
        <w:rPr>
          <w:b/>
          <w:bCs/>
        </w:rPr>
        <w:t>7</w:t>
      </w:r>
      <w:r w:rsidRPr="002747C8">
        <w:rPr>
          <w:b/>
          <w:bCs/>
        </w:rPr>
        <w:t>.</w:t>
      </w:r>
      <w:r w:rsidRPr="002747C8">
        <w:t xml:space="preserve"> </w:t>
      </w:r>
      <w:r w:rsidRPr="00FE6F07">
        <w:rPr>
          <w:b/>
        </w:rPr>
        <w:t>Componentes de la Tasa de Interés Activa Implícita.</w:t>
      </w:r>
    </w:p>
    <w:p w14:paraId="5F7D7C0C" w14:textId="77777777" w:rsidR="002D3521" w:rsidRPr="002747C8" w:rsidRDefault="002D3521" w:rsidP="002D3521">
      <w:pPr>
        <w:pStyle w:val="TextoPrincipal"/>
        <w:spacing w:line="360" w:lineRule="auto"/>
      </w:pPr>
      <w:r w:rsidRPr="00B151FF">
        <w:rPr>
          <w:bCs/>
        </w:rPr>
        <w:t>Fuente:</w:t>
      </w:r>
      <w:r w:rsidRPr="00B151FF">
        <w:t xml:space="preserve"> Elabo</w:t>
      </w:r>
      <w:r w:rsidRPr="002747C8">
        <w:t>ración propia con datos de la página web de la CNBS.</w:t>
      </w:r>
    </w:p>
    <w:p w14:paraId="5159DED0" w14:textId="2E8B5414" w:rsidR="00CC72DD" w:rsidRPr="00CC72DD" w:rsidRDefault="005D02E2" w:rsidP="00CC72DD">
      <w:pPr>
        <w:pStyle w:val="Ttulo3"/>
        <w:ind w:firstLine="567"/>
        <w:rPr>
          <w:rFonts w:eastAsia="Times New Roman" w:cs="Times New Roman"/>
          <w:lang w:val="es-MX" w:eastAsia="es-ES"/>
        </w:rPr>
      </w:pPr>
      <w:r>
        <w:rPr>
          <w:rFonts w:eastAsia="Times New Roman" w:cs="Times New Roman"/>
          <w:lang w:val="es-MX" w:eastAsia="es-ES"/>
        </w:rPr>
        <w:t>4</w:t>
      </w:r>
      <w:r w:rsidRPr="00406AB1">
        <w:rPr>
          <w:rFonts w:eastAsia="Times New Roman" w:cs="Times New Roman"/>
          <w:lang w:val="es-MX" w:eastAsia="es-ES"/>
        </w:rPr>
        <w:t>.</w:t>
      </w:r>
      <w:r>
        <w:rPr>
          <w:rFonts w:eastAsia="Times New Roman" w:cs="Times New Roman"/>
          <w:lang w:val="es-MX" w:eastAsia="es-ES"/>
        </w:rPr>
        <w:t>2</w:t>
      </w:r>
      <w:r w:rsidRPr="00406AB1">
        <w:rPr>
          <w:rFonts w:eastAsia="Times New Roman" w:cs="Times New Roman"/>
          <w:lang w:val="es-MX" w:eastAsia="es-ES"/>
        </w:rPr>
        <w:t>.</w:t>
      </w:r>
      <w:r>
        <w:rPr>
          <w:rFonts w:eastAsia="Times New Roman" w:cs="Times New Roman"/>
          <w:lang w:val="es-MX" w:eastAsia="es-ES"/>
        </w:rPr>
        <w:t>6 ANÁLISIS INTEGRAL: COSTO DEL CRÉDITO</w:t>
      </w:r>
      <w:bookmarkEnd w:id="154"/>
    </w:p>
    <w:p w14:paraId="47EF445F" w14:textId="77777777" w:rsidR="00CC72DD" w:rsidRDefault="00CC72DD" w:rsidP="00CC72DD">
      <w:pPr>
        <w:jc w:val="center"/>
      </w:pPr>
      <w:r>
        <w:rPr>
          <w:noProof/>
          <w:lang w:eastAsia="es-HN"/>
        </w:rPr>
        <w:drawing>
          <wp:inline distT="0" distB="0" distL="0" distR="0" wp14:anchorId="7CE21D27" wp14:editId="09855C94">
            <wp:extent cx="5596585" cy="2800350"/>
            <wp:effectExtent l="0" t="0" r="0" b="0"/>
            <wp:docPr id="6461088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86365" cy="2845273"/>
                    </a:xfrm>
                    <a:prstGeom prst="rect">
                      <a:avLst/>
                    </a:prstGeom>
                    <a:noFill/>
                  </pic:spPr>
                </pic:pic>
              </a:graphicData>
            </a:graphic>
          </wp:inline>
        </w:drawing>
      </w:r>
    </w:p>
    <w:p w14:paraId="411EDB0F" w14:textId="77777777" w:rsidR="00CC72DD" w:rsidRPr="002747C8" w:rsidRDefault="00CC72DD" w:rsidP="00CC72DD">
      <w:pPr>
        <w:pStyle w:val="TextoPrincipal"/>
        <w:spacing w:line="360" w:lineRule="auto"/>
      </w:pPr>
      <w:r w:rsidRPr="002747C8">
        <w:rPr>
          <w:b/>
          <w:bCs/>
        </w:rPr>
        <w:t>Figura 8</w:t>
      </w:r>
      <w:r w:rsidRPr="002F25B5">
        <w:rPr>
          <w:bCs/>
        </w:rPr>
        <w:t>.</w:t>
      </w:r>
      <w:r w:rsidRPr="002F25B5">
        <w:t xml:space="preserve"> </w:t>
      </w:r>
      <w:r w:rsidRPr="002F25B5">
        <w:rPr>
          <w:b/>
        </w:rPr>
        <w:t>Costos del Crédito Bancario.</w:t>
      </w:r>
    </w:p>
    <w:p w14:paraId="57C6B387" w14:textId="77777777" w:rsidR="00CC72DD" w:rsidRPr="002747C8" w:rsidRDefault="00CC72DD" w:rsidP="00CC72DD">
      <w:pPr>
        <w:pStyle w:val="TextoPrincipal"/>
        <w:spacing w:line="360" w:lineRule="auto"/>
      </w:pPr>
      <w:r w:rsidRPr="00B151FF">
        <w:rPr>
          <w:bCs/>
        </w:rPr>
        <w:t>Fuente:</w:t>
      </w:r>
      <w:r w:rsidRPr="002747C8">
        <w:t xml:space="preserve"> Elaboración propia con datos descargados de los sitios web oficiales de la CNBS </w:t>
      </w:r>
      <w:r w:rsidRPr="002747C8">
        <w:lastRenderedPageBreak/>
        <w:t>y el BCH.</w:t>
      </w:r>
    </w:p>
    <w:p w14:paraId="3F1B51DE" w14:textId="7A27F06F" w:rsidR="00B7035B" w:rsidRPr="002747C8" w:rsidRDefault="00305B9B" w:rsidP="002747C8">
      <w:pPr>
        <w:pStyle w:val="TextoPrincipal"/>
        <w:spacing w:line="360" w:lineRule="auto"/>
      </w:pPr>
      <w:r w:rsidRPr="002747C8">
        <w:t>Finalmente, l</w:t>
      </w:r>
      <w:r w:rsidR="00CE4318" w:rsidRPr="002747C8">
        <w:t xml:space="preserve">a </w:t>
      </w:r>
      <w:r w:rsidR="008B5573" w:rsidRPr="002747C8">
        <w:t>F</w:t>
      </w:r>
      <w:r w:rsidR="00CE4318" w:rsidRPr="002747C8">
        <w:t>igura No.</w:t>
      </w:r>
      <w:r w:rsidR="008B5573" w:rsidRPr="002747C8">
        <w:t>8</w:t>
      </w:r>
      <w:r w:rsidR="00CE4318" w:rsidRPr="002747C8">
        <w:t xml:space="preserve"> ilustra la evolución anual de la tasa activa promedio y su descomposición para el sistema financiero en el período que comprende de 2019 a 2022, se observa que </w:t>
      </w:r>
      <w:r w:rsidRPr="002747C8">
        <w:t xml:space="preserve">por componente financiero </w:t>
      </w:r>
      <w:r w:rsidR="00CE4318" w:rsidRPr="002747C8">
        <w:t>la tasa de interés activa ha sido determinada principalmente por los costos administrativos, que representan alrededor de 3 puntos porcentuales de la tasa activa; así como, de la mayor incidencia -en el transcurso de los años- de los activos menos rentables, que pondera en igual medida a la tasa cobrada por los bancos comerciales (entre 3 a 4 puntos porcentuales).</w:t>
      </w:r>
    </w:p>
    <w:p w14:paraId="50E6A373" w14:textId="77777777" w:rsidR="00595BB8" w:rsidRPr="002747C8" w:rsidRDefault="00595BB8" w:rsidP="00595BB8">
      <w:pPr>
        <w:pStyle w:val="TextoPrincipal"/>
        <w:spacing w:line="360" w:lineRule="auto"/>
      </w:pPr>
      <w:r w:rsidRPr="002747C8">
        <w:t>En relación con el componente de fondeo, inicialmente representaba alrededor de 3 puntos porcentuales de la tasa activa; sin embargo, se observa una disminución de alrededor de 1 punto porcentual a partir del año 2020, la cual está vinculada a los excedentes de liquidez registrados por los bancos comerciales. Esta situación hizo que no necesitaran atraer nuevos recursos a través de depósitos de sus clientes. Según la ley de la oferta y la demanda, los rendimientos proporcionados por estos recursos adicionales, obtenidos mediante los depósitos de los clientes (tasa de interés pasiva), disminuyeron. Esto se tradujo en menores costos que pudieron ser trasladados a la tasa activa.</w:t>
      </w:r>
    </w:p>
    <w:p w14:paraId="4463322D" w14:textId="4C2CDB1D" w:rsidR="00AE2632" w:rsidRPr="002747C8" w:rsidRDefault="00672F64" w:rsidP="002747C8">
      <w:pPr>
        <w:pStyle w:val="TextoPrincipal"/>
        <w:spacing w:line="360" w:lineRule="auto"/>
      </w:pPr>
      <w:r w:rsidRPr="002747C8">
        <w:t xml:space="preserve">Particularmente, en cuanto a los costos administrativos se puede destacar que, al inicio de la pandemia en 2020, experimentaron una reducción con respecto a los niveles registrados en el año 2019. Esto se vincula con el proceso de reajuste que enfrentó el sector bancario a nivel nacional, originado por el cierre de la economía como medida preventiva y de contención del covid-19. </w:t>
      </w:r>
    </w:p>
    <w:p w14:paraId="44C873F9" w14:textId="07578A59" w:rsidR="00CE4318" w:rsidRPr="002747C8" w:rsidRDefault="00672F64" w:rsidP="002747C8">
      <w:pPr>
        <w:pStyle w:val="TextoPrincipal"/>
        <w:spacing w:line="360" w:lineRule="auto"/>
      </w:pPr>
      <w:r w:rsidRPr="002747C8">
        <w:t>Este cierre afectó los procesos mediante los cuales los bancos ofrecían sus servicios a los clientes, lo que llevó a la implementación de nuevos procesos internos, como modalidades de trabajo semipresenciales y de teletrabajo, así como la adopción de firmas digitales</w:t>
      </w:r>
      <w:r w:rsidR="00FA0A6B" w:rsidRPr="002747C8">
        <w:t xml:space="preserve"> de altos ejecutivos</w:t>
      </w:r>
      <w:r w:rsidRPr="002747C8">
        <w:t xml:space="preserve">, entre otras medidas. Simultáneamente, se innovaron las plataformas en línea para permitir a los usuarios del sistema financiero </w:t>
      </w:r>
      <w:r w:rsidR="00FA0A6B" w:rsidRPr="002747C8">
        <w:t>autogestionarse sin la</w:t>
      </w:r>
      <w:r w:rsidRPr="002747C8">
        <w:t xml:space="preserve"> necesidad de acudir físicamente a las </w:t>
      </w:r>
      <w:r w:rsidR="00FA0A6B" w:rsidRPr="002747C8">
        <w:t>agencias</w:t>
      </w:r>
      <w:r w:rsidRPr="002747C8">
        <w:t xml:space="preserve">. </w:t>
      </w:r>
    </w:p>
    <w:p w14:paraId="527F9E7A" w14:textId="71D99F7D" w:rsidR="002E5B5D" w:rsidRPr="002747C8" w:rsidRDefault="00672F64" w:rsidP="002747C8">
      <w:pPr>
        <w:pStyle w:val="TextoPrincipal"/>
        <w:spacing w:line="360" w:lineRule="auto"/>
      </w:pPr>
      <w:r w:rsidRPr="002747C8">
        <w:t xml:space="preserve">Todo esto contribuyó a la reducción de los costos administrativos, ya que las prácticas semipresenciales y de trabajo remoto implicaron menores gastos en términos de electricidad </w:t>
      </w:r>
      <w:r w:rsidR="00FA0A6B" w:rsidRPr="002747C8">
        <w:t>e internet; a</w:t>
      </w:r>
      <w:r w:rsidRPr="002747C8">
        <w:t xml:space="preserve">demás, la </w:t>
      </w:r>
      <w:r w:rsidR="00FA0A6B" w:rsidRPr="002747C8">
        <w:t>innovación de las plataformas en línea les permitió</w:t>
      </w:r>
      <w:r w:rsidRPr="002747C8">
        <w:t xml:space="preserve"> eliminar </w:t>
      </w:r>
      <w:r w:rsidR="00FA0A6B" w:rsidRPr="002747C8">
        <w:t xml:space="preserve">aquellos costos </w:t>
      </w:r>
      <w:r w:rsidR="00FA0A6B" w:rsidRPr="002747C8">
        <w:lastRenderedPageBreak/>
        <w:t>relacionados con transacciones (impresión de recibos, boletas, estados de cuenta, etc.)</w:t>
      </w:r>
      <w:r w:rsidRPr="002747C8">
        <w:t xml:space="preserve">, y en algunos casos, se produjo la reducción de personal debido a la simplificación de </w:t>
      </w:r>
      <w:r w:rsidR="00FA0A6B" w:rsidRPr="002747C8">
        <w:t xml:space="preserve">los </w:t>
      </w:r>
      <w:r w:rsidRPr="002747C8">
        <w:t>procesos.</w:t>
      </w:r>
    </w:p>
    <w:p w14:paraId="6D2DCE1B" w14:textId="716EBC9B" w:rsidR="00B7035B" w:rsidRPr="002747C8" w:rsidRDefault="002E5B5D" w:rsidP="002747C8">
      <w:pPr>
        <w:pStyle w:val="TextoPrincipal"/>
        <w:spacing w:line="360" w:lineRule="auto"/>
      </w:pPr>
      <w:r w:rsidRPr="002747C8">
        <w:t xml:space="preserve">No obstante, en el último año se observa un ligero ajuste en dichos costos, vinculado a la reapertura de la actividad económica y la normalización de las operaciones internas de los bancos. Aunque aún se mantiene por debajo de los niveles anteriores a la pandemia, esto refleja las decisiones estratégicas de los bancos de continuar utilizando los procesos implementados durante la pandemia. Estas decisiones no solo les proporcionan reducciones de costos, sino que también les permite seguir operando de forma eficiente. </w:t>
      </w:r>
    </w:p>
    <w:p w14:paraId="39D1028A" w14:textId="77777777" w:rsidR="00CE4318" w:rsidRPr="002747C8" w:rsidRDefault="00233172" w:rsidP="002747C8">
      <w:pPr>
        <w:pStyle w:val="TextoPrincipal"/>
        <w:spacing w:line="360" w:lineRule="auto"/>
      </w:pPr>
      <w:r w:rsidRPr="002747C8">
        <w:t>En relación con los activos menos rentables</w:t>
      </w:r>
      <w:r w:rsidR="00CD70E4" w:rsidRPr="002747C8">
        <w:t xml:space="preserve"> que representan entre 2 a 3 puntos porcentuales de la tasa activa</w:t>
      </w:r>
      <w:r w:rsidRPr="002747C8">
        <w:t xml:space="preserve">, se destaca un aumento significativo a partir del año 2020, atribuido al crecimiento de liquidez experimentado en el sistema bancario durante el cierre económico, acentuado por la reducción de la Tasa de Política Monetaria (TPM) del Banco Central de Honduras (BCH) </w:t>
      </w:r>
      <w:r w:rsidR="00801B12" w:rsidRPr="002747C8">
        <w:t xml:space="preserve">y la reducción de los requerimientos de encaje </w:t>
      </w:r>
      <w:r w:rsidRPr="002747C8">
        <w:t xml:space="preserve">en ese mismo año. </w:t>
      </w:r>
    </w:p>
    <w:p w14:paraId="57D11528" w14:textId="5915F125" w:rsidR="00233172" w:rsidRPr="002747C8" w:rsidRDefault="00233172" w:rsidP="002747C8">
      <w:pPr>
        <w:pStyle w:val="TextoPrincipal"/>
        <w:spacing w:line="360" w:lineRule="auto"/>
      </w:pPr>
      <w:r w:rsidRPr="002747C8">
        <w:t>En este periodo, los clientes evitaron contraer nuevos préstamos para inversiones, dado el clima de incertidumbre sobre la duración de la pandemia. Frente a este excedente de liquidez, los bancos optaron por aumentar sus inversiones en la Subasta de Valores del BCH. Aunque los rendimientos de estas inversiones son bajos (como se explicó previamente), en el contexto de la pandemia representaban una fuente relativa de ingresos para los bancos, ya que preferían una tasa reducida o mantener el dinero en sus bóvedas sin generar rendimientos.</w:t>
      </w:r>
    </w:p>
    <w:p w14:paraId="3C43ED8B" w14:textId="2387C477" w:rsidR="00D84960" w:rsidRPr="002747C8" w:rsidRDefault="00D84960" w:rsidP="002747C8">
      <w:pPr>
        <w:pStyle w:val="TextoPrincipal"/>
        <w:spacing w:line="360" w:lineRule="auto"/>
      </w:pPr>
      <w:r w:rsidRPr="002747C8">
        <w:t>En los años subsiguientes, se aprecia una disminución en el componente de los activos menos rentables. Esto está vinculado con la normalización de la actividad económica, la cual generó nuevos proyectos de inversión tanto por parte de los hogares como de las empresas. En respuesta a esta reactivación y dinamismo de la actividad económica, los bancos comerciales realizaron un traslado de recursos provenientes de los excedentes de liquidez, destinándolos nuevamente a sus carteras de crédito.</w:t>
      </w:r>
    </w:p>
    <w:p w14:paraId="068A9235" w14:textId="6BE34F18" w:rsidR="00567FC0" w:rsidRPr="002747C8" w:rsidRDefault="00426ED2" w:rsidP="002747C8">
      <w:pPr>
        <w:pStyle w:val="TextoPrincipal"/>
        <w:spacing w:line="360" w:lineRule="auto"/>
      </w:pPr>
      <w:r w:rsidRPr="002747C8">
        <w:t>En relación con la cartera irregular</w:t>
      </w:r>
      <w:r w:rsidR="00CD70E4" w:rsidRPr="002747C8">
        <w:t>, que pondera alrededor de 2 puntos porcentuales a la tasa activa;</w:t>
      </w:r>
      <w:r w:rsidRPr="002747C8">
        <w:t xml:space="preserve"> si bien se mantuvo constante a lo largo del período (dado el comportamiento de la mora en el país), experimentó un ligero repunte en el año 2020. Este aumento se asoció a los procesos de readecuación y reestructuración de deudas de préstamos y tarjetas de crédito, los cuales fueron ordenados por las autoridades en respuesta a la pérdida masiva de empleos provocada por la </w:t>
      </w:r>
      <w:r w:rsidRPr="002747C8">
        <w:lastRenderedPageBreak/>
        <w:t>pandemia. Esta situación llevó a que la mayoría de la población no pudiera hacer frente a sus obligaciones crediticias. Estas medidas ocasionaron un desajuste en los procesos internos de los bancos, ya que se otorgaron períodos de gracia y no se generó mora durante el tiempo estipulado en las circulares, explicando así el aumento observado en dicho año.</w:t>
      </w:r>
      <w:r w:rsidR="00567FC0" w:rsidRPr="002747C8">
        <w:t xml:space="preserve"> </w:t>
      </w:r>
    </w:p>
    <w:p w14:paraId="2E1006D4" w14:textId="1D08D648" w:rsidR="00EF0766" w:rsidRPr="002747C8" w:rsidRDefault="007573DC" w:rsidP="002747C8">
      <w:pPr>
        <w:pStyle w:val="TextoPrincipal"/>
        <w:spacing w:line="360" w:lineRule="auto"/>
      </w:pPr>
      <w:r w:rsidRPr="002747C8">
        <w:t xml:space="preserve">En lo que respecta a la rentabilidad de los activos y los impuestos sobre las ganancias (componentes estrechamente vinculados que, en conjunto, representan entre 1 y 2 puntos porcentuales de la tasa activa), se observa un comportamiento similar a lo largo del período. Se denota un ligero impacto en el año 2020, asociado a la pandemia de COVID-19 que, en cierta medida, redujo las utilidades de los bancos y, por ende, los impuestos a pagar. Por otro lado, el componente de la cartera </w:t>
      </w:r>
      <w:proofErr w:type="spellStart"/>
      <w:r w:rsidRPr="002747C8">
        <w:t>previsionada</w:t>
      </w:r>
      <w:proofErr w:type="spellEnd"/>
      <w:r w:rsidRPr="002747C8">
        <w:t xml:space="preserve"> es el que menos pondera en la tasa activa (con menos de un punto porcentual) y ha mantenido un comportamiento constante a lo largo del período.</w:t>
      </w:r>
    </w:p>
    <w:p w14:paraId="25E6B205" w14:textId="0203BAF9" w:rsidR="0082655D" w:rsidRPr="0082655D" w:rsidRDefault="0082655D" w:rsidP="0082655D">
      <w:pPr>
        <w:keepNext/>
        <w:keepLines/>
        <w:widowControl/>
        <w:spacing w:line="480" w:lineRule="auto"/>
        <w:outlineLvl w:val="1"/>
        <w:rPr>
          <w:rFonts w:ascii="Times New Roman" w:eastAsia="Times New Roman" w:hAnsi="Times New Roman" w:cs="Times New Roman"/>
          <w:b/>
          <w:bCs/>
          <w:sz w:val="24"/>
          <w:szCs w:val="24"/>
          <w:lang w:eastAsia="es-ES"/>
        </w:rPr>
      </w:pPr>
      <w:bookmarkStart w:id="155" w:name="_Toc155066648"/>
      <w:r w:rsidRPr="00884B54">
        <w:rPr>
          <w:rFonts w:ascii="Times New Roman" w:eastAsia="Calibri" w:hAnsi="Times New Roman" w:cs="Calibri"/>
          <w:b/>
          <w:sz w:val="24"/>
          <w:szCs w:val="36"/>
          <w:lang w:eastAsia="es-HN"/>
        </w:rPr>
        <w:t>4.</w:t>
      </w:r>
      <w:r>
        <w:rPr>
          <w:rFonts w:ascii="Times New Roman" w:eastAsia="Calibri" w:hAnsi="Times New Roman" w:cs="Calibri"/>
          <w:b/>
          <w:sz w:val="24"/>
          <w:szCs w:val="36"/>
          <w:lang w:eastAsia="es-HN"/>
        </w:rPr>
        <w:t>3</w:t>
      </w:r>
      <w:r w:rsidRPr="00884B54">
        <w:rPr>
          <w:rFonts w:ascii="Times New Roman" w:eastAsia="Calibri" w:hAnsi="Times New Roman" w:cs="Calibri"/>
          <w:b/>
          <w:sz w:val="24"/>
          <w:szCs w:val="36"/>
          <w:lang w:eastAsia="es-HN"/>
        </w:rPr>
        <w:t xml:space="preserve"> </w:t>
      </w:r>
      <w:r w:rsidR="00B1498D" w:rsidRPr="00B1498D">
        <w:rPr>
          <w:rFonts w:ascii="Times New Roman" w:eastAsia="Calibri" w:hAnsi="Times New Roman" w:cs="Calibri"/>
          <w:b/>
          <w:sz w:val="24"/>
          <w:szCs w:val="36"/>
          <w:lang w:eastAsia="es-HN"/>
        </w:rPr>
        <w:t>RESULTADOS Y ANÁLISIS DE LOS DATOS ENCONTRADOS CON OTRAS TÉCNICAS</w:t>
      </w:r>
      <w:r w:rsidR="006A5C6A">
        <w:rPr>
          <w:rFonts w:ascii="Times New Roman" w:eastAsia="Calibri" w:hAnsi="Times New Roman" w:cs="Calibri"/>
          <w:b/>
          <w:sz w:val="24"/>
          <w:szCs w:val="36"/>
          <w:lang w:eastAsia="es-HN"/>
        </w:rPr>
        <w:t>: ANÁLISIS CUALITATIVO</w:t>
      </w:r>
      <w:bookmarkEnd w:id="155"/>
    </w:p>
    <w:p w14:paraId="6E8B5D68" w14:textId="666B8287" w:rsidR="003D4020" w:rsidRPr="002747C8" w:rsidRDefault="00B1498D" w:rsidP="002747C8">
      <w:pPr>
        <w:pStyle w:val="TextoPrincipal"/>
        <w:spacing w:line="360" w:lineRule="auto"/>
      </w:pPr>
      <w:r w:rsidRPr="002747C8">
        <w:t>S</w:t>
      </w:r>
      <w:r w:rsidR="00D83E20" w:rsidRPr="002747C8">
        <w:t>e llev</w:t>
      </w:r>
      <w:r w:rsidR="00023458">
        <w:t>ó</w:t>
      </w:r>
      <w:r w:rsidR="00D83E20" w:rsidRPr="002747C8">
        <w:t xml:space="preserve"> a cabo </w:t>
      </w:r>
      <w:r w:rsidR="00023458">
        <w:t xml:space="preserve">una </w:t>
      </w:r>
      <w:r w:rsidR="00D83E20" w:rsidRPr="002747C8">
        <w:t xml:space="preserve">entrevista a dos destacados </w:t>
      </w:r>
      <w:r w:rsidRPr="002747C8">
        <w:t>expertos de la banca nacional, esta entrevista</w:t>
      </w:r>
      <w:r w:rsidR="00023458">
        <w:t xml:space="preserve"> fue </w:t>
      </w:r>
      <w:r w:rsidR="00D83E20" w:rsidRPr="002747C8">
        <w:t xml:space="preserve">conformada por </w:t>
      </w:r>
      <w:r w:rsidR="006A5C6A" w:rsidRPr="002747C8">
        <w:t>cinco</w:t>
      </w:r>
      <w:r w:rsidR="00D83E20" w:rsidRPr="002747C8">
        <w:t xml:space="preserve"> preguntas abiertas semiestructuradas, se llev</w:t>
      </w:r>
      <w:r w:rsidR="00023458">
        <w:t xml:space="preserve">ó </w:t>
      </w:r>
      <w:r w:rsidR="00D83E20" w:rsidRPr="002747C8">
        <w:t xml:space="preserve">a cabo de manera presencial </w:t>
      </w:r>
      <w:r w:rsidR="006A5C6A" w:rsidRPr="002747C8">
        <w:t xml:space="preserve">a través de la técnica de grupo focal, </w:t>
      </w:r>
      <w:r w:rsidR="00D83E20" w:rsidRPr="002747C8">
        <w:t xml:space="preserve">para fomentar un diálogo más profundo. Posteriormente, se procedió a la transcripción detallada de las respuestas, y se obtuvo la validación formal de los entrevistados para asegurar la integridad y la autenticidad de la información recopilada. Este enfoque garantiza la calidad de </w:t>
      </w:r>
      <w:r w:rsidR="00582C94" w:rsidRPr="002747C8">
        <w:t>la información obtenida</w:t>
      </w:r>
      <w:r w:rsidR="00D83E20" w:rsidRPr="002747C8">
        <w:t xml:space="preserve"> y proporciona una base para el análisis de las perspectivas y conocimientos aportados por estos expertos en temas críticos para la investigación.</w:t>
      </w:r>
    </w:p>
    <w:p w14:paraId="5A7FE9FF" w14:textId="510E21CD" w:rsidR="003D4020" w:rsidRPr="002747C8" w:rsidRDefault="003D4020" w:rsidP="002747C8">
      <w:pPr>
        <w:pStyle w:val="TextoPrincipal"/>
        <w:spacing w:line="360" w:lineRule="auto"/>
      </w:pPr>
      <w:r w:rsidRPr="002747C8">
        <w:t xml:space="preserve">Para la triangulación de las entrevistas se utilizaron distintas fuentes de datos como estadística, documentos, informes, etc.; para respaldar las conclusiones obtenidas de las entrevistas. Asimismo, cada participante del equipo analizó la entrevista y se compraron las interpretaciones, dado que </w:t>
      </w:r>
      <w:r w:rsidR="00142836" w:rsidRPr="002747C8">
        <w:t>las distintas perspectivas pueden</w:t>
      </w:r>
      <w:r w:rsidRPr="002747C8">
        <w:t xml:space="preserve"> ayudar a reducir los sesgos individuales y mejorar la validez de las interpretaciones. </w:t>
      </w:r>
    </w:p>
    <w:p w14:paraId="4D1ADF1F" w14:textId="1AEE7A16" w:rsidR="00032A68" w:rsidRDefault="00032A68" w:rsidP="00432846">
      <w:pPr>
        <w:widowControl/>
        <w:spacing w:line="480" w:lineRule="auto"/>
        <w:ind w:firstLine="720"/>
        <w:jc w:val="center"/>
        <w:rPr>
          <w:rFonts w:ascii="Times New Roman" w:eastAsia="Calibri" w:hAnsi="Times New Roman" w:cs="Times New Roman"/>
          <w:sz w:val="24"/>
        </w:rPr>
      </w:pPr>
      <w:r>
        <w:rPr>
          <w:rFonts w:ascii="Times New Roman" w:eastAsia="Calibri" w:hAnsi="Times New Roman" w:cs="Times New Roman"/>
          <w:noProof/>
          <w:sz w:val="24"/>
          <w:lang w:eastAsia="es-HN"/>
        </w:rPr>
        <w:lastRenderedPageBreak/>
        <w:drawing>
          <wp:inline distT="0" distB="0" distL="0" distR="0" wp14:anchorId="49CE5EF4" wp14:editId="0D1DA2FE">
            <wp:extent cx="4572635" cy="2743200"/>
            <wp:effectExtent l="0" t="0" r="0" b="0"/>
            <wp:docPr id="11737812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0D4555F2" w14:textId="3B7BCE0C" w:rsidR="00432846" w:rsidRPr="002747C8" w:rsidRDefault="00432846" w:rsidP="002747C8">
      <w:pPr>
        <w:pStyle w:val="TextoPrincipal"/>
        <w:spacing w:line="360" w:lineRule="auto"/>
      </w:pPr>
      <w:r w:rsidRPr="002747C8">
        <w:rPr>
          <w:b/>
          <w:bCs/>
        </w:rPr>
        <w:t>Figura 8.</w:t>
      </w:r>
      <w:r w:rsidRPr="002747C8">
        <w:t xml:space="preserve"> </w:t>
      </w:r>
      <w:r w:rsidRPr="002F25B5">
        <w:rPr>
          <w:b/>
        </w:rPr>
        <w:t>Comportamiento de la Tasa de Interés Activa.</w:t>
      </w:r>
    </w:p>
    <w:p w14:paraId="37FEDBFD" w14:textId="60573CED" w:rsidR="00432846" w:rsidRPr="002747C8" w:rsidRDefault="00432846" w:rsidP="002747C8">
      <w:pPr>
        <w:pStyle w:val="TextoPrincipal"/>
        <w:spacing w:line="360" w:lineRule="auto"/>
      </w:pPr>
      <w:r w:rsidRPr="00B151FF">
        <w:rPr>
          <w:bCs/>
        </w:rPr>
        <w:t>Fuente:</w:t>
      </w:r>
      <w:r w:rsidRPr="002747C8">
        <w:t xml:space="preserve"> Elaboración propia con datos de la página web del BCH.</w:t>
      </w:r>
    </w:p>
    <w:p w14:paraId="1B6F0119" w14:textId="50A28F7C" w:rsidR="00A94281" w:rsidRPr="002747C8" w:rsidRDefault="00290C00" w:rsidP="002747C8">
      <w:pPr>
        <w:pStyle w:val="TextoPrincipal"/>
        <w:spacing w:line="360" w:lineRule="auto"/>
      </w:pPr>
      <w:r w:rsidRPr="002747C8">
        <w:t>Al respecto del efecto que ha tenido el crecimiento económico del país en las tasas de interés en el corto y largo plazo, los entrevistados co</w:t>
      </w:r>
      <w:r w:rsidR="006A5C6A" w:rsidRPr="002747C8">
        <w:t>i</w:t>
      </w:r>
      <w:r w:rsidRPr="002747C8">
        <w:t>nc</w:t>
      </w:r>
      <w:r w:rsidR="006A5C6A" w:rsidRPr="002747C8">
        <w:t>i</w:t>
      </w:r>
      <w:r w:rsidRPr="002747C8">
        <w:t xml:space="preserve">dieron que, durante períodos de expansión económica es común que la demanda de crédito aumente, lo que podría presionar al alza las tasas de interés en el corto plazo. </w:t>
      </w:r>
    </w:p>
    <w:p w14:paraId="00AF4676" w14:textId="521C75F3" w:rsidR="00CE5B17" w:rsidRPr="002747C8" w:rsidRDefault="00290C00" w:rsidP="002747C8">
      <w:pPr>
        <w:pStyle w:val="TextoPrincipal"/>
        <w:spacing w:line="360" w:lineRule="auto"/>
      </w:pPr>
      <w:r w:rsidRPr="002747C8">
        <w:t xml:space="preserve">Además, si el crecimiento es percibido como sostenible, las expectativas de inflación podrían elevar las tasas de interés a largo plazo. Sin embargo, </w:t>
      </w:r>
      <w:r w:rsidR="00BD01B4" w:rsidRPr="002747C8">
        <w:t xml:space="preserve">los expertos destacan que, lo </w:t>
      </w:r>
      <w:r w:rsidRPr="002747C8">
        <w:t>factores externos y decisiones de política monetaria también pueden desempeñar un papel importante. En el contexto económico de años recientes, los entrevistados detallaron que durante el período de la pandemia</w:t>
      </w:r>
      <w:r w:rsidR="00DE5294" w:rsidRPr="002747C8">
        <w:t xml:space="preserve"> Covid-19</w:t>
      </w:r>
      <w:r w:rsidRPr="002747C8">
        <w:t xml:space="preserve">, las tasas de interés activas denotaron una reducción </w:t>
      </w:r>
      <w:r w:rsidR="00DF1C49">
        <w:t xml:space="preserve">(ver Figura 8), </w:t>
      </w:r>
      <w:r w:rsidRPr="002747C8">
        <w:t xml:space="preserve">debido a la contracción económica registrada en el año 2020 (tasa de crecimiento de -9.0% del PIB), bajo un escenario donde la demanda agregada </w:t>
      </w:r>
      <w:r w:rsidR="00DE5294" w:rsidRPr="002747C8">
        <w:t xml:space="preserve">y la inversión </w:t>
      </w:r>
      <w:r w:rsidRPr="002747C8">
        <w:t>se desaceler</w:t>
      </w:r>
      <w:r w:rsidR="00DE5294" w:rsidRPr="002747C8">
        <w:t xml:space="preserve">aron por motivo de especulación de la duración de la pandemia, afectando directamente la cartera de créditos de los bancos comerciales aunado a la decisión del BCH de reducir la TPM, lo que en su conjunto ocasionó un aumento de liquidez en el sistema financiero. </w:t>
      </w:r>
    </w:p>
    <w:p w14:paraId="56ECC595" w14:textId="64B531D9" w:rsidR="00934F29" w:rsidRPr="002747C8" w:rsidRDefault="00DE5294" w:rsidP="002747C8">
      <w:pPr>
        <w:pStyle w:val="TextoPrincipal"/>
        <w:spacing w:line="360" w:lineRule="auto"/>
      </w:pPr>
      <w:r w:rsidRPr="002747C8">
        <w:t xml:space="preserve">Profundizando en los canales de transmisión del movimiento en la TPM efectuado en 2020 y su influencia en las tasas de interés activas, los entrevistados </w:t>
      </w:r>
      <w:r w:rsidR="00BD01B4" w:rsidRPr="002747C8">
        <w:t xml:space="preserve">en un mismo orden de ideas </w:t>
      </w:r>
      <w:r w:rsidRPr="002747C8">
        <w:t xml:space="preserve">explicaron que, cuando la TPM cambia afecta las tasas de interés a corto plazo, </w:t>
      </w:r>
      <w:r w:rsidR="007D00BD" w:rsidRPr="002747C8">
        <w:t>i</w:t>
      </w:r>
      <w:r w:rsidRPr="002747C8">
        <w:t>nfluyen</w:t>
      </w:r>
      <w:r w:rsidR="007D00BD" w:rsidRPr="002747C8">
        <w:t>do</w:t>
      </w:r>
      <w:r w:rsidRPr="002747C8">
        <w:t xml:space="preserve"> en los </w:t>
      </w:r>
      <w:r w:rsidRPr="002747C8">
        <w:lastRenderedPageBreak/>
        <w:t xml:space="preserve">préstamos interbancarios y </w:t>
      </w:r>
      <w:r w:rsidR="007D00BD" w:rsidRPr="002747C8">
        <w:t>por ende e</w:t>
      </w:r>
      <w:r w:rsidRPr="002747C8">
        <w:t>n las tasa</w:t>
      </w:r>
      <w:r w:rsidR="007D00BD" w:rsidRPr="002747C8">
        <w:t>s interés</w:t>
      </w:r>
      <w:r w:rsidRPr="002747C8">
        <w:t xml:space="preserve"> para los hogares y las empresas; </w:t>
      </w:r>
      <w:r w:rsidR="007D00BD" w:rsidRPr="002747C8">
        <w:t>dado que a</w:t>
      </w:r>
      <w:r w:rsidRPr="002747C8">
        <w:t>fecta</w:t>
      </w:r>
      <w:r w:rsidR="007D00BD" w:rsidRPr="002747C8">
        <w:t>do</w:t>
      </w:r>
      <w:r w:rsidRPr="002747C8">
        <w:t xml:space="preserve"> la disponibilidad de crédito </w:t>
      </w:r>
      <w:r w:rsidR="007D00BD" w:rsidRPr="002747C8">
        <w:t xml:space="preserve">y </w:t>
      </w:r>
      <w:r w:rsidRPr="002747C8">
        <w:t xml:space="preserve">las expectativas del mercado, lo que a su vez </w:t>
      </w:r>
      <w:r w:rsidR="007D00BD" w:rsidRPr="002747C8">
        <w:t>generó un impacto en las tasas de interés a largo plazo.</w:t>
      </w:r>
      <w:r w:rsidR="00934F29" w:rsidRPr="002747C8">
        <w:t xml:space="preserve"> </w:t>
      </w:r>
    </w:p>
    <w:p w14:paraId="591FA0D0" w14:textId="7E84491A" w:rsidR="00DE5294" w:rsidRPr="002747C8" w:rsidRDefault="00BD01B4" w:rsidP="002747C8">
      <w:pPr>
        <w:pStyle w:val="TextoPrincipal"/>
        <w:spacing w:line="360" w:lineRule="auto"/>
      </w:pPr>
      <w:r w:rsidRPr="002747C8">
        <w:t>Por su lado, los argumentos planteados por los entrevistados, coinciden con el</w:t>
      </w:r>
      <w:r w:rsidR="00934F29" w:rsidRPr="002747C8">
        <w:t xml:space="preserve"> repunte en la tasa de interés interbancaria</w:t>
      </w:r>
      <w:r w:rsidRPr="002747C8">
        <w:t xml:space="preserve"> en 2022 publicada por el BCH</w:t>
      </w:r>
      <w:r w:rsidR="00934F29" w:rsidRPr="002747C8">
        <w:t xml:space="preserve">, que si bien se </w:t>
      </w:r>
      <w:r w:rsidR="00432846" w:rsidRPr="002747C8">
        <w:t>continuó</w:t>
      </w:r>
      <w:r w:rsidR="00934F29" w:rsidRPr="002747C8">
        <w:t xml:space="preserve"> ubicando por </w:t>
      </w:r>
      <w:r w:rsidR="00E62835">
        <w:t xml:space="preserve">debajo de </w:t>
      </w:r>
      <w:r w:rsidR="00934F29" w:rsidRPr="002747C8">
        <w:t>los niveles previos a la pandemia; estaría siendo explicado por la utilización de otros instrumentos de política monetaria del BCH (al mantener la TPM en un mismo nivel desde 2020)</w:t>
      </w:r>
      <w:r w:rsidRPr="002747C8">
        <w:t>. L</w:t>
      </w:r>
      <w:r w:rsidR="00934F29" w:rsidRPr="002747C8">
        <w:t xml:space="preserve">o que sucedió fue que el BCH comenzó a hacer uso de sus otros instrumentos para retirar los excedentes de liquidez en la economía, que en su momento fueron impulsados principalmente por las medidas para dinamizar la economía; a través de las Operaciones de Mercado Abierto (OMAS) del BCH, particularmente a través de su Subasta de Valores. </w:t>
      </w:r>
    </w:p>
    <w:p w14:paraId="626254E9" w14:textId="6E569FC3" w:rsidR="00934F29" w:rsidRPr="002747C8" w:rsidRDefault="00934F29" w:rsidP="002747C8">
      <w:pPr>
        <w:pStyle w:val="TextoPrincipal"/>
        <w:spacing w:line="360" w:lineRule="auto"/>
      </w:pPr>
      <w:r w:rsidRPr="002747C8">
        <w:t>Los entrevistados apuntan a que, los retiros de liquidez generados por el BCH a través del incremento del monto objetivo de los valores colocados en la subasta del BCH</w:t>
      </w:r>
      <w:r w:rsidR="0089024E" w:rsidRPr="002747C8">
        <w:t xml:space="preserve"> y las tasas de corte de las mismas</w:t>
      </w:r>
      <w:r w:rsidRPr="002747C8">
        <w:t>, impactaron directamente a las tasas de interés activas, dado que los recursos se volvieron un p</w:t>
      </w:r>
      <w:r w:rsidR="00BD01B4" w:rsidRPr="002747C8">
        <w:t>o</w:t>
      </w:r>
      <w:r w:rsidRPr="002747C8">
        <w:t>co más limitados</w:t>
      </w:r>
      <w:r w:rsidR="00BD01B4" w:rsidRPr="002747C8">
        <w:t>. L</w:t>
      </w:r>
      <w:r w:rsidRPr="002747C8">
        <w:t xml:space="preserve">os bancos comerciales comenzaron </w:t>
      </w:r>
      <w:r w:rsidR="0089024E" w:rsidRPr="002747C8">
        <w:t>a trasladar los recursos de sus carteras crediticias a la depositaria de valores del BCH, por lo que</w:t>
      </w:r>
      <w:r w:rsidR="00BD01B4" w:rsidRPr="002747C8">
        <w:t>,</w:t>
      </w:r>
      <w:r w:rsidR="0089024E" w:rsidRPr="002747C8">
        <w:t xml:space="preserve"> al volverse más escasos dichos recursos para créditos, la tasa de interés interbancaria aumento</w:t>
      </w:r>
      <w:r w:rsidR="005E10F5" w:rsidRPr="002747C8">
        <w:t>, como se observa en la Figura 9</w:t>
      </w:r>
      <w:r w:rsidR="00BD01B4" w:rsidRPr="002747C8">
        <w:t>.</w:t>
      </w:r>
      <w:r w:rsidR="0089024E" w:rsidRPr="002747C8">
        <w:t xml:space="preserve"> </w:t>
      </w:r>
      <w:r w:rsidR="00BD01B4" w:rsidRPr="002747C8">
        <w:t>E</w:t>
      </w:r>
      <w:r w:rsidR="0089024E" w:rsidRPr="002747C8">
        <w:t>n este punto los entrevistados enfatizaron que</w:t>
      </w:r>
      <w:r w:rsidR="00BD01B4" w:rsidRPr="002747C8">
        <w:t>,</w:t>
      </w:r>
      <w:r w:rsidR="0089024E" w:rsidRPr="002747C8">
        <w:t xml:space="preserve"> este suceso es de importancia debido a que la tasa de interbancaria viene siendo como un primer filtro o referencia para las tasas de interés que ofrecen los bancos comerciales.  </w:t>
      </w:r>
    </w:p>
    <w:p w14:paraId="05DF0AB9" w14:textId="2A5D918B" w:rsidR="00836AD9" w:rsidRDefault="00836AD9" w:rsidP="00836AD9">
      <w:pPr>
        <w:widowControl/>
        <w:spacing w:line="480" w:lineRule="auto"/>
        <w:ind w:firstLine="720"/>
        <w:jc w:val="center"/>
        <w:rPr>
          <w:rFonts w:ascii="Times New Roman" w:eastAsia="Calibri" w:hAnsi="Times New Roman" w:cs="Times New Roman"/>
          <w:sz w:val="24"/>
        </w:rPr>
      </w:pPr>
      <w:r>
        <w:rPr>
          <w:rFonts w:ascii="Times New Roman" w:eastAsia="Calibri" w:hAnsi="Times New Roman" w:cs="Times New Roman"/>
          <w:noProof/>
          <w:sz w:val="24"/>
          <w:lang w:eastAsia="es-HN"/>
        </w:rPr>
        <w:lastRenderedPageBreak/>
        <w:drawing>
          <wp:inline distT="0" distB="0" distL="0" distR="0" wp14:anchorId="21EA9277" wp14:editId="4F8B342D">
            <wp:extent cx="4572635" cy="2749550"/>
            <wp:effectExtent l="0" t="0" r="0" b="0"/>
            <wp:docPr id="210473520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72635" cy="2749550"/>
                    </a:xfrm>
                    <a:prstGeom prst="rect">
                      <a:avLst/>
                    </a:prstGeom>
                    <a:noFill/>
                  </pic:spPr>
                </pic:pic>
              </a:graphicData>
            </a:graphic>
          </wp:inline>
        </w:drawing>
      </w:r>
    </w:p>
    <w:p w14:paraId="2E2C8FA1" w14:textId="2143A1EF" w:rsidR="00432846" w:rsidRPr="002747C8" w:rsidRDefault="00432846" w:rsidP="002747C8">
      <w:pPr>
        <w:pStyle w:val="TextoPrincipal"/>
        <w:spacing w:line="360" w:lineRule="auto"/>
      </w:pPr>
      <w:r w:rsidRPr="002747C8">
        <w:rPr>
          <w:b/>
          <w:bCs/>
        </w:rPr>
        <w:t>Figura 9.</w:t>
      </w:r>
      <w:r w:rsidRPr="002F25B5">
        <w:rPr>
          <w:b/>
        </w:rPr>
        <w:t xml:space="preserve"> Comportamiento de las Tasas de Interés.</w:t>
      </w:r>
    </w:p>
    <w:p w14:paraId="7E8EEDD9" w14:textId="77777777" w:rsidR="00432846" w:rsidRPr="002747C8" w:rsidRDefault="00432846" w:rsidP="002747C8">
      <w:pPr>
        <w:pStyle w:val="TextoPrincipal"/>
        <w:spacing w:line="360" w:lineRule="auto"/>
      </w:pPr>
      <w:r w:rsidRPr="00B151FF">
        <w:rPr>
          <w:bCs/>
        </w:rPr>
        <w:t>Fuente:</w:t>
      </w:r>
      <w:r w:rsidRPr="00B151FF">
        <w:t xml:space="preserve"> Elaboración</w:t>
      </w:r>
      <w:r w:rsidRPr="002747C8">
        <w:t xml:space="preserve"> propia con datos de la página web del BCH.</w:t>
      </w:r>
    </w:p>
    <w:p w14:paraId="26DC8EB1" w14:textId="3A2F167D" w:rsidR="00B059BD" w:rsidRPr="002747C8" w:rsidRDefault="00B059BD" w:rsidP="002747C8">
      <w:pPr>
        <w:pStyle w:val="TextoPrincipal"/>
        <w:spacing w:line="360" w:lineRule="auto"/>
      </w:pPr>
      <w:r w:rsidRPr="002747C8">
        <w:t>Con respecto al impacto de las decisiones de política monetaria en las tasas de interés específicamente del sector hipotecario y los préstamos de consumo, los entrevistados señalaron que, en el caso de los préstamos hipotecarios, el cambio en la tasa de interés de referencia (TPM) influyó directamente en las tasas ofrecidas por los bancos, afectando la asequibilidad de la vivienda para los prestatarios; en cuanto a los préstamos de consumo</w:t>
      </w:r>
      <w:r w:rsidR="00BD01B4" w:rsidRPr="002747C8">
        <w:t>;</w:t>
      </w:r>
      <w:r w:rsidRPr="002747C8">
        <w:t xml:space="preserve"> también</w:t>
      </w:r>
      <w:r w:rsidR="00BD01B4" w:rsidRPr="002747C8">
        <w:t>,</w:t>
      </w:r>
      <w:r w:rsidRPr="002747C8">
        <w:t xml:space="preserve"> se observó una conexión </w:t>
      </w:r>
      <w:r w:rsidR="008015CA" w:rsidRPr="002747C8">
        <w:t>ya que las decisiones de política monetaria influyen en las tasas de interés a corto plazo, afectando las condiciones de los préstamos no garantizados</w:t>
      </w:r>
      <w:r w:rsidR="00DF1C49">
        <w:t xml:space="preserve"> (ver Figura 9)</w:t>
      </w:r>
      <w:r w:rsidR="008015CA" w:rsidRPr="002747C8">
        <w:t>.</w:t>
      </w:r>
    </w:p>
    <w:p w14:paraId="04C76308" w14:textId="7F80E1EA" w:rsidR="00B37A3E" w:rsidRPr="002747C8" w:rsidRDefault="00BD01B4" w:rsidP="002747C8">
      <w:pPr>
        <w:pStyle w:val="TextoPrincipal"/>
        <w:spacing w:line="360" w:lineRule="auto"/>
      </w:pPr>
      <w:r w:rsidRPr="002747C8">
        <w:t>A</w:t>
      </w:r>
      <w:r w:rsidR="00377597" w:rsidRPr="002747C8">
        <w:t xml:space="preserve">dicionalmente y </w:t>
      </w:r>
      <w:r w:rsidR="00B37A3E" w:rsidRPr="002747C8">
        <w:t>en respuesta a la crisis del Covid-19</w:t>
      </w:r>
      <w:r w:rsidR="00377597" w:rsidRPr="002747C8">
        <w:t>,</w:t>
      </w:r>
      <w:r w:rsidR="00B37A3E" w:rsidRPr="002747C8">
        <w:t xml:space="preserve"> </w:t>
      </w:r>
      <w:r w:rsidRPr="002747C8">
        <w:t xml:space="preserve">el análisis cualitativo efectuado arrojó a nivel de resultados que, </w:t>
      </w:r>
      <w:r w:rsidR="00B37A3E" w:rsidRPr="002747C8">
        <w:t xml:space="preserve">el Gobierno implementó una serie de medidas </w:t>
      </w:r>
      <w:r w:rsidR="00377597" w:rsidRPr="002747C8">
        <w:t>a través de alivios de deuda en el sector bancario, apoyo financiero a las PYMES afectadas, con fondos de fideicomisos provenientes de la banca de desarrollo y del Gobierno Central</w:t>
      </w:r>
      <w:r w:rsidRPr="002747C8">
        <w:t>, tal como lo expusieron los entrevistados; l</w:t>
      </w:r>
      <w:r w:rsidR="00377597" w:rsidRPr="002747C8">
        <w:t xml:space="preserve">o anterior, con el propósito de dinamizar la economía, teniendo un impacto directo en las tasas de interés cobradas por los bancos comerciales, por lo que también </w:t>
      </w:r>
      <w:r w:rsidRPr="002747C8">
        <w:t xml:space="preserve">los expertos </w:t>
      </w:r>
      <w:r w:rsidR="00377597" w:rsidRPr="002747C8">
        <w:t>declara</w:t>
      </w:r>
      <w:r w:rsidRPr="002747C8">
        <w:t>ron</w:t>
      </w:r>
      <w:r w:rsidR="00377597" w:rsidRPr="002747C8">
        <w:t xml:space="preserve"> que estas medidas coadyuvaron al comportamiento decreciente en las tasas de interés activas. </w:t>
      </w:r>
    </w:p>
    <w:p w14:paraId="7BD185CE" w14:textId="3081A986" w:rsidR="00C907A7" w:rsidRPr="002747C8" w:rsidRDefault="00BD01B4" w:rsidP="002747C8">
      <w:pPr>
        <w:pStyle w:val="TextoPrincipal"/>
        <w:spacing w:line="360" w:lineRule="auto"/>
      </w:pPr>
      <w:r w:rsidRPr="002747C8">
        <w:t>Además, s</w:t>
      </w:r>
      <w:r w:rsidR="00C907A7" w:rsidRPr="002747C8">
        <w:t>eñala</w:t>
      </w:r>
      <w:r w:rsidRPr="002747C8">
        <w:t>ron</w:t>
      </w:r>
      <w:r w:rsidR="00C907A7" w:rsidRPr="002747C8">
        <w:t xml:space="preserve"> que</w:t>
      </w:r>
      <w:r w:rsidRPr="002747C8">
        <w:t>,</w:t>
      </w:r>
      <w:r w:rsidR="00C907A7" w:rsidRPr="002747C8">
        <w:t xml:space="preserve"> las medidas de respaldo financiero a los sectores productivos, inicialmente implementadas a través de los Fondos de Confianza y actualmente gestionadas </w:t>
      </w:r>
      <w:r w:rsidR="00C907A7" w:rsidRPr="002747C8">
        <w:lastRenderedPageBreak/>
        <w:t>mediante el Fondo de Inversión BCH-</w:t>
      </w:r>
      <w:proofErr w:type="spellStart"/>
      <w:r w:rsidR="00C907A7" w:rsidRPr="002747C8">
        <w:t>Banhprovi</w:t>
      </w:r>
      <w:proofErr w:type="spellEnd"/>
      <w:r w:rsidR="00C907A7" w:rsidRPr="002747C8">
        <w:t xml:space="preserve">; han generado un impacto positivo en las tasas de interés. Estos recursos, proporcionados por el Gobierno y canalizados a través de la banca privada, han provocado un incremento en la demanda de créditos, especialmente aquellos destinados al sector </w:t>
      </w:r>
      <w:r w:rsidR="00194741" w:rsidRPr="002747C8">
        <w:t>de construcción o propiedad raíz</w:t>
      </w:r>
      <w:r w:rsidR="005E10F5" w:rsidRPr="002747C8">
        <w:t>, lo que coincide con lo reflejado en la Figura 10</w:t>
      </w:r>
      <w:r w:rsidR="00C907A7" w:rsidRPr="002747C8">
        <w:t>. Este escenario ha llevado a los bancos comerciales a reducir las tasas de interés que ofrecen con recursos propios, con el fin de satisfacer y aprovechar la creciente demanda de sus clientes.</w:t>
      </w:r>
    </w:p>
    <w:p w14:paraId="7B912E42" w14:textId="77777777" w:rsidR="005E10F5" w:rsidRDefault="005E10F5" w:rsidP="005E10F5">
      <w:pPr>
        <w:widowControl/>
        <w:spacing w:line="480" w:lineRule="auto"/>
        <w:ind w:firstLine="720"/>
        <w:jc w:val="center"/>
        <w:rPr>
          <w:rFonts w:ascii="Times New Roman" w:eastAsia="Calibri" w:hAnsi="Times New Roman" w:cs="Times New Roman"/>
          <w:sz w:val="24"/>
        </w:rPr>
      </w:pPr>
      <w:r>
        <w:rPr>
          <w:noProof/>
          <w:lang w:eastAsia="es-HN"/>
        </w:rPr>
        <w:drawing>
          <wp:inline distT="0" distB="0" distL="0" distR="0" wp14:anchorId="2A4CE6BF" wp14:editId="633D09EC">
            <wp:extent cx="4572000" cy="2743200"/>
            <wp:effectExtent l="0" t="0" r="0" b="0"/>
            <wp:docPr id="2138990062" name="Gráfico 1">
              <a:extLst xmlns:a="http://schemas.openxmlformats.org/drawingml/2006/main">
                <a:ext uri="{FF2B5EF4-FFF2-40B4-BE49-F238E27FC236}">
                  <a16:creationId xmlns:a16="http://schemas.microsoft.com/office/drawing/2014/main" id="{C2E4A033-7BAD-49C4-A307-CFCC0E0508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BA8999F" w14:textId="77777777" w:rsidR="005E10F5" w:rsidRPr="002747C8" w:rsidRDefault="005E10F5" w:rsidP="002747C8">
      <w:pPr>
        <w:pStyle w:val="TextoPrincipal"/>
        <w:spacing w:line="360" w:lineRule="auto"/>
      </w:pPr>
      <w:r w:rsidRPr="002747C8">
        <w:rPr>
          <w:b/>
          <w:bCs/>
        </w:rPr>
        <w:t>Figura 10.</w:t>
      </w:r>
      <w:r w:rsidRPr="002747C8">
        <w:t xml:space="preserve"> </w:t>
      </w:r>
      <w:r w:rsidRPr="002F25B5">
        <w:rPr>
          <w:b/>
        </w:rPr>
        <w:t>Comportamiento de las Tasas de Interés Activas por Sector Económico.</w:t>
      </w:r>
    </w:p>
    <w:p w14:paraId="5E1A1964" w14:textId="77777777" w:rsidR="005E10F5" w:rsidRPr="002747C8" w:rsidRDefault="005E10F5" w:rsidP="002747C8">
      <w:pPr>
        <w:pStyle w:val="TextoPrincipal"/>
        <w:spacing w:line="360" w:lineRule="auto"/>
      </w:pPr>
      <w:r w:rsidRPr="00B151FF">
        <w:rPr>
          <w:bCs/>
        </w:rPr>
        <w:t>Fuente:</w:t>
      </w:r>
      <w:r w:rsidRPr="00B151FF">
        <w:t xml:space="preserve"> Elaboración</w:t>
      </w:r>
      <w:r w:rsidRPr="002747C8">
        <w:t xml:space="preserve"> propia con datos de la página web del BCH.</w:t>
      </w:r>
    </w:p>
    <w:p w14:paraId="242388EB" w14:textId="366F4DC0" w:rsidR="009450DE" w:rsidRPr="002747C8" w:rsidRDefault="009450DE" w:rsidP="002747C8">
      <w:pPr>
        <w:pStyle w:val="TextoPrincipal"/>
        <w:spacing w:line="360" w:lineRule="auto"/>
      </w:pPr>
      <w:r w:rsidRPr="002747C8">
        <w:t xml:space="preserve">En relación al impacto en las tasas de interés activas derivado de las medidas de alivio financiero implementadas durante la pandemia, los entrevistados </w:t>
      </w:r>
      <w:r w:rsidR="005E10F5" w:rsidRPr="002747C8">
        <w:t xml:space="preserve">arguyeron </w:t>
      </w:r>
      <w:r w:rsidRPr="002747C8">
        <w:t xml:space="preserve">que inicialmente estas medidas </w:t>
      </w:r>
      <w:r w:rsidR="005E10F5" w:rsidRPr="002747C8">
        <w:t xml:space="preserve">también </w:t>
      </w:r>
      <w:r w:rsidRPr="002747C8">
        <w:t>afectaron las tasas de interés. En este sentido, la actividad bancaria experimentó una virtual paralización, y los bancos comerciales tuvieron que asumir ciertos costos que, de alguna manera, se reflejarían en las tasas de interés. Sin embargo, a medida que la actividad económica se fue reactivando y las especulaciones sobre la pandemia disminuyeron, este impacto se diluyó.</w:t>
      </w:r>
    </w:p>
    <w:p w14:paraId="470673BA" w14:textId="77777777" w:rsidR="005C32B5" w:rsidRPr="002747C8" w:rsidRDefault="00583EC9" w:rsidP="002747C8">
      <w:pPr>
        <w:pStyle w:val="TextoPrincipal"/>
        <w:spacing w:line="360" w:lineRule="auto"/>
      </w:pPr>
      <w:r w:rsidRPr="002747C8">
        <w:t>En tanto a l</w:t>
      </w:r>
      <w:r w:rsidR="008015CA" w:rsidRPr="002747C8">
        <w:t>a participación del sistema financiero en las ventanillas de liquidez del BCH</w:t>
      </w:r>
      <w:r w:rsidRPr="002747C8">
        <w:t>, los entrevistados coincidieron que</w:t>
      </w:r>
      <w:r w:rsidR="008015CA" w:rsidRPr="002747C8">
        <w:t xml:space="preserve"> desempeña un papel crucial en la determinación de las tasas de interés cobradas por los bancos comerciales. Cuando los bancos recurren a las ventanillas de liquidez del BCH, están buscando acceso a fondos adicionales para satisfacer sus necesidades de </w:t>
      </w:r>
      <w:r w:rsidR="008015CA" w:rsidRPr="002747C8">
        <w:lastRenderedPageBreak/>
        <w:t xml:space="preserve">liquidez. La tasa de interés que el banco central establece en estas transacciones influye directamente en el costo de obtener esos fondos para los bancos. Si el banco central establece una tasa baja, los bancos comerciales pueden acceder a financiamiento más barato, lo que tiende a traducirse en tasas de interés más bajas para los prestatarios finales, y viceversa. </w:t>
      </w:r>
    </w:p>
    <w:p w14:paraId="7A887F00" w14:textId="0130C51C" w:rsidR="008015CA" w:rsidRPr="002747C8" w:rsidRDefault="008015CA" w:rsidP="002747C8">
      <w:pPr>
        <w:pStyle w:val="TextoPrincipal"/>
        <w:spacing w:line="360" w:lineRule="auto"/>
      </w:pPr>
      <w:r w:rsidRPr="002747C8">
        <w:t>La política monetaria a través de las ventanillas de liquidez se convierte así en un instrumento para influir en las condiciones crediticias y en las tasas de interés en la economía, afectando la disponibilidad y el costo del crédito para empresas y consumidores.</w:t>
      </w:r>
    </w:p>
    <w:p w14:paraId="1113F81A" w14:textId="37A2A752" w:rsidR="00853FC5" w:rsidRPr="002747C8" w:rsidRDefault="00C91277" w:rsidP="002747C8">
      <w:pPr>
        <w:pStyle w:val="TextoPrincipal"/>
        <w:spacing w:line="360" w:lineRule="auto"/>
      </w:pPr>
      <w:r w:rsidRPr="002747C8">
        <w:t xml:space="preserve">Finalmente, al respecto de las medidas de refinanciamiento y reestructuración de créditos implementadas durante la pandemia y su impacto en las tasas de interés activas, los entrevistados señalaron que esas medidas fueron diseñadas para aliviar la presión financiera suscitada en ese período, las instituciones financieras ajustaron las condiciones de los préstamos para proporcionar tasas de interés más favorables, plazos extendidos o períodos de gracia. Esto, en conjunto, </w:t>
      </w:r>
      <w:r w:rsidR="008C3AE0" w:rsidRPr="002747C8">
        <w:t>contribuyó</w:t>
      </w:r>
      <w:r w:rsidRPr="002747C8">
        <w:t xml:space="preserve"> a mitigar el riesgo de impago y a mantener la estabilidad financiera tanto para los </w:t>
      </w:r>
      <w:r w:rsidR="008C3AE0" w:rsidRPr="002747C8">
        <w:t>consumidores</w:t>
      </w:r>
      <w:r w:rsidRPr="002747C8">
        <w:t xml:space="preserve"> como para los propios bancos</w:t>
      </w:r>
      <w:r w:rsidR="008C3AE0" w:rsidRPr="002747C8">
        <w:t xml:space="preserve">. Cabe destacar que, </w:t>
      </w:r>
      <w:r w:rsidRPr="002747C8">
        <w:t xml:space="preserve">los márgenes de beneficio de los bancos se vieron afectados, ya que ofrecer condiciones más flexibles </w:t>
      </w:r>
      <w:r w:rsidR="008C3AE0" w:rsidRPr="002747C8">
        <w:t>reducen</w:t>
      </w:r>
      <w:r w:rsidRPr="002747C8">
        <w:t xml:space="preserve"> los ingresos por intereses.</w:t>
      </w:r>
    </w:p>
    <w:p w14:paraId="62E5737E" w14:textId="77777777" w:rsidR="00032A68" w:rsidRDefault="00032A68" w:rsidP="00A20902">
      <w:pPr>
        <w:widowControl/>
        <w:spacing w:line="480" w:lineRule="auto"/>
        <w:ind w:firstLine="720"/>
        <w:jc w:val="both"/>
        <w:rPr>
          <w:b/>
          <w:bCs/>
          <w:lang w:eastAsia="es-ES"/>
        </w:rPr>
      </w:pPr>
    </w:p>
    <w:p w14:paraId="05224B36" w14:textId="77777777" w:rsidR="00032A68" w:rsidRDefault="00032A68" w:rsidP="00A20902">
      <w:pPr>
        <w:widowControl/>
        <w:spacing w:line="480" w:lineRule="auto"/>
        <w:ind w:firstLine="720"/>
        <w:jc w:val="both"/>
        <w:rPr>
          <w:b/>
          <w:bCs/>
          <w:lang w:eastAsia="es-ES"/>
        </w:rPr>
      </w:pPr>
    </w:p>
    <w:p w14:paraId="7CEFE288" w14:textId="77777777" w:rsidR="00032A68" w:rsidRDefault="00032A68" w:rsidP="00A20902">
      <w:pPr>
        <w:widowControl/>
        <w:spacing w:line="480" w:lineRule="auto"/>
        <w:ind w:firstLine="720"/>
        <w:jc w:val="both"/>
        <w:rPr>
          <w:b/>
          <w:bCs/>
          <w:lang w:eastAsia="es-ES"/>
        </w:rPr>
      </w:pPr>
    </w:p>
    <w:p w14:paraId="7C4717D9" w14:textId="77777777" w:rsidR="00032A68" w:rsidRDefault="00032A68" w:rsidP="00A20902">
      <w:pPr>
        <w:widowControl/>
        <w:spacing w:line="480" w:lineRule="auto"/>
        <w:ind w:firstLine="720"/>
        <w:jc w:val="both"/>
        <w:rPr>
          <w:b/>
          <w:bCs/>
          <w:lang w:eastAsia="es-ES"/>
        </w:rPr>
      </w:pPr>
    </w:p>
    <w:p w14:paraId="72A469DC" w14:textId="77777777" w:rsidR="00032A68" w:rsidRDefault="00032A68" w:rsidP="00A20902">
      <w:pPr>
        <w:widowControl/>
        <w:spacing w:line="480" w:lineRule="auto"/>
        <w:ind w:firstLine="720"/>
        <w:jc w:val="both"/>
        <w:rPr>
          <w:b/>
          <w:bCs/>
          <w:lang w:eastAsia="es-ES"/>
        </w:rPr>
      </w:pPr>
    </w:p>
    <w:p w14:paraId="393CBC85" w14:textId="77777777" w:rsidR="00032A68" w:rsidRDefault="00032A68" w:rsidP="003D4020">
      <w:pPr>
        <w:widowControl/>
        <w:spacing w:line="480" w:lineRule="auto"/>
        <w:ind w:firstLine="720"/>
        <w:rPr>
          <w:b/>
          <w:bCs/>
          <w:lang w:eastAsia="es-ES"/>
        </w:rPr>
      </w:pPr>
    </w:p>
    <w:p w14:paraId="438F8607" w14:textId="77777777" w:rsidR="005C32B5" w:rsidRDefault="005C32B5" w:rsidP="00032A68">
      <w:pPr>
        <w:widowControl/>
        <w:spacing w:line="480" w:lineRule="auto"/>
        <w:rPr>
          <w:b/>
          <w:bCs/>
          <w:lang w:eastAsia="es-ES"/>
        </w:rPr>
      </w:pPr>
    </w:p>
    <w:p w14:paraId="0A59B75F" w14:textId="77777777" w:rsidR="00CC72DD" w:rsidRDefault="00CC72DD" w:rsidP="00032A68">
      <w:pPr>
        <w:widowControl/>
        <w:spacing w:line="480" w:lineRule="auto"/>
        <w:rPr>
          <w:b/>
          <w:bCs/>
          <w:lang w:eastAsia="es-ES"/>
        </w:rPr>
      </w:pPr>
    </w:p>
    <w:p w14:paraId="7D89C536" w14:textId="77777777" w:rsidR="005C32B5" w:rsidRDefault="005C32B5" w:rsidP="00032A68">
      <w:pPr>
        <w:widowControl/>
        <w:spacing w:line="480" w:lineRule="auto"/>
        <w:rPr>
          <w:b/>
          <w:bCs/>
          <w:lang w:eastAsia="es-ES"/>
        </w:rPr>
      </w:pPr>
    </w:p>
    <w:p w14:paraId="5E283655" w14:textId="77777777" w:rsidR="000F3C39" w:rsidRDefault="000F3C39" w:rsidP="000F3C39">
      <w:pPr>
        <w:pStyle w:val="Ttulo1"/>
        <w:spacing w:line="360" w:lineRule="auto"/>
        <w:ind w:firstLine="567"/>
        <w:rPr>
          <w:b w:val="0"/>
          <w:lang w:eastAsia="es-ES"/>
        </w:rPr>
      </w:pPr>
      <w:bookmarkStart w:id="156" w:name="_Toc122123373"/>
      <w:bookmarkStart w:id="157" w:name="_Toc155066649"/>
      <w:r w:rsidRPr="005263EE">
        <w:rPr>
          <w:lang w:eastAsia="es-ES"/>
        </w:rPr>
        <w:lastRenderedPageBreak/>
        <w:t>CAPITULO V. CONCLUSIONES Y RECOMENDACIONES</w:t>
      </w:r>
      <w:bookmarkEnd w:id="156"/>
      <w:bookmarkEnd w:id="157"/>
    </w:p>
    <w:p w14:paraId="578B7D4B" w14:textId="2D2EB2AB" w:rsidR="00E44CD3" w:rsidRPr="002747C8" w:rsidRDefault="00E30BCB" w:rsidP="002747C8">
      <w:pPr>
        <w:pStyle w:val="TextoPrincipal"/>
        <w:spacing w:line="360" w:lineRule="auto"/>
      </w:pPr>
      <w:r w:rsidRPr="002747C8">
        <w:t>En este capítulo, se presentan las conclusiones y recomendaciones derivadas de la recopilación de datos, la aplicación de instrumentos y el análisis de los resultados. Además, se integra toda la información adicional obtenida de diversas fuentes, como tesis, trabajos, revistas, entre otros, que abordan temáticas afines a la línea de estudio de este trabajo. Después de examinar y analizar exhaustivamente estos elementos, se exponen las conclusiones alcanzadas, así como algunas recomendaciones pertinentes para contribuir al cuerpo de conocimientos en esta área de estudio.</w:t>
      </w:r>
    </w:p>
    <w:p w14:paraId="311A1FDE" w14:textId="57C97A00" w:rsidR="00E44CD3" w:rsidRDefault="00E44CD3" w:rsidP="00E44CD3">
      <w:pPr>
        <w:keepNext/>
        <w:keepLines/>
        <w:widowControl/>
        <w:spacing w:line="480" w:lineRule="auto"/>
        <w:outlineLvl w:val="1"/>
        <w:rPr>
          <w:rFonts w:ascii="Times New Roman" w:eastAsia="Calibri" w:hAnsi="Times New Roman" w:cs="Times New Roman"/>
          <w:sz w:val="24"/>
        </w:rPr>
      </w:pPr>
      <w:bookmarkStart w:id="158" w:name="_Toc155066650"/>
      <w:r>
        <w:rPr>
          <w:rFonts w:ascii="Times New Roman" w:eastAsia="Calibri" w:hAnsi="Times New Roman" w:cs="Calibri"/>
          <w:b/>
          <w:sz w:val="24"/>
          <w:szCs w:val="36"/>
          <w:lang w:eastAsia="es-HN"/>
        </w:rPr>
        <w:t xml:space="preserve">5.1 </w:t>
      </w:r>
      <w:r w:rsidRPr="0070780E">
        <w:rPr>
          <w:rFonts w:ascii="Times New Roman" w:eastAsia="Calibri" w:hAnsi="Times New Roman" w:cs="Calibri"/>
          <w:b/>
          <w:sz w:val="24"/>
          <w:szCs w:val="36"/>
          <w:lang w:eastAsia="es-HN"/>
        </w:rPr>
        <w:t>CONCLUSIONES</w:t>
      </w:r>
      <w:bookmarkEnd w:id="158"/>
    </w:p>
    <w:p w14:paraId="2171FE1F" w14:textId="2226451C" w:rsidR="00E44CD3" w:rsidRPr="002747C8" w:rsidRDefault="00347E0B" w:rsidP="002747C8">
      <w:pPr>
        <w:pStyle w:val="TextoPrincipal"/>
        <w:spacing w:line="360" w:lineRule="auto"/>
      </w:pPr>
      <w:r w:rsidRPr="002747C8">
        <w:t>1. Durante el período de 2019 a 2022, los factores macroeconómicos, especialmente el crecimiento económico y las decisiones de política monetaria, jugaron un papel determinante en la tasa de interés nominal en moneda nacional cobrada por los bancos comerciales en Honduras. La contracción económica provocada por la pandemia de COVID-19 en 2020 impactó negativamente las tasas de interés, pero las medidas de política monetaria, como la reducción de la Tasa de Política Monetaria (TPM), mitigaron este efecto.</w:t>
      </w:r>
    </w:p>
    <w:p w14:paraId="77D37F31" w14:textId="4544E5B6" w:rsidR="00B8107F" w:rsidRDefault="006731A0" w:rsidP="002747C8">
      <w:pPr>
        <w:pStyle w:val="TextoPrincipal"/>
        <w:spacing w:line="360" w:lineRule="auto"/>
      </w:pPr>
      <w:r>
        <w:t>2</w:t>
      </w:r>
      <w:r w:rsidR="00B8107F" w:rsidRPr="002747C8">
        <w:t>. Los componentes financieros, en particular los costos administrativos</w:t>
      </w:r>
      <w:r w:rsidR="00C21A0E">
        <w:t xml:space="preserve"> (con una ponderación de 3.33 puntos porcentuales en 2022) </w:t>
      </w:r>
      <w:r w:rsidR="00B8107F" w:rsidRPr="002747C8">
        <w:t>y los activos menos rentables</w:t>
      </w:r>
      <w:r w:rsidR="00C21A0E">
        <w:t xml:space="preserve"> (representando un 3.04 puntos porcentuales)</w:t>
      </w:r>
      <w:r w:rsidR="00B8107F" w:rsidRPr="002747C8">
        <w:t>, tuvieron una incidencia significativa en la tasa de interés activa. La reducción de costos administrativos durante la pandemia</w:t>
      </w:r>
      <w:r w:rsidR="00E069DA">
        <w:t xml:space="preserve"> (pasando de 3.76 puntos porcentuales en 2019 a 3.24 puntos porcentuales en 2020)</w:t>
      </w:r>
      <w:r w:rsidR="00B8107F" w:rsidRPr="002747C8">
        <w:t>, derivada de la implementación de prácticas semipresenciales y de trabajo remoto, contribuyó a la disminución de la tasa. Por otro lado, el aumento de activos menos rentables</w:t>
      </w:r>
      <w:r w:rsidR="00E069DA">
        <w:t xml:space="preserve"> (pasando de 2.23 puntos porcentuales en 2019 a 3.</w:t>
      </w:r>
      <w:r w:rsidR="006335F3">
        <w:t>7</w:t>
      </w:r>
      <w:r w:rsidR="00E069DA">
        <w:t>4 puntos porcentuales en 2020)</w:t>
      </w:r>
      <w:r w:rsidR="00B8107F" w:rsidRPr="002747C8">
        <w:t>, impulsado por la liquidez excedente en el sistema bancario en 2020, también influyó en el comportamiento de la tasa.</w:t>
      </w:r>
    </w:p>
    <w:p w14:paraId="436E5270" w14:textId="172C98A7" w:rsidR="0070780E" w:rsidRPr="002747C8" w:rsidRDefault="00A9262F" w:rsidP="0070780E">
      <w:pPr>
        <w:pStyle w:val="TextoPrincipal"/>
        <w:spacing w:line="360" w:lineRule="auto"/>
      </w:pPr>
      <w:r>
        <w:t>3</w:t>
      </w:r>
      <w:r w:rsidR="00193456" w:rsidRPr="002747C8">
        <w:t xml:space="preserve">. </w:t>
      </w:r>
      <w:r w:rsidR="00E75193" w:rsidRPr="002747C8">
        <w:t>Las políticas gubernamentales, como las medidas de alivio financiero y el respaldo a sectores afectados por la pandemia, tuvieron un impacto positivo en la reducción de las tasas de interés activas. La inyección de fondos para apoyar la actividad económica, especialmente a través de la banca privada, generó una mayor demanda de créditos y llevó a los bancos a reducir sus tasas para satisfacer esta demanda en el período posterior a la pandemia.</w:t>
      </w:r>
    </w:p>
    <w:p w14:paraId="110EED8A" w14:textId="1EA16F82" w:rsidR="00E705ED" w:rsidRDefault="00E705ED" w:rsidP="00E705ED">
      <w:pPr>
        <w:keepNext/>
        <w:keepLines/>
        <w:widowControl/>
        <w:spacing w:line="480" w:lineRule="auto"/>
        <w:outlineLvl w:val="1"/>
        <w:rPr>
          <w:rFonts w:ascii="Times New Roman" w:eastAsia="Calibri" w:hAnsi="Times New Roman" w:cs="Times New Roman"/>
          <w:sz w:val="24"/>
        </w:rPr>
      </w:pPr>
      <w:bookmarkStart w:id="159" w:name="_Toc155066651"/>
      <w:r>
        <w:rPr>
          <w:rFonts w:ascii="Times New Roman" w:eastAsia="Calibri" w:hAnsi="Times New Roman" w:cs="Calibri"/>
          <w:b/>
          <w:sz w:val="24"/>
          <w:szCs w:val="36"/>
          <w:lang w:eastAsia="es-HN"/>
        </w:rPr>
        <w:lastRenderedPageBreak/>
        <w:t xml:space="preserve">5.2 </w:t>
      </w:r>
      <w:r w:rsidRPr="00B86772">
        <w:rPr>
          <w:rFonts w:ascii="Times New Roman" w:eastAsia="Calibri" w:hAnsi="Times New Roman" w:cs="Calibri"/>
          <w:b/>
          <w:sz w:val="24"/>
          <w:szCs w:val="36"/>
          <w:lang w:eastAsia="es-HN"/>
        </w:rPr>
        <w:t>RECOMEDACIONES</w:t>
      </w:r>
      <w:bookmarkEnd w:id="159"/>
    </w:p>
    <w:p w14:paraId="754796B1" w14:textId="0C29C85C" w:rsidR="00305B9B" w:rsidRDefault="00E705ED" w:rsidP="002747C8">
      <w:pPr>
        <w:pStyle w:val="TextoPrincipal"/>
        <w:spacing w:line="360" w:lineRule="auto"/>
      </w:pPr>
      <w:r w:rsidRPr="002747C8">
        <w:t>1. Se recomienda a las autoridades económicas y financieras de Honduras mantener un monitoreo constante de los factores macroeconómicos, especialmente aquellos relacionados con el crecimiento económico y la política monetaria. Esto permitirá una adaptación proactiva a las condiciones económicas cambiantes y una gestión efectiva de las tasas de interés.</w:t>
      </w:r>
    </w:p>
    <w:p w14:paraId="01CE84A9" w14:textId="19B4EF10" w:rsidR="00E705ED" w:rsidRPr="002747C8" w:rsidRDefault="00A9262F" w:rsidP="002747C8">
      <w:pPr>
        <w:pStyle w:val="TextoPrincipal"/>
        <w:spacing w:line="360" w:lineRule="auto"/>
      </w:pPr>
      <w:r>
        <w:t>2</w:t>
      </w:r>
      <w:r w:rsidR="00E705ED" w:rsidRPr="002747C8">
        <w:t>. Con base en la experiencia durante la pandemia, se sugiere a los bancos comerciales continuar optimizando los costos administrativos mediante la implementación de prácticas eficientes, como el trabajo semipresencial y la innovación tecnológica. Esto no solo contribuirá a mantener tasas competitivas, sino que también mejorará la eficiencia operativa.</w:t>
      </w:r>
    </w:p>
    <w:p w14:paraId="58F571AE" w14:textId="41D8240A" w:rsidR="00E705ED" w:rsidRPr="002747C8" w:rsidRDefault="00A9262F" w:rsidP="002747C8">
      <w:pPr>
        <w:pStyle w:val="TextoPrincipal"/>
        <w:spacing w:line="360" w:lineRule="auto"/>
      </w:pPr>
      <w:r>
        <w:t>3</w:t>
      </w:r>
      <w:r w:rsidR="00E705ED" w:rsidRPr="002747C8">
        <w:t>. Dada la conexión entre las medidas de respaldo financiero gubernamentales y la reducción de tasas de interés, se recomienda mantener flexibilidad en estas políticas para adaptarse a situaciones económicas cambiantes. Evaluar continuamente el impacto de estas medidas y ajustarlas según sea necesario para mantener un equilibrio entre el estímulo económico y la estabilidad financiera.</w:t>
      </w:r>
    </w:p>
    <w:p w14:paraId="18595536" w14:textId="77777777" w:rsidR="00AD7C8F" w:rsidRDefault="00AD7C8F" w:rsidP="003D4020">
      <w:pPr>
        <w:widowControl/>
        <w:spacing w:line="480" w:lineRule="auto"/>
        <w:ind w:firstLine="720"/>
        <w:rPr>
          <w:b/>
          <w:bCs/>
          <w:lang w:eastAsia="es-ES"/>
        </w:rPr>
      </w:pPr>
    </w:p>
    <w:p w14:paraId="07DDE147" w14:textId="77777777" w:rsidR="00AD7C8F" w:rsidRDefault="00AD7C8F" w:rsidP="003D4020">
      <w:pPr>
        <w:widowControl/>
        <w:spacing w:line="480" w:lineRule="auto"/>
        <w:ind w:firstLine="720"/>
        <w:rPr>
          <w:b/>
          <w:bCs/>
          <w:lang w:eastAsia="es-ES"/>
        </w:rPr>
      </w:pPr>
    </w:p>
    <w:p w14:paraId="17A0D8D7" w14:textId="7EAF2EF1" w:rsidR="00AD7C8F" w:rsidRDefault="00AD7C8F" w:rsidP="003D4020">
      <w:pPr>
        <w:widowControl/>
        <w:spacing w:line="480" w:lineRule="auto"/>
        <w:ind w:firstLine="720"/>
        <w:rPr>
          <w:b/>
          <w:bCs/>
          <w:lang w:eastAsia="es-ES"/>
        </w:rPr>
      </w:pPr>
    </w:p>
    <w:p w14:paraId="21A8D840" w14:textId="77777777" w:rsidR="002E423E" w:rsidRDefault="002E423E" w:rsidP="003D4020">
      <w:pPr>
        <w:widowControl/>
        <w:spacing w:line="480" w:lineRule="auto"/>
        <w:ind w:firstLine="720"/>
        <w:rPr>
          <w:b/>
          <w:bCs/>
          <w:lang w:eastAsia="es-ES"/>
        </w:rPr>
      </w:pPr>
    </w:p>
    <w:p w14:paraId="1C2BE4E1" w14:textId="77777777" w:rsidR="00AD7C8F" w:rsidRDefault="00AD7C8F" w:rsidP="003D4020">
      <w:pPr>
        <w:widowControl/>
        <w:spacing w:line="480" w:lineRule="auto"/>
        <w:ind w:firstLine="720"/>
        <w:rPr>
          <w:b/>
          <w:bCs/>
          <w:lang w:eastAsia="es-ES"/>
        </w:rPr>
      </w:pPr>
    </w:p>
    <w:p w14:paraId="4CCC609E" w14:textId="77777777" w:rsidR="00B86772" w:rsidRDefault="00B86772" w:rsidP="003D4020">
      <w:pPr>
        <w:widowControl/>
        <w:spacing w:line="480" w:lineRule="auto"/>
        <w:ind w:firstLine="720"/>
        <w:rPr>
          <w:b/>
          <w:bCs/>
          <w:lang w:eastAsia="es-ES"/>
        </w:rPr>
      </w:pPr>
    </w:p>
    <w:p w14:paraId="3406F1F6" w14:textId="77777777" w:rsidR="00B86772" w:rsidRDefault="00B86772" w:rsidP="003D4020">
      <w:pPr>
        <w:widowControl/>
        <w:spacing w:line="480" w:lineRule="auto"/>
        <w:ind w:firstLine="720"/>
        <w:rPr>
          <w:b/>
          <w:bCs/>
          <w:lang w:eastAsia="es-ES"/>
        </w:rPr>
      </w:pPr>
    </w:p>
    <w:p w14:paraId="07ACFEF8" w14:textId="77777777" w:rsidR="00B86772" w:rsidRDefault="00B86772" w:rsidP="003D4020">
      <w:pPr>
        <w:widowControl/>
        <w:spacing w:line="480" w:lineRule="auto"/>
        <w:ind w:firstLine="720"/>
        <w:rPr>
          <w:b/>
          <w:bCs/>
          <w:lang w:eastAsia="es-ES"/>
        </w:rPr>
      </w:pPr>
    </w:p>
    <w:p w14:paraId="6240BDA7" w14:textId="77777777" w:rsidR="00B86772" w:rsidRDefault="00B86772" w:rsidP="003D4020">
      <w:pPr>
        <w:widowControl/>
        <w:spacing w:line="480" w:lineRule="auto"/>
        <w:ind w:firstLine="720"/>
        <w:rPr>
          <w:b/>
          <w:bCs/>
          <w:lang w:eastAsia="es-ES"/>
        </w:rPr>
      </w:pPr>
    </w:p>
    <w:p w14:paraId="11D32D5A" w14:textId="77777777" w:rsidR="00B86772" w:rsidRDefault="00B86772" w:rsidP="003D4020">
      <w:pPr>
        <w:widowControl/>
        <w:spacing w:line="480" w:lineRule="auto"/>
        <w:ind w:firstLine="720"/>
        <w:rPr>
          <w:b/>
          <w:bCs/>
          <w:lang w:eastAsia="es-ES"/>
        </w:rPr>
      </w:pPr>
    </w:p>
    <w:p w14:paraId="0728BD97" w14:textId="77777777" w:rsidR="00B86772" w:rsidRDefault="00B86772" w:rsidP="003D4020">
      <w:pPr>
        <w:widowControl/>
        <w:spacing w:line="480" w:lineRule="auto"/>
        <w:ind w:firstLine="720"/>
        <w:rPr>
          <w:b/>
          <w:bCs/>
          <w:lang w:eastAsia="es-ES"/>
        </w:rPr>
      </w:pPr>
    </w:p>
    <w:p w14:paraId="23DAB959" w14:textId="77777777" w:rsidR="006075C1" w:rsidRDefault="006075C1" w:rsidP="006075C1">
      <w:pPr>
        <w:pStyle w:val="Ttulo1"/>
        <w:spacing w:line="360" w:lineRule="auto"/>
      </w:pPr>
      <w:bookmarkStart w:id="160" w:name="_Toc132615478"/>
      <w:bookmarkStart w:id="161" w:name="_Toc155066652"/>
      <w:r>
        <w:lastRenderedPageBreak/>
        <w:t>CAPÍTULO VI. APLICABILIDAD</w:t>
      </w:r>
      <w:bookmarkEnd w:id="160"/>
      <w:bookmarkEnd w:id="161"/>
    </w:p>
    <w:p w14:paraId="4A3E2839" w14:textId="49CFBCA4" w:rsidR="003E19C6" w:rsidRPr="003E19C6" w:rsidRDefault="003E19C6" w:rsidP="002747C8">
      <w:pPr>
        <w:pStyle w:val="TextoPrincipal"/>
        <w:spacing w:line="360" w:lineRule="auto"/>
      </w:pPr>
      <w:r w:rsidRPr="003E19C6">
        <w:t>Este capítulo se centra en la aplicación práctica de un manual propuesto que ofrece recomendaciones para la administración eficiente de costos en instituciones financieras. El manual busca mejorar los procesos administrativos internos con el objetivo de optimizar la toma de decisiones. Se enfoca en la reducción de costos, la mejora de la eficiencia operativa y la capacidad de adaptación a cambios. A lo largo del capítulo, se exploran en detalle los componentes clave de la propuesta, destacando su relevancia en el contexto actual y su contribución al fortalecimiento del sector financiero.</w:t>
      </w:r>
    </w:p>
    <w:p w14:paraId="1905464E" w14:textId="77777777" w:rsidR="006075C1" w:rsidRPr="000E2A5D" w:rsidRDefault="006075C1" w:rsidP="007E7E61">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162" w:name="_Toc130288113"/>
      <w:bookmarkStart w:id="163" w:name="_Toc132615479"/>
      <w:bookmarkStart w:id="164" w:name="_Toc152977261"/>
      <w:bookmarkStart w:id="165" w:name="_Toc152978051"/>
      <w:bookmarkStart w:id="166" w:name="_Toc152996823"/>
      <w:bookmarkStart w:id="167" w:name="_Toc153921949"/>
      <w:bookmarkStart w:id="168" w:name="_Toc153922049"/>
      <w:bookmarkStart w:id="169" w:name="_Toc155066653"/>
      <w:bookmarkEnd w:id="162"/>
      <w:bookmarkEnd w:id="163"/>
      <w:bookmarkEnd w:id="164"/>
      <w:bookmarkEnd w:id="165"/>
      <w:bookmarkEnd w:id="166"/>
      <w:bookmarkEnd w:id="167"/>
      <w:bookmarkEnd w:id="168"/>
      <w:bookmarkEnd w:id="169"/>
    </w:p>
    <w:p w14:paraId="7A66CFEF" w14:textId="77ACA065" w:rsidR="006075C1" w:rsidRPr="007A01EE" w:rsidRDefault="006075C1" w:rsidP="007E7E61">
      <w:pPr>
        <w:pStyle w:val="Ttulo2"/>
        <w:numPr>
          <w:ilvl w:val="1"/>
          <w:numId w:val="5"/>
        </w:numPr>
        <w:spacing w:line="360" w:lineRule="auto"/>
      </w:pPr>
      <w:bookmarkStart w:id="170" w:name="_Toc132615480"/>
      <w:bookmarkStart w:id="171" w:name="_Toc155066654"/>
      <w:r>
        <w:t>NOMBRE DE LA PROPUESTA</w:t>
      </w:r>
      <w:bookmarkEnd w:id="170"/>
      <w:bookmarkEnd w:id="171"/>
    </w:p>
    <w:p w14:paraId="282C0EFF" w14:textId="6B4F5C21" w:rsidR="003A0757" w:rsidRDefault="003E19C6" w:rsidP="003A0757">
      <w:pPr>
        <w:pStyle w:val="TextoPrincipal"/>
        <w:spacing w:line="360" w:lineRule="auto"/>
      </w:pPr>
      <w:r>
        <w:t>M</w:t>
      </w:r>
      <w:r w:rsidRPr="003E19C6">
        <w:t>anual para la administración y gestión eficiente de costos administrativos para la toma de decisiones en instituciones financieras, relacionada con la optimización de procesos administrativos internos.</w:t>
      </w:r>
    </w:p>
    <w:p w14:paraId="073D0BC2" w14:textId="68685F70" w:rsidR="003A0757" w:rsidRPr="009F4335" w:rsidRDefault="003A0757" w:rsidP="009F4335">
      <w:pPr>
        <w:pStyle w:val="Ttulo3"/>
        <w:ind w:firstLine="567"/>
        <w:rPr>
          <w:rFonts w:eastAsia="Times New Roman" w:cs="Times New Roman"/>
          <w:lang w:val="es-MX" w:eastAsia="es-ES"/>
        </w:rPr>
      </w:pPr>
      <w:bookmarkStart w:id="172" w:name="_Toc155066655"/>
      <w:r>
        <w:rPr>
          <w:rFonts w:eastAsia="Times New Roman" w:cs="Times New Roman"/>
          <w:lang w:val="es-MX" w:eastAsia="es-ES"/>
        </w:rPr>
        <w:t>6</w:t>
      </w:r>
      <w:r w:rsidRPr="00406AB1">
        <w:rPr>
          <w:rFonts w:eastAsia="Times New Roman" w:cs="Times New Roman"/>
          <w:lang w:val="es-MX" w:eastAsia="es-ES"/>
        </w:rPr>
        <w:t>.</w:t>
      </w:r>
      <w:r>
        <w:rPr>
          <w:rFonts w:eastAsia="Times New Roman" w:cs="Times New Roman"/>
          <w:lang w:val="es-MX" w:eastAsia="es-ES"/>
        </w:rPr>
        <w:t>1</w:t>
      </w:r>
      <w:r w:rsidRPr="00406AB1">
        <w:rPr>
          <w:rFonts w:eastAsia="Times New Roman" w:cs="Times New Roman"/>
          <w:lang w:val="es-MX" w:eastAsia="es-ES"/>
        </w:rPr>
        <w:t>.</w:t>
      </w:r>
      <w:r>
        <w:rPr>
          <w:rFonts w:eastAsia="Times New Roman" w:cs="Times New Roman"/>
          <w:lang w:val="es-MX" w:eastAsia="es-ES"/>
        </w:rPr>
        <w:t>1 OBJETIVO GENERAL</w:t>
      </w:r>
      <w:bookmarkEnd w:id="172"/>
    </w:p>
    <w:p w14:paraId="152FB36B" w14:textId="47341DAE" w:rsidR="009F4335" w:rsidRPr="009F4335" w:rsidRDefault="009F4335" w:rsidP="009F4335">
      <w:pPr>
        <w:pStyle w:val="TextoPrincipal"/>
        <w:spacing w:line="360" w:lineRule="auto"/>
      </w:pPr>
      <w:r w:rsidRPr="009F4335">
        <w:t>Desarrollar un manual integral que brinde recomendaciones y directrices específicas para la administración y gestión eficiente de costos administrativos en instituciones financieras</w:t>
      </w:r>
      <w:r w:rsidR="008C1506">
        <w:t xml:space="preserve"> del país</w:t>
      </w:r>
      <w:r w:rsidRPr="009F4335">
        <w:t>, con un enfoque centrado en la toma de decisiones informada.</w:t>
      </w:r>
    </w:p>
    <w:p w14:paraId="3B75E971" w14:textId="54830168" w:rsidR="003A0757" w:rsidRDefault="003A0757" w:rsidP="003A0757">
      <w:pPr>
        <w:pStyle w:val="Ttulo3"/>
        <w:ind w:firstLine="567"/>
        <w:rPr>
          <w:rFonts w:eastAsia="Times New Roman" w:cs="Times New Roman"/>
          <w:lang w:val="es-MX" w:eastAsia="es-ES"/>
        </w:rPr>
      </w:pPr>
      <w:bookmarkStart w:id="173" w:name="_Toc155066656"/>
      <w:r>
        <w:rPr>
          <w:rFonts w:eastAsia="Times New Roman" w:cs="Times New Roman"/>
          <w:lang w:val="es-MX" w:eastAsia="es-ES"/>
        </w:rPr>
        <w:t>6</w:t>
      </w:r>
      <w:r w:rsidRPr="00406AB1">
        <w:rPr>
          <w:rFonts w:eastAsia="Times New Roman" w:cs="Times New Roman"/>
          <w:lang w:val="es-MX" w:eastAsia="es-ES"/>
        </w:rPr>
        <w:t>.</w:t>
      </w:r>
      <w:r>
        <w:rPr>
          <w:rFonts w:eastAsia="Times New Roman" w:cs="Times New Roman"/>
          <w:lang w:val="es-MX" w:eastAsia="es-ES"/>
        </w:rPr>
        <w:t>1</w:t>
      </w:r>
      <w:r w:rsidRPr="00406AB1">
        <w:rPr>
          <w:rFonts w:eastAsia="Times New Roman" w:cs="Times New Roman"/>
          <w:lang w:val="es-MX" w:eastAsia="es-ES"/>
        </w:rPr>
        <w:t>.</w:t>
      </w:r>
      <w:r>
        <w:rPr>
          <w:rFonts w:eastAsia="Times New Roman" w:cs="Times New Roman"/>
          <w:lang w:val="es-MX" w:eastAsia="es-ES"/>
        </w:rPr>
        <w:t>2 OBJETIVOS ESPECIFICOS</w:t>
      </w:r>
      <w:bookmarkEnd w:id="173"/>
    </w:p>
    <w:p w14:paraId="0A3EF0BC" w14:textId="7A62F16A" w:rsidR="003A0757" w:rsidRPr="003A0757" w:rsidRDefault="003A0757" w:rsidP="007E7E61">
      <w:pPr>
        <w:pStyle w:val="TextoPrincipal"/>
        <w:numPr>
          <w:ilvl w:val="0"/>
          <w:numId w:val="12"/>
        </w:numPr>
        <w:spacing w:line="360" w:lineRule="auto"/>
      </w:pPr>
      <w:r w:rsidRPr="003A0757">
        <w:t>Proporcionar pautas para la optimización de los procesos administrativos internos en instituciones financieras, con el objetivo de aumentar la eficiencia operativa y reducir los costos administrativos asociados.</w:t>
      </w:r>
    </w:p>
    <w:p w14:paraId="1FF9969A" w14:textId="67F300C8" w:rsidR="003A0757" w:rsidRDefault="003A0757" w:rsidP="007E7E61">
      <w:pPr>
        <w:pStyle w:val="TextoPrincipal"/>
        <w:numPr>
          <w:ilvl w:val="0"/>
          <w:numId w:val="12"/>
        </w:numPr>
        <w:spacing w:line="360" w:lineRule="auto"/>
      </w:pPr>
      <w:r>
        <w:t>Brindar</w:t>
      </w:r>
      <w:r w:rsidRPr="003A0757">
        <w:t xml:space="preserve"> recomendaciones prácticas para la administración de costos, incluyendo directrices específicas para identificar áreas de mejora y adoptar estrategias efectivas.</w:t>
      </w:r>
    </w:p>
    <w:p w14:paraId="43D3D1E8" w14:textId="3CBA1EB6" w:rsidR="003A0757" w:rsidRPr="003A0757" w:rsidRDefault="003A0757" w:rsidP="007E7E61">
      <w:pPr>
        <w:pStyle w:val="TextoPrincipal"/>
        <w:numPr>
          <w:ilvl w:val="0"/>
          <w:numId w:val="12"/>
        </w:numPr>
        <w:spacing w:line="360" w:lineRule="auto"/>
      </w:pPr>
      <w:r>
        <w:t>Es</w:t>
      </w:r>
      <w:r w:rsidRPr="003A0757">
        <w:t>tablecer criterios de evaluación, indicadores clave de rendimiento y sistemas de seguimiento que permitan una evaluación precisa y oportuna de la eficiencia en la gestión de costos.</w:t>
      </w:r>
    </w:p>
    <w:p w14:paraId="57365FB5" w14:textId="592D507E" w:rsidR="002747C8" w:rsidRDefault="006075C1" w:rsidP="007E7E61">
      <w:pPr>
        <w:pStyle w:val="Ttulo2"/>
        <w:numPr>
          <w:ilvl w:val="1"/>
          <w:numId w:val="5"/>
        </w:numPr>
        <w:spacing w:line="360" w:lineRule="auto"/>
      </w:pPr>
      <w:bookmarkStart w:id="174" w:name="_Toc132615481"/>
      <w:bookmarkStart w:id="175" w:name="_Toc155066657"/>
      <w:r>
        <w:t>JUSTIFICACIÓN DE LA PROPUESTA</w:t>
      </w:r>
      <w:bookmarkEnd w:id="174"/>
      <w:bookmarkEnd w:id="175"/>
    </w:p>
    <w:p w14:paraId="744E7C4E" w14:textId="7FB35BB8" w:rsidR="002747C8" w:rsidRDefault="002747C8" w:rsidP="002747C8">
      <w:pPr>
        <w:pStyle w:val="TextoPrincipal"/>
        <w:spacing w:line="360" w:lineRule="auto"/>
      </w:pPr>
      <w:r>
        <w:t xml:space="preserve">La propuesta de un manual para la administración y gestión eficiente de costos </w:t>
      </w:r>
      <w:r>
        <w:lastRenderedPageBreak/>
        <w:t>administrativos en instituciones financieras surge como una respuesta estratégica a los resultados sustanciales obtenidos durante la investigación. El análisis detallado reveló que los costos administrativos desempeñan un papel crucial en la determinación de la tasa de interés activa, siendo el componente financiero más influyente en el contexto de los bancos comerciales. Al profundizar en la naturaleza de estos costos, se identificaron áreas específicas donde se puede intervenir para lograr una reducción efectiva, sin comprometer la calidad de los servicios ofrecidos.</w:t>
      </w:r>
    </w:p>
    <w:p w14:paraId="62EF1CB1" w14:textId="45F8EF2A" w:rsidR="002747C8" w:rsidRDefault="002747C8" w:rsidP="002747C8">
      <w:pPr>
        <w:pStyle w:val="TextoPrincipal"/>
        <w:spacing w:line="360" w:lineRule="auto"/>
      </w:pPr>
      <w:r>
        <w:t>La justificación se fundamenta en la premisa de que una gestión más eficiente de los costos administrativos no solo fortalecerá la salud financiera de las instituciones, sino que también impactará directamente en la experiencia de los clientes. El manual propuesto no solo se centra en la optimización de procesos internos, sino que busca establecer prácticas sostenibles que puedan traducirse en beneficios tangibles para ambas partes involucradas. La idea es que, al implementar recomendaciones específicas, las instituciones financieras puedan mejorar su eficiencia operativa, reducir costos innecesarios y, en última instancia, ofrecer tasas de interés más competitivas y equitativas.</w:t>
      </w:r>
    </w:p>
    <w:p w14:paraId="546671DD" w14:textId="77777777" w:rsidR="002747C8" w:rsidRDefault="002747C8" w:rsidP="002747C8">
      <w:pPr>
        <w:pStyle w:val="TextoPrincipal"/>
        <w:spacing w:line="360" w:lineRule="auto"/>
      </w:pPr>
      <w:r>
        <w:t>Esta iniciativa no solo aborda la necesidad de mantener la viabilidad financiera de las instituciones, sino que también tiene en cuenta el impacto social al hacer que los servicios financieros sean más accesibles. Así, la propuesta no solo se presenta como una estrategia empresarial inteligente, sino como un enfoque ético y sostenible que busca equilibrar los intereses de las instituciones financieras y sus clientes en beneficio mutuo.</w:t>
      </w:r>
    </w:p>
    <w:p w14:paraId="5741AB2D" w14:textId="77777777" w:rsidR="006075C1" w:rsidRPr="007A01EE" w:rsidRDefault="006075C1" w:rsidP="007E7E61">
      <w:pPr>
        <w:pStyle w:val="Ttulo2"/>
        <w:numPr>
          <w:ilvl w:val="1"/>
          <w:numId w:val="5"/>
        </w:numPr>
        <w:spacing w:line="360" w:lineRule="auto"/>
      </w:pPr>
      <w:bookmarkStart w:id="176" w:name="_Toc132615482"/>
      <w:bookmarkStart w:id="177" w:name="_Toc155066658"/>
      <w:r>
        <w:t>ALCANCE DE LA PROPUESTA</w:t>
      </w:r>
      <w:bookmarkEnd w:id="176"/>
      <w:bookmarkEnd w:id="177"/>
    </w:p>
    <w:p w14:paraId="2CEE3B4D" w14:textId="21F20080" w:rsidR="00A57A62" w:rsidRDefault="00A57A62" w:rsidP="008255B7">
      <w:pPr>
        <w:pStyle w:val="TextoPrincipal"/>
        <w:spacing w:line="360" w:lineRule="auto"/>
      </w:pPr>
      <w:r>
        <w:t>El alcance de la propuesta del manual para la administración y gestión eficiente de costos administrativos en instituciones financieras es integral y abarca diversos aspectos cruciales para optimizar la toma de decisiones. En primer lugar, la propuesta se enfoca en identificar áreas específicas de los costos administrativos que tienen un impacto directo en la tasa de interés activa. Esto implica un análisis exhaustivo de los procesos internos, la asignación de recursos y la evaluación de la eficiencia operativa.</w:t>
      </w:r>
    </w:p>
    <w:p w14:paraId="0A90FD47" w14:textId="4C1B16F6" w:rsidR="00A57A62" w:rsidRDefault="00A57A62" w:rsidP="008255B7">
      <w:pPr>
        <w:pStyle w:val="TextoPrincipal"/>
        <w:spacing w:line="360" w:lineRule="auto"/>
      </w:pPr>
      <w:r>
        <w:t xml:space="preserve">La propuesta también se extiende a la formulación de recomendaciones prácticas y aplicables, diseñadas para abordar las áreas identificadas. Estas recomendaciones no solo buscan reducir los costos administrativos, sino también mejorar la calidad de los servicios financieros ofrecidos. Se incluirán sugerencias específicas para la implementación de tecnologías innovadoras, </w:t>
      </w:r>
      <w:r>
        <w:lastRenderedPageBreak/>
        <w:t>la automatización de procesos y la revisión de estructuras organizativas con el objetivo de lograr una mayor eficiencia.</w:t>
      </w:r>
      <w:r w:rsidR="008255B7">
        <w:t xml:space="preserve"> </w:t>
      </w:r>
      <w:r>
        <w:t xml:space="preserve">Además, el alcance de la propuesta considera la viabilidad y aplicabilidad de las recomendaciones en el contexto de diferentes instituciones financieras, reconociendo que la diversidad en tamaño y estructura organizativa puede requerir enfoques adaptados. </w:t>
      </w:r>
    </w:p>
    <w:p w14:paraId="05E448AB" w14:textId="464CBA14" w:rsidR="00A57A62" w:rsidRDefault="00A57A62" w:rsidP="008255B7">
      <w:pPr>
        <w:pStyle w:val="TextoPrincipal"/>
        <w:spacing w:line="360" w:lineRule="auto"/>
      </w:pPr>
      <w:r>
        <w:t>En términos temporales, el alcance abarcará tanto la implementación inicial como la posible evolución a lo largo del tiempo. Se brindará orientación sobre la integración gradual de cambios para minimizar interrupciones operativas y garantizar una transición fluida hacia prácticas más eficientes y sostenibles.</w:t>
      </w:r>
    </w:p>
    <w:p w14:paraId="6D009910" w14:textId="2AC491DE" w:rsidR="006075C1" w:rsidRPr="007A01EE" w:rsidRDefault="006075C1" w:rsidP="007E7E61">
      <w:pPr>
        <w:pStyle w:val="Ttulo2"/>
        <w:numPr>
          <w:ilvl w:val="1"/>
          <w:numId w:val="5"/>
        </w:numPr>
        <w:spacing w:line="360" w:lineRule="auto"/>
      </w:pPr>
      <w:bookmarkStart w:id="178" w:name="_Toc132615483"/>
      <w:bookmarkStart w:id="179" w:name="_Toc155066659"/>
      <w:r>
        <w:t>DESCRIPCIÓN Y DESARROLLO</w:t>
      </w:r>
      <w:bookmarkEnd w:id="178"/>
      <w:bookmarkEnd w:id="179"/>
      <w:r w:rsidR="00DF7792">
        <w:t xml:space="preserve"> </w:t>
      </w:r>
    </w:p>
    <w:p w14:paraId="762830C0" w14:textId="7978CF4A" w:rsidR="001C1476" w:rsidRDefault="006075C1" w:rsidP="007E7E61">
      <w:pPr>
        <w:pStyle w:val="Ttulo2"/>
        <w:numPr>
          <w:ilvl w:val="2"/>
          <w:numId w:val="5"/>
        </w:numPr>
        <w:spacing w:line="360" w:lineRule="auto"/>
        <w:ind w:left="1296"/>
      </w:pPr>
      <w:bookmarkStart w:id="180" w:name="_Toc132615484"/>
      <w:bookmarkStart w:id="181" w:name="_Toc155066660"/>
      <w:r w:rsidRPr="001C1476">
        <w:t>DESCRIPCIÓN</w:t>
      </w:r>
      <w:bookmarkEnd w:id="180"/>
      <w:bookmarkEnd w:id="181"/>
    </w:p>
    <w:p w14:paraId="6AFEC164" w14:textId="2AB55075" w:rsidR="001C1476" w:rsidRDefault="001C1476" w:rsidP="001C1476">
      <w:pPr>
        <w:pStyle w:val="TextoPrincipal"/>
        <w:spacing w:line="360" w:lineRule="auto"/>
      </w:pPr>
      <w:r>
        <w:t>El propósito central de este manual es brindar a profesionales del sector financiero una guía completa para la optimización efectiva de los costos administrativos en instituciones financieras. La estructura del manual se diseñó estratégicamente para abordar tanto los desafíos prácticos que enfrentan las instituciones como los fundamentos teóricos que respaldan la gestión eficiente de costos.</w:t>
      </w:r>
    </w:p>
    <w:p w14:paraId="67CA5BEC" w14:textId="3C6E2750" w:rsidR="001C1476" w:rsidRDefault="001C1476" w:rsidP="006075C1">
      <w:pPr>
        <w:pStyle w:val="TextoPrincipal"/>
        <w:spacing w:line="360" w:lineRule="auto"/>
      </w:pPr>
      <w:r w:rsidRPr="001C1476">
        <w:t>Dividido en secciones clave, explora desde la relación entre costos y rentabilidad hasta la influencia directa en la tasa de interés activa. Basado en una metodología robusta, presenta hallazgos cuantitativos, casos de éxito y recomendaciones prácticas para reducir costos sin comprometer la calidad operativa. Este recurso es esencial para profesionales que buscan optimizar procesos internos y tomar decisiones informadas en un entorno financiero dinámico.</w:t>
      </w:r>
    </w:p>
    <w:p w14:paraId="7BAB4E45" w14:textId="517ED822" w:rsidR="00014094" w:rsidRPr="00D60CE9" w:rsidRDefault="006075C1" w:rsidP="007E7E61">
      <w:pPr>
        <w:pStyle w:val="Ttulo2"/>
        <w:numPr>
          <w:ilvl w:val="2"/>
          <w:numId w:val="5"/>
        </w:numPr>
        <w:spacing w:line="360" w:lineRule="auto"/>
        <w:ind w:left="1296"/>
        <w:rPr>
          <w:color w:val="C00000"/>
        </w:rPr>
      </w:pPr>
      <w:bookmarkStart w:id="182" w:name="_Toc132615485"/>
      <w:bookmarkStart w:id="183" w:name="_Toc155066661"/>
      <w:r w:rsidRPr="00D60CE9">
        <w:t>DESARROLLO</w:t>
      </w:r>
      <w:bookmarkEnd w:id="182"/>
      <w:bookmarkEnd w:id="183"/>
      <w:r w:rsidR="00DF7792" w:rsidRPr="00D60CE9">
        <w:t xml:space="preserve">  </w:t>
      </w:r>
    </w:p>
    <w:p w14:paraId="4FA1511C" w14:textId="609A25B2" w:rsidR="00D60CE9" w:rsidRDefault="00D60CE9" w:rsidP="006075C1">
      <w:pPr>
        <w:pStyle w:val="TextoPrincipal"/>
        <w:spacing w:line="360" w:lineRule="auto"/>
      </w:pPr>
      <w:r w:rsidRPr="00D60CE9">
        <w:t xml:space="preserve">En el marco del desarrollo de nuestra propuesta, nos enfocaremos en la elaboración de un Manual para la Administración y Gestión Eficiente de Costos Administrativos, con especial énfasis en su aplicación en instituciones financieras. Este manual se diseñará con el propósito de proporcionar a las instituciones financieras una herramienta integral que facilite la toma de decisiones estratégicas en relación con la optimización de procesos administrativos internos. En este contexto, abordaremos de manera detallada las mejores prácticas para la identificación, medición y control de los costos administrativos, teniendo en cuenta la complejidad del entorno financiero. Además, se ofrecerán enfoques prácticos para mejorar la eficiencia operativa, </w:t>
      </w:r>
      <w:r w:rsidRPr="00D60CE9">
        <w:lastRenderedPageBreak/>
        <w:t>aprovechando la tecnología y la innovación en la gestión administrativa. Nuestra propuesta no solo se centrará en la reducción de costos, sino también en la maximización del valor agregado, promoviendo una administración eficiente que respalde el logro de los objetivos institucionales y la adaptación ágil a cambios en el entorno económico y normativo.</w:t>
      </w:r>
    </w:p>
    <w:p w14:paraId="3225546F" w14:textId="58A48872" w:rsidR="004D419F" w:rsidRPr="006B33BE" w:rsidRDefault="006075C1" w:rsidP="007E7E61">
      <w:pPr>
        <w:pStyle w:val="Ttulo2"/>
        <w:numPr>
          <w:ilvl w:val="1"/>
          <w:numId w:val="5"/>
        </w:numPr>
        <w:spacing w:line="360" w:lineRule="auto"/>
      </w:pPr>
      <w:bookmarkStart w:id="184" w:name="_Toc132615486"/>
      <w:bookmarkStart w:id="185" w:name="_Toc155066662"/>
      <w:r w:rsidRPr="006B33BE">
        <w:t>MEDIDAS DE CONTROL</w:t>
      </w:r>
      <w:bookmarkEnd w:id="184"/>
      <w:bookmarkEnd w:id="185"/>
    </w:p>
    <w:p w14:paraId="6FF717C1" w14:textId="5BE6970C" w:rsidR="004D419F" w:rsidRDefault="004D419F" w:rsidP="006075C1">
      <w:pPr>
        <w:pStyle w:val="TextoPrincipal"/>
        <w:spacing w:line="360" w:lineRule="auto"/>
      </w:pPr>
      <w:r>
        <w:t>Los siguientes</w:t>
      </w:r>
      <w:r w:rsidRPr="004D419F">
        <w:t xml:space="preserve"> indicadores y medidas ofrecen un marco integral para evaluar y mantener la eficiencia en la gestión de costos administrativos, permitiendo una toma de decisiones ágil y fundamentada en datos.</w:t>
      </w:r>
    </w:p>
    <w:p w14:paraId="6512E439" w14:textId="6786804D" w:rsidR="00C2533C" w:rsidRDefault="00C2533C" w:rsidP="006075C1">
      <w:pPr>
        <w:pStyle w:val="TextoPrincipal"/>
        <w:spacing w:line="360" w:lineRule="auto"/>
        <w:rPr>
          <w:rFonts w:eastAsia="Calibri"/>
          <w:b/>
          <w:bCs/>
          <w:iCs/>
        </w:rPr>
      </w:pPr>
      <w:r w:rsidRPr="00434B43">
        <w:rPr>
          <w:rFonts w:eastAsia="Calibri"/>
          <w:b/>
          <w:bCs/>
          <w:iCs/>
        </w:rPr>
        <w:t xml:space="preserve">Tabla </w:t>
      </w:r>
      <w:r>
        <w:rPr>
          <w:rFonts w:eastAsia="Calibri"/>
          <w:b/>
          <w:bCs/>
          <w:iCs/>
        </w:rPr>
        <w:t>4</w:t>
      </w:r>
      <w:r w:rsidRPr="00434B43">
        <w:rPr>
          <w:rFonts w:eastAsia="Calibri"/>
          <w:b/>
          <w:bCs/>
          <w:iCs/>
        </w:rPr>
        <w:t xml:space="preserve">. </w:t>
      </w:r>
      <w:r>
        <w:rPr>
          <w:rFonts w:eastAsia="Calibri"/>
          <w:b/>
          <w:bCs/>
          <w:iCs/>
        </w:rPr>
        <w:t>Medidas de Control</w:t>
      </w:r>
      <w:r w:rsidR="00DF7792" w:rsidRPr="00DF7792">
        <w:rPr>
          <w:rFonts w:eastAsia="Calibri"/>
          <w:b/>
          <w:bCs/>
          <w:iCs/>
          <w:color w:val="C00000"/>
        </w:rPr>
        <w:t xml:space="preserve"> </w:t>
      </w:r>
    </w:p>
    <w:tbl>
      <w:tblPr>
        <w:tblW w:w="0" w:type="auto"/>
        <w:tblCellMar>
          <w:left w:w="70" w:type="dxa"/>
          <w:right w:w="70" w:type="dxa"/>
        </w:tblCellMar>
        <w:tblLook w:val="04A0" w:firstRow="1" w:lastRow="0" w:firstColumn="1" w:lastColumn="0" w:noHBand="0" w:noVBand="1"/>
      </w:tblPr>
      <w:tblGrid>
        <w:gridCol w:w="3114"/>
        <w:gridCol w:w="4255"/>
        <w:gridCol w:w="1981"/>
      </w:tblGrid>
      <w:tr w:rsidR="006B33BE" w:rsidRPr="006B33BE" w14:paraId="1B84CCCC" w14:textId="77777777" w:rsidTr="006B33BE">
        <w:trPr>
          <w:trHeight w:val="240"/>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2F8EC4" w14:textId="77777777" w:rsidR="006B33BE" w:rsidRPr="006B33BE" w:rsidRDefault="006B33BE" w:rsidP="006B33BE">
            <w:pPr>
              <w:widowControl/>
              <w:jc w:val="center"/>
              <w:rPr>
                <w:rFonts w:ascii="Times New Roman" w:eastAsia="Times New Roman" w:hAnsi="Times New Roman" w:cs="Times New Roman"/>
                <w:b/>
                <w:bCs/>
                <w:color w:val="000000"/>
                <w:sz w:val="18"/>
                <w:szCs w:val="18"/>
                <w:lang w:eastAsia="es-HN"/>
              </w:rPr>
            </w:pPr>
            <w:r w:rsidRPr="006B33BE">
              <w:rPr>
                <w:rFonts w:ascii="Times New Roman" w:eastAsia="Times New Roman" w:hAnsi="Times New Roman" w:cs="Times New Roman"/>
                <w:b/>
                <w:bCs/>
                <w:color w:val="000000"/>
                <w:sz w:val="18"/>
                <w:szCs w:val="18"/>
                <w:lang w:eastAsia="es-HN"/>
              </w:rPr>
              <w:t>Indicadores de Eficiencia Operativa</w:t>
            </w:r>
          </w:p>
        </w:tc>
      </w:tr>
      <w:tr w:rsidR="006B33BE" w:rsidRPr="006B33BE" w14:paraId="2F15869C" w14:textId="77777777" w:rsidTr="006B33BE">
        <w:trPr>
          <w:trHeight w:val="60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0B16E8C" w14:textId="77777777" w:rsidR="006B33BE" w:rsidRPr="006B33BE" w:rsidRDefault="006B33BE" w:rsidP="006B33BE">
            <w:pPr>
              <w:widowControl/>
              <w:ind w:firstLineChars="100" w:firstLine="180"/>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Razón de Costo a Ingresos (CIR)</w:t>
            </w:r>
          </w:p>
        </w:tc>
        <w:tc>
          <w:tcPr>
            <w:tcW w:w="0" w:type="auto"/>
            <w:tcBorders>
              <w:top w:val="nil"/>
              <w:left w:val="nil"/>
              <w:bottom w:val="single" w:sz="4" w:space="0" w:color="auto"/>
              <w:right w:val="single" w:sz="4" w:space="0" w:color="auto"/>
            </w:tcBorders>
            <w:shd w:val="clear" w:color="auto" w:fill="auto"/>
            <w:vAlign w:val="center"/>
            <w:hideMark/>
          </w:tcPr>
          <w:p w14:paraId="41EAD2CA"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 xml:space="preserve">Es un indicador financiero que mide la eficiencia operativa y la gestión de costos de una entidad, especialmente en el sector financiero. </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La fórmula básica para calcular la CIR se expresa de la siguiente manera:</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i/>
                <w:iCs/>
                <w:color w:val="000000"/>
                <w:sz w:val="18"/>
                <w:szCs w:val="18"/>
                <w:lang w:eastAsia="es-HN"/>
              </w:rPr>
              <w:t>CIR = (Costos Operativos Totales / Ingresos Totales) × 100</w:t>
            </w:r>
            <w:r w:rsidRPr="006B33BE">
              <w:rPr>
                <w:rFonts w:ascii="Times New Roman" w:eastAsia="Times New Roman" w:hAnsi="Times New Roman" w:cs="Times New Roman"/>
                <w:i/>
                <w:iCs/>
                <w:color w:val="000000"/>
                <w:sz w:val="18"/>
                <w:szCs w:val="18"/>
                <w:lang w:eastAsia="es-HN"/>
              </w:rPr>
              <w:br/>
            </w:r>
            <w:r w:rsidRPr="006B33BE">
              <w:rPr>
                <w:rFonts w:ascii="Times New Roman" w:eastAsia="Times New Roman" w:hAnsi="Times New Roman" w:cs="Times New Roman"/>
                <w:color w:val="000000"/>
                <w:sz w:val="18"/>
                <w:szCs w:val="18"/>
                <w:lang w:eastAsia="es-HN"/>
              </w:rPr>
              <w:br/>
              <w:t>Donde:</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Costos Operativos Totales: incluyen todos los costos asociados con la operación del negocio, como los costos de personal, gastos generales, depreciación, entre otros.</w:t>
            </w:r>
            <w:r w:rsidRPr="006B33BE">
              <w:rPr>
                <w:rFonts w:ascii="Times New Roman" w:eastAsia="Times New Roman" w:hAnsi="Times New Roman" w:cs="Times New Roman"/>
                <w:color w:val="000000"/>
                <w:sz w:val="18"/>
                <w:szCs w:val="18"/>
                <w:lang w:eastAsia="es-HN"/>
              </w:rPr>
              <w:br/>
              <w:t>Ingresos Totales: representan los ingresos generados por la entidad antes de deducir los costos y gastos.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La CIR se expresa comúnmente como un porcentaje para evaluar la proporción de costos operativos en relación con los ingresos totales. Un CIR más bajo generalmente indica una mayor eficiencia, ya que significa que la entidad está utilizando una menor proporción de sus ingresos para cubrir sus costos operativos. Por otro lado, un CIR más alto podría sugerir una gestión menos eficiente de los costos en comparación con los ingresos generados.</w:t>
            </w:r>
          </w:p>
        </w:tc>
        <w:tc>
          <w:tcPr>
            <w:tcW w:w="0" w:type="auto"/>
            <w:tcBorders>
              <w:top w:val="nil"/>
              <w:left w:val="nil"/>
              <w:bottom w:val="single" w:sz="4" w:space="0" w:color="auto"/>
              <w:right w:val="single" w:sz="4" w:space="0" w:color="auto"/>
            </w:tcBorders>
            <w:shd w:val="clear" w:color="auto" w:fill="auto"/>
            <w:vAlign w:val="center"/>
            <w:hideMark/>
          </w:tcPr>
          <w:p w14:paraId="68A578BB"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Monitoriza la proporción de costos operativos en relación con los ingresos, indicando la eficiencia en la asignación de recursos.</w:t>
            </w:r>
          </w:p>
        </w:tc>
      </w:tr>
      <w:tr w:rsidR="006B33BE" w:rsidRPr="006B33BE" w14:paraId="40325468" w14:textId="77777777" w:rsidTr="006B33BE">
        <w:trPr>
          <w:trHeight w:val="624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7D9DEFE" w14:textId="77777777" w:rsidR="006B33BE" w:rsidRPr="006B33BE" w:rsidRDefault="006B33BE" w:rsidP="006B33BE">
            <w:pPr>
              <w:widowControl/>
              <w:ind w:firstLineChars="100" w:firstLine="180"/>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lastRenderedPageBreak/>
              <w:t>Índice de Productividad del Personal</w:t>
            </w:r>
          </w:p>
        </w:tc>
        <w:tc>
          <w:tcPr>
            <w:tcW w:w="0" w:type="auto"/>
            <w:tcBorders>
              <w:top w:val="nil"/>
              <w:left w:val="nil"/>
              <w:bottom w:val="single" w:sz="4" w:space="0" w:color="auto"/>
              <w:right w:val="single" w:sz="4" w:space="0" w:color="auto"/>
            </w:tcBorders>
            <w:shd w:val="clear" w:color="auto" w:fill="auto"/>
            <w:vAlign w:val="center"/>
            <w:hideMark/>
          </w:tcPr>
          <w:p w14:paraId="2C4CABB0"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 xml:space="preserve">Es un indicador que mide la eficiencia y rendimiento del personal en una organización. </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La fórmula básica para calcular el Índice de Productividad del Personal es: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i/>
                <w:iCs/>
                <w:color w:val="000000"/>
                <w:sz w:val="18"/>
                <w:szCs w:val="18"/>
                <w:lang w:eastAsia="es-HN"/>
              </w:rPr>
              <w:t>IPP = Producción / Número de Empleados a Tiempo Completo Equivalente</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Donde:</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Producción: es la cantidad de trabajo realizado o los resultados alcanzados por la organización en un período específico.</w:t>
            </w:r>
            <w:r w:rsidRPr="006B33BE">
              <w:rPr>
                <w:rFonts w:ascii="Times New Roman" w:eastAsia="Times New Roman" w:hAnsi="Times New Roman" w:cs="Times New Roman"/>
                <w:color w:val="000000"/>
                <w:sz w:val="18"/>
                <w:szCs w:val="18"/>
                <w:lang w:eastAsia="es-HN"/>
              </w:rPr>
              <w:br/>
              <w:t>Número de Empleados a Tiempo Completo Equivalente: es la suma de los empleados a tiempo completo y la fracción equivalente de empleados a tiempo parcial.</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El IPP se utiliza para evaluar cuánto valor o producción se obtiene por cada empleado a tiempo completo. Un IPP más alto indica una mayor productividad del personal, lo cual puede ser un indicador positivo de eficiencia en la utilización de los recursos humanos. Por otro lado, un IPP más bajo puede sugerir que la organización podría necesitar revisar sus procesos o la distribución de recursos humanos para mejorar la eficiencia y la productividad.</w:t>
            </w:r>
          </w:p>
        </w:tc>
        <w:tc>
          <w:tcPr>
            <w:tcW w:w="0" w:type="auto"/>
            <w:tcBorders>
              <w:top w:val="nil"/>
              <w:left w:val="nil"/>
              <w:bottom w:val="single" w:sz="4" w:space="0" w:color="auto"/>
              <w:right w:val="single" w:sz="4" w:space="0" w:color="auto"/>
            </w:tcBorders>
            <w:shd w:val="clear" w:color="auto" w:fill="auto"/>
            <w:vAlign w:val="center"/>
            <w:hideMark/>
          </w:tcPr>
          <w:p w14:paraId="14634A9E"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Evalúa la relación entre los costos de personal y la producción, permitiendo ajustes eficientes en las estructuras laborales.</w:t>
            </w:r>
          </w:p>
        </w:tc>
      </w:tr>
      <w:tr w:rsidR="006B33BE" w:rsidRPr="006B33BE" w14:paraId="6A273929" w14:textId="77777777" w:rsidTr="006B33BE">
        <w:trPr>
          <w:trHeight w:val="240"/>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DCFEC8" w14:textId="77777777" w:rsidR="006B33BE" w:rsidRPr="006B33BE" w:rsidRDefault="006B33BE" w:rsidP="006B33BE">
            <w:pPr>
              <w:widowControl/>
              <w:jc w:val="center"/>
              <w:rPr>
                <w:rFonts w:ascii="Times New Roman" w:eastAsia="Times New Roman" w:hAnsi="Times New Roman" w:cs="Times New Roman"/>
                <w:b/>
                <w:bCs/>
                <w:color w:val="000000"/>
                <w:sz w:val="18"/>
                <w:szCs w:val="18"/>
                <w:lang w:eastAsia="es-HN"/>
              </w:rPr>
            </w:pPr>
            <w:r w:rsidRPr="006B33BE">
              <w:rPr>
                <w:rFonts w:ascii="Times New Roman" w:eastAsia="Times New Roman" w:hAnsi="Times New Roman" w:cs="Times New Roman"/>
                <w:b/>
                <w:bCs/>
                <w:color w:val="000000"/>
                <w:sz w:val="18"/>
                <w:szCs w:val="18"/>
                <w:lang w:eastAsia="es-HN"/>
              </w:rPr>
              <w:t>Mediciones de Procesos Internos</w:t>
            </w:r>
          </w:p>
        </w:tc>
      </w:tr>
      <w:tr w:rsidR="006B33BE" w:rsidRPr="006B33BE" w14:paraId="066C1423" w14:textId="77777777" w:rsidTr="006B33BE">
        <w:trPr>
          <w:trHeight w:val="408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DC8D96B" w14:textId="77777777" w:rsidR="006B33BE" w:rsidRPr="006B33BE" w:rsidRDefault="006B33BE" w:rsidP="006B33BE">
            <w:pPr>
              <w:widowControl/>
              <w:ind w:firstLineChars="100" w:firstLine="180"/>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Tiempo de Ciclo de Procesos Administrativos</w:t>
            </w:r>
          </w:p>
        </w:tc>
        <w:tc>
          <w:tcPr>
            <w:tcW w:w="0" w:type="auto"/>
            <w:tcBorders>
              <w:top w:val="nil"/>
              <w:left w:val="nil"/>
              <w:bottom w:val="single" w:sz="4" w:space="0" w:color="auto"/>
              <w:right w:val="single" w:sz="4" w:space="0" w:color="auto"/>
            </w:tcBorders>
            <w:shd w:val="clear" w:color="auto" w:fill="auto"/>
            <w:vAlign w:val="center"/>
            <w:hideMark/>
          </w:tcPr>
          <w:p w14:paraId="1D49E3EC"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 xml:space="preserve">Es una métrica que mide la cantidad de tiempo que transcurre desde el inicio hasta la finalización de un proceso administrativo específico. </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La fórmula básica para calcular el Tiempo de Ciclo de Procesos Administrativos es: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i/>
                <w:iCs/>
                <w:color w:val="000000"/>
                <w:sz w:val="18"/>
                <w:szCs w:val="18"/>
                <w:lang w:eastAsia="es-HN"/>
              </w:rPr>
              <w:t>TCPA = Tiempo de Finalización del Proceso - Tiempo de Inicio del Proceso</w:t>
            </w:r>
            <w:r w:rsidRPr="006B33BE">
              <w:rPr>
                <w:rFonts w:ascii="Times New Roman" w:eastAsia="Times New Roman" w:hAnsi="Times New Roman" w:cs="Times New Roman"/>
                <w:i/>
                <w:iCs/>
                <w:color w:val="000000"/>
                <w:sz w:val="18"/>
                <w:szCs w:val="18"/>
                <w:lang w:eastAsia="es-HN"/>
              </w:rPr>
              <w:br/>
            </w:r>
            <w:r w:rsidRPr="006B33BE">
              <w:rPr>
                <w:rFonts w:ascii="Times New Roman" w:eastAsia="Times New Roman" w:hAnsi="Times New Roman" w:cs="Times New Roman"/>
                <w:color w:val="000000"/>
                <w:sz w:val="18"/>
                <w:szCs w:val="18"/>
                <w:lang w:eastAsia="es-HN"/>
              </w:rPr>
              <w:br/>
              <w:t>El Tiempo de Ciclo de Procesos Administrativos es una medida clave para evaluar la eficiencia de las operaciones internas de una organización. Un TCPA más corto generalmente indica una mayor eficiencia en la ejecución de procesos, lo que puede ser esencial para mejorar la calidad del servicio, reducir costos y satisfacer las expectativas del cliente.</w:t>
            </w:r>
          </w:p>
        </w:tc>
        <w:tc>
          <w:tcPr>
            <w:tcW w:w="0" w:type="auto"/>
            <w:tcBorders>
              <w:top w:val="nil"/>
              <w:left w:val="nil"/>
              <w:bottom w:val="single" w:sz="4" w:space="0" w:color="auto"/>
              <w:right w:val="single" w:sz="4" w:space="0" w:color="auto"/>
            </w:tcBorders>
            <w:shd w:val="clear" w:color="auto" w:fill="auto"/>
            <w:vAlign w:val="center"/>
            <w:hideMark/>
          </w:tcPr>
          <w:p w14:paraId="36B98690"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Analiza la duración de los procesos administrativos clave, identificando posibles cuellos de botella y oportunidades de mejora.</w:t>
            </w:r>
          </w:p>
        </w:tc>
      </w:tr>
      <w:tr w:rsidR="006B33BE" w:rsidRPr="006B33BE" w14:paraId="5916B6CC" w14:textId="77777777" w:rsidTr="006B33BE">
        <w:trPr>
          <w:trHeight w:val="36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B4D43AD" w14:textId="77777777" w:rsidR="006B33BE" w:rsidRPr="006B33BE" w:rsidRDefault="006B33BE" w:rsidP="006B33BE">
            <w:pPr>
              <w:widowControl/>
              <w:ind w:firstLineChars="100" w:firstLine="180"/>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lastRenderedPageBreak/>
              <w:t>Índice de Error en Transacciones</w:t>
            </w:r>
          </w:p>
        </w:tc>
        <w:tc>
          <w:tcPr>
            <w:tcW w:w="0" w:type="auto"/>
            <w:tcBorders>
              <w:top w:val="nil"/>
              <w:left w:val="nil"/>
              <w:bottom w:val="single" w:sz="4" w:space="0" w:color="auto"/>
              <w:right w:val="single" w:sz="4" w:space="0" w:color="auto"/>
            </w:tcBorders>
            <w:shd w:val="clear" w:color="auto" w:fill="auto"/>
            <w:vAlign w:val="center"/>
            <w:hideMark/>
          </w:tcPr>
          <w:p w14:paraId="5E2A3031"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 xml:space="preserve">Mide la proporción de transacciones incorrectas o con errores con respecto al total de transacciones realizadas. </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La fórmula básica para calcular el Índice de Error en Transacciones es: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i/>
                <w:iCs/>
                <w:color w:val="000000"/>
                <w:sz w:val="18"/>
                <w:szCs w:val="18"/>
                <w:lang w:eastAsia="es-HN"/>
              </w:rPr>
              <w:t>IET = (Número total de transacciones incorrectas / Número total de transacciones realizadas=) × 100</w:t>
            </w:r>
            <w:r w:rsidRPr="006B33BE">
              <w:rPr>
                <w:rFonts w:ascii="Times New Roman" w:eastAsia="Times New Roman" w:hAnsi="Times New Roman" w:cs="Times New Roman"/>
                <w:i/>
                <w:iCs/>
                <w:color w:val="000000"/>
                <w:sz w:val="18"/>
                <w:szCs w:val="18"/>
                <w:lang w:eastAsia="es-HN"/>
              </w:rPr>
              <w:br/>
            </w:r>
            <w:r w:rsidRPr="006B33BE">
              <w:rPr>
                <w:rFonts w:ascii="Times New Roman" w:eastAsia="Times New Roman" w:hAnsi="Times New Roman" w:cs="Times New Roman"/>
                <w:color w:val="000000"/>
                <w:sz w:val="18"/>
                <w:szCs w:val="18"/>
                <w:lang w:eastAsia="es-HN"/>
              </w:rPr>
              <w:br/>
              <w:t>El Índice de Error en Transacciones es una métrica importante para evaluar la precisión y calidad de los procesos y sistemas en una organización. Un IET más bajo indica una mayor precisión y eficiencia en la realización de transacciones, lo cual es fundamental para la satisfacción del cliente y la integridad de los datos.</w:t>
            </w:r>
          </w:p>
        </w:tc>
        <w:tc>
          <w:tcPr>
            <w:tcW w:w="0" w:type="auto"/>
            <w:tcBorders>
              <w:top w:val="nil"/>
              <w:left w:val="nil"/>
              <w:bottom w:val="single" w:sz="4" w:space="0" w:color="auto"/>
              <w:right w:val="single" w:sz="4" w:space="0" w:color="auto"/>
            </w:tcBorders>
            <w:shd w:val="clear" w:color="auto" w:fill="auto"/>
            <w:vAlign w:val="center"/>
            <w:hideMark/>
          </w:tcPr>
          <w:p w14:paraId="1387BAD2"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 xml:space="preserve">Cuantifica errores en procesos transaccionales, proporcionando </w:t>
            </w:r>
            <w:proofErr w:type="spellStart"/>
            <w:r w:rsidRPr="006B33BE">
              <w:rPr>
                <w:rFonts w:ascii="Times New Roman" w:eastAsia="Times New Roman" w:hAnsi="Times New Roman" w:cs="Times New Roman"/>
                <w:color w:val="000000"/>
                <w:sz w:val="18"/>
                <w:szCs w:val="18"/>
                <w:lang w:eastAsia="es-HN"/>
              </w:rPr>
              <w:t>insights</w:t>
            </w:r>
            <w:proofErr w:type="spellEnd"/>
            <w:r w:rsidRPr="006B33BE">
              <w:rPr>
                <w:rFonts w:ascii="Times New Roman" w:eastAsia="Times New Roman" w:hAnsi="Times New Roman" w:cs="Times New Roman"/>
                <w:color w:val="000000"/>
                <w:sz w:val="18"/>
                <w:szCs w:val="18"/>
                <w:lang w:eastAsia="es-HN"/>
              </w:rPr>
              <w:t xml:space="preserve"> para optimizar procedimientos.</w:t>
            </w:r>
          </w:p>
        </w:tc>
      </w:tr>
      <w:tr w:rsidR="006B33BE" w:rsidRPr="006B33BE" w14:paraId="6C70C7EE" w14:textId="77777777" w:rsidTr="006B33BE">
        <w:trPr>
          <w:trHeight w:val="240"/>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6F85E7" w14:textId="77777777" w:rsidR="006B33BE" w:rsidRPr="006B33BE" w:rsidRDefault="006B33BE" w:rsidP="006B33BE">
            <w:pPr>
              <w:widowControl/>
              <w:jc w:val="center"/>
              <w:rPr>
                <w:rFonts w:ascii="Times New Roman" w:eastAsia="Times New Roman" w:hAnsi="Times New Roman" w:cs="Times New Roman"/>
                <w:b/>
                <w:bCs/>
                <w:color w:val="000000"/>
                <w:sz w:val="18"/>
                <w:szCs w:val="18"/>
                <w:lang w:eastAsia="es-HN"/>
              </w:rPr>
            </w:pPr>
            <w:r w:rsidRPr="006B33BE">
              <w:rPr>
                <w:rFonts w:ascii="Times New Roman" w:eastAsia="Times New Roman" w:hAnsi="Times New Roman" w:cs="Times New Roman"/>
                <w:b/>
                <w:bCs/>
                <w:color w:val="000000"/>
                <w:sz w:val="18"/>
                <w:szCs w:val="18"/>
                <w:lang w:eastAsia="es-HN"/>
              </w:rPr>
              <w:t>Indicadores de Calidad de Servicio</w:t>
            </w:r>
          </w:p>
        </w:tc>
      </w:tr>
      <w:tr w:rsidR="006B33BE" w:rsidRPr="006B33BE" w14:paraId="57CB6BE9" w14:textId="77777777" w:rsidTr="006B33BE">
        <w:trPr>
          <w:trHeight w:val="648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DB2ED92" w14:textId="77777777" w:rsidR="006B33BE" w:rsidRPr="006B33BE" w:rsidRDefault="006B33BE" w:rsidP="006B33BE">
            <w:pPr>
              <w:widowControl/>
              <w:ind w:firstLineChars="100" w:firstLine="180"/>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Índice de Satisfacción del Cliente Interno</w:t>
            </w:r>
          </w:p>
        </w:tc>
        <w:tc>
          <w:tcPr>
            <w:tcW w:w="0" w:type="auto"/>
            <w:tcBorders>
              <w:top w:val="nil"/>
              <w:left w:val="nil"/>
              <w:bottom w:val="single" w:sz="4" w:space="0" w:color="auto"/>
              <w:right w:val="single" w:sz="4" w:space="0" w:color="auto"/>
            </w:tcBorders>
            <w:shd w:val="clear" w:color="auto" w:fill="auto"/>
            <w:vAlign w:val="center"/>
            <w:hideMark/>
          </w:tcPr>
          <w:p w14:paraId="1450DA7A"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Mide el nivel de satisfacción de los empleados o miembros de una organización en relación con los servicios, condiciones laborales o cualquier otro aspecto que afecte su experiencia dentro de la empresa. Aunque no hay una fórmula universalmente aceptada para el Índice de Satisfacción del Cliente Interno, a menudo se crea utilizando encuestas y evaluaciones.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Una forma básica de calcular el ISCI puede ser a través de la siguiente fórmula:</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i/>
                <w:iCs/>
                <w:color w:val="000000"/>
                <w:sz w:val="18"/>
                <w:szCs w:val="18"/>
                <w:lang w:eastAsia="es-HN"/>
              </w:rPr>
              <w:t>ISCI = (Número de respuestas positivas / Número total de respuestas) × 100</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En esta fórmula:</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 "Número de respuestas positivas" representa la cantidad de empleados que expresaron satisfacción en la encuesta.</w:t>
            </w:r>
            <w:r w:rsidRPr="006B33BE">
              <w:rPr>
                <w:rFonts w:ascii="Times New Roman" w:eastAsia="Times New Roman" w:hAnsi="Times New Roman" w:cs="Times New Roman"/>
                <w:color w:val="000000"/>
                <w:sz w:val="18"/>
                <w:szCs w:val="18"/>
                <w:lang w:eastAsia="es-HN"/>
              </w:rPr>
              <w:br/>
              <w:t>- "Número total de respuestas" es el total de respuestas recopiladas.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Es crucial personalizar el cuestionario de acuerdo con las particularidades y objetivos de la organización para medir aspectos específicos que contribuyan a la satisfacción del personal. Realizar encuestas periódicas y analizar los resultados ayudará a la empresa a identificar áreas de mejora y a mantener un ambiente laboral positivo.</w:t>
            </w:r>
          </w:p>
        </w:tc>
        <w:tc>
          <w:tcPr>
            <w:tcW w:w="0" w:type="auto"/>
            <w:tcBorders>
              <w:top w:val="nil"/>
              <w:left w:val="nil"/>
              <w:bottom w:val="single" w:sz="4" w:space="0" w:color="auto"/>
              <w:right w:val="single" w:sz="4" w:space="0" w:color="auto"/>
            </w:tcBorders>
            <w:shd w:val="clear" w:color="auto" w:fill="auto"/>
            <w:vAlign w:val="center"/>
            <w:hideMark/>
          </w:tcPr>
          <w:p w14:paraId="7CDA2507"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Mide la satisfacción de los empleados con los procesos internos, vinculando la eficiencia operativa con el bienestar laboral.</w:t>
            </w:r>
          </w:p>
        </w:tc>
      </w:tr>
      <w:tr w:rsidR="006B33BE" w:rsidRPr="006B33BE" w14:paraId="0631E704" w14:textId="77777777" w:rsidTr="006B33BE">
        <w:trPr>
          <w:trHeight w:val="62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1F7B8EA" w14:textId="77777777" w:rsidR="006B33BE" w:rsidRPr="006B33BE" w:rsidRDefault="006B33BE" w:rsidP="006B33BE">
            <w:pPr>
              <w:widowControl/>
              <w:ind w:firstLineChars="100" w:firstLine="180"/>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lastRenderedPageBreak/>
              <w:t>Tiempo de Respuesta a Reclamos</w:t>
            </w:r>
          </w:p>
        </w:tc>
        <w:tc>
          <w:tcPr>
            <w:tcW w:w="0" w:type="auto"/>
            <w:tcBorders>
              <w:top w:val="nil"/>
              <w:left w:val="nil"/>
              <w:bottom w:val="single" w:sz="4" w:space="0" w:color="auto"/>
              <w:right w:val="single" w:sz="4" w:space="0" w:color="auto"/>
            </w:tcBorders>
            <w:shd w:val="clear" w:color="auto" w:fill="auto"/>
            <w:vAlign w:val="center"/>
            <w:hideMark/>
          </w:tcPr>
          <w:p w14:paraId="077DB8BC"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 xml:space="preserve">Mide la rapidez con la que una organización responde a los reclamos o quejas de sus clientes. </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La fórmula básica para calcular este indicador es: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i/>
                <w:iCs/>
                <w:color w:val="000000"/>
                <w:sz w:val="18"/>
                <w:szCs w:val="18"/>
                <w:lang w:eastAsia="es-HN"/>
              </w:rPr>
              <w:t>Tiempo de Respuesta a Reclamos = (Total de Tiempo Empleado en Responder Reclamos / Número Total de Reclamos Atendidos)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Esta fórmula se puede desglosar de la siguiente manera:</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 "Total de Tiempo Empleado en Responder Reclamos" es la suma de la cantidad de tiempo que lleva responder a cada reclamo por separado. Puede ser expresado en minutos, horas o cualquier unidad de tiempo relevante para la organización.</w:t>
            </w:r>
            <w:r w:rsidRPr="006B33BE">
              <w:rPr>
                <w:rFonts w:ascii="Times New Roman" w:eastAsia="Times New Roman" w:hAnsi="Times New Roman" w:cs="Times New Roman"/>
                <w:color w:val="000000"/>
                <w:sz w:val="18"/>
                <w:szCs w:val="18"/>
                <w:lang w:eastAsia="es-HN"/>
              </w:rPr>
              <w:br/>
              <w:t>- "Número Total de Reclamos Atendidos" es la cantidad total de reclamos a los que se les ha proporcionado una respuesta.</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El resultado se expresa en términos de tiempo (por ejemplo, minutos por reclamo) y representa el promedio del tiempo que la organización toma para responder a los reclamos de los clientes. Este indicador es crucial para evaluar la eficiencia y la calidad del servicio al cliente, y para identificar oportunidades de mejora en los procesos de atención al cliente.</w:t>
            </w:r>
          </w:p>
        </w:tc>
        <w:tc>
          <w:tcPr>
            <w:tcW w:w="0" w:type="auto"/>
            <w:tcBorders>
              <w:top w:val="nil"/>
              <w:left w:val="nil"/>
              <w:bottom w:val="single" w:sz="4" w:space="0" w:color="auto"/>
              <w:right w:val="single" w:sz="4" w:space="0" w:color="auto"/>
            </w:tcBorders>
            <w:shd w:val="clear" w:color="auto" w:fill="auto"/>
            <w:vAlign w:val="center"/>
            <w:hideMark/>
          </w:tcPr>
          <w:p w14:paraId="7D24C1F6"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Evalúa la eficacia de los procesos en la resolución de problemas, mejorando la calidad del servicio.</w:t>
            </w:r>
          </w:p>
        </w:tc>
      </w:tr>
      <w:tr w:rsidR="006B33BE" w:rsidRPr="006B33BE" w14:paraId="7839DDC8" w14:textId="77777777" w:rsidTr="006B33BE">
        <w:trPr>
          <w:trHeight w:val="240"/>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78469D" w14:textId="77777777" w:rsidR="006B33BE" w:rsidRPr="006B33BE" w:rsidRDefault="006B33BE" w:rsidP="006B33BE">
            <w:pPr>
              <w:widowControl/>
              <w:jc w:val="center"/>
              <w:rPr>
                <w:rFonts w:ascii="Times New Roman" w:eastAsia="Times New Roman" w:hAnsi="Times New Roman" w:cs="Times New Roman"/>
                <w:b/>
                <w:bCs/>
                <w:color w:val="000000"/>
                <w:sz w:val="18"/>
                <w:szCs w:val="18"/>
                <w:lang w:eastAsia="es-HN"/>
              </w:rPr>
            </w:pPr>
            <w:r w:rsidRPr="006B33BE">
              <w:rPr>
                <w:rFonts w:ascii="Times New Roman" w:eastAsia="Times New Roman" w:hAnsi="Times New Roman" w:cs="Times New Roman"/>
                <w:b/>
                <w:bCs/>
                <w:color w:val="000000"/>
                <w:sz w:val="18"/>
                <w:szCs w:val="18"/>
                <w:lang w:eastAsia="es-HN"/>
              </w:rPr>
              <w:t>Indicadores Financieros Relacionados</w:t>
            </w:r>
          </w:p>
        </w:tc>
      </w:tr>
      <w:tr w:rsidR="006B33BE" w:rsidRPr="006B33BE" w14:paraId="6B1027E4" w14:textId="77777777" w:rsidTr="006B33BE">
        <w:trPr>
          <w:trHeight w:val="528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EFE3F4F" w14:textId="77777777" w:rsidR="006B33BE" w:rsidRPr="006B33BE" w:rsidRDefault="006B33BE" w:rsidP="006B33BE">
            <w:pPr>
              <w:widowControl/>
              <w:ind w:firstLineChars="100" w:firstLine="180"/>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Contribución de Costos Administrativos a la Tasa de Interés</w:t>
            </w:r>
          </w:p>
        </w:tc>
        <w:tc>
          <w:tcPr>
            <w:tcW w:w="0" w:type="auto"/>
            <w:tcBorders>
              <w:top w:val="nil"/>
              <w:left w:val="nil"/>
              <w:bottom w:val="single" w:sz="4" w:space="0" w:color="auto"/>
              <w:right w:val="single" w:sz="4" w:space="0" w:color="auto"/>
            </w:tcBorders>
            <w:shd w:val="clear" w:color="auto" w:fill="auto"/>
            <w:vAlign w:val="center"/>
            <w:hideMark/>
          </w:tcPr>
          <w:p w14:paraId="5ACFAB10"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El indicador puede calcularse de la siguiente manera:</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i/>
                <w:iCs/>
                <w:color w:val="000000"/>
                <w:sz w:val="18"/>
                <w:szCs w:val="18"/>
                <w:lang w:eastAsia="es-HN"/>
              </w:rPr>
              <w:t>Contribución de Costos Administrativos a la Tasa de Interés = (Costos Administrativos Totales / Ingresos por Intereses) × 100</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Esta fórmula se desglosa de la siguiente manera:</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 "Costos Administrativos Totales" son los costos relacionados con las actividades administrativas de la institución financiera. Esto incluiría salarios del personal administrativo, gastos generales de oficina, tecnología, entre otros.</w:t>
            </w:r>
            <w:r w:rsidRPr="006B33BE">
              <w:rPr>
                <w:rFonts w:ascii="Times New Roman" w:eastAsia="Times New Roman" w:hAnsi="Times New Roman" w:cs="Times New Roman"/>
                <w:color w:val="000000"/>
                <w:sz w:val="18"/>
                <w:szCs w:val="18"/>
                <w:lang w:eastAsia="es-HN"/>
              </w:rPr>
              <w:br/>
              <w:t>- "Ingresos por Intereses" son los ingresos generados por la institución financiera a través de la aplicación de tasas de interés a los préstamos u otras inversiones financieras.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Este indicador proporciona información sobre la proporción de los costos administrativos con respecto a los ingresos por intereses. Un valor más bajo indica una mayor eficiencia, ya que los costos administrativos son una parte más pequeña de los ingresos generados por las operaciones financieras.</w:t>
            </w:r>
          </w:p>
        </w:tc>
        <w:tc>
          <w:tcPr>
            <w:tcW w:w="0" w:type="auto"/>
            <w:tcBorders>
              <w:top w:val="nil"/>
              <w:left w:val="nil"/>
              <w:bottom w:val="single" w:sz="4" w:space="0" w:color="auto"/>
              <w:right w:val="single" w:sz="4" w:space="0" w:color="auto"/>
            </w:tcBorders>
            <w:shd w:val="clear" w:color="auto" w:fill="auto"/>
            <w:vAlign w:val="center"/>
            <w:hideMark/>
          </w:tcPr>
          <w:p w14:paraId="6BE27E32"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Calcula el impacto directo de los costos administrativos en las tasas de interés, permitiendo ajustes estratégicos.</w:t>
            </w:r>
          </w:p>
        </w:tc>
      </w:tr>
      <w:tr w:rsidR="006B33BE" w:rsidRPr="006B33BE" w14:paraId="39B0FB51" w14:textId="77777777" w:rsidTr="006B33BE">
        <w:trPr>
          <w:trHeight w:val="60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5D74D09" w14:textId="77777777" w:rsidR="006B33BE" w:rsidRPr="006B33BE" w:rsidRDefault="006B33BE" w:rsidP="006B33BE">
            <w:pPr>
              <w:widowControl/>
              <w:ind w:firstLineChars="100" w:firstLine="180"/>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lastRenderedPageBreak/>
              <w:t>Rentabilidad de Proyectos de Optimización</w:t>
            </w:r>
          </w:p>
        </w:tc>
        <w:tc>
          <w:tcPr>
            <w:tcW w:w="0" w:type="auto"/>
            <w:tcBorders>
              <w:top w:val="nil"/>
              <w:left w:val="nil"/>
              <w:bottom w:val="single" w:sz="4" w:space="0" w:color="auto"/>
              <w:right w:val="single" w:sz="4" w:space="0" w:color="auto"/>
            </w:tcBorders>
            <w:shd w:val="clear" w:color="auto" w:fill="auto"/>
            <w:vAlign w:val="center"/>
            <w:hideMark/>
          </w:tcPr>
          <w:p w14:paraId="0FB3522D"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 xml:space="preserve">La fórmula para calcular la Rentabilidad de Proyectos de Optimización puede variar según cómo se mida la rentabilidad en un contexto específico. Sin embargo, en un sentido general, la rentabilidad se puede calcular mediante el rendimiento financiero obtenido en comparación con los costos incurridos. </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Una fórmula básica que se puede adaptar según las necesidades específicas: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i/>
                <w:iCs/>
                <w:color w:val="000000"/>
                <w:sz w:val="18"/>
                <w:szCs w:val="18"/>
                <w:lang w:eastAsia="es-HN"/>
              </w:rPr>
              <w:t>Rentabilidad de Proyectos = (Beneficios Netos del Proyecto / Costos Totales del Proyecto) × 100</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Donde:</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 "Beneficios Netos del Proyecto" incluye los ingresos generados y cualquier ahorro de costos asociado con la optimización.</w:t>
            </w:r>
            <w:r w:rsidRPr="006B33BE">
              <w:rPr>
                <w:rFonts w:ascii="Times New Roman" w:eastAsia="Times New Roman" w:hAnsi="Times New Roman" w:cs="Times New Roman"/>
                <w:color w:val="000000"/>
                <w:sz w:val="18"/>
                <w:szCs w:val="18"/>
                <w:lang w:eastAsia="es-HN"/>
              </w:rPr>
              <w:br/>
              <w:t>- "Costos Totales del Proyecto" abarca todos los costos asociados con la planificación, implementación y mantenimiento del proyecto de optimización.</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Un valor positivo indica que los beneficios superan los costos, lo que sugiere una rentabilidad positiva en el proyecto de optimización.</w:t>
            </w:r>
          </w:p>
        </w:tc>
        <w:tc>
          <w:tcPr>
            <w:tcW w:w="0" w:type="auto"/>
            <w:tcBorders>
              <w:top w:val="nil"/>
              <w:left w:val="nil"/>
              <w:bottom w:val="single" w:sz="4" w:space="0" w:color="auto"/>
              <w:right w:val="single" w:sz="4" w:space="0" w:color="auto"/>
            </w:tcBorders>
            <w:shd w:val="clear" w:color="auto" w:fill="auto"/>
            <w:vAlign w:val="center"/>
            <w:hideMark/>
          </w:tcPr>
          <w:p w14:paraId="6D643E25"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Evalúa el retorno de inversión de las iniciativas para reducir costos administrativos.</w:t>
            </w:r>
          </w:p>
        </w:tc>
      </w:tr>
      <w:tr w:rsidR="006B33BE" w:rsidRPr="006B33BE" w14:paraId="6108D4E0" w14:textId="77777777" w:rsidTr="006B33BE">
        <w:trPr>
          <w:trHeight w:val="240"/>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A61F3A" w14:textId="77777777" w:rsidR="006B33BE" w:rsidRPr="006B33BE" w:rsidRDefault="006B33BE" w:rsidP="006B33BE">
            <w:pPr>
              <w:widowControl/>
              <w:jc w:val="center"/>
              <w:rPr>
                <w:rFonts w:ascii="Times New Roman" w:eastAsia="Times New Roman" w:hAnsi="Times New Roman" w:cs="Times New Roman"/>
                <w:b/>
                <w:bCs/>
                <w:color w:val="000000"/>
                <w:sz w:val="18"/>
                <w:szCs w:val="18"/>
                <w:lang w:eastAsia="es-HN"/>
              </w:rPr>
            </w:pPr>
            <w:r w:rsidRPr="006B33BE">
              <w:rPr>
                <w:rFonts w:ascii="Times New Roman" w:eastAsia="Times New Roman" w:hAnsi="Times New Roman" w:cs="Times New Roman"/>
                <w:b/>
                <w:bCs/>
                <w:color w:val="000000"/>
                <w:sz w:val="18"/>
                <w:szCs w:val="18"/>
                <w:lang w:eastAsia="es-HN"/>
              </w:rPr>
              <w:t>Encuestas y Retroalimentación Continua</w:t>
            </w:r>
          </w:p>
        </w:tc>
      </w:tr>
      <w:tr w:rsidR="006B33BE" w:rsidRPr="006B33BE" w14:paraId="556B663C" w14:textId="77777777" w:rsidTr="006B33BE">
        <w:trPr>
          <w:trHeight w:val="43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ADB894A" w14:textId="77777777" w:rsidR="006B33BE" w:rsidRPr="006B33BE" w:rsidRDefault="006B33BE" w:rsidP="006B33BE">
            <w:pPr>
              <w:widowControl/>
              <w:ind w:firstLineChars="100" w:firstLine="180"/>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Encuestas de Satisfacción del Personal</w:t>
            </w:r>
          </w:p>
        </w:tc>
        <w:tc>
          <w:tcPr>
            <w:tcW w:w="0" w:type="auto"/>
            <w:tcBorders>
              <w:top w:val="nil"/>
              <w:left w:val="nil"/>
              <w:bottom w:val="single" w:sz="4" w:space="0" w:color="auto"/>
              <w:right w:val="single" w:sz="4" w:space="0" w:color="auto"/>
            </w:tcBorders>
            <w:shd w:val="clear" w:color="auto" w:fill="auto"/>
            <w:vAlign w:val="center"/>
            <w:hideMark/>
          </w:tcPr>
          <w:p w14:paraId="432EB5A6"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El indicador de Encuestas de Satisfacción del Personal se puede calcular utilizando la siguiente fórmula básica:</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i/>
                <w:iCs/>
                <w:color w:val="000000"/>
                <w:sz w:val="18"/>
                <w:szCs w:val="18"/>
                <w:lang w:eastAsia="es-HN"/>
              </w:rPr>
              <w:t>Índice de Satisfacción del Personal (ISP) = (Número de Respuestas Positivas / Número Total de Respuestas) × 100</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Donde:</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 "Número de Respuestas Positivas" representa la cantidad de respuestas favorables o positivas en las encuestas de satisfacción del personal.</w:t>
            </w:r>
            <w:r w:rsidRPr="006B33BE">
              <w:rPr>
                <w:rFonts w:ascii="Times New Roman" w:eastAsia="Times New Roman" w:hAnsi="Times New Roman" w:cs="Times New Roman"/>
                <w:color w:val="000000"/>
                <w:sz w:val="18"/>
                <w:szCs w:val="18"/>
                <w:lang w:eastAsia="es-HN"/>
              </w:rPr>
              <w:br/>
              <w:t>- "Número Total de Respuestas" es la cantidad total de respuestas recopiladas en las encuestas.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Este índice proporciona una medida relativa de la satisfacción del personal y puede ser utilizado para evaluar el clima laboral y la eficacia de las políticas y prácticas de recursos humanos implementadas en la organización.</w:t>
            </w:r>
          </w:p>
        </w:tc>
        <w:tc>
          <w:tcPr>
            <w:tcW w:w="0" w:type="auto"/>
            <w:tcBorders>
              <w:top w:val="nil"/>
              <w:left w:val="nil"/>
              <w:bottom w:val="single" w:sz="4" w:space="0" w:color="auto"/>
              <w:right w:val="single" w:sz="4" w:space="0" w:color="auto"/>
            </w:tcBorders>
            <w:shd w:val="clear" w:color="auto" w:fill="auto"/>
            <w:vAlign w:val="center"/>
            <w:hideMark/>
          </w:tcPr>
          <w:p w14:paraId="71FB6C01"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Recoge percepciones internas sobre la eficiencia de los procesos, brindando información cualitativa.</w:t>
            </w:r>
          </w:p>
        </w:tc>
      </w:tr>
      <w:tr w:rsidR="006B33BE" w:rsidRPr="006B33BE" w14:paraId="09115729" w14:textId="77777777" w:rsidTr="006B33BE">
        <w:trPr>
          <w:trHeight w:val="456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43E0003" w14:textId="77777777" w:rsidR="006B33BE" w:rsidRPr="006B33BE" w:rsidRDefault="006B33BE" w:rsidP="006B33BE">
            <w:pPr>
              <w:widowControl/>
              <w:ind w:firstLineChars="100" w:firstLine="180"/>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lastRenderedPageBreak/>
              <w:t>Retroalimentación de Clientes Internos</w:t>
            </w:r>
          </w:p>
        </w:tc>
        <w:tc>
          <w:tcPr>
            <w:tcW w:w="0" w:type="auto"/>
            <w:tcBorders>
              <w:top w:val="nil"/>
              <w:left w:val="nil"/>
              <w:bottom w:val="single" w:sz="4" w:space="0" w:color="auto"/>
              <w:right w:val="single" w:sz="4" w:space="0" w:color="auto"/>
            </w:tcBorders>
            <w:shd w:val="clear" w:color="auto" w:fill="auto"/>
            <w:vAlign w:val="center"/>
            <w:hideMark/>
          </w:tcPr>
          <w:p w14:paraId="2993425E"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El indicador de Retroalimentación de Clientes Internos se puede calcular utilizando la siguiente fórmula básica:</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i/>
                <w:iCs/>
                <w:color w:val="000000"/>
                <w:sz w:val="18"/>
                <w:szCs w:val="18"/>
                <w:lang w:eastAsia="es-HN"/>
              </w:rPr>
              <w:t>Índice de Retroalimentación de Clientes Internos (IRCI) = (Número de Retroalimentaciones Positivas / Número Total de Retroalimentaciones) × 100</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Donde:</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 "Número de Retroalimentaciones Positivas" representa la cantidad de retroalimentaciones favorables o positivas recibidas de los clientes internos.</w:t>
            </w:r>
            <w:r w:rsidRPr="006B33BE">
              <w:rPr>
                <w:rFonts w:ascii="Times New Roman" w:eastAsia="Times New Roman" w:hAnsi="Times New Roman" w:cs="Times New Roman"/>
                <w:color w:val="000000"/>
                <w:sz w:val="18"/>
                <w:szCs w:val="18"/>
                <w:lang w:eastAsia="es-HN"/>
              </w:rPr>
              <w:br/>
              <w:t>- "Número Total de Retroalimentaciones" es la cantidad total de retroalimentaciones recopiladas.</w:t>
            </w:r>
            <w:r w:rsidRPr="006B33BE">
              <w:rPr>
                <w:rFonts w:ascii="Times New Roman" w:eastAsia="Times New Roman" w:hAnsi="Times New Roman" w:cs="Times New Roman"/>
                <w:color w:val="000000"/>
                <w:sz w:val="18"/>
                <w:szCs w:val="18"/>
                <w:lang w:eastAsia="es-HN"/>
              </w:rPr>
              <w:br/>
            </w:r>
            <w:r w:rsidRPr="006B33BE">
              <w:rPr>
                <w:rFonts w:ascii="Times New Roman" w:eastAsia="Times New Roman" w:hAnsi="Times New Roman" w:cs="Times New Roman"/>
                <w:color w:val="000000"/>
                <w:sz w:val="18"/>
                <w:szCs w:val="18"/>
                <w:lang w:eastAsia="es-HN"/>
              </w:rPr>
              <w:br/>
              <w:t>Este indicador proporciona información sobre la percepción y satisfacción de los clientes internos dentro de la organización, lo que puede ser crucial para mejorar la calidad de los procesos y servicios internos.</w:t>
            </w:r>
          </w:p>
        </w:tc>
        <w:tc>
          <w:tcPr>
            <w:tcW w:w="0" w:type="auto"/>
            <w:tcBorders>
              <w:top w:val="nil"/>
              <w:left w:val="nil"/>
              <w:bottom w:val="single" w:sz="4" w:space="0" w:color="auto"/>
              <w:right w:val="single" w:sz="4" w:space="0" w:color="auto"/>
            </w:tcBorders>
            <w:shd w:val="clear" w:color="auto" w:fill="auto"/>
            <w:vAlign w:val="center"/>
            <w:hideMark/>
          </w:tcPr>
          <w:p w14:paraId="1165CA5F" w14:textId="77777777" w:rsidR="006B33BE" w:rsidRPr="006B33BE" w:rsidRDefault="006B33BE" w:rsidP="006B33BE">
            <w:pPr>
              <w:widowControl/>
              <w:jc w:val="both"/>
              <w:rPr>
                <w:rFonts w:ascii="Times New Roman" w:eastAsia="Times New Roman" w:hAnsi="Times New Roman" w:cs="Times New Roman"/>
                <w:color w:val="000000"/>
                <w:sz w:val="18"/>
                <w:szCs w:val="18"/>
                <w:lang w:eastAsia="es-HN"/>
              </w:rPr>
            </w:pPr>
            <w:r w:rsidRPr="006B33BE">
              <w:rPr>
                <w:rFonts w:ascii="Times New Roman" w:eastAsia="Times New Roman" w:hAnsi="Times New Roman" w:cs="Times New Roman"/>
                <w:color w:val="000000"/>
                <w:sz w:val="18"/>
                <w:szCs w:val="18"/>
                <w:lang w:eastAsia="es-HN"/>
              </w:rPr>
              <w:t>Captura las experiencias y sugerencias de los empleados para mejorar procesos desde su perspectiva.</w:t>
            </w:r>
          </w:p>
        </w:tc>
      </w:tr>
    </w:tbl>
    <w:p w14:paraId="6CB51A08" w14:textId="0272A5C5" w:rsidR="00C2533C" w:rsidRDefault="00C2533C" w:rsidP="006075C1">
      <w:pPr>
        <w:pStyle w:val="TextoPrincipal"/>
        <w:spacing w:line="360" w:lineRule="auto"/>
      </w:pPr>
      <w:r w:rsidRPr="00C2533C">
        <w:rPr>
          <w:b/>
          <w:bCs/>
        </w:rPr>
        <w:t>Fuente:</w:t>
      </w:r>
      <w:r>
        <w:t xml:space="preserve"> Elaboración propia. </w:t>
      </w:r>
    </w:p>
    <w:p w14:paraId="0C7BE59F" w14:textId="77777777" w:rsidR="006075C1" w:rsidRPr="007A01EE" w:rsidRDefault="006075C1" w:rsidP="007E7E61">
      <w:pPr>
        <w:pStyle w:val="Ttulo2"/>
        <w:numPr>
          <w:ilvl w:val="1"/>
          <w:numId w:val="5"/>
        </w:numPr>
        <w:spacing w:line="360" w:lineRule="auto"/>
      </w:pPr>
      <w:bookmarkStart w:id="186" w:name="_Toc132615487"/>
      <w:bookmarkStart w:id="187" w:name="_Toc155066663"/>
      <w:r>
        <w:t>CRONOGRAMA DE IMPLEMENTACIÓN Y PRESUPUESTO</w:t>
      </w:r>
      <w:bookmarkEnd w:id="186"/>
      <w:bookmarkEnd w:id="187"/>
    </w:p>
    <w:p w14:paraId="0BFBCE66" w14:textId="2D607FAB" w:rsidR="00280B54" w:rsidRDefault="00280B54" w:rsidP="006075C1">
      <w:pPr>
        <w:pStyle w:val="TextoPrincipal"/>
        <w:spacing w:line="360" w:lineRule="auto"/>
      </w:pPr>
      <w:r w:rsidRPr="00280B54">
        <w:t>E</w:t>
      </w:r>
      <w:r>
        <w:t>l siguiente</w:t>
      </w:r>
      <w:r w:rsidRPr="00280B54">
        <w:t xml:space="preserve"> cronograma y presupuesto ofrecen una estructura para la implementación de un sistema eficiente de gestión de costos administrativos, asegurando una transición gradual y una mejora continua en la eficiencia y reducción de costos.</w:t>
      </w:r>
    </w:p>
    <w:p w14:paraId="6AB0F789" w14:textId="67D189CC" w:rsidR="00280B54" w:rsidRDefault="00280B54" w:rsidP="00280B54">
      <w:pPr>
        <w:pStyle w:val="TextoPrincipal"/>
        <w:spacing w:line="360" w:lineRule="auto"/>
        <w:rPr>
          <w:rFonts w:eastAsia="Calibri"/>
          <w:b/>
          <w:bCs/>
          <w:iCs/>
        </w:rPr>
      </w:pPr>
      <w:r w:rsidRPr="00434B43">
        <w:rPr>
          <w:rFonts w:eastAsia="Calibri"/>
          <w:b/>
          <w:bCs/>
          <w:iCs/>
        </w:rPr>
        <w:t xml:space="preserve">Tabla </w:t>
      </w:r>
      <w:r>
        <w:rPr>
          <w:rFonts w:eastAsia="Calibri"/>
          <w:b/>
          <w:bCs/>
          <w:iCs/>
        </w:rPr>
        <w:t>5. Cronograma de Implementación y Presupuesto</w:t>
      </w:r>
    </w:p>
    <w:tbl>
      <w:tblPr>
        <w:tblW w:w="0" w:type="auto"/>
        <w:jc w:val="center"/>
        <w:tblCellMar>
          <w:left w:w="70" w:type="dxa"/>
          <w:right w:w="70" w:type="dxa"/>
        </w:tblCellMar>
        <w:tblLook w:val="04A0" w:firstRow="1" w:lastRow="0" w:firstColumn="1" w:lastColumn="0" w:noHBand="0" w:noVBand="1"/>
      </w:tblPr>
      <w:tblGrid>
        <w:gridCol w:w="6965"/>
      </w:tblGrid>
      <w:tr w:rsidR="00280B54" w:rsidRPr="00280B54" w14:paraId="4B488828" w14:textId="77777777" w:rsidTr="00280B54">
        <w:trPr>
          <w:trHeight w:val="240"/>
          <w:tblHeader/>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A717CA" w14:textId="77777777" w:rsidR="00280B54" w:rsidRPr="00280B54" w:rsidRDefault="00280B54" w:rsidP="00280B54">
            <w:pPr>
              <w:widowControl/>
              <w:jc w:val="center"/>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Cronograma de Implementación: Gestión Eficiente de Costos Administrativos</w:t>
            </w:r>
          </w:p>
        </w:tc>
      </w:tr>
      <w:tr w:rsidR="00280B54" w:rsidRPr="00280B54" w14:paraId="60A8884A"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389C5653"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4C2980DE" w14:textId="77777777" w:rsidTr="00280B54">
        <w:trPr>
          <w:trHeight w:val="24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816C6E"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Fase 1: Preparación y Diagnóstico (Duración: 2 meses)</w:t>
            </w:r>
          </w:p>
        </w:tc>
      </w:tr>
      <w:tr w:rsidR="00280B54" w:rsidRPr="00280B54" w14:paraId="41E5E48B"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6F41945F"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0612908B"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2B7D6EDB"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1. Semana 1-2: Formación del Equipo de Proyecto</w:t>
            </w:r>
          </w:p>
        </w:tc>
      </w:tr>
      <w:tr w:rsidR="00280B54" w:rsidRPr="00280B54" w14:paraId="58D4828F"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113FD4D4"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Selección de líderes y miembros del equipo.</w:t>
            </w:r>
          </w:p>
        </w:tc>
      </w:tr>
      <w:tr w:rsidR="00280B54" w:rsidRPr="00280B54" w14:paraId="30DCD2F3"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6BA194F8"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Sesión de lanzamiento y objetivos.</w:t>
            </w:r>
          </w:p>
        </w:tc>
      </w:tr>
      <w:tr w:rsidR="00280B54" w:rsidRPr="00280B54" w14:paraId="5B8E8832"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22957AA3"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0B58FD78"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060BBCDC"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2. Semana 3-4: Diagnóstico de Costos Actuales</w:t>
            </w:r>
          </w:p>
        </w:tc>
      </w:tr>
      <w:tr w:rsidR="00280B54" w:rsidRPr="00280B54" w14:paraId="64B69B1A"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7000AB40"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Auditoría de costos administrativos actuales.</w:t>
            </w:r>
          </w:p>
        </w:tc>
      </w:tr>
      <w:tr w:rsidR="00280B54" w:rsidRPr="00280B54" w14:paraId="782A3799"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4C69212A"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Identificación de áreas de mejora.</w:t>
            </w:r>
          </w:p>
        </w:tc>
      </w:tr>
      <w:tr w:rsidR="00280B54" w:rsidRPr="00280B54" w14:paraId="58AD7E32"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06A3E5A4"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32AA10E7"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12CF3828"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3. Semana 5-6: Establecimiento de Objetivos y Metas</w:t>
            </w:r>
          </w:p>
        </w:tc>
      </w:tr>
      <w:tr w:rsidR="00280B54" w:rsidRPr="00280B54" w14:paraId="4985F063"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41573480"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Definición de metas de eficiencia y reducción de costos.</w:t>
            </w:r>
          </w:p>
        </w:tc>
      </w:tr>
      <w:tr w:rsidR="00280B54" w:rsidRPr="00280B54" w14:paraId="3A3AAE47"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3263D04B"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Alineación con objetivos organizativos.</w:t>
            </w:r>
          </w:p>
        </w:tc>
      </w:tr>
      <w:tr w:rsidR="00280B54" w:rsidRPr="00280B54" w14:paraId="4D0EB0A7"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783CBC3F" w14:textId="77777777" w:rsidR="00280B54" w:rsidRPr="00280B54" w:rsidRDefault="00280B54" w:rsidP="00280B54">
            <w:pPr>
              <w:widowControl/>
              <w:ind w:firstLineChars="100" w:firstLine="180"/>
              <w:rPr>
                <w:rFonts w:ascii="Times New Roman" w:eastAsia="Times New Roman" w:hAnsi="Times New Roman" w:cs="Times New Roman"/>
                <w:sz w:val="18"/>
                <w:szCs w:val="18"/>
                <w:lang w:eastAsia="es-HN"/>
              </w:rPr>
            </w:pPr>
            <w:r w:rsidRPr="00280B54">
              <w:rPr>
                <w:rFonts w:ascii="Times New Roman" w:eastAsia="Times New Roman" w:hAnsi="Times New Roman" w:cs="Times New Roman"/>
                <w:sz w:val="18"/>
                <w:szCs w:val="18"/>
                <w:lang w:eastAsia="es-HN"/>
              </w:rPr>
              <w:t>________________________</w:t>
            </w:r>
          </w:p>
        </w:tc>
      </w:tr>
      <w:tr w:rsidR="00280B54" w:rsidRPr="00280B54" w14:paraId="3D8434F4"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479BC292" w14:textId="298BDB7A"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Presupuesto de la Fase 1: Recursos Humanos, Herramientas de Auditoría</w:t>
            </w:r>
          </w:p>
        </w:tc>
      </w:tr>
      <w:tr w:rsidR="00280B54" w:rsidRPr="00280B54" w14:paraId="04D1986E"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13F04D49"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Salarios del equipo de proyecto.</w:t>
            </w:r>
          </w:p>
        </w:tc>
      </w:tr>
      <w:tr w:rsidR="00280B54" w:rsidRPr="00280B54" w14:paraId="35CAD8C2"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77D15C32"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Herramientas de auditoría y software.</w:t>
            </w:r>
          </w:p>
        </w:tc>
      </w:tr>
      <w:tr w:rsidR="00280B54" w:rsidRPr="00280B54" w14:paraId="58ACC25F"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41EA6836"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6463C3B9" w14:textId="77777777" w:rsidTr="00280B54">
        <w:trPr>
          <w:trHeight w:val="24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A99FC8"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bookmarkStart w:id="188" w:name="_Hlk153609282"/>
            <w:r w:rsidRPr="00280B54">
              <w:rPr>
                <w:rFonts w:ascii="Times New Roman" w:eastAsia="Times New Roman" w:hAnsi="Times New Roman" w:cs="Times New Roman"/>
                <w:b/>
                <w:bCs/>
                <w:color w:val="000000"/>
                <w:sz w:val="18"/>
                <w:szCs w:val="18"/>
                <w:lang w:eastAsia="es-HN"/>
              </w:rPr>
              <w:t>Fase 2: Diseño de Estrategias y Herramientas (Duración: 3 meses)</w:t>
            </w:r>
          </w:p>
        </w:tc>
      </w:tr>
      <w:bookmarkEnd w:id="188"/>
      <w:tr w:rsidR="00280B54" w:rsidRPr="00280B54" w14:paraId="79D9E720"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62588B03"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77CE8720"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3784AC30"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lastRenderedPageBreak/>
              <w:t>1. Semana 1-2: Investigación y Mejores Prácticas</w:t>
            </w:r>
          </w:p>
        </w:tc>
      </w:tr>
      <w:tr w:rsidR="00280B54" w:rsidRPr="00280B54" w14:paraId="55485AD6"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4922C0B9"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Revisión de mejores prácticas en gestión de costos.</w:t>
            </w:r>
          </w:p>
        </w:tc>
      </w:tr>
      <w:tr w:rsidR="00280B54" w:rsidRPr="00280B54" w14:paraId="2F7CA1ED"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53D1B795"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Investigación de herramientas tecnológicas.</w:t>
            </w:r>
          </w:p>
        </w:tc>
      </w:tr>
      <w:tr w:rsidR="00280B54" w:rsidRPr="00280B54" w14:paraId="12A16DE0"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5B5CCFEC"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7906F47A"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5600D562"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2. Semana 3-4: Diseño de Estrategias de Optimización</w:t>
            </w:r>
          </w:p>
        </w:tc>
      </w:tr>
      <w:tr w:rsidR="00280B54" w:rsidRPr="00280B54" w14:paraId="4F8279F2"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1ADDF165"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Desarrollo de estrategias específicas para reducir costos.</w:t>
            </w:r>
          </w:p>
        </w:tc>
      </w:tr>
      <w:tr w:rsidR="00280B54" w:rsidRPr="00280B54" w14:paraId="4E1DE766"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5B8D12FA"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Identificación de áreas de automatización.</w:t>
            </w:r>
          </w:p>
        </w:tc>
      </w:tr>
      <w:tr w:rsidR="00280B54" w:rsidRPr="00280B54" w14:paraId="618D51FA"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6C430114"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521FB645"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058ECB73"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3. Semana 5-6: Desarrollo de Herramientas y Sistemas</w:t>
            </w:r>
          </w:p>
        </w:tc>
      </w:tr>
      <w:tr w:rsidR="00280B54" w:rsidRPr="00280B54" w14:paraId="13479D37"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25A05773"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Creación o adquisición de herramientas tecnológicas.</w:t>
            </w:r>
          </w:p>
        </w:tc>
      </w:tr>
      <w:tr w:rsidR="00280B54" w:rsidRPr="00280B54" w14:paraId="3127BD3F"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3D66F091"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Implementación de sistemas de seguimiento.</w:t>
            </w:r>
          </w:p>
        </w:tc>
      </w:tr>
      <w:tr w:rsidR="00280B54" w:rsidRPr="00280B54" w14:paraId="33F12D1F"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5C93FA2B" w14:textId="77777777" w:rsidR="00280B54" w:rsidRPr="00280B54" w:rsidRDefault="00280B54" w:rsidP="00280B54">
            <w:pPr>
              <w:widowControl/>
              <w:ind w:firstLineChars="100" w:firstLine="180"/>
              <w:rPr>
                <w:rFonts w:ascii="Times New Roman" w:eastAsia="Times New Roman" w:hAnsi="Times New Roman" w:cs="Times New Roman"/>
                <w:sz w:val="18"/>
                <w:szCs w:val="18"/>
                <w:lang w:eastAsia="es-HN"/>
              </w:rPr>
            </w:pPr>
            <w:r w:rsidRPr="00280B54">
              <w:rPr>
                <w:rFonts w:ascii="Times New Roman" w:eastAsia="Times New Roman" w:hAnsi="Times New Roman" w:cs="Times New Roman"/>
                <w:sz w:val="18"/>
                <w:szCs w:val="18"/>
                <w:lang w:eastAsia="es-HN"/>
              </w:rPr>
              <w:t>________________________</w:t>
            </w:r>
          </w:p>
        </w:tc>
      </w:tr>
      <w:tr w:rsidR="00280B54" w:rsidRPr="00280B54" w14:paraId="716B3FAB"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465CCE83"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Presupuesto de la Fase 2: Investigación, Desarrollo Tecnológico</w:t>
            </w:r>
          </w:p>
        </w:tc>
      </w:tr>
      <w:tr w:rsidR="00280B54" w:rsidRPr="00280B54" w14:paraId="6E17AA3A"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3A767949"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Consultores externos (si es necesario).</w:t>
            </w:r>
          </w:p>
        </w:tc>
      </w:tr>
      <w:tr w:rsidR="00280B54" w:rsidRPr="00280B54" w14:paraId="66D412F0"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1CEA6291"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Costos de licencia para herramientas tecnológicas.</w:t>
            </w:r>
          </w:p>
        </w:tc>
      </w:tr>
      <w:tr w:rsidR="00280B54" w:rsidRPr="00280B54" w14:paraId="7C084EBF"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70E77F37"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5D92AC9E" w14:textId="77777777" w:rsidTr="00280B54">
        <w:trPr>
          <w:trHeight w:val="24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C1F9A2"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bookmarkStart w:id="189" w:name="_Hlk155064088"/>
            <w:r w:rsidRPr="00280B54">
              <w:rPr>
                <w:rFonts w:ascii="Times New Roman" w:eastAsia="Times New Roman" w:hAnsi="Times New Roman" w:cs="Times New Roman"/>
                <w:b/>
                <w:bCs/>
                <w:color w:val="000000"/>
                <w:sz w:val="18"/>
                <w:szCs w:val="18"/>
                <w:lang w:eastAsia="es-HN"/>
              </w:rPr>
              <w:t>Fase 3: Implementación y Capacitación (Duración: 4 meses)</w:t>
            </w:r>
          </w:p>
        </w:tc>
      </w:tr>
      <w:bookmarkEnd w:id="189"/>
      <w:tr w:rsidR="00280B54" w:rsidRPr="00280B54" w14:paraId="7AA95463"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5EF51166"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121C2A44"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4D174E1A"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1. Mes 1-2: Implementación Gradual en Departamentos Piloto</w:t>
            </w:r>
          </w:p>
        </w:tc>
      </w:tr>
      <w:tr w:rsidR="00280B54" w:rsidRPr="00280B54" w14:paraId="3512F994"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5D8E3EFB"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Inicio en departamentos específicos.</w:t>
            </w:r>
          </w:p>
        </w:tc>
      </w:tr>
      <w:tr w:rsidR="00280B54" w:rsidRPr="00280B54" w14:paraId="1B5D9D9E"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33FD66CD"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Monitoreo de resultados iniciales.</w:t>
            </w:r>
          </w:p>
        </w:tc>
      </w:tr>
      <w:tr w:rsidR="00280B54" w:rsidRPr="00280B54" w14:paraId="1B7B97A0"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71747363"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66A8F698"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6F7495EF"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2. Mes 3-4: Capacitación del Personal</w:t>
            </w:r>
          </w:p>
        </w:tc>
      </w:tr>
      <w:tr w:rsidR="00280B54" w:rsidRPr="00280B54" w14:paraId="2829FAB4"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7B092053"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Sesiones de formación sobre nuevas herramientas y procesos.</w:t>
            </w:r>
          </w:p>
        </w:tc>
      </w:tr>
      <w:tr w:rsidR="00280B54" w:rsidRPr="00280B54" w14:paraId="6A5BC8A9"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6D838A41"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Ajustes basados en la retroalimentación.</w:t>
            </w:r>
          </w:p>
        </w:tc>
      </w:tr>
      <w:tr w:rsidR="00280B54" w:rsidRPr="00280B54" w14:paraId="232B8480"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5E2DEEB5"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6D77CAB6"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5786E7CF"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3. Mes 5-6: Extensión a Toda la Organización</w:t>
            </w:r>
          </w:p>
        </w:tc>
      </w:tr>
      <w:tr w:rsidR="00280B54" w:rsidRPr="00280B54" w14:paraId="08FB49D2"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27A89224"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Despliegue completo de estrategias y herramientas.</w:t>
            </w:r>
          </w:p>
        </w:tc>
      </w:tr>
      <w:tr w:rsidR="00280B54" w:rsidRPr="00280B54" w14:paraId="11984314"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2B4BAF7E"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Acompañamiento continuo y ajustes según sea necesario.</w:t>
            </w:r>
          </w:p>
        </w:tc>
      </w:tr>
      <w:tr w:rsidR="00280B54" w:rsidRPr="00280B54" w14:paraId="7A3B7BFA"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195202A0" w14:textId="77777777" w:rsidR="00280B54" w:rsidRPr="00280B54" w:rsidRDefault="00280B54" w:rsidP="00280B54">
            <w:pPr>
              <w:widowControl/>
              <w:ind w:firstLineChars="100" w:firstLine="180"/>
              <w:rPr>
                <w:rFonts w:ascii="Times New Roman" w:eastAsia="Times New Roman" w:hAnsi="Times New Roman" w:cs="Times New Roman"/>
                <w:sz w:val="18"/>
                <w:szCs w:val="18"/>
                <w:lang w:eastAsia="es-HN"/>
              </w:rPr>
            </w:pPr>
            <w:r w:rsidRPr="00280B54">
              <w:rPr>
                <w:rFonts w:ascii="Times New Roman" w:eastAsia="Times New Roman" w:hAnsi="Times New Roman" w:cs="Times New Roman"/>
                <w:sz w:val="18"/>
                <w:szCs w:val="18"/>
                <w:lang w:eastAsia="es-HN"/>
              </w:rPr>
              <w:t>________________________</w:t>
            </w:r>
          </w:p>
        </w:tc>
      </w:tr>
      <w:tr w:rsidR="00280B54" w:rsidRPr="00280B54" w14:paraId="22AC1933"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57102D70"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Presupuesto de la Fase 3: Implementación Gradual, Capacitación</w:t>
            </w:r>
          </w:p>
        </w:tc>
      </w:tr>
      <w:tr w:rsidR="00280B54" w:rsidRPr="00280B54" w14:paraId="69348192"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3F4F8881"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Capacitadores y materiales de formación.</w:t>
            </w:r>
          </w:p>
        </w:tc>
      </w:tr>
      <w:tr w:rsidR="00280B54" w:rsidRPr="00280B54" w14:paraId="3E1D1F09"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1E5BAD89"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Posibles ajustes en herramientas o procesos.</w:t>
            </w:r>
          </w:p>
        </w:tc>
      </w:tr>
      <w:tr w:rsidR="00280B54" w:rsidRPr="00280B54" w14:paraId="70388597"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7E3C73EF"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53133436" w14:textId="77777777" w:rsidTr="00280B54">
        <w:trPr>
          <w:trHeight w:val="24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69F61B"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bookmarkStart w:id="190" w:name="_Hlk155065416"/>
            <w:r w:rsidRPr="00280B54">
              <w:rPr>
                <w:rFonts w:ascii="Times New Roman" w:eastAsia="Times New Roman" w:hAnsi="Times New Roman" w:cs="Times New Roman"/>
                <w:b/>
                <w:bCs/>
                <w:color w:val="000000"/>
                <w:sz w:val="18"/>
                <w:szCs w:val="18"/>
                <w:lang w:eastAsia="es-HN"/>
              </w:rPr>
              <w:t xml:space="preserve">Fase 4: Monitoreo Continuo y Mejora Continua (Duración: </w:t>
            </w:r>
            <w:proofErr w:type="spellStart"/>
            <w:r w:rsidRPr="00280B54">
              <w:rPr>
                <w:rFonts w:ascii="Times New Roman" w:eastAsia="Times New Roman" w:hAnsi="Times New Roman" w:cs="Times New Roman"/>
                <w:b/>
                <w:bCs/>
                <w:color w:val="000000"/>
                <w:sz w:val="18"/>
                <w:szCs w:val="18"/>
                <w:lang w:eastAsia="es-HN"/>
              </w:rPr>
              <w:t>Ongoing</w:t>
            </w:r>
            <w:proofErr w:type="spellEnd"/>
            <w:r w:rsidRPr="00280B54">
              <w:rPr>
                <w:rFonts w:ascii="Times New Roman" w:eastAsia="Times New Roman" w:hAnsi="Times New Roman" w:cs="Times New Roman"/>
                <w:b/>
                <w:bCs/>
                <w:color w:val="000000"/>
                <w:sz w:val="18"/>
                <w:szCs w:val="18"/>
                <w:lang w:eastAsia="es-HN"/>
              </w:rPr>
              <w:t>)</w:t>
            </w:r>
          </w:p>
        </w:tc>
      </w:tr>
      <w:bookmarkEnd w:id="190"/>
      <w:tr w:rsidR="00280B54" w:rsidRPr="00280B54" w14:paraId="431702BC"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22C6E39F"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35990536"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64D0B412"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1. Mes 1-6: Establecimiento de Sistemas de Monitoreo Continuo</w:t>
            </w:r>
          </w:p>
        </w:tc>
      </w:tr>
      <w:tr w:rsidR="00280B54" w:rsidRPr="00280B54" w14:paraId="5236E3A3"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4A69A6F5"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Implementación de sistemas de seguimiento.</w:t>
            </w:r>
          </w:p>
        </w:tc>
      </w:tr>
      <w:tr w:rsidR="00280B54" w:rsidRPr="00280B54" w14:paraId="72317578"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1EC7CDDE"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Establecimiento de indicadores clave de rendimiento (</w:t>
            </w:r>
            <w:proofErr w:type="spellStart"/>
            <w:r w:rsidRPr="00280B54">
              <w:rPr>
                <w:rFonts w:ascii="Times New Roman" w:eastAsia="Times New Roman" w:hAnsi="Times New Roman" w:cs="Times New Roman"/>
                <w:color w:val="000000"/>
                <w:sz w:val="18"/>
                <w:szCs w:val="18"/>
                <w:lang w:eastAsia="es-HN"/>
              </w:rPr>
              <w:t>KPIs</w:t>
            </w:r>
            <w:proofErr w:type="spellEnd"/>
            <w:r w:rsidRPr="00280B54">
              <w:rPr>
                <w:rFonts w:ascii="Times New Roman" w:eastAsia="Times New Roman" w:hAnsi="Times New Roman" w:cs="Times New Roman"/>
                <w:color w:val="000000"/>
                <w:sz w:val="18"/>
                <w:szCs w:val="18"/>
                <w:lang w:eastAsia="es-HN"/>
              </w:rPr>
              <w:t>).</w:t>
            </w:r>
          </w:p>
        </w:tc>
      </w:tr>
      <w:tr w:rsidR="00280B54" w:rsidRPr="00280B54" w14:paraId="01FEFCA9"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6E7462CB"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73A93518"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2E2F9D10"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2. Mes 7-12: Evaluación Periódica y Ajustes</w:t>
            </w:r>
          </w:p>
        </w:tc>
      </w:tr>
      <w:tr w:rsidR="00280B54" w:rsidRPr="00280B54" w14:paraId="2DA365D5"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3D66D919"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Revisiones periódicas de costos y eficiencia.</w:t>
            </w:r>
          </w:p>
        </w:tc>
      </w:tr>
      <w:tr w:rsidR="00280B54" w:rsidRPr="00280B54" w14:paraId="6CAC6AFA"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7086565F"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Ajustes según el rendimiento y cambios organizativos.</w:t>
            </w:r>
          </w:p>
        </w:tc>
      </w:tr>
      <w:tr w:rsidR="00280B54" w:rsidRPr="00280B54" w14:paraId="2BA30477"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2D90EB63" w14:textId="77777777" w:rsidR="00280B54" w:rsidRPr="00280B54" w:rsidRDefault="00280B54" w:rsidP="00280B54">
            <w:pPr>
              <w:widowControl/>
              <w:ind w:firstLineChars="100" w:firstLine="180"/>
              <w:rPr>
                <w:rFonts w:ascii="Times New Roman" w:eastAsia="Times New Roman" w:hAnsi="Times New Roman" w:cs="Times New Roman"/>
                <w:sz w:val="18"/>
                <w:szCs w:val="18"/>
                <w:lang w:eastAsia="es-HN"/>
              </w:rPr>
            </w:pPr>
            <w:r w:rsidRPr="00280B54">
              <w:rPr>
                <w:rFonts w:ascii="Times New Roman" w:eastAsia="Times New Roman" w:hAnsi="Times New Roman" w:cs="Times New Roman"/>
                <w:sz w:val="18"/>
                <w:szCs w:val="18"/>
                <w:lang w:eastAsia="es-HN"/>
              </w:rPr>
              <w:t>________________________</w:t>
            </w:r>
          </w:p>
        </w:tc>
      </w:tr>
      <w:tr w:rsidR="00280B54" w:rsidRPr="00280B54" w14:paraId="1A862DB5"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27EF185B"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Presupuesto de la Fase 4: Sistemas de Monitoreo Continuo, Revisiones Periódicas</w:t>
            </w:r>
          </w:p>
        </w:tc>
      </w:tr>
      <w:tr w:rsidR="00280B54" w:rsidRPr="00280B54" w14:paraId="59742DF4"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289439A5"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Tecnologías de monitoreo y análisis de datos.</w:t>
            </w:r>
          </w:p>
        </w:tc>
      </w:tr>
      <w:tr w:rsidR="00280B54" w:rsidRPr="00280B54" w14:paraId="6A9D450C"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5913E0A0"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xml:space="preserve"> - Recursos para revisiones periódicas.</w:t>
            </w:r>
          </w:p>
        </w:tc>
      </w:tr>
      <w:tr w:rsidR="00280B54" w:rsidRPr="00280B54" w14:paraId="699F03E0"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2E6EBEEB"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7433EC7A" w14:textId="77777777" w:rsidTr="00280B54">
        <w:trPr>
          <w:trHeight w:val="24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64A5A8" w14:textId="77777777" w:rsidR="00280B54" w:rsidRPr="00280B54" w:rsidRDefault="00280B54" w:rsidP="00280B54">
            <w:pPr>
              <w:widowControl/>
              <w:ind w:firstLineChars="100" w:firstLine="181"/>
              <w:rPr>
                <w:rFonts w:ascii="Times New Roman" w:eastAsia="Times New Roman" w:hAnsi="Times New Roman" w:cs="Times New Roman"/>
                <w:b/>
                <w:bCs/>
                <w:color w:val="000000"/>
                <w:sz w:val="18"/>
                <w:szCs w:val="18"/>
                <w:lang w:eastAsia="es-HN"/>
              </w:rPr>
            </w:pPr>
            <w:r w:rsidRPr="00280B54">
              <w:rPr>
                <w:rFonts w:ascii="Times New Roman" w:eastAsia="Times New Roman" w:hAnsi="Times New Roman" w:cs="Times New Roman"/>
                <w:b/>
                <w:bCs/>
                <w:color w:val="000000"/>
                <w:sz w:val="18"/>
                <w:szCs w:val="18"/>
                <w:lang w:eastAsia="es-HN"/>
              </w:rPr>
              <w:t>Presupuesto General del Proyecto</w:t>
            </w:r>
          </w:p>
        </w:tc>
      </w:tr>
      <w:tr w:rsidR="00280B54" w:rsidRPr="00280B54" w14:paraId="4133EEBC"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07040B58"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r w:rsidR="00280B54" w:rsidRPr="00280B54" w14:paraId="27E95874"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005A6BE1"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Recursos Humanos:                   L _________</w:t>
            </w:r>
            <w:proofErr w:type="gramStart"/>
            <w:r w:rsidRPr="00280B54">
              <w:rPr>
                <w:rFonts w:ascii="Times New Roman" w:eastAsia="Times New Roman" w:hAnsi="Times New Roman" w:cs="Times New Roman"/>
                <w:color w:val="000000"/>
                <w:sz w:val="18"/>
                <w:szCs w:val="18"/>
                <w:lang w:eastAsia="es-HN"/>
              </w:rPr>
              <w:t>_  (</w:t>
            </w:r>
            <w:proofErr w:type="gramEnd"/>
            <w:r w:rsidRPr="00280B54">
              <w:rPr>
                <w:rFonts w:ascii="Times New Roman" w:eastAsia="Times New Roman" w:hAnsi="Times New Roman" w:cs="Times New Roman"/>
                <w:color w:val="000000"/>
                <w:sz w:val="18"/>
                <w:szCs w:val="18"/>
                <w:lang w:eastAsia="es-HN"/>
              </w:rPr>
              <w:t>salarios, capacitación).</w:t>
            </w:r>
          </w:p>
        </w:tc>
      </w:tr>
      <w:tr w:rsidR="00280B54" w:rsidRPr="00280B54" w14:paraId="321612AC"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3DF31915"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Herramientas Tecnológicas:       L __________ (desarrollo y licencias).</w:t>
            </w:r>
          </w:p>
        </w:tc>
      </w:tr>
      <w:tr w:rsidR="00280B54" w:rsidRPr="00280B54" w14:paraId="3D3549B8"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13D7145F"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lastRenderedPageBreak/>
              <w:t>Implementación Gradual:           L _________</w:t>
            </w:r>
            <w:proofErr w:type="gramStart"/>
            <w:r w:rsidRPr="00280B54">
              <w:rPr>
                <w:rFonts w:ascii="Times New Roman" w:eastAsia="Times New Roman" w:hAnsi="Times New Roman" w:cs="Times New Roman"/>
                <w:color w:val="000000"/>
                <w:sz w:val="18"/>
                <w:szCs w:val="18"/>
                <w:lang w:eastAsia="es-HN"/>
              </w:rPr>
              <w:t>_  (</w:t>
            </w:r>
            <w:proofErr w:type="gramEnd"/>
            <w:r w:rsidRPr="00280B54">
              <w:rPr>
                <w:rFonts w:ascii="Times New Roman" w:eastAsia="Times New Roman" w:hAnsi="Times New Roman" w:cs="Times New Roman"/>
                <w:color w:val="000000"/>
                <w:sz w:val="18"/>
                <w:szCs w:val="18"/>
                <w:lang w:eastAsia="es-HN"/>
              </w:rPr>
              <w:t>ajustes y adaptaciones).</w:t>
            </w:r>
          </w:p>
        </w:tc>
      </w:tr>
      <w:tr w:rsidR="00280B54" w:rsidRPr="00280B54" w14:paraId="52831BCF" w14:textId="77777777" w:rsidTr="00280B54">
        <w:trPr>
          <w:trHeight w:val="240"/>
          <w:jc w:val="center"/>
        </w:trPr>
        <w:tc>
          <w:tcPr>
            <w:tcW w:w="0" w:type="auto"/>
            <w:tcBorders>
              <w:top w:val="nil"/>
              <w:left w:val="single" w:sz="4" w:space="0" w:color="auto"/>
              <w:bottom w:val="nil"/>
              <w:right w:val="single" w:sz="4" w:space="0" w:color="auto"/>
            </w:tcBorders>
            <w:shd w:val="clear" w:color="auto" w:fill="auto"/>
            <w:noWrap/>
            <w:vAlign w:val="center"/>
            <w:hideMark/>
          </w:tcPr>
          <w:p w14:paraId="4059DD14"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Monitoreo Continuo:                 L __________ (tecnologías de monitoreo, análisis de datos).</w:t>
            </w:r>
          </w:p>
        </w:tc>
      </w:tr>
      <w:tr w:rsidR="00280B54" w:rsidRPr="00280B54" w14:paraId="39028442" w14:textId="77777777" w:rsidTr="00280B54">
        <w:trPr>
          <w:trHeight w:val="24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ACEC259" w14:textId="77777777" w:rsidR="00280B54" w:rsidRPr="00280B54" w:rsidRDefault="00280B54" w:rsidP="00280B54">
            <w:pPr>
              <w:widowControl/>
              <w:ind w:firstLineChars="100" w:firstLine="180"/>
              <w:rPr>
                <w:rFonts w:ascii="Times New Roman" w:eastAsia="Times New Roman" w:hAnsi="Times New Roman" w:cs="Times New Roman"/>
                <w:color w:val="000000"/>
                <w:sz w:val="18"/>
                <w:szCs w:val="18"/>
                <w:lang w:eastAsia="es-HN"/>
              </w:rPr>
            </w:pPr>
            <w:r w:rsidRPr="00280B54">
              <w:rPr>
                <w:rFonts w:ascii="Times New Roman" w:eastAsia="Times New Roman" w:hAnsi="Times New Roman" w:cs="Times New Roman"/>
                <w:color w:val="000000"/>
                <w:sz w:val="18"/>
                <w:szCs w:val="18"/>
                <w:lang w:eastAsia="es-HN"/>
              </w:rPr>
              <w:t> </w:t>
            </w:r>
          </w:p>
        </w:tc>
      </w:tr>
    </w:tbl>
    <w:p w14:paraId="2021FEB0" w14:textId="2FF26BEE" w:rsidR="00280B54" w:rsidRDefault="00280B54" w:rsidP="006075C1">
      <w:pPr>
        <w:pStyle w:val="TextoPrincipal"/>
        <w:spacing w:line="360" w:lineRule="auto"/>
      </w:pPr>
      <w:r w:rsidRPr="00280B54">
        <w:rPr>
          <w:b/>
          <w:bCs/>
        </w:rPr>
        <w:t>Fuente:</w:t>
      </w:r>
      <w:r>
        <w:t xml:space="preserve"> Elaboración propia. </w:t>
      </w:r>
    </w:p>
    <w:p w14:paraId="5CBE5B31" w14:textId="78D2BCF7" w:rsidR="007911BF" w:rsidRPr="007A01EE" w:rsidRDefault="007911BF" w:rsidP="007E7E61">
      <w:pPr>
        <w:pStyle w:val="Ttulo2"/>
        <w:numPr>
          <w:ilvl w:val="1"/>
          <w:numId w:val="13"/>
        </w:numPr>
        <w:spacing w:line="360" w:lineRule="auto"/>
      </w:pPr>
      <w:bookmarkStart w:id="191" w:name="_Toc155066664"/>
      <w:r>
        <w:t>RESULTADO</w:t>
      </w:r>
      <w:bookmarkEnd w:id="191"/>
    </w:p>
    <w:p w14:paraId="401D599A" w14:textId="1A679A7C" w:rsidR="00875F00" w:rsidRDefault="007165C0" w:rsidP="006075C1">
      <w:pPr>
        <w:pStyle w:val="TextoPrincipal"/>
        <w:spacing w:line="360" w:lineRule="auto"/>
      </w:pPr>
      <w:r w:rsidRPr="007165C0">
        <w:t>E</w:t>
      </w:r>
      <w:r>
        <w:t>l siguiente</w:t>
      </w:r>
      <w:r w:rsidRPr="007165C0">
        <w:t xml:space="preserve"> manual ofrece una guía integral para la administración y gestión eficiente de costos administrativos, específicamente diseñada para instituciones financieras. Enfocado en la optimización de procesos internos, proporciona estrategias prácticas y herramientas efectivas para mejorar la toma de decisiones. Exploraremos métodos innovadores para reducir costos sin comprometer la calidad del servicio, destacando la importancia de una gestión financiera precisa. Este recurso es esencial para líderes y profesionales en instituciones financieras que buscan impulsar la eficiencia operativa y alcanzar resultados financieros sólidos.</w:t>
      </w:r>
    </w:p>
    <w:p w14:paraId="3456F401" w14:textId="77777777" w:rsidR="00875F00" w:rsidRDefault="00875F00" w:rsidP="006075C1">
      <w:pPr>
        <w:pStyle w:val="TextoPrincipal"/>
        <w:spacing w:line="360" w:lineRule="auto"/>
      </w:pPr>
    </w:p>
    <w:p w14:paraId="36FEF21B" w14:textId="77777777" w:rsidR="00C660AB" w:rsidRDefault="00C660AB" w:rsidP="006075C1">
      <w:pPr>
        <w:pStyle w:val="TextoPrincipal"/>
        <w:spacing w:line="360" w:lineRule="auto"/>
      </w:pPr>
    </w:p>
    <w:p w14:paraId="65FD71E8" w14:textId="77777777" w:rsidR="00C660AB" w:rsidRDefault="00C660AB" w:rsidP="006075C1">
      <w:pPr>
        <w:pStyle w:val="TextoPrincipal"/>
        <w:spacing w:line="360" w:lineRule="auto"/>
      </w:pPr>
    </w:p>
    <w:p w14:paraId="1075654F" w14:textId="77777777" w:rsidR="00C660AB" w:rsidRDefault="00C660AB" w:rsidP="006075C1">
      <w:pPr>
        <w:pStyle w:val="TextoPrincipal"/>
        <w:spacing w:line="360" w:lineRule="auto"/>
      </w:pPr>
    </w:p>
    <w:p w14:paraId="0DA69773" w14:textId="77777777" w:rsidR="00C660AB" w:rsidRDefault="00C660AB" w:rsidP="006075C1">
      <w:pPr>
        <w:pStyle w:val="TextoPrincipal"/>
        <w:spacing w:line="360" w:lineRule="auto"/>
      </w:pPr>
    </w:p>
    <w:p w14:paraId="45648087" w14:textId="77777777" w:rsidR="00C660AB" w:rsidRDefault="00C660AB" w:rsidP="006075C1">
      <w:pPr>
        <w:pStyle w:val="TextoPrincipal"/>
        <w:spacing w:line="360" w:lineRule="auto"/>
      </w:pPr>
    </w:p>
    <w:p w14:paraId="0F56BF79" w14:textId="77777777" w:rsidR="00C660AB" w:rsidRDefault="00C660AB" w:rsidP="006075C1">
      <w:pPr>
        <w:pStyle w:val="TextoPrincipal"/>
        <w:spacing w:line="360" w:lineRule="auto"/>
      </w:pPr>
    </w:p>
    <w:p w14:paraId="20C2E3DA" w14:textId="77777777" w:rsidR="00C660AB" w:rsidRDefault="00C660AB" w:rsidP="006075C1">
      <w:pPr>
        <w:pStyle w:val="TextoPrincipal"/>
        <w:spacing w:line="360" w:lineRule="auto"/>
      </w:pPr>
    </w:p>
    <w:p w14:paraId="2F75CA8B" w14:textId="77777777" w:rsidR="00C660AB" w:rsidRDefault="00C660AB" w:rsidP="006075C1">
      <w:pPr>
        <w:pStyle w:val="TextoPrincipal"/>
        <w:spacing w:line="360" w:lineRule="auto"/>
      </w:pPr>
    </w:p>
    <w:p w14:paraId="64ED0EBE" w14:textId="77777777" w:rsidR="00C660AB" w:rsidRDefault="00C660AB" w:rsidP="006075C1">
      <w:pPr>
        <w:pStyle w:val="TextoPrincipal"/>
        <w:spacing w:line="360" w:lineRule="auto"/>
      </w:pPr>
    </w:p>
    <w:p w14:paraId="4FB2EDDE" w14:textId="77777777" w:rsidR="00C660AB" w:rsidRDefault="00C660AB" w:rsidP="006075C1">
      <w:pPr>
        <w:pStyle w:val="TextoPrincipal"/>
        <w:spacing w:line="360" w:lineRule="auto"/>
      </w:pPr>
    </w:p>
    <w:p w14:paraId="564A5FBB" w14:textId="77777777" w:rsidR="00C660AB" w:rsidRDefault="00C660AB" w:rsidP="006075C1">
      <w:pPr>
        <w:pStyle w:val="TextoPrincipal"/>
        <w:spacing w:line="360" w:lineRule="auto"/>
      </w:pPr>
    </w:p>
    <w:p w14:paraId="165CB84F" w14:textId="77777777" w:rsidR="00C660AB" w:rsidRDefault="00C660AB" w:rsidP="006075C1">
      <w:pPr>
        <w:pStyle w:val="TextoPrincipal"/>
        <w:spacing w:line="360" w:lineRule="auto"/>
      </w:pPr>
    </w:p>
    <w:p w14:paraId="6212AA89" w14:textId="77777777" w:rsidR="00C660AB" w:rsidRDefault="00C660AB" w:rsidP="006075C1">
      <w:pPr>
        <w:pStyle w:val="TextoPrincipal"/>
        <w:spacing w:line="360" w:lineRule="auto"/>
      </w:pPr>
    </w:p>
    <w:p w14:paraId="0B40CD6A" w14:textId="77777777" w:rsidR="00C660AB" w:rsidRDefault="00C660AB" w:rsidP="006075C1">
      <w:pPr>
        <w:pStyle w:val="TextoPrincipal"/>
        <w:spacing w:line="360" w:lineRule="auto"/>
      </w:pPr>
    </w:p>
    <w:p w14:paraId="51B084F2" w14:textId="62A26E8B" w:rsidR="00C660AB" w:rsidRDefault="00C660AB" w:rsidP="006075C1">
      <w:pPr>
        <w:pStyle w:val="TextoPrincipal"/>
        <w:spacing w:line="360" w:lineRule="auto"/>
      </w:pPr>
      <w:r>
        <w:rPr>
          <w:noProof/>
          <w:lang w:eastAsia="es-HN"/>
        </w:rPr>
        <w:lastRenderedPageBreak/>
        <w:drawing>
          <wp:anchor distT="0" distB="0" distL="114300" distR="114300" simplePos="0" relativeHeight="251660288" behindDoc="0" locked="0" layoutInCell="1" allowOverlap="1" wp14:anchorId="0C77B679" wp14:editId="0A64D697">
            <wp:simplePos x="0" y="0"/>
            <wp:positionH relativeFrom="margin">
              <wp:align>center</wp:align>
            </wp:positionH>
            <wp:positionV relativeFrom="paragraph">
              <wp:posOffset>0</wp:posOffset>
            </wp:positionV>
            <wp:extent cx="6383987" cy="8893723"/>
            <wp:effectExtent l="0" t="0" r="0" b="3175"/>
            <wp:wrapSquare wrapText="bothSides"/>
            <wp:docPr id="547603305" name="Imagen 547603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6383987" cy="8893723"/>
                    </a:xfrm>
                    <a:prstGeom prst="rect">
                      <a:avLst/>
                    </a:prstGeom>
                  </pic:spPr>
                </pic:pic>
              </a:graphicData>
            </a:graphic>
          </wp:anchor>
        </w:drawing>
      </w:r>
    </w:p>
    <w:p w14:paraId="386BFE80" w14:textId="2411CF29" w:rsidR="00C660AB" w:rsidRPr="0032156C" w:rsidRDefault="00C660AB" w:rsidP="006075C1">
      <w:pPr>
        <w:pStyle w:val="TextoPrincipal"/>
        <w:spacing w:line="360" w:lineRule="auto"/>
        <w:rPr>
          <w:b/>
          <w:bCs/>
        </w:rPr>
      </w:pPr>
      <w:r w:rsidRPr="0032156C">
        <w:rPr>
          <w:b/>
          <w:bCs/>
        </w:rPr>
        <w:lastRenderedPageBreak/>
        <w:t>Introducción</w:t>
      </w:r>
    </w:p>
    <w:p w14:paraId="1E8FB522" w14:textId="77777777" w:rsidR="00B151FF" w:rsidRDefault="0032156C" w:rsidP="006075C1">
      <w:pPr>
        <w:pStyle w:val="TextoPrincipal"/>
        <w:spacing w:line="360" w:lineRule="auto"/>
      </w:pPr>
      <w:r w:rsidRPr="0032156C">
        <w:t xml:space="preserve">En el dinámico y competitivo entorno de las instituciones financieras, la eficiente administración de costos administrativos se ha convertido en una pieza fundamental para el éxito y la sostenibilidad. Este trabajo se sumerge en el desarrollo de un Manual específicamente diseñado para proporcionar herramientas y estrategias destinadas a la optimización de procesos internos y la toma de decisiones informada en el ámbito financiero. </w:t>
      </w:r>
    </w:p>
    <w:p w14:paraId="281992EF" w14:textId="032E340E" w:rsidR="00C660AB" w:rsidRDefault="0032156C" w:rsidP="006075C1">
      <w:pPr>
        <w:pStyle w:val="TextoPrincipal"/>
        <w:spacing w:line="360" w:lineRule="auto"/>
      </w:pPr>
      <w:r w:rsidRPr="0032156C">
        <w:t>En un escenario donde la agilidad y la eficiencia son imperativas, este Manual busca ser una guía práctica para profesionales del sector financiero, ofreciendo recomendaciones concretas y directrices estratégicas que permitan la gestión eficiente de costos. Desde la identificación de áreas de mejora hasta la implementación de estrategias efectivas, este Manual pretende ser una contribución valiosa para instituciones financieras que aspiran no solo a mantenerse a la vanguardia, sino también a alcanzar nuevos niveles de eficiencia y rendimiento. La optimización de procesos administrativos internos se erige como el eje central, promoviendo una cultura organizacional orientada a la excelencia y a la toma de decisiones fundamentada en datos, elementos esenciales en el actual panorama financiero.</w:t>
      </w:r>
    </w:p>
    <w:p w14:paraId="3F00FF81" w14:textId="77777777" w:rsidR="00C660AB" w:rsidRDefault="00C660AB" w:rsidP="006075C1">
      <w:pPr>
        <w:pStyle w:val="TextoPrincipal"/>
        <w:spacing w:line="360" w:lineRule="auto"/>
      </w:pPr>
    </w:p>
    <w:p w14:paraId="309844FF" w14:textId="77777777" w:rsidR="00C660AB" w:rsidRDefault="00C660AB" w:rsidP="006075C1">
      <w:pPr>
        <w:pStyle w:val="TextoPrincipal"/>
        <w:spacing w:line="360" w:lineRule="auto"/>
      </w:pPr>
    </w:p>
    <w:p w14:paraId="5D409FD6" w14:textId="77777777" w:rsidR="00C660AB" w:rsidRDefault="00C660AB" w:rsidP="006075C1">
      <w:pPr>
        <w:pStyle w:val="TextoPrincipal"/>
        <w:spacing w:line="360" w:lineRule="auto"/>
      </w:pPr>
    </w:p>
    <w:p w14:paraId="38222601" w14:textId="77777777" w:rsidR="00C660AB" w:rsidRDefault="00C660AB" w:rsidP="006075C1">
      <w:pPr>
        <w:pStyle w:val="TextoPrincipal"/>
        <w:spacing w:line="360" w:lineRule="auto"/>
      </w:pPr>
    </w:p>
    <w:p w14:paraId="7BA660DC" w14:textId="77777777" w:rsidR="00C660AB" w:rsidRDefault="00C660AB" w:rsidP="006075C1">
      <w:pPr>
        <w:pStyle w:val="TextoPrincipal"/>
        <w:spacing w:line="360" w:lineRule="auto"/>
      </w:pPr>
    </w:p>
    <w:p w14:paraId="54E5BA19" w14:textId="77777777" w:rsidR="00C660AB" w:rsidRDefault="00C660AB" w:rsidP="006075C1">
      <w:pPr>
        <w:pStyle w:val="TextoPrincipal"/>
        <w:spacing w:line="360" w:lineRule="auto"/>
      </w:pPr>
    </w:p>
    <w:p w14:paraId="735DE487" w14:textId="77777777" w:rsidR="00C660AB" w:rsidRDefault="00C660AB" w:rsidP="006075C1">
      <w:pPr>
        <w:pStyle w:val="TextoPrincipal"/>
        <w:spacing w:line="360" w:lineRule="auto"/>
      </w:pPr>
    </w:p>
    <w:p w14:paraId="65502891" w14:textId="77777777" w:rsidR="00C660AB" w:rsidRDefault="00C660AB" w:rsidP="006075C1">
      <w:pPr>
        <w:pStyle w:val="TextoPrincipal"/>
        <w:spacing w:line="360" w:lineRule="auto"/>
      </w:pPr>
    </w:p>
    <w:p w14:paraId="2E9D91E5" w14:textId="77777777" w:rsidR="00C660AB" w:rsidRDefault="00C660AB" w:rsidP="006075C1">
      <w:pPr>
        <w:pStyle w:val="TextoPrincipal"/>
        <w:spacing w:line="360" w:lineRule="auto"/>
      </w:pPr>
    </w:p>
    <w:p w14:paraId="18733B4A" w14:textId="77777777" w:rsidR="00C660AB" w:rsidRDefault="00C660AB" w:rsidP="006075C1">
      <w:pPr>
        <w:pStyle w:val="TextoPrincipal"/>
        <w:spacing w:line="360" w:lineRule="auto"/>
      </w:pPr>
    </w:p>
    <w:p w14:paraId="4444D5C9" w14:textId="77777777" w:rsidR="00C660AB" w:rsidRDefault="00C660AB" w:rsidP="006075C1">
      <w:pPr>
        <w:pStyle w:val="TextoPrincipal"/>
        <w:spacing w:line="360" w:lineRule="auto"/>
      </w:pPr>
    </w:p>
    <w:p w14:paraId="2F42717A" w14:textId="77777777" w:rsidR="00C660AB" w:rsidRDefault="00C660AB" w:rsidP="006075C1">
      <w:pPr>
        <w:pStyle w:val="TextoPrincipal"/>
        <w:spacing w:line="360" w:lineRule="auto"/>
      </w:pPr>
    </w:p>
    <w:p w14:paraId="424EA42C" w14:textId="1F0BA39F" w:rsidR="0032156C" w:rsidRPr="0032156C" w:rsidRDefault="0032156C" w:rsidP="0032156C">
      <w:pPr>
        <w:pStyle w:val="TextoPrincipal"/>
        <w:spacing w:line="360" w:lineRule="auto"/>
        <w:rPr>
          <w:b/>
          <w:bCs/>
        </w:rPr>
      </w:pPr>
      <w:r w:rsidRPr="0032156C">
        <w:rPr>
          <w:b/>
          <w:bCs/>
        </w:rPr>
        <w:lastRenderedPageBreak/>
        <w:t>Fase 1: Preparación y Diagnóstico</w:t>
      </w:r>
    </w:p>
    <w:p w14:paraId="77A400B5" w14:textId="77777777" w:rsidR="001033FE" w:rsidRDefault="0032156C" w:rsidP="0032156C">
      <w:pPr>
        <w:pStyle w:val="TextoPrincipal"/>
        <w:spacing w:line="360" w:lineRule="auto"/>
      </w:pPr>
      <w:r>
        <w:t xml:space="preserve">La etapa inicial del manual se centra en la "Preparación y Diagnóstico", una fase crucial para establecer las bases sólidas necesarias en la gestión eficiente de costos administrativos. En esta etapa, se insta a las instituciones financieras a realizar un análisis exhaustivo de su estructura y operaciones administrativas actuales. Desde la evaluación de flujos de trabajo hasta la revisión de sistemas contables, esta fase busca proporcionar una visión holística de los procesos internos. A través de herramientas y metodologías específicas, se fomenta la identificación de áreas de oportunidad y posibles ineficiencias. Además, se establecen criterios claros para la recolección de datos y se promueve la participación activa de los equipos internos en el proceso de diagnóstico. </w:t>
      </w:r>
    </w:p>
    <w:p w14:paraId="044707AC" w14:textId="72BDD512" w:rsidR="00C660AB" w:rsidRDefault="0032156C" w:rsidP="0032156C">
      <w:pPr>
        <w:pStyle w:val="TextoPrincipal"/>
        <w:spacing w:line="360" w:lineRule="auto"/>
      </w:pPr>
      <w:r>
        <w:t>Esta fase inicial sienta las bases para las etapas posteriores, al crear una comprensión detallada de los desafíos y oportunidades presentes en la gestión de costos administrativos. Con un enfoque proactivo en la preparación y diagnóstico, las instituciones financieras estarán mejor equipadas para implementar estrategias efectivas y tomar decisiones informadas en el camino hacia la optimización de sus procesos internos.</w:t>
      </w:r>
    </w:p>
    <w:p w14:paraId="64542C87" w14:textId="1BFE4DF4" w:rsidR="0032156C" w:rsidRPr="0032156C" w:rsidRDefault="0032156C" w:rsidP="007E7E61">
      <w:pPr>
        <w:pStyle w:val="TextoPrincipal"/>
        <w:numPr>
          <w:ilvl w:val="0"/>
          <w:numId w:val="14"/>
        </w:numPr>
        <w:spacing w:line="360" w:lineRule="auto"/>
        <w:rPr>
          <w:b/>
          <w:bCs/>
        </w:rPr>
      </w:pPr>
      <w:r w:rsidRPr="0032156C">
        <w:rPr>
          <w:b/>
          <w:bCs/>
        </w:rPr>
        <w:t>Proceso de Formación del Equipo de Proyecto</w:t>
      </w:r>
    </w:p>
    <w:p w14:paraId="2052AD7F" w14:textId="2DAC0579" w:rsidR="0032156C" w:rsidRDefault="0032156C" w:rsidP="0032156C">
      <w:pPr>
        <w:pStyle w:val="TextoPrincipal"/>
        <w:spacing w:line="360" w:lineRule="auto"/>
      </w:pPr>
      <w:r w:rsidRPr="0032156C">
        <w:rPr>
          <w:b/>
          <w:bCs/>
        </w:rPr>
        <w:t>Duración:</w:t>
      </w:r>
      <w:r>
        <w:t xml:space="preserve"> Semana 1-2</w:t>
      </w:r>
    </w:p>
    <w:p w14:paraId="1ED69763" w14:textId="7DA5BBCD" w:rsidR="0032156C" w:rsidRPr="0032156C" w:rsidRDefault="0032156C" w:rsidP="0032156C">
      <w:pPr>
        <w:pStyle w:val="TextoPrincipal"/>
        <w:spacing w:line="360" w:lineRule="auto"/>
        <w:rPr>
          <w:b/>
          <w:bCs/>
        </w:rPr>
      </w:pPr>
      <w:r w:rsidRPr="0032156C">
        <w:rPr>
          <w:b/>
          <w:bCs/>
        </w:rPr>
        <w:t>Objetivo:</w:t>
      </w:r>
    </w:p>
    <w:p w14:paraId="5A577319" w14:textId="0B97A375" w:rsidR="0032156C" w:rsidRDefault="0032156C" w:rsidP="0032156C">
      <w:pPr>
        <w:pStyle w:val="TextoPrincipal"/>
        <w:spacing w:line="360" w:lineRule="auto"/>
      </w:pPr>
      <w:r>
        <w:t>Establecer un equipo de proyecto altamente capacitado y comprometido para liderar la iniciativa de gestión de costos administrativos en la institución financiera.</w:t>
      </w:r>
    </w:p>
    <w:p w14:paraId="32ADEE87" w14:textId="5358E987" w:rsidR="0032156C" w:rsidRPr="0032156C" w:rsidRDefault="0032156C" w:rsidP="0032156C">
      <w:pPr>
        <w:pStyle w:val="TextoPrincipal"/>
        <w:spacing w:line="360" w:lineRule="auto"/>
        <w:rPr>
          <w:b/>
          <w:bCs/>
        </w:rPr>
      </w:pPr>
      <w:r w:rsidRPr="0032156C">
        <w:rPr>
          <w:b/>
          <w:bCs/>
        </w:rPr>
        <w:t>Pasos:</w:t>
      </w:r>
    </w:p>
    <w:p w14:paraId="55A481E4" w14:textId="2E3C1BCB" w:rsidR="0032156C" w:rsidRPr="0032156C" w:rsidRDefault="0032156C" w:rsidP="0032156C">
      <w:pPr>
        <w:pStyle w:val="TextoPrincipal"/>
        <w:spacing w:line="360" w:lineRule="auto"/>
        <w:rPr>
          <w:b/>
          <w:bCs/>
        </w:rPr>
      </w:pPr>
      <w:r w:rsidRPr="0032156C">
        <w:rPr>
          <w:b/>
          <w:bCs/>
        </w:rPr>
        <w:t>1.1 Selección de Líderes y Miembros del Equipo:</w:t>
      </w:r>
    </w:p>
    <w:p w14:paraId="5A30EC33" w14:textId="77777777" w:rsidR="0032156C" w:rsidRDefault="0032156C" w:rsidP="007E7E61">
      <w:pPr>
        <w:pStyle w:val="TextoPrincipal"/>
        <w:numPr>
          <w:ilvl w:val="0"/>
          <w:numId w:val="15"/>
        </w:numPr>
        <w:spacing w:line="360" w:lineRule="auto"/>
      </w:pPr>
      <w:r>
        <w:t>Identificar líderes y miembros del equipo con experiencia en contabilidad, finanzas y operaciones administrativas.</w:t>
      </w:r>
    </w:p>
    <w:p w14:paraId="662ACF70" w14:textId="3D32A000" w:rsidR="0032156C" w:rsidRDefault="0032156C" w:rsidP="007E7E61">
      <w:pPr>
        <w:pStyle w:val="TextoPrincipal"/>
        <w:numPr>
          <w:ilvl w:val="0"/>
          <w:numId w:val="15"/>
        </w:numPr>
        <w:spacing w:line="360" w:lineRule="auto"/>
      </w:pPr>
      <w:r>
        <w:t>Evaluar habilidades interpersonales y capacidad para trabajar colaborativamente.</w:t>
      </w:r>
    </w:p>
    <w:p w14:paraId="2165AAEE" w14:textId="68FE9E73" w:rsidR="0032156C" w:rsidRDefault="0032156C" w:rsidP="007E7E61">
      <w:pPr>
        <w:pStyle w:val="TextoPrincipal"/>
        <w:numPr>
          <w:ilvl w:val="0"/>
          <w:numId w:val="15"/>
        </w:numPr>
        <w:spacing w:line="360" w:lineRule="auto"/>
      </w:pPr>
      <w:r>
        <w:t>Designar un líder del proyecto con experiencia en gestión de costos y habilidades de liderazgo.</w:t>
      </w:r>
    </w:p>
    <w:p w14:paraId="545B2375" w14:textId="11CBA66B" w:rsidR="0032156C" w:rsidRPr="0032156C" w:rsidRDefault="0032156C" w:rsidP="0032156C">
      <w:pPr>
        <w:pStyle w:val="TextoPrincipal"/>
        <w:spacing w:line="360" w:lineRule="auto"/>
        <w:rPr>
          <w:b/>
          <w:bCs/>
        </w:rPr>
      </w:pPr>
      <w:r w:rsidRPr="0032156C">
        <w:rPr>
          <w:b/>
          <w:bCs/>
        </w:rPr>
        <w:t>1.2 Sesión de Lanzamiento y Objetivos:</w:t>
      </w:r>
    </w:p>
    <w:p w14:paraId="476C25C8" w14:textId="3060E1A0" w:rsidR="0032156C" w:rsidRDefault="0032156C" w:rsidP="007E7E61">
      <w:pPr>
        <w:pStyle w:val="TextoPrincipal"/>
        <w:numPr>
          <w:ilvl w:val="0"/>
          <w:numId w:val="16"/>
        </w:numPr>
        <w:spacing w:line="360" w:lineRule="auto"/>
      </w:pPr>
      <w:r>
        <w:lastRenderedPageBreak/>
        <w:t>Convocar a una reunión de lanzamiento del proyecto con el equipo seleccionado.</w:t>
      </w:r>
    </w:p>
    <w:p w14:paraId="1AF2412D" w14:textId="2EA81906" w:rsidR="0032156C" w:rsidRDefault="0032156C" w:rsidP="007E7E61">
      <w:pPr>
        <w:pStyle w:val="TextoPrincipal"/>
        <w:numPr>
          <w:ilvl w:val="0"/>
          <w:numId w:val="16"/>
        </w:numPr>
        <w:spacing w:line="360" w:lineRule="auto"/>
      </w:pPr>
      <w:r>
        <w:t>Presentar los objetivos generales y específicos del proyecto.</w:t>
      </w:r>
    </w:p>
    <w:p w14:paraId="5ABB14D1" w14:textId="034F8DB3" w:rsidR="0032156C" w:rsidRDefault="0032156C" w:rsidP="007E7E61">
      <w:pPr>
        <w:pStyle w:val="TextoPrincipal"/>
        <w:numPr>
          <w:ilvl w:val="0"/>
          <w:numId w:val="16"/>
        </w:numPr>
        <w:spacing w:line="360" w:lineRule="auto"/>
      </w:pPr>
      <w:r>
        <w:t>Compartir la visión de optimización de costos y eficiencia administrativa.</w:t>
      </w:r>
    </w:p>
    <w:p w14:paraId="51130ECB" w14:textId="76E5FE54" w:rsidR="0032156C" w:rsidRDefault="0032156C" w:rsidP="007E7E61">
      <w:pPr>
        <w:pStyle w:val="TextoPrincipal"/>
        <w:numPr>
          <w:ilvl w:val="0"/>
          <w:numId w:val="16"/>
        </w:numPr>
        <w:spacing w:line="360" w:lineRule="auto"/>
      </w:pPr>
      <w:r>
        <w:t>Discutir el alcance del proyecto y las expectativas del equipo.</w:t>
      </w:r>
    </w:p>
    <w:p w14:paraId="6A72D673" w14:textId="2E3F70F8" w:rsidR="00437589" w:rsidRPr="00437589" w:rsidRDefault="0032156C" w:rsidP="007E7E61">
      <w:pPr>
        <w:pStyle w:val="TextoPrincipal"/>
        <w:numPr>
          <w:ilvl w:val="1"/>
          <w:numId w:val="14"/>
        </w:numPr>
        <w:spacing w:line="360" w:lineRule="auto"/>
        <w:rPr>
          <w:b/>
          <w:bCs/>
        </w:rPr>
      </w:pPr>
      <w:r w:rsidRPr="00437589">
        <w:rPr>
          <w:b/>
          <w:bCs/>
        </w:rPr>
        <w:t>Definición de Roles y Responsabilidades:</w:t>
      </w:r>
    </w:p>
    <w:p w14:paraId="14259B7B" w14:textId="536C8DD3" w:rsidR="0032156C" w:rsidRDefault="0032156C" w:rsidP="007E7E61">
      <w:pPr>
        <w:pStyle w:val="TextoPrincipal"/>
        <w:numPr>
          <w:ilvl w:val="0"/>
          <w:numId w:val="17"/>
        </w:numPr>
        <w:spacing w:line="360" w:lineRule="auto"/>
      </w:pPr>
      <w:r>
        <w:t>Detallar los roles y responsabilidades de cada miembro del equipo.</w:t>
      </w:r>
    </w:p>
    <w:p w14:paraId="01CA8ADD" w14:textId="03F8FD9A" w:rsidR="0032156C" w:rsidRDefault="0032156C" w:rsidP="007E7E61">
      <w:pPr>
        <w:pStyle w:val="TextoPrincipal"/>
        <w:numPr>
          <w:ilvl w:val="0"/>
          <w:numId w:val="17"/>
        </w:numPr>
        <w:spacing w:line="360" w:lineRule="auto"/>
      </w:pPr>
      <w:r>
        <w:t>Establecer las expectativas de contribución de cada miembro.</w:t>
      </w:r>
    </w:p>
    <w:p w14:paraId="2E418B91" w14:textId="4D9536D4" w:rsidR="0032156C" w:rsidRDefault="0032156C" w:rsidP="007E7E61">
      <w:pPr>
        <w:pStyle w:val="TextoPrincipal"/>
        <w:numPr>
          <w:ilvl w:val="0"/>
          <w:numId w:val="17"/>
        </w:numPr>
        <w:spacing w:line="360" w:lineRule="auto"/>
      </w:pPr>
      <w:r>
        <w:t>Garantizar una comprensión clara de las responsabilidades del líder del proyecto.</w:t>
      </w:r>
    </w:p>
    <w:p w14:paraId="239405F4" w14:textId="4282B00C" w:rsidR="0032156C" w:rsidRDefault="0032156C" w:rsidP="007E7E61">
      <w:pPr>
        <w:pStyle w:val="TextoPrincipal"/>
        <w:numPr>
          <w:ilvl w:val="1"/>
          <w:numId w:val="14"/>
        </w:numPr>
        <w:spacing w:line="360" w:lineRule="auto"/>
        <w:rPr>
          <w:b/>
          <w:bCs/>
        </w:rPr>
      </w:pPr>
      <w:r w:rsidRPr="00437589">
        <w:rPr>
          <w:b/>
          <w:bCs/>
        </w:rPr>
        <w:t>Capacitación Inicial:</w:t>
      </w:r>
    </w:p>
    <w:p w14:paraId="00B5380A" w14:textId="5E72F137" w:rsidR="0032156C" w:rsidRDefault="0032156C" w:rsidP="007E7E61">
      <w:pPr>
        <w:pStyle w:val="TextoPrincipal"/>
        <w:numPr>
          <w:ilvl w:val="0"/>
          <w:numId w:val="18"/>
        </w:numPr>
        <w:spacing w:line="360" w:lineRule="auto"/>
      </w:pPr>
      <w:r>
        <w:t>Proporcionar sesiones de capacitación sobre los procesos actuales de la institución financiera.</w:t>
      </w:r>
    </w:p>
    <w:p w14:paraId="4333754E" w14:textId="6A71CB02" w:rsidR="0032156C" w:rsidRDefault="0032156C" w:rsidP="007E7E61">
      <w:pPr>
        <w:pStyle w:val="TextoPrincipal"/>
        <w:numPr>
          <w:ilvl w:val="0"/>
          <w:numId w:val="18"/>
        </w:numPr>
        <w:spacing w:line="360" w:lineRule="auto"/>
      </w:pPr>
      <w:r>
        <w:t>Introducir conceptos clave de gestión de costos y eficiencia administrativa.</w:t>
      </w:r>
    </w:p>
    <w:p w14:paraId="22DA1F24" w14:textId="74ABF6FA" w:rsidR="0032156C" w:rsidRDefault="0032156C" w:rsidP="007E7E61">
      <w:pPr>
        <w:pStyle w:val="TextoPrincipal"/>
        <w:numPr>
          <w:ilvl w:val="0"/>
          <w:numId w:val="18"/>
        </w:numPr>
        <w:spacing w:line="360" w:lineRule="auto"/>
      </w:pPr>
      <w:r>
        <w:t>Facilitar la comprensión de herramientas y metodologías a utilizar durante el proyecto.</w:t>
      </w:r>
    </w:p>
    <w:p w14:paraId="24E9745B" w14:textId="5248479D" w:rsidR="0032156C" w:rsidRDefault="0032156C" w:rsidP="007E7E61">
      <w:pPr>
        <w:pStyle w:val="TextoPrincipal"/>
        <w:numPr>
          <w:ilvl w:val="1"/>
          <w:numId w:val="14"/>
        </w:numPr>
        <w:spacing w:line="360" w:lineRule="auto"/>
        <w:rPr>
          <w:b/>
          <w:bCs/>
        </w:rPr>
      </w:pPr>
      <w:r w:rsidRPr="00437589">
        <w:rPr>
          <w:b/>
          <w:bCs/>
        </w:rPr>
        <w:t>Desarrollo de Plan de Trabajo:</w:t>
      </w:r>
    </w:p>
    <w:p w14:paraId="2B219D74" w14:textId="11729613" w:rsidR="0032156C" w:rsidRDefault="0032156C" w:rsidP="007E7E61">
      <w:pPr>
        <w:pStyle w:val="TextoPrincipal"/>
        <w:numPr>
          <w:ilvl w:val="0"/>
          <w:numId w:val="19"/>
        </w:numPr>
        <w:spacing w:line="360" w:lineRule="auto"/>
      </w:pPr>
      <w:r>
        <w:t>Colaborar en la creación de un plan de trabajo detallado para las próximas fases del proyecto.</w:t>
      </w:r>
    </w:p>
    <w:p w14:paraId="43A22F2D" w14:textId="0D6996C8" w:rsidR="0032156C" w:rsidRDefault="0032156C" w:rsidP="007E7E61">
      <w:pPr>
        <w:pStyle w:val="TextoPrincipal"/>
        <w:numPr>
          <w:ilvl w:val="0"/>
          <w:numId w:val="19"/>
        </w:numPr>
        <w:spacing w:line="360" w:lineRule="auto"/>
      </w:pPr>
      <w:r>
        <w:t>Establecer hitos y plazos para asegurar un progreso constante.</w:t>
      </w:r>
    </w:p>
    <w:p w14:paraId="4164A6C4" w14:textId="3CD37398" w:rsidR="0032156C" w:rsidRDefault="0032156C" w:rsidP="007E7E61">
      <w:pPr>
        <w:pStyle w:val="TextoPrincipal"/>
        <w:numPr>
          <w:ilvl w:val="0"/>
          <w:numId w:val="19"/>
        </w:numPr>
        <w:spacing w:line="360" w:lineRule="auto"/>
      </w:pPr>
      <w:r>
        <w:t>Definir métricas para evaluar el rendimiento del equipo y el logro de objetivos.</w:t>
      </w:r>
    </w:p>
    <w:p w14:paraId="351F2B60" w14:textId="4D5E817F" w:rsidR="00C660AB" w:rsidRDefault="0032156C" w:rsidP="0032156C">
      <w:pPr>
        <w:pStyle w:val="TextoPrincipal"/>
        <w:spacing w:line="360" w:lineRule="auto"/>
      </w:pPr>
      <w:r>
        <w:t>Este proceso sienta las bases para una ejecución exitosa del proyecto, asegurando que el equipo esté alineado con los objetivos, roles y responsabilidades claramente definidos desde el principio.</w:t>
      </w:r>
    </w:p>
    <w:p w14:paraId="5EF39917" w14:textId="4CF57187" w:rsidR="001033FE" w:rsidRPr="001033FE" w:rsidRDefault="001033FE" w:rsidP="007E7E61">
      <w:pPr>
        <w:pStyle w:val="TextoPrincipal"/>
        <w:numPr>
          <w:ilvl w:val="0"/>
          <w:numId w:val="14"/>
        </w:numPr>
        <w:spacing w:line="360" w:lineRule="auto"/>
        <w:rPr>
          <w:b/>
          <w:bCs/>
        </w:rPr>
      </w:pPr>
      <w:r w:rsidRPr="001033FE">
        <w:rPr>
          <w:b/>
          <w:bCs/>
        </w:rPr>
        <w:t>Proceso de Diseño de Estrategias de Optimización</w:t>
      </w:r>
    </w:p>
    <w:p w14:paraId="6990F50A" w14:textId="081254B6" w:rsidR="001033FE" w:rsidRDefault="001033FE" w:rsidP="001033FE">
      <w:pPr>
        <w:pStyle w:val="TextoPrincipal"/>
        <w:spacing w:line="360" w:lineRule="auto"/>
      </w:pPr>
      <w:r w:rsidRPr="001033FE">
        <w:rPr>
          <w:b/>
          <w:bCs/>
        </w:rPr>
        <w:t>Duración:</w:t>
      </w:r>
      <w:r>
        <w:t xml:space="preserve"> Semana 3-4</w:t>
      </w:r>
    </w:p>
    <w:p w14:paraId="79156303" w14:textId="52C8E5F3" w:rsidR="001033FE" w:rsidRPr="001033FE" w:rsidRDefault="001033FE" w:rsidP="001033FE">
      <w:pPr>
        <w:pStyle w:val="TextoPrincipal"/>
        <w:spacing w:line="360" w:lineRule="auto"/>
        <w:rPr>
          <w:b/>
          <w:bCs/>
        </w:rPr>
      </w:pPr>
      <w:r w:rsidRPr="001033FE">
        <w:rPr>
          <w:b/>
          <w:bCs/>
        </w:rPr>
        <w:t>Objetivo:</w:t>
      </w:r>
    </w:p>
    <w:p w14:paraId="2406126A" w14:textId="228EA019" w:rsidR="001033FE" w:rsidRDefault="001033FE" w:rsidP="001033FE">
      <w:pPr>
        <w:pStyle w:val="TextoPrincipal"/>
        <w:spacing w:line="360" w:lineRule="auto"/>
      </w:pPr>
      <w:r>
        <w:lastRenderedPageBreak/>
        <w:t>Desarrollar estrategias específicas para la optimización de costos administrativos en instituciones financieras, incluyendo la identificación de áreas propicias para la automatización.</w:t>
      </w:r>
    </w:p>
    <w:p w14:paraId="6969C28C" w14:textId="242F2DAD" w:rsidR="001033FE" w:rsidRPr="001033FE" w:rsidRDefault="001033FE" w:rsidP="001033FE">
      <w:pPr>
        <w:pStyle w:val="TextoPrincipal"/>
        <w:spacing w:line="360" w:lineRule="auto"/>
        <w:rPr>
          <w:b/>
          <w:bCs/>
        </w:rPr>
      </w:pPr>
      <w:r w:rsidRPr="001033FE">
        <w:rPr>
          <w:b/>
          <w:bCs/>
        </w:rPr>
        <w:t>Pasos:</w:t>
      </w:r>
    </w:p>
    <w:p w14:paraId="19595E5C" w14:textId="0C5407B7" w:rsidR="001033FE" w:rsidRPr="001033FE" w:rsidRDefault="001033FE" w:rsidP="001033FE">
      <w:pPr>
        <w:pStyle w:val="TextoPrincipal"/>
        <w:spacing w:line="360" w:lineRule="auto"/>
        <w:rPr>
          <w:b/>
          <w:bCs/>
        </w:rPr>
      </w:pPr>
      <w:r w:rsidRPr="001033FE">
        <w:rPr>
          <w:b/>
          <w:bCs/>
        </w:rPr>
        <w:t>2.1 Análisis Detallado de Costos Actuales:</w:t>
      </w:r>
    </w:p>
    <w:p w14:paraId="1485BFAC" w14:textId="2EAD2236" w:rsidR="001033FE" w:rsidRDefault="001033FE" w:rsidP="007E7E61">
      <w:pPr>
        <w:pStyle w:val="TextoPrincipal"/>
        <w:numPr>
          <w:ilvl w:val="0"/>
          <w:numId w:val="20"/>
        </w:numPr>
        <w:spacing w:line="360" w:lineRule="auto"/>
      </w:pPr>
      <w:r>
        <w:t>Revisar exhaustivamente los informes financieros y documentos contables para identificar áreas de gastos.</w:t>
      </w:r>
    </w:p>
    <w:p w14:paraId="6A16F190" w14:textId="65FF06A8" w:rsidR="001033FE" w:rsidRDefault="001033FE" w:rsidP="007E7E61">
      <w:pPr>
        <w:pStyle w:val="TextoPrincipal"/>
        <w:numPr>
          <w:ilvl w:val="0"/>
          <w:numId w:val="20"/>
        </w:numPr>
        <w:spacing w:line="360" w:lineRule="auto"/>
      </w:pPr>
      <w:r>
        <w:t>Clasificar los costos en categorías relevantes, como personal, tecnología, suministros, entre otros.</w:t>
      </w:r>
    </w:p>
    <w:p w14:paraId="221767F5" w14:textId="44DDAAA8" w:rsidR="001033FE" w:rsidRDefault="001033FE" w:rsidP="007E7E61">
      <w:pPr>
        <w:pStyle w:val="TextoPrincipal"/>
        <w:numPr>
          <w:ilvl w:val="0"/>
          <w:numId w:val="20"/>
        </w:numPr>
        <w:spacing w:line="360" w:lineRule="auto"/>
      </w:pPr>
      <w:r>
        <w:t>Evaluar la proporción de costos asociados a cada área.</w:t>
      </w:r>
    </w:p>
    <w:p w14:paraId="76FBE42A" w14:textId="62873C43" w:rsidR="001033FE" w:rsidRPr="00AC431D" w:rsidRDefault="00AC431D" w:rsidP="001033FE">
      <w:pPr>
        <w:pStyle w:val="TextoPrincipal"/>
        <w:spacing w:line="360" w:lineRule="auto"/>
        <w:rPr>
          <w:b/>
          <w:bCs/>
        </w:rPr>
      </w:pPr>
      <w:r w:rsidRPr="00AC431D">
        <w:rPr>
          <w:b/>
          <w:bCs/>
        </w:rPr>
        <w:t>2.</w:t>
      </w:r>
      <w:r w:rsidR="001033FE" w:rsidRPr="00AC431D">
        <w:rPr>
          <w:b/>
          <w:bCs/>
        </w:rPr>
        <w:t xml:space="preserve">2 Sesión de </w:t>
      </w:r>
      <w:proofErr w:type="spellStart"/>
      <w:r w:rsidR="001033FE" w:rsidRPr="00AC431D">
        <w:rPr>
          <w:b/>
          <w:bCs/>
        </w:rPr>
        <w:t>Brainstorming</w:t>
      </w:r>
      <w:proofErr w:type="spellEnd"/>
      <w:r w:rsidR="001033FE" w:rsidRPr="00AC431D">
        <w:rPr>
          <w:b/>
          <w:bCs/>
        </w:rPr>
        <w:t>:</w:t>
      </w:r>
    </w:p>
    <w:p w14:paraId="386D0802" w14:textId="1027C8A3" w:rsidR="001033FE" w:rsidRDefault="001033FE" w:rsidP="007E7E61">
      <w:pPr>
        <w:pStyle w:val="TextoPrincipal"/>
        <w:numPr>
          <w:ilvl w:val="0"/>
          <w:numId w:val="21"/>
        </w:numPr>
        <w:spacing w:line="360" w:lineRule="auto"/>
      </w:pPr>
      <w:r>
        <w:t>Facilitar sesiones de lluvia de ideas con el equipo para identificar posibles estrategias de optimización.</w:t>
      </w:r>
    </w:p>
    <w:p w14:paraId="49D90C2B" w14:textId="788A71D9" w:rsidR="001033FE" w:rsidRDefault="001033FE" w:rsidP="007E7E61">
      <w:pPr>
        <w:pStyle w:val="TextoPrincipal"/>
        <w:numPr>
          <w:ilvl w:val="0"/>
          <w:numId w:val="21"/>
        </w:numPr>
        <w:spacing w:line="360" w:lineRule="auto"/>
      </w:pPr>
      <w:r>
        <w:t>Fomentar la participación activa y la generación de ideas innovadoras.</w:t>
      </w:r>
    </w:p>
    <w:p w14:paraId="7B63CD38" w14:textId="71E8E2E3" w:rsidR="001033FE" w:rsidRDefault="001033FE" w:rsidP="007E7E61">
      <w:pPr>
        <w:pStyle w:val="TextoPrincipal"/>
        <w:numPr>
          <w:ilvl w:val="0"/>
          <w:numId w:val="21"/>
        </w:numPr>
        <w:spacing w:line="360" w:lineRule="auto"/>
      </w:pPr>
      <w:r>
        <w:t>Priorizar las ideas según su viabilidad y potencial impacto en la eficiencia.</w:t>
      </w:r>
    </w:p>
    <w:p w14:paraId="3EC4C5F2" w14:textId="0728ABEE" w:rsidR="001033FE" w:rsidRPr="00AC431D" w:rsidRDefault="00AC431D" w:rsidP="001033FE">
      <w:pPr>
        <w:pStyle w:val="TextoPrincipal"/>
        <w:spacing w:line="360" w:lineRule="auto"/>
        <w:rPr>
          <w:b/>
          <w:bCs/>
        </w:rPr>
      </w:pPr>
      <w:r w:rsidRPr="00AC431D">
        <w:rPr>
          <w:b/>
          <w:bCs/>
        </w:rPr>
        <w:t>2.</w:t>
      </w:r>
      <w:r w:rsidR="001033FE" w:rsidRPr="00AC431D">
        <w:rPr>
          <w:b/>
          <w:bCs/>
        </w:rPr>
        <w:t>3 Desarrollo de Estrategias Específicas:</w:t>
      </w:r>
    </w:p>
    <w:p w14:paraId="1DEA9E45" w14:textId="40B6272E" w:rsidR="001033FE" w:rsidRDefault="001033FE" w:rsidP="007E7E61">
      <w:pPr>
        <w:pStyle w:val="TextoPrincipal"/>
        <w:numPr>
          <w:ilvl w:val="0"/>
          <w:numId w:val="21"/>
        </w:numPr>
        <w:spacing w:line="360" w:lineRule="auto"/>
      </w:pPr>
      <w:r>
        <w:t>Formular estrategias específicas para reducir costos en áreas identificadas.</w:t>
      </w:r>
    </w:p>
    <w:p w14:paraId="4CC6903D" w14:textId="4AB64FDD" w:rsidR="001033FE" w:rsidRDefault="001033FE" w:rsidP="007E7E61">
      <w:pPr>
        <w:pStyle w:val="TextoPrincipal"/>
        <w:numPr>
          <w:ilvl w:val="0"/>
          <w:numId w:val="21"/>
        </w:numPr>
        <w:spacing w:line="360" w:lineRule="auto"/>
      </w:pPr>
      <w:r>
        <w:t>Definir acciones concretas y medibles para implementar cada estrategia.</w:t>
      </w:r>
    </w:p>
    <w:p w14:paraId="03C780C4" w14:textId="6B6AE91A" w:rsidR="001033FE" w:rsidRDefault="001033FE" w:rsidP="007E7E61">
      <w:pPr>
        <w:pStyle w:val="TextoPrincipal"/>
        <w:numPr>
          <w:ilvl w:val="0"/>
          <w:numId w:val="21"/>
        </w:numPr>
        <w:spacing w:line="360" w:lineRule="auto"/>
      </w:pPr>
      <w:r>
        <w:t>signar responsabilidades para la ejecución de cada estrategia.</w:t>
      </w:r>
    </w:p>
    <w:p w14:paraId="17A38C17" w14:textId="2A93F13D" w:rsidR="001033FE" w:rsidRPr="00ED5E97" w:rsidRDefault="00ED5E97" w:rsidP="001033FE">
      <w:pPr>
        <w:pStyle w:val="TextoPrincipal"/>
        <w:spacing w:line="360" w:lineRule="auto"/>
        <w:rPr>
          <w:b/>
          <w:bCs/>
        </w:rPr>
      </w:pPr>
      <w:r w:rsidRPr="00ED5E97">
        <w:rPr>
          <w:b/>
          <w:bCs/>
        </w:rPr>
        <w:t>2.</w:t>
      </w:r>
      <w:r w:rsidR="001033FE" w:rsidRPr="00ED5E97">
        <w:rPr>
          <w:b/>
          <w:bCs/>
        </w:rPr>
        <w:t>4 Evaluación de Oportunidades de Automatización:</w:t>
      </w:r>
    </w:p>
    <w:p w14:paraId="7841FA43" w14:textId="046D9CF7" w:rsidR="001033FE" w:rsidRDefault="001033FE" w:rsidP="007E7E61">
      <w:pPr>
        <w:pStyle w:val="TextoPrincipal"/>
        <w:numPr>
          <w:ilvl w:val="0"/>
          <w:numId w:val="21"/>
        </w:numPr>
        <w:spacing w:line="360" w:lineRule="auto"/>
      </w:pPr>
      <w:r>
        <w:t>Colaborar con equipos de tecnología para identificar procesos administrativos susceptibles de automatización.</w:t>
      </w:r>
    </w:p>
    <w:p w14:paraId="162AC71E" w14:textId="7EF71025" w:rsidR="001033FE" w:rsidRDefault="001033FE" w:rsidP="007E7E61">
      <w:pPr>
        <w:pStyle w:val="TextoPrincipal"/>
        <w:numPr>
          <w:ilvl w:val="0"/>
          <w:numId w:val="21"/>
        </w:numPr>
        <w:spacing w:line="360" w:lineRule="auto"/>
      </w:pPr>
      <w:r>
        <w:t>Evaluar soluciones tecnológicas existentes en el mercado.</w:t>
      </w:r>
    </w:p>
    <w:p w14:paraId="725BE826" w14:textId="5D11B461" w:rsidR="001033FE" w:rsidRDefault="001033FE" w:rsidP="007E7E61">
      <w:pPr>
        <w:pStyle w:val="TextoPrincipal"/>
        <w:numPr>
          <w:ilvl w:val="0"/>
          <w:numId w:val="21"/>
        </w:numPr>
        <w:spacing w:line="360" w:lineRule="auto"/>
      </w:pPr>
      <w:r>
        <w:t>Calcular el retorno de inversión esperado para las iniciativas de automatización.</w:t>
      </w:r>
    </w:p>
    <w:p w14:paraId="4AE5F237" w14:textId="688DE065" w:rsidR="001033FE" w:rsidRDefault="001C1B80" w:rsidP="001033FE">
      <w:pPr>
        <w:pStyle w:val="TextoPrincipal"/>
        <w:spacing w:line="360" w:lineRule="auto"/>
      </w:pPr>
      <w:r>
        <w:t>2</w:t>
      </w:r>
      <w:r w:rsidR="00ED5E97">
        <w:t>.</w:t>
      </w:r>
      <w:r w:rsidR="001033FE" w:rsidRPr="00ED5E97">
        <w:rPr>
          <w:b/>
          <w:bCs/>
        </w:rPr>
        <w:t>5</w:t>
      </w:r>
      <w:r w:rsidR="00ED5E97" w:rsidRPr="00ED5E97">
        <w:rPr>
          <w:b/>
          <w:bCs/>
        </w:rPr>
        <w:t xml:space="preserve"> </w:t>
      </w:r>
      <w:r w:rsidR="001033FE" w:rsidRPr="00ED5E97">
        <w:rPr>
          <w:b/>
          <w:bCs/>
        </w:rPr>
        <w:t xml:space="preserve">Validación con </w:t>
      </w:r>
      <w:proofErr w:type="spellStart"/>
      <w:r w:rsidR="001033FE" w:rsidRPr="00ED5E97">
        <w:rPr>
          <w:b/>
          <w:bCs/>
        </w:rPr>
        <w:t>Stakeholders</w:t>
      </w:r>
      <w:proofErr w:type="spellEnd"/>
      <w:r w:rsidR="001033FE" w:rsidRPr="00ED5E97">
        <w:rPr>
          <w:b/>
          <w:bCs/>
        </w:rPr>
        <w:t>:</w:t>
      </w:r>
    </w:p>
    <w:p w14:paraId="728A14D9" w14:textId="25BD2AF9" w:rsidR="001033FE" w:rsidRDefault="001033FE" w:rsidP="007E7E61">
      <w:pPr>
        <w:pStyle w:val="TextoPrincipal"/>
        <w:numPr>
          <w:ilvl w:val="0"/>
          <w:numId w:val="22"/>
        </w:numPr>
        <w:spacing w:line="360" w:lineRule="auto"/>
      </w:pPr>
      <w:r>
        <w:t xml:space="preserve">Presentar las estrategias de optimización y oportunidades de automatización a los </w:t>
      </w:r>
      <w:proofErr w:type="spellStart"/>
      <w:r>
        <w:lastRenderedPageBreak/>
        <w:t>stakeholders</w:t>
      </w:r>
      <w:proofErr w:type="spellEnd"/>
      <w:r>
        <w:t xml:space="preserve"> relevantes.</w:t>
      </w:r>
    </w:p>
    <w:p w14:paraId="364EC61D" w14:textId="00F4FA65" w:rsidR="001033FE" w:rsidRDefault="001033FE" w:rsidP="007E7E61">
      <w:pPr>
        <w:pStyle w:val="TextoPrincipal"/>
        <w:numPr>
          <w:ilvl w:val="0"/>
          <w:numId w:val="22"/>
        </w:numPr>
        <w:spacing w:line="360" w:lineRule="auto"/>
      </w:pPr>
      <w:r>
        <w:t>Recopilar retroalimentación y realizar ajustes según sea necesario.</w:t>
      </w:r>
    </w:p>
    <w:p w14:paraId="0218E835" w14:textId="1008FA26" w:rsidR="001033FE" w:rsidRDefault="001033FE" w:rsidP="007E7E61">
      <w:pPr>
        <w:pStyle w:val="TextoPrincipal"/>
        <w:numPr>
          <w:ilvl w:val="0"/>
          <w:numId w:val="22"/>
        </w:numPr>
        <w:spacing w:line="360" w:lineRule="auto"/>
      </w:pPr>
      <w:r>
        <w:t>Obtener aprobación para proceder con las estrategias y planes de automatización.</w:t>
      </w:r>
    </w:p>
    <w:p w14:paraId="1090F8DF" w14:textId="737494E9" w:rsidR="001033FE" w:rsidRPr="00AD2A65" w:rsidRDefault="001C1B80" w:rsidP="001033FE">
      <w:pPr>
        <w:pStyle w:val="TextoPrincipal"/>
        <w:spacing w:line="360" w:lineRule="auto"/>
        <w:rPr>
          <w:b/>
          <w:bCs/>
        </w:rPr>
      </w:pPr>
      <w:r w:rsidRPr="00AD2A65">
        <w:rPr>
          <w:b/>
          <w:bCs/>
        </w:rPr>
        <w:t>2.</w:t>
      </w:r>
      <w:r w:rsidR="001033FE" w:rsidRPr="00AD2A65">
        <w:rPr>
          <w:b/>
          <w:bCs/>
        </w:rPr>
        <w:t>6</w:t>
      </w:r>
      <w:r w:rsidRPr="00AD2A65">
        <w:rPr>
          <w:b/>
          <w:bCs/>
        </w:rPr>
        <w:t xml:space="preserve"> </w:t>
      </w:r>
      <w:r w:rsidR="001033FE" w:rsidRPr="00AD2A65">
        <w:rPr>
          <w:b/>
          <w:bCs/>
        </w:rPr>
        <w:t>Desarrollo de Plan de Implementación:</w:t>
      </w:r>
    </w:p>
    <w:p w14:paraId="24A83EA9" w14:textId="3A5104FF" w:rsidR="001033FE" w:rsidRDefault="001033FE" w:rsidP="007E7E61">
      <w:pPr>
        <w:pStyle w:val="TextoPrincipal"/>
        <w:numPr>
          <w:ilvl w:val="0"/>
          <w:numId w:val="23"/>
        </w:numPr>
        <w:spacing w:line="360" w:lineRule="auto"/>
      </w:pPr>
      <w:r>
        <w:t>Elaborar un plan detallado para la implementación de las estrategias y la incorporación de soluciones de automatización.</w:t>
      </w:r>
    </w:p>
    <w:p w14:paraId="657893FD" w14:textId="6156AC36" w:rsidR="001033FE" w:rsidRDefault="001033FE" w:rsidP="007E7E61">
      <w:pPr>
        <w:pStyle w:val="TextoPrincipal"/>
        <w:numPr>
          <w:ilvl w:val="0"/>
          <w:numId w:val="23"/>
        </w:numPr>
        <w:spacing w:line="360" w:lineRule="auto"/>
      </w:pPr>
      <w:r>
        <w:t>Establecer hitos y plazos para cada fase de implementación.</w:t>
      </w:r>
    </w:p>
    <w:p w14:paraId="62FE1693" w14:textId="58D35FCE" w:rsidR="001033FE" w:rsidRDefault="001033FE" w:rsidP="007E7E61">
      <w:pPr>
        <w:pStyle w:val="TextoPrincipal"/>
        <w:numPr>
          <w:ilvl w:val="0"/>
          <w:numId w:val="23"/>
        </w:numPr>
        <w:spacing w:line="360" w:lineRule="auto"/>
      </w:pPr>
      <w:r>
        <w:t>Definir métricas clave para evaluar el éxito de las estrategias.</w:t>
      </w:r>
    </w:p>
    <w:p w14:paraId="4852D983" w14:textId="48B4F738" w:rsidR="00C660AB" w:rsidRDefault="001033FE" w:rsidP="001033FE">
      <w:pPr>
        <w:pStyle w:val="TextoPrincipal"/>
        <w:spacing w:line="360" w:lineRule="auto"/>
      </w:pPr>
      <w:r>
        <w:t>Este proceso proporciona una base sólida para la implementación efectiva de estrategias de optimización, incluyendo la exploración de oportunidades de automatización que contribuirán a la gestión eficiente de costos en la institución financiera.</w:t>
      </w:r>
    </w:p>
    <w:p w14:paraId="7C724CD1" w14:textId="3479BF1B" w:rsidR="00514810" w:rsidRDefault="00514810" w:rsidP="00514810">
      <w:pPr>
        <w:pStyle w:val="TextoPrincipal"/>
        <w:spacing w:line="360" w:lineRule="auto"/>
      </w:pPr>
      <w:r>
        <w:t>Aquí te presento un proceso sistemático para la aplicación del manual de gestión de costos administrativos relacionados con la "Semana 5-6: Establecimiento de Objetivos y Metas", específicamente enfocado en la definición de metas de eficiencia y reducción de costos, así como su alineación con los objetivos organizativos.</w:t>
      </w:r>
    </w:p>
    <w:p w14:paraId="7AF7B1ED" w14:textId="77777777" w:rsidR="00514810" w:rsidRPr="00514810" w:rsidRDefault="00514810" w:rsidP="007E7E61">
      <w:pPr>
        <w:pStyle w:val="TextoPrincipal"/>
        <w:numPr>
          <w:ilvl w:val="0"/>
          <w:numId w:val="14"/>
        </w:numPr>
        <w:spacing w:line="360" w:lineRule="auto"/>
        <w:rPr>
          <w:b/>
          <w:bCs/>
        </w:rPr>
      </w:pPr>
      <w:r w:rsidRPr="00514810">
        <w:rPr>
          <w:b/>
          <w:bCs/>
        </w:rPr>
        <w:t>Proceso de Establecimiento de Objetivos y Metas</w:t>
      </w:r>
    </w:p>
    <w:p w14:paraId="58820D22" w14:textId="0414FEA5" w:rsidR="00514810" w:rsidRDefault="00514810" w:rsidP="00514810">
      <w:pPr>
        <w:pStyle w:val="TextoPrincipal"/>
        <w:spacing w:line="360" w:lineRule="auto"/>
        <w:ind w:left="720" w:firstLine="0"/>
      </w:pPr>
      <w:r w:rsidRPr="00514810">
        <w:rPr>
          <w:b/>
          <w:bCs/>
        </w:rPr>
        <w:t>Duración:</w:t>
      </w:r>
      <w:r>
        <w:t xml:space="preserve"> Semana 5-6</w:t>
      </w:r>
    </w:p>
    <w:p w14:paraId="103EB60F" w14:textId="34B1A9B4" w:rsidR="00514810" w:rsidRPr="00514810" w:rsidRDefault="00514810" w:rsidP="00514810">
      <w:pPr>
        <w:pStyle w:val="TextoPrincipal"/>
        <w:spacing w:line="360" w:lineRule="auto"/>
        <w:rPr>
          <w:b/>
          <w:bCs/>
        </w:rPr>
      </w:pPr>
      <w:r w:rsidRPr="00514810">
        <w:rPr>
          <w:b/>
          <w:bCs/>
        </w:rPr>
        <w:t>Objetivo General:</w:t>
      </w:r>
    </w:p>
    <w:p w14:paraId="7FDD1D7D" w14:textId="1EC820EE" w:rsidR="00514810" w:rsidRDefault="00514810" w:rsidP="00514810">
      <w:pPr>
        <w:pStyle w:val="TextoPrincipal"/>
        <w:spacing w:line="360" w:lineRule="auto"/>
      </w:pPr>
      <w:r>
        <w:t>Alinear los objetivos y metas de eficiencia y reducción de costos con los objetivos organizativos para optimizar la gestión de costos administrativos.</w:t>
      </w:r>
    </w:p>
    <w:p w14:paraId="7218C547" w14:textId="5B0FE12D" w:rsidR="00514810" w:rsidRPr="00514810" w:rsidRDefault="00514810" w:rsidP="00514810">
      <w:pPr>
        <w:pStyle w:val="TextoPrincipal"/>
        <w:spacing w:line="360" w:lineRule="auto"/>
        <w:rPr>
          <w:b/>
          <w:bCs/>
        </w:rPr>
      </w:pPr>
      <w:r w:rsidRPr="00514810">
        <w:rPr>
          <w:b/>
          <w:bCs/>
        </w:rPr>
        <w:t>Pasos del Proceso:</w:t>
      </w:r>
    </w:p>
    <w:p w14:paraId="3B5532AC" w14:textId="5524647D" w:rsidR="00514810" w:rsidRPr="00514810" w:rsidRDefault="00514810" w:rsidP="00514810">
      <w:pPr>
        <w:pStyle w:val="TextoPrincipal"/>
        <w:spacing w:line="360" w:lineRule="auto"/>
        <w:rPr>
          <w:b/>
          <w:bCs/>
        </w:rPr>
      </w:pPr>
      <w:r w:rsidRPr="00514810">
        <w:rPr>
          <w:b/>
          <w:bCs/>
        </w:rPr>
        <w:t>3.1 Análisis de Costos Actuales:</w:t>
      </w:r>
    </w:p>
    <w:p w14:paraId="4E85D051" w14:textId="05C81FBD" w:rsidR="00514810" w:rsidRDefault="00514810" w:rsidP="007E7E61">
      <w:pPr>
        <w:pStyle w:val="TextoPrincipal"/>
        <w:numPr>
          <w:ilvl w:val="0"/>
          <w:numId w:val="24"/>
        </w:numPr>
        <w:spacing w:line="360" w:lineRule="auto"/>
      </w:pPr>
      <w:r>
        <w:t>Revisar detalladamente los costos administrativos actuales para identificar áreas de oportunidad y posibles ineficiencias.</w:t>
      </w:r>
    </w:p>
    <w:p w14:paraId="7E95997A" w14:textId="48243404" w:rsidR="00514810" w:rsidRDefault="00514810" w:rsidP="007E7E61">
      <w:pPr>
        <w:pStyle w:val="TextoPrincipal"/>
        <w:numPr>
          <w:ilvl w:val="0"/>
          <w:numId w:val="24"/>
        </w:numPr>
        <w:spacing w:line="360" w:lineRule="auto"/>
      </w:pPr>
      <w:r>
        <w:t>Clasificar los costos según categorías para facilitar la identificación de patrones y áreas críticas.</w:t>
      </w:r>
    </w:p>
    <w:p w14:paraId="4C2DC64B" w14:textId="77777777" w:rsidR="00514810" w:rsidRDefault="00514810" w:rsidP="00514810">
      <w:pPr>
        <w:pStyle w:val="TextoPrincipal"/>
        <w:spacing w:line="360" w:lineRule="auto"/>
      </w:pPr>
    </w:p>
    <w:p w14:paraId="131D1785" w14:textId="4D171BC8" w:rsidR="00514810" w:rsidRPr="00514810" w:rsidRDefault="00514810" w:rsidP="00514810">
      <w:pPr>
        <w:pStyle w:val="TextoPrincipal"/>
        <w:spacing w:line="360" w:lineRule="auto"/>
        <w:rPr>
          <w:b/>
          <w:bCs/>
        </w:rPr>
      </w:pPr>
      <w:r w:rsidRPr="00514810">
        <w:rPr>
          <w:b/>
          <w:bCs/>
        </w:rPr>
        <w:t>3.2 Establecimiento de Metas de Eficiencia y Reducción de Costos:</w:t>
      </w:r>
    </w:p>
    <w:p w14:paraId="5E1C0ED9" w14:textId="5705EA64" w:rsidR="00514810" w:rsidRDefault="00514810" w:rsidP="007E7E61">
      <w:pPr>
        <w:pStyle w:val="TextoPrincipal"/>
        <w:numPr>
          <w:ilvl w:val="0"/>
          <w:numId w:val="25"/>
        </w:numPr>
        <w:spacing w:line="360" w:lineRule="auto"/>
      </w:pPr>
      <w:r>
        <w:t>Definir metas específicas y medibles para mejorar la eficiencia y reducir los costos en áreas identificadas.</w:t>
      </w:r>
    </w:p>
    <w:p w14:paraId="462E96E9" w14:textId="61628BD7" w:rsidR="00514810" w:rsidRDefault="00514810" w:rsidP="007E7E61">
      <w:pPr>
        <w:pStyle w:val="TextoPrincipal"/>
        <w:numPr>
          <w:ilvl w:val="0"/>
          <w:numId w:val="25"/>
        </w:numPr>
        <w:spacing w:line="360" w:lineRule="auto"/>
      </w:pPr>
      <w:r>
        <w:t>Cuantificar las metas establecidas para facilitar el seguimiento y evaluación.</w:t>
      </w:r>
    </w:p>
    <w:p w14:paraId="04604496" w14:textId="152D4A8A" w:rsidR="00514810" w:rsidRPr="00514810" w:rsidRDefault="00514810" w:rsidP="00514810">
      <w:pPr>
        <w:pStyle w:val="TextoPrincipal"/>
        <w:spacing w:line="360" w:lineRule="auto"/>
        <w:rPr>
          <w:b/>
          <w:bCs/>
        </w:rPr>
      </w:pPr>
      <w:r w:rsidRPr="00514810">
        <w:rPr>
          <w:b/>
          <w:bCs/>
        </w:rPr>
        <w:t>3.3. Consulta con los responsables de Áreas:</w:t>
      </w:r>
    </w:p>
    <w:p w14:paraId="7C33DD18" w14:textId="2CD7BB75" w:rsidR="00514810" w:rsidRDefault="00514810" w:rsidP="007E7E61">
      <w:pPr>
        <w:pStyle w:val="TextoPrincipal"/>
        <w:numPr>
          <w:ilvl w:val="0"/>
          <w:numId w:val="26"/>
        </w:numPr>
        <w:spacing w:line="360" w:lineRule="auto"/>
      </w:pPr>
      <w:r>
        <w:t>Involucrar a los responsables de cada área en la definición de metas, considerando sus conocimientos y perspectivas.</w:t>
      </w:r>
    </w:p>
    <w:p w14:paraId="188C2DC7" w14:textId="7E989BB1" w:rsidR="00514810" w:rsidRDefault="00514810" w:rsidP="007E7E61">
      <w:pPr>
        <w:pStyle w:val="TextoPrincipal"/>
        <w:numPr>
          <w:ilvl w:val="0"/>
          <w:numId w:val="26"/>
        </w:numPr>
        <w:spacing w:line="360" w:lineRule="auto"/>
      </w:pPr>
      <w:r>
        <w:t>Obtener retroalimentación para asegurar la viabilidad y practicidad de las metas establecidas.</w:t>
      </w:r>
    </w:p>
    <w:p w14:paraId="54C4E835" w14:textId="745ADD58" w:rsidR="00514810" w:rsidRPr="00514810" w:rsidRDefault="00514810" w:rsidP="00514810">
      <w:pPr>
        <w:pStyle w:val="TextoPrincipal"/>
        <w:spacing w:line="360" w:lineRule="auto"/>
        <w:rPr>
          <w:b/>
          <w:bCs/>
        </w:rPr>
      </w:pPr>
      <w:r w:rsidRPr="00514810">
        <w:rPr>
          <w:b/>
          <w:bCs/>
        </w:rPr>
        <w:t>3.4 Alineación con Objetivos Organizativos:</w:t>
      </w:r>
    </w:p>
    <w:p w14:paraId="210D2CF2" w14:textId="6DB373ED" w:rsidR="00514810" w:rsidRDefault="00514810" w:rsidP="007E7E61">
      <w:pPr>
        <w:pStyle w:val="TextoPrincipal"/>
        <w:numPr>
          <w:ilvl w:val="0"/>
          <w:numId w:val="27"/>
        </w:numPr>
        <w:spacing w:line="360" w:lineRule="auto"/>
      </w:pPr>
      <w:r>
        <w:t>Revisar los objetivos organizativos globales para garantizar que las metas de eficiencia y reducción de costos estén alineadas con la visión y misión de la organización.</w:t>
      </w:r>
    </w:p>
    <w:p w14:paraId="43FDF6FF" w14:textId="6A78CBBC" w:rsidR="00514810" w:rsidRDefault="00514810" w:rsidP="007E7E61">
      <w:pPr>
        <w:pStyle w:val="TextoPrincipal"/>
        <w:numPr>
          <w:ilvl w:val="0"/>
          <w:numId w:val="27"/>
        </w:numPr>
        <w:spacing w:line="360" w:lineRule="auto"/>
      </w:pPr>
      <w:r>
        <w:t>Ajustar las metas según sea necesario para asegurar la coherencia con la estrategia organizativa.</w:t>
      </w:r>
    </w:p>
    <w:p w14:paraId="00F97107" w14:textId="1FA562B3" w:rsidR="00514810" w:rsidRPr="00B617E2" w:rsidRDefault="00B617E2" w:rsidP="00514810">
      <w:pPr>
        <w:pStyle w:val="TextoPrincipal"/>
        <w:spacing w:line="360" w:lineRule="auto"/>
        <w:rPr>
          <w:b/>
          <w:bCs/>
        </w:rPr>
      </w:pPr>
      <w:r w:rsidRPr="00B617E2">
        <w:rPr>
          <w:b/>
          <w:bCs/>
        </w:rPr>
        <w:t>3.</w:t>
      </w:r>
      <w:r w:rsidR="00514810" w:rsidRPr="00B617E2">
        <w:rPr>
          <w:b/>
          <w:bCs/>
        </w:rPr>
        <w:t>5</w:t>
      </w:r>
      <w:r w:rsidRPr="00B617E2">
        <w:rPr>
          <w:b/>
          <w:bCs/>
        </w:rPr>
        <w:t xml:space="preserve"> </w:t>
      </w:r>
      <w:r w:rsidR="00514810" w:rsidRPr="00B617E2">
        <w:rPr>
          <w:b/>
          <w:bCs/>
        </w:rPr>
        <w:t>Desarrollo de Estrategias para Alcanzar Metas:</w:t>
      </w:r>
    </w:p>
    <w:p w14:paraId="7C71CB97" w14:textId="11B5B6CB" w:rsidR="00514810" w:rsidRDefault="00514810" w:rsidP="007E7E61">
      <w:pPr>
        <w:pStyle w:val="TextoPrincipal"/>
        <w:numPr>
          <w:ilvl w:val="0"/>
          <w:numId w:val="28"/>
        </w:numPr>
        <w:spacing w:line="360" w:lineRule="auto"/>
      </w:pPr>
      <w:r>
        <w:t>Identificar estrategias específicas para lograr las metas establecidas, considerando la implementación de nuevas prácticas, tecnologías o cambios en los procesos.</w:t>
      </w:r>
    </w:p>
    <w:p w14:paraId="700C667D" w14:textId="5C138B50" w:rsidR="00514810" w:rsidRDefault="00514810" w:rsidP="007E7E61">
      <w:pPr>
        <w:pStyle w:val="TextoPrincipal"/>
        <w:numPr>
          <w:ilvl w:val="0"/>
          <w:numId w:val="28"/>
        </w:numPr>
        <w:spacing w:line="360" w:lineRule="auto"/>
      </w:pPr>
      <w:r>
        <w:t>Asignar responsabilidades claras a los miembros del equipo para la ejecución de las estrategias.</w:t>
      </w:r>
    </w:p>
    <w:p w14:paraId="26C4BCCD" w14:textId="551854E8" w:rsidR="00514810" w:rsidRPr="00B617E2" w:rsidRDefault="00B617E2" w:rsidP="00514810">
      <w:pPr>
        <w:pStyle w:val="TextoPrincipal"/>
        <w:spacing w:line="360" w:lineRule="auto"/>
        <w:rPr>
          <w:b/>
          <w:bCs/>
        </w:rPr>
      </w:pPr>
      <w:r w:rsidRPr="00B617E2">
        <w:rPr>
          <w:b/>
          <w:bCs/>
        </w:rPr>
        <w:t>3.</w:t>
      </w:r>
      <w:r w:rsidR="00514810" w:rsidRPr="00B617E2">
        <w:rPr>
          <w:b/>
          <w:bCs/>
        </w:rPr>
        <w:t>6 Implementación y Monitoreo Continuo:</w:t>
      </w:r>
    </w:p>
    <w:p w14:paraId="648BD3D2" w14:textId="4DD7A6CE" w:rsidR="00514810" w:rsidRDefault="00514810" w:rsidP="007E7E61">
      <w:pPr>
        <w:pStyle w:val="TextoPrincipal"/>
        <w:numPr>
          <w:ilvl w:val="0"/>
          <w:numId w:val="29"/>
        </w:numPr>
        <w:spacing w:line="360" w:lineRule="auto"/>
      </w:pPr>
      <w:r>
        <w:t>Iniciar la implementación de las estrategias y acciones definidas.</w:t>
      </w:r>
    </w:p>
    <w:p w14:paraId="634A06D7" w14:textId="41AD7FDA" w:rsidR="00514810" w:rsidRDefault="00514810" w:rsidP="007E7E61">
      <w:pPr>
        <w:pStyle w:val="TextoPrincipal"/>
        <w:numPr>
          <w:ilvl w:val="0"/>
          <w:numId w:val="29"/>
        </w:numPr>
        <w:spacing w:line="360" w:lineRule="auto"/>
      </w:pPr>
      <w:r>
        <w:t>Establecer un sistema de monitoreo continuo para evaluar el progreso hacia las metas y realizar ajustes según sea necesario.</w:t>
      </w:r>
    </w:p>
    <w:p w14:paraId="29F540FF" w14:textId="77777777" w:rsidR="00514810" w:rsidRDefault="00514810" w:rsidP="00514810">
      <w:pPr>
        <w:pStyle w:val="TextoPrincipal"/>
        <w:spacing w:line="360" w:lineRule="auto"/>
      </w:pPr>
    </w:p>
    <w:p w14:paraId="40CB36C7" w14:textId="4436D193" w:rsidR="00514810" w:rsidRPr="00B617E2" w:rsidRDefault="00B617E2" w:rsidP="00514810">
      <w:pPr>
        <w:pStyle w:val="TextoPrincipal"/>
        <w:spacing w:line="360" w:lineRule="auto"/>
        <w:rPr>
          <w:b/>
          <w:bCs/>
        </w:rPr>
      </w:pPr>
      <w:r w:rsidRPr="00B617E2">
        <w:rPr>
          <w:b/>
          <w:bCs/>
        </w:rPr>
        <w:lastRenderedPageBreak/>
        <w:t>3.7</w:t>
      </w:r>
      <w:r w:rsidR="00514810" w:rsidRPr="00B617E2">
        <w:rPr>
          <w:b/>
          <w:bCs/>
        </w:rPr>
        <w:t xml:space="preserve"> Reporte y Comunicación:</w:t>
      </w:r>
    </w:p>
    <w:p w14:paraId="4F01365A" w14:textId="0E9D2AAD" w:rsidR="00514810" w:rsidRDefault="00514810" w:rsidP="007E7E61">
      <w:pPr>
        <w:pStyle w:val="TextoPrincipal"/>
        <w:numPr>
          <w:ilvl w:val="0"/>
          <w:numId w:val="30"/>
        </w:numPr>
        <w:spacing w:line="360" w:lineRule="auto"/>
      </w:pPr>
      <w:r>
        <w:t>Generar informes periódicos sobre el progreso hacia las metas y la eficiencia en la reducción de costos.</w:t>
      </w:r>
    </w:p>
    <w:p w14:paraId="1253A870" w14:textId="63B34966" w:rsidR="00514810" w:rsidRDefault="00514810" w:rsidP="007E7E61">
      <w:pPr>
        <w:pStyle w:val="TextoPrincipal"/>
        <w:numPr>
          <w:ilvl w:val="0"/>
          <w:numId w:val="30"/>
        </w:numPr>
        <w:spacing w:line="360" w:lineRule="auto"/>
      </w:pPr>
      <w:r>
        <w:t>Comunicar los logros y desafíos a todas las partes interesadas relevantes.</w:t>
      </w:r>
    </w:p>
    <w:p w14:paraId="2E7188CF" w14:textId="60D87000" w:rsidR="00514810" w:rsidRPr="00B617E2" w:rsidRDefault="00B617E2" w:rsidP="00514810">
      <w:pPr>
        <w:pStyle w:val="TextoPrincipal"/>
        <w:spacing w:line="360" w:lineRule="auto"/>
        <w:rPr>
          <w:b/>
          <w:bCs/>
        </w:rPr>
      </w:pPr>
      <w:r w:rsidRPr="00B617E2">
        <w:rPr>
          <w:b/>
          <w:bCs/>
        </w:rPr>
        <w:t xml:space="preserve">3.8 </w:t>
      </w:r>
      <w:r w:rsidR="00514810" w:rsidRPr="00B617E2">
        <w:rPr>
          <w:b/>
          <w:bCs/>
        </w:rPr>
        <w:t>Evaluación y Mejora Continua:</w:t>
      </w:r>
    </w:p>
    <w:p w14:paraId="549A48E9" w14:textId="0FBB950D" w:rsidR="00514810" w:rsidRDefault="00514810" w:rsidP="007E7E61">
      <w:pPr>
        <w:pStyle w:val="TextoPrincipal"/>
        <w:numPr>
          <w:ilvl w:val="0"/>
          <w:numId w:val="31"/>
        </w:numPr>
        <w:spacing w:line="360" w:lineRule="auto"/>
      </w:pPr>
      <w:r>
        <w:t>Evaluar los resultados obtenidos en comparación con las metas establecidas.</w:t>
      </w:r>
    </w:p>
    <w:p w14:paraId="20BF0CFF" w14:textId="0B516FD2" w:rsidR="00514810" w:rsidRDefault="00514810" w:rsidP="007E7E61">
      <w:pPr>
        <w:pStyle w:val="TextoPrincipal"/>
        <w:numPr>
          <w:ilvl w:val="0"/>
          <w:numId w:val="31"/>
        </w:numPr>
        <w:spacing w:line="360" w:lineRule="auto"/>
      </w:pPr>
      <w:r>
        <w:t>Identificar lecciones aprendidas y oportunidades de mejora continua para aplicar en futuros ciclos de gestión de costos.</w:t>
      </w:r>
    </w:p>
    <w:p w14:paraId="0A831C84" w14:textId="490EE18A" w:rsidR="00C660AB" w:rsidRDefault="00514810" w:rsidP="00A648E6">
      <w:pPr>
        <w:pStyle w:val="TextoPrincipal"/>
        <w:spacing w:line="360" w:lineRule="auto"/>
      </w:pPr>
      <w:r>
        <w:t>Este proceso proporciona un marco estructurado para el establecimiento de objetivos y metas relacionados con la eficiencia y la reducción de costos, asegurando su alineación con los objetivos organizativos y facilitando la mejora continua.</w:t>
      </w:r>
    </w:p>
    <w:p w14:paraId="5AEF3E31" w14:textId="2731B1DF" w:rsidR="008F55C1" w:rsidRDefault="008F55C1" w:rsidP="00A648E6">
      <w:pPr>
        <w:pStyle w:val="TextoPrincipal"/>
        <w:spacing w:line="360" w:lineRule="auto"/>
      </w:pPr>
    </w:p>
    <w:p w14:paraId="38818A35" w14:textId="5C9FF70F" w:rsidR="008F55C1" w:rsidRDefault="008F55C1" w:rsidP="00A648E6">
      <w:pPr>
        <w:pStyle w:val="TextoPrincipal"/>
        <w:spacing w:line="360" w:lineRule="auto"/>
      </w:pPr>
    </w:p>
    <w:p w14:paraId="7FD5D230" w14:textId="48ED702D" w:rsidR="008F55C1" w:rsidRDefault="008F55C1" w:rsidP="00A648E6">
      <w:pPr>
        <w:pStyle w:val="TextoPrincipal"/>
        <w:spacing w:line="360" w:lineRule="auto"/>
      </w:pPr>
    </w:p>
    <w:p w14:paraId="57F5482F" w14:textId="77DF2B1B" w:rsidR="008F55C1" w:rsidRDefault="008F55C1" w:rsidP="00A648E6">
      <w:pPr>
        <w:pStyle w:val="TextoPrincipal"/>
        <w:spacing w:line="360" w:lineRule="auto"/>
      </w:pPr>
    </w:p>
    <w:p w14:paraId="4785AA90" w14:textId="6DED249C" w:rsidR="008F55C1" w:rsidRDefault="008F55C1" w:rsidP="00A648E6">
      <w:pPr>
        <w:pStyle w:val="TextoPrincipal"/>
        <w:spacing w:line="360" w:lineRule="auto"/>
      </w:pPr>
    </w:p>
    <w:p w14:paraId="3DA26DC2" w14:textId="1B597356" w:rsidR="008F55C1" w:rsidRDefault="008F55C1" w:rsidP="00A648E6">
      <w:pPr>
        <w:pStyle w:val="TextoPrincipal"/>
        <w:spacing w:line="360" w:lineRule="auto"/>
      </w:pPr>
    </w:p>
    <w:p w14:paraId="51AA6523" w14:textId="10F6C0B7" w:rsidR="008F55C1" w:rsidRDefault="008F55C1" w:rsidP="00A648E6">
      <w:pPr>
        <w:pStyle w:val="TextoPrincipal"/>
        <w:spacing w:line="360" w:lineRule="auto"/>
      </w:pPr>
    </w:p>
    <w:p w14:paraId="654BED84" w14:textId="2CE3D445" w:rsidR="008F55C1" w:rsidRDefault="008F55C1" w:rsidP="00A648E6">
      <w:pPr>
        <w:pStyle w:val="TextoPrincipal"/>
        <w:spacing w:line="360" w:lineRule="auto"/>
      </w:pPr>
    </w:p>
    <w:p w14:paraId="3B532373" w14:textId="7F83B815" w:rsidR="008F55C1" w:rsidRDefault="008F55C1" w:rsidP="00A648E6">
      <w:pPr>
        <w:pStyle w:val="TextoPrincipal"/>
        <w:spacing w:line="360" w:lineRule="auto"/>
      </w:pPr>
    </w:p>
    <w:p w14:paraId="7B39FE81" w14:textId="7AE584E2" w:rsidR="008F55C1" w:rsidRDefault="008F55C1" w:rsidP="00A648E6">
      <w:pPr>
        <w:pStyle w:val="TextoPrincipal"/>
        <w:spacing w:line="360" w:lineRule="auto"/>
      </w:pPr>
    </w:p>
    <w:p w14:paraId="5227D334" w14:textId="5CDE4A88" w:rsidR="008F55C1" w:rsidRDefault="008F55C1" w:rsidP="00A648E6">
      <w:pPr>
        <w:pStyle w:val="TextoPrincipal"/>
        <w:spacing w:line="360" w:lineRule="auto"/>
      </w:pPr>
    </w:p>
    <w:p w14:paraId="56DE18AC" w14:textId="21657373" w:rsidR="008F55C1" w:rsidRDefault="008F55C1" w:rsidP="00A648E6">
      <w:pPr>
        <w:pStyle w:val="TextoPrincipal"/>
        <w:spacing w:line="360" w:lineRule="auto"/>
      </w:pPr>
    </w:p>
    <w:p w14:paraId="4C0ACB02" w14:textId="551AE976" w:rsidR="008F55C1" w:rsidRDefault="008F55C1" w:rsidP="00A648E6">
      <w:pPr>
        <w:pStyle w:val="TextoPrincipal"/>
        <w:spacing w:line="360" w:lineRule="auto"/>
      </w:pPr>
    </w:p>
    <w:p w14:paraId="047B36A0" w14:textId="77777777" w:rsidR="008F55C1" w:rsidRDefault="008F55C1" w:rsidP="00A648E6">
      <w:pPr>
        <w:pStyle w:val="TextoPrincipal"/>
        <w:spacing w:line="360" w:lineRule="auto"/>
      </w:pPr>
    </w:p>
    <w:p w14:paraId="3B49FBCB" w14:textId="1B32B466" w:rsidR="00C660AB" w:rsidRDefault="0056684A" w:rsidP="006075C1">
      <w:pPr>
        <w:pStyle w:val="TextoPrincipal"/>
        <w:spacing w:line="360" w:lineRule="auto"/>
        <w:rPr>
          <w:b/>
        </w:rPr>
      </w:pPr>
      <w:r w:rsidRPr="0056684A">
        <w:rPr>
          <w:b/>
        </w:rPr>
        <w:lastRenderedPageBreak/>
        <w:t>Fase 2: Diseño de Estrategias y Herramientas</w:t>
      </w:r>
    </w:p>
    <w:p w14:paraId="34C19BA4" w14:textId="04F201CC" w:rsidR="0056684A" w:rsidRPr="0056684A" w:rsidRDefault="008F55C1" w:rsidP="0056684A">
      <w:pPr>
        <w:pStyle w:val="TextoPrincipal"/>
        <w:spacing w:line="360" w:lineRule="auto"/>
      </w:pPr>
      <w:r>
        <w:t>L</w:t>
      </w:r>
      <w:r w:rsidR="0056684A" w:rsidRPr="0056684A">
        <w:t xml:space="preserve">a creación de estrategias precisas y la selección </w:t>
      </w:r>
      <w:r w:rsidRPr="0056684A">
        <w:t>juiciosa</w:t>
      </w:r>
      <w:r w:rsidR="0056684A" w:rsidRPr="0056684A">
        <w:t xml:space="preserve"> de herramientas especializadas se revelan como elementos esenciales para la optimización de la eficiencia operativa y la salvaguarda de la salud financiera.</w:t>
      </w:r>
      <w:r>
        <w:t xml:space="preserve"> </w:t>
      </w:r>
      <w:r w:rsidR="0056684A" w:rsidRPr="0056684A">
        <w:t xml:space="preserve">A lo largo de estas páginas, nos sumergiremos en un análisis detallado de los principios fundamentales que gobiernan el diseño estratégico, explorando cómo estas estrategias pueden adaptarse a las complejidades específicas del entorno financiero. </w:t>
      </w:r>
    </w:p>
    <w:p w14:paraId="033F78A9" w14:textId="027CC470" w:rsidR="0056684A" w:rsidRPr="0056684A" w:rsidRDefault="0056684A" w:rsidP="0056684A">
      <w:pPr>
        <w:pStyle w:val="TextoPrincipal"/>
        <w:spacing w:line="360" w:lineRule="auto"/>
      </w:pPr>
      <w:r w:rsidRPr="0056684A">
        <w:t>Con un enfoque formal y riguroso, este capítulo tiene como objetivo proporcionar a los profesionales del sector financiero las herramientas conceptuales y prácticas necesarias para desarrollar estrategias robustas y utilizar herramientas especializadas de manera efectiva. Acompáñenos en este análisis detenido que busca iluminar los caminos hacia una gestión de costos administrativos más refinada y estratégica en las instituciones financieras.</w:t>
      </w:r>
    </w:p>
    <w:p w14:paraId="0F4D3B06" w14:textId="0370C755" w:rsidR="008F55C1" w:rsidRPr="008F55C1" w:rsidRDefault="008F55C1" w:rsidP="007E7E61">
      <w:pPr>
        <w:pStyle w:val="TextoPrincipal"/>
        <w:numPr>
          <w:ilvl w:val="0"/>
          <w:numId w:val="32"/>
        </w:numPr>
        <w:spacing w:line="360" w:lineRule="auto"/>
      </w:pPr>
      <w:r w:rsidRPr="008F55C1">
        <w:rPr>
          <w:b/>
          <w:bCs/>
        </w:rPr>
        <w:t xml:space="preserve">Proceso de Investigación y Mejores Prácticas </w:t>
      </w:r>
    </w:p>
    <w:p w14:paraId="721E46F6" w14:textId="595343F6" w:rsidR="008F55C1" w:rsidRDefault="008F55C1" w:rsidP="008F55C1">
      <w:pPr>
        <w:pStyle w:val="TextoPrincipal"/>
        <w:spacing w:line="360" w:lineRule="auto"/>
        <w:ind w:left="720" w:firstLine="0"/>
      </w:pPr>
      <w:r w:rsidRPr="008F55C1">
        <w:rPr>
          <w:b/>
          <w:bCs/>
        </w:rPr>
        <w:t>Duración:</w:t>
      </w:r>
      <w:r>
        <w:t xml:space="preserve"> Semana 1-2</w:t>
      </w:r>
    </w:p>
    <w:p w14:paraId="7A685F69" w14:textId="01468E40" w:rsidR="008F55C1" w:rsidRDefault="008F55C1" w:rsidP="008F55C1">
      <w:pPr>
        <w:pStyle w:val="TextoPrincipal"/>
        <w:spacing w:line="360" w:lineRule="auto"/>
      </w:pPr>
      <w:r w:rsidRPr="00514810">
        <w:rPr>
          <w:b/>
          <w:bCs/>
        </w:rPr>
        <w:t>Objetivo General:</w:t>
      </w:r>
    </w:p>
    <w:p w14:paraId="43E6E6BC" w14:textId="0ACBD74A" w:rsidR="008F55C1" w:rsidRDefault="008F55C1" w:rsidP="008F55C1">
      <w:pPr>
        <w:pStyle w:val="TextoPrincipal"/>
        <w:spacing w:line="360" w:lineRule="auto"/>
      </w:pPr>
      <w:r>
        <w:t>Establecer una base sólida para la gestión eficiente de costos administrativos a través de la revisión de las mejores prácticas y la identificación de herramientas tecnológicas pertinentes en el contexto de las instituciones financieras.</w:t>
      </w:r>
    </w:p>
    <w:p w14:paraId="74825707" w14:textId="6206EB1E" w:rsidR="008F55C1" w:rsidRPr="008F55C1" w:rsidRDefault="008F55C1" w:rsidP="008F55C1">
      <w:pPr>
        <w:pStyle w:val="TextoPrincipal"/>
        <w:spacing w:line="360" w:lineRule="auto"/>
        <w:rPr>
          <w:b/>
        </w:rPr>
      </w:pPr>
      <w:r w:rsidRPr="008F55C1">
        <w:rPr>
          <w:b/>
        </w:rPr>
        <w:t>Pasos de Proceso:</w:t>
      </w:r>
    </w:p>
    <w:p w14:paraId="47519889" w14:textId="7625D7FA" w:rsidR="008F55C1" w:rsidRPr="008F55C1" w:rsidRDefault="008F55C1" w:rsidP="008F55C1">
      <w:pPr>
        <w:pStyle w:val="TextoPrincipal"/>
        <w:spacing w:line="360" w:lineRule="auto"/>
        <w:rPr>
          <w:b/>
        </w:rPr>
      </w:pPr>
      <w:r w:rsidRPr="008F55C1">
        <w:rPr>
          <w:b/>
        </w:rPr>
        <w:t>1.1 Definición de Objetivos:</w:t>
      </w:r>
    </w:p>
    <w:p w14:paraId="20559650" w14:textId="724AF022" w:rsidR="008F55C1" w:rsidRDefault="008F55C1" w:rsidP="007E7E61">
      <w:pPr>
        <w:pStyle w:val="TextoPrincipal"/>
        <w:numPr>
          <w:ilvl w:val="0"/>
          <w:numId w:val="33"/>
        </w:numPr>
        <w:spacing w:line="360" w:lineRule="auto"/>
      </w:pPr>
      <w:r>
        <w:t>Clarificar los objetivos específicos de la investigación.</w:t>
      </w:r>
    </w:p>
    <w:p w14:paraId="1EBC212C" w14:textId="116D1B98" w:rsidR="008F55C1" w:rsidRDefault="008F55C1" w:rsidP="007E7E61">
      <w:pPr>
        <w:pStyle w:val="TextoPrincipal"/>
        <w:numPr>
          <w:ilvl w:val="0"/>
          <w:numId w:val="33"/>
        </w:numPr>
        <w:spacing w:line="360" w:lineRule="auto"/>
      </w:pPr>
      <w:r>
        <w:t>Establecer metas alcanzables para el proceso.</w:t>
      </w:r>
    </w:p>
    <w:p w14:paraId="325152BA" w14:textId="11F3BBA4" w:rsidR="008F55C1" w:rsidRDefault="008F55C1" w:rsidP="008F55C1">
      <w:pPr>
        <w:pStyle w:val="TextoPrincipal"/>
        <w:spacing w:line="360" w:lineRule="auto"/>
      </w:pPr>
      <w:r w:rsidRPr="008F55C1">
        <w:rPr>
          <w:b/>
        </w:rPr>
        <w:t>1.2 Identificación de Áreas Clave:</w:t>
      </w:r>
    </w:p>
    <w:p w14:paraId="74DF76D2" w14:textId="62958CD2" w:rsidR="008F55C1" w:rsidRDefault="008F55C1" w:rsidP="007E7E61">
      <w:pPr>
        <w:pStyle w:val="TextoPrincipal"/>
        <w:numPr>
          <w:ilvl w:val="0"/>
          <w:numId w:val="34"/>
        </w:numPr>
        <w:spacing w:line="360" w:lineRule="auto"/>
      </w:pPr>
      <w:r>
        <w:t>Identificar las áreas específicas de costos administrativos relevantes para las instituciones financieras.</w:t>
      </w:r>
    </w:p>
    <w:p w14:paraId="5778C1D5" w14:textId="13C54A3A" w:rsidR="008F55C1" w:rsidRDefault="008F55C1" w:rsidP="007E7E61">
      <w:pPr>
        <w:pStyle w:val="TextoPrincipal"/>
        <w:numPr>
          <w:ilvl w:val="0"/>
          <w:numId w:val="34"/>
        </w:numPr>
        <w:spacing w:line="360" w:lineRule="auto"/>
      </w:pPr>
      <w:r>
        <w:t>Enumerar los aspectos más críticos que impactan en la eficiencia operativa y financiera.</w:t>
      </w:r>
    </w:p>
    <w:p w14:paraId="4EB0F254" w14:textId="2F6A2332" w:rsidR="008F55C1" w:rsidRDefault="008F55C1" w:rsidP="008F55C1">
      <w:pPr>
        <w:pStyle w:val="TextoPrincipal"/>
        <w:spacing w:line="360" w:lineRule="auto"/>
      </w:pPr>
      <w:r w:rsidRPr="008F55C1">
        <w:rPr>
          <w:b/>
        </w:rPr>
        <w:t>1.3 Revisión de Mejores Prácticas:</w:t>
      </w:r>
    </w:p>
    <w:p w14:paraId="754D5435" w14:textId="3A17D8C5" w:rsidR="008F55C1" w:rsidRDefault="008F55C1" w:rsidP="007E7E61">
      <w:pPr>
        <w:pStyle w:val="TextoPrincipal"/>
        <w:numPr>
          <w:ilvl w:val="0"/>
          <w:numId w:val="35"/>
        </w:numPr>
        <w:spacing w:line="360" w:lineRule="auto"/>
      </w:pPr>
      <w:r>
        <w:lastRenderedPageBreak/>
        <w:t>Realizar una revisión exhaustiva de las mejores prácticas en gestión de costos, centrándose en el sector financiero.</w:t>
      </w:r>
    </w:p>
    <w:p w14:paraId="699CC249" w14:textId="25E87A7B" w:rsidR="008F55C1" w:rsidRDefault="008F55C1" w:rsidP="007E7E61">
      <w:pPr>
        <w:pStyle w:val="TextoPrincipal"/>
        <w:numPr>
          <w:ilvl w:val="0"/>
          <w:numId w:val="35"/>
        </w:numPr>
        <w:spacing w:line="360" w:lineRule="auto"/>
      </w:pPr>
      <w:r>
        <w:t>Analizar casos de estudio, informes y documentos relevantes.</w:t>
      </w:r>
    </w:p>
    <w:p w14:paraId="3DD666C0" w14:textId="6A998D60" w:rsidR="008F55C1" w:rsidRDefault="008F55C1" w:rsidP="008F55C1">
      <w:pPr>
        <w:pStyle w:val="TextoPrincipal"/>
        <w:spacing w:line="360" w:lineRule="auto"/>
      </w:pPr>
      <w:r w:rsidRPr="008F55C1">
        <w:rPr>
          <w:b/>
        </w:rPr>
        <w:t>1.4 Análisis Competitivo:</w:t>
      </w:r>
    </w:p>
    <w:p w14:paraId="6530B3BB" w14:textId="09D92974" w:rsidR="008F55C1" w:rsidRDefault="008F55C1" w:rsidP="007E7E61">
      <w:pPr>
        <w:pStyle w:val="TextoPrincipal"/>
        <w:numPr>
          <w:ilvl w:val="0"/>
          <w:numId w:val="36"/>
        </w:numPr>
        <w:spacing w:line="360" w:lineRule="auto"/>
      </w:pPr>
      <w:r>
        <w:t>Investigar las estrategias de gestión de costos adoptadas por instituciones financieras líderes.</w:t>
      </w:r>
    </w:p>
    <w:p w14:paraId="026C3E79" w14:textId="77FAF5A7" w:rsidR="008F55C1" w:rsidRDefault="008F55C1" w:rsidP="007E7E61">
      <w:pPr>
        <w:pStyle w:val="TextoPrincipal"/>
        <w:numPr>
          <w:ilvl w:val="0"/>
          <w:numId w:val="36"/>
        </w:numPr>
        <w:spacing w:line="360" w:lineRule="auto"/>
      </w:pPr>
      <w:r>
        <w:t>Identificar patrones y enfoques exitosos.</w:t>
      </w:r>
    </w:p>
    <w:p w14:paraId="0DA5482E" w14:textId="1ABD2021" w:rsidR="008F55C1" w:rsidRDefault="008F55C1" w:rsidP="008F55C1">
      <w:pPr>
        <w:pStyle w:val="TextoPrincipal"/>
        <w:spacing w:line="360" w:lineRule="auto"/>
      </w:pPr>
      <w:r w:rsidRPr="008F55C1">
        <w:rPr>
          <w:b/>
        </w:rPr>
        <w:t>1.5 Evaluación de Herramientas Tecnológicas:</w:t>
      </w:r>
    </w:p>
    <w:p w14:paraId="18CEC43D" w14:textId="66874B6E" w:rsidR="008F55C1" w:rsidRDefault="008F55C1" w:rsidP="007E7E61">
      <w:pPr>
        <w:pStyle w:val="TextoPrincipal"/>
        <w:numPr>
          <w:ilvl w:val="0"/>
          <w:numId w:val="36"/>
        </w:numPr>
        <w:spacing w:line="360" w:lineRule="auto"/>
      </w:pPr>
      <w:r>
        <w:t>Investigar las herramientas tecnológicas disponibles para la gestión de costos administrativos.</w:t>
      </w:r>
    </w:p>
    <w:p w14:paraId="0E29B0F5" w14:textId="3FB38F25" w:rsidR="008F55C1" w:rsidRDefault="008F55C1" w:rsidP="007E7E61">
      <w:pPr>
        <w:pStyle w:val="TextoPrincipal"/>
        <w:numPr>
          <w:ilvl w:val="0"/>
          <w:numId w:val="36"/>
        </w:numPr>
        <w:spacing w:line="360" w:lineRule="auto"/>
      </w:pPr>
      <w:r>
        <w:t>Analizar la adecuación de estas herramientas a las necesidades específicas del sector financiero.</w:t>
      </w:r>
    </w:p>
    <w:p w14:paraId="707663EB" w14:textId="51010F46" w:rsidR="008F55C1" w:rsidRPr="008F55C1" w:rsidRDefault="008F55C1" w:rsidP="008F55C1">
      <w:pPr>
        <w:pStyle w:val="TextoPrincipal"/>
        <w:spacing w:line="360" w:lineRule="auto"/>
        <w:rPr>
          <w:b/>
        </w:rPr>
      </w:pPr>
      <w:r w:rsidRPr="008F55C1">
        <w:rPr>
          <w:b/>
        </w:rPr>
        <w:t>1.6 Selección de Herramientas Potenciales:</w:t>
      </w:r>
    </w:p>
    <w:p w14:paraId="08E42210" w14:textId="4EDF9B89" w:rsidR="008F55C1" w:rsidRDefault="008F55C1" w:rsidP="007E7E61">
      <w:pPr>
        <w:pStyle w:val="TextoPrincipal"/>
        <w:numPr>
          <w:ilvl w:val="0"/>
          <w:numId w:val="37"/>
        </w:numPr>
        <w:spacing w:line="360" w:lineRule="auto"/>
      </w:pPr>
      <w:r>
        <w:t>Seleccionar un conjunto inicial de herramientas tecnológicas que demuestren un potencial significativo.</w:t>
      </w:r>
    </w:p>
    <w:p w14:paraId="761D918C" w14:textId="22A41293" w:rsidR="008F55C1" w:rsidRDefault="008F55C1" w:rsidP="007E7E61">
      <w:pPr>
        <w:pStyle w:val="TextoPrincipal"/>
        <w:numPr>
          <w:ilvl w:val="0"/>
          <w:numId w:val="37"/>
        </w:numPr>
        <w:spacing w:line="360" w:lineRule="auto"/>
      </w:pPr>
      <w:r>
        <w:t>Evaluar la compatibilidad con los sistemas existentes y la facilidad de integración.</w:t>
      </w:r>
    </w:p>
    <w:p w14:paraId="6765AA9B" w14:textId="26576C38" w:rsidR="008F55C1" w:rsidRPr="008F55C1" w:rsidRDefault="008F55C1" w:rsidP="008F55C1">
      <w:pPr>
        <w:pStyle w:val="TextoPrincipal"/>
        <w:spacing w:line="360" w:lineRule="auto"/>
        <w:rPr>
          <w:b/>
        </w:rPr>
      </w:pPr>
      <w:r w:rsidRPr="008F55C1">
        <w:rPr>
          <w:b/>
        </w:rPr>
        <w:t>1.7 Creación de un Informe Preliminar:</w:t>
      </w:r>
    </w:p>
    <w:p w14:paraId="424EFB2A" w14:textId="685A1CDC" w:rsidR="008F55C1" w:rsidRDefault="008F55C1" w:rsidP="007E7E61">
      <w:pPr>
        <w:pStyle w:val="TextoPrincipal"/>
        <w:numPr>
          <w:ilvl w:val="0"/>
          <w:numId w:val="37"/>
        </w:numPr>
        <w:spacing w:line="360" w:lineRule="auto"/>
      </w:pPr>
      <w:r>
        <w:t>Documentar los hallazgos de la investigación.</w:t>
      </w:r>
    </w:p>
    <w:p w14:paraId="6A0F14B2" w14:textId="775D53EE" w:rsidR="008F55C1" w:rsidRDefault="008F55C1" w:rsidP="007E7E61">
      <w:pPr>
        <w:pStyle w:val="TextoPrincipal"/>
        <w:numPr>
          <w:ilvl w:val="0"/>
          <w:numId w:val="37"/>
        </w:numPr>
        <w:spacing w:line="360" w:lineRule="auto"/>
      </w:pPr>
      <w:r>
        <w:t>Resumir las mejores prácticas identificadas y las herramientas tecnológicas seleccionadas.</w:t>
      </w:r>
    </w:p>
    <w:p w14:paraId="5F99DE95" w14:textId="6802B5A2" w:rsidR="008F55C1" w:rsidRDefault="008F55C1" w:rsidP="008F55C1">
      <w:pPr>
        <w:pStyle w:val="TextoPrincipal"/>
        <w:spacing w:line="360" w:lineRule="auto"/>
      </w:pPr>
      <w:r w:rsidRPr="0085485B">
        <w:rPr>
          <w:b/>
        </w:rPr>
        <w:t>1.8 Presentación y Retroalimentación:</w:t>
      </w:r>
    </w:p>
    <w:p w14:paraId="2CFCE5E1" w14:textId="7BC2A679" w:rsidR="008F55C1" w:rsidRDefault="008F55C1" w:rsidP="007E7E61">
      <w:pPr>
        <w:pStyle w:val="TextoPrincipal"/>
        <w:numPr>
          <w:ilvl w:val="0"/>
          <w:numId w:val="12"/>
        </w:numPr>
        <w:spacing w:line="360" w:lineRule="auto"/>
      </w:pPr>
      <w:r>
        <w:t>Presentar los resultados preliminares a los principales interesados.</w:t>
      </w:r>
    </w:p>
    <w:p w14:paraId="4299EE76" w14:textId="487D87E7" w:rsidR="008F55C1" w:rsidRDefault="008F55C1" w:rsidP="007E7E61">
      <w:pPr>
        <w:pStyle w:val="TextoPrincipal"/>
        <w:numPr>
          <w:ilvl w:val="0"/>
          <w:numId w:val="12"/>
        </w:numPr>
        <w:spacing w:line="360" w:lineRule="auto"/>
      </w:pPr>
      <w:r>
        <w:t>Recoger retroalimentación y ajustar el enfoque según sea necesario.</w:t>
      </w:r>
    </w:p>
    <w:p w14:paraId="56AF4DF7" w14:textId="3BB75977" w:rsidR="00C660AB" w:rsidRDefault="008F55C1" w:rsidP="008F55C1">
      <w:pPr>
        <w:pStyle w:val="TextoPrincipal"/>
        <w:spacing w:line="360" w:lineRule="auto"/>
      </w:pPr>
      <w:r>
        <w:t>Este proceso establece las bases esenciales para una gestión de costos administrativos informada y estratégica en instituciones financieras, proporcionando un marco sólido para las etapas subsiguientes del manual.</w:t>
      </w:r>
    </w:p>
    <w:p w14:paraId="27B9C7A9" w14:textId="46C31980" w:rsidR="00535506" w:rsidRPr="008F55C1" w:rsidRDefault="00535506" w:rsidP="007E7E61">
      <w:pPr>
        <w:pStyle w:val="TextoPrincipal"/>
        <w:numPr>
          <w:ilvl w:val="0"/>
          <w:numId w:val="32"/>
        </w:numPr>
        <w:spacing w:line="360" w:lineRule="auto"/>
      </w:pPr>
      <w:r w:rsidRPr="008F55C1">
        <w:rPr>
          <w:b/>
          <w:bCs/>
        </w:rPr>
        <w:lastRenderedPageBreak/>
        <w:t xml:space="preserve">Proceso de </w:t>
      </w:r>
      <w:r w:rsidRPr="00535506">
        <w:rPr>
          <w:b/>
          <w:bCs/>
        </w:rPr>
        <w:t>Diseño de Estrategias de Optimización</w:t>
      </w:r>
    </w:p>
    <w:p w14:paraId="1D2D53F9" w14:textId="0FB7886C" w:rsidR="00535506" w:rsidRDefault="00535506" w:rsidP="00535506">
      <w:pPr>
        <w:pStyle w:val="TextoPrincipal"/>
        <w:spacing w:line="360" w:lineRule="auto"/>
        <w:ind w:left="720" w:firstLine="0"/>
      </w:pPr>
      <w:r w:rsidRPr="008F55C1">
        <w:rPr>
          <w:b/>
          <w:bCs/>
        </w:rPr>
        <w:t>Duración:</w:t>
      </w:r>
      <w:r>
        <w:t xml:space="preserve"> Semana 3-4</w:t>
      </w:r>
    </w:p>
    <w:p w14:paraId="03EFF5EA" w14:textId="33F00CE7" w:rsidR="00535506" w:rsidRDefault="00535506" w:rsidP="00535506">
      <w:pPr>
        <w:pStyle w:val="TextoPrincipal"/>
        <w:spacing w:line="360" w:lineRule="auto"/>
      </w:pPr>
      <w:r w:rsidRPr="00514810">
        <w:rPr>
          <w:b/>
          <w:bCs/>
        </w:rPr>
        <w:t>Objetivo General:</w:t>
      </w:r>
    </w:p>
    <w:p w14:paraId="6B3E21F2" w14:textId="0EF9585A" w:rsidR="00535506" w:rsidRDefault="00535506" w:rsidP="00535506">
      <w:pPr>
        <w:pStyle w:val="TextoPrincipal"/>
        <w:spacing w:line="360" w:lineRule="auto"/>
      </w:pPr>
      <w:r>
        <w:t>Desarrollar estrategias específicas orientadas a la reducción de costos administrativos en instituciones financieras, centrándose en la identificación de áreas propicias para la automatización.</w:t>
      </w:r>
    </w:p>
    <w:p w14:paraId="787F83C1" w14:textId="7D237C57" w:rsidR="00535506" w:rsidRPr="00535506" w:rsidRDefault="00535506" w:rsidP="00535506">
      <w:pPr>
        <w:pStyle w:val="TextoPrincipal"/>
        <w:spacing w:line="360" w:lineRule="auto"/>
        <w:rPr>
          <w:b/>
        </w:rPr>
      </w:pPr>
      <w:r w:rsidRPr="00535506">
        <w:rPr>
          <w:b/>
        </w:rPr>
        <w:t>Pasos del Proceso:</w:t>
      </w:r>
    </w:p>
    <w:p w14:paraId="4EEE833D" w14:textId="6F369374" w:rsidR="00535506" w:rsidRDefault="00535506" w:rsidP="00535506">
      <w:pPr>
        <w:pStyle w:val="TextoPrincipal"/>
        <w:spacing w:line="360" w:lineRule="auto"/>
      </w:pPr>
      <w:r w:rsidRPr="00535506">
        <w:rPr>
          <w:b/>
        </w:rPr>
        <w:t>2.1 Análisis de Datos Actuales:</w:t>
      </w:r>
    </w:p>
    <w:p w14:paraId="2F2DAC61" w14:textId="2232ED78" w:rsidR="00535506" w:rsidRDefault="00535506" w:rsidP="007E7E61">
      <w:pPr>
        <w:pStyle w:val="TextoPrincipal"/>
        <w:numPr>
          <w:ilvl w:val="0"/>
          <w:numId w:val="12"/>
        </w:numPr>
        <w:spacing w:line="360" w:lineRule="auto"/>
      </w:pPr>
      <w:r>
        <w:t>Revisar los datos actuales sobre costos administrativos.</w:t>
      </w:r>
    </w:p>
    <w:p w14:paraId="187097C3" w14:textId="1A4F1924" w:rsidR="00535506" w:rsidRDefault="00535506" w:rsidP="007E7E61">
      <w:pPr>
        <w:pStyle w:val="TextoPrincipal"/>
        <w:numPr>
          <w:ilvl w:val="0"/>
          <w:numId w:val="12"/>
        </w:numPr>
        <w:spacing w:line="360" w:lineRule="auto"/>
      </w:pPr>
      <w:r>
        <w:t>Identificar tendencias y áreas de mayor gasto.</w:t>
      </w:r>
    </w:p>
    <w:p w14:paraId="327AE3DD" w14:textId="127232F8" w:rsidR="00535506" w:rsidRDefault="00535506" w:rsidP="00535506">
      <w:pPr>
        <w:pStyle w:val="TextoPrincipal"/>
        <w:spacing w:line="360" w:lineRule="auto"/>
      </w:pPr>
      <w:r w:rsidRPr="00535506">
        <w:rPr>
          <w:b/>
        </w:rPr>
        <w:t xml:space="preserve">2.2 Sesión de </w:t>
      </w:r>
      <w:proofErr w:type="spellStart"/>
      <w:r w:rsidRPr="00535506">
        <w:rPr>
          <w:b/>
        </w:rPr>
        <w:t>Brainstorming</w:t>
      </w:r>
      <w:proofErr w:type="spellEnd"/>
      <w:r w:rsidRPr="00535506">
        <w:rPr>
          <w:b/>
        </w:rPr>
        <w:t>:</w:t>
      </w:r>
    </w:p>
    <w:p w14:paraId="2F846ED3" w14:textId="5D67E067" w:rsidR="00535506" w:rsidRDefault="00535506" w:rsidP="007E7E61">
      <w:pPr>
        <w:pStyle w:val="TextoPrincipal"/>
        <w:numPr>
          <w:ilvl w:val="0"/>
          <w:numId w:val="12"/>
        </w:numPr>
        <w:spacing w:line="360" w:lineRule="auto"/>
      </w:pPr>
      <w:r>
        <w:t xml:space="preserve">Realizar sesiones de </w:t>
      </w:r>
      <w:proofErr w:type="spellStart"/>
      <w:r>
        <w:t>brainstorming</w:t>
      </w:r>
      <w:proofErr w:type="spellEnd"/>
      <w:r>
        <w:t xml:space="preserve"> con el equipo involucrado en la gestión de costos.</w:t>
      </w:r>
    </w:p>
    <w:p w14:paraId="3AA0C570" w14:textId="07006C6D" w:rsidR="00535506" w:rsidRDefault="00535506" w:rsidP="007E7E61">
      <w:pPr>
        <w:pStyle w:val="TextoPrincipal"/>
        <w:numPr>
          <w:ilvl w:val="0"/>
          <w:numId w:val="12"/>
        </w:numPr>
        <w:spacing w:line="360" w:lineRule="auto"/>
      </w:pPr>
      <w:r>
        <w:t>Generar ideas creativas y soluciones innovadoras para reducir costos.</w:t>
      </w:r>
    </w:p>
    <w:p w14:paraId="44C3266A" w14:textId="3A808BC1" w:rsidR="00535506" w:rsidRPr="00535506" w:rsidRDefault="00535506" w:rsidP="00535506">
      <w:pPr>
        <w:pStyle w:val="TextoPrincipal"/>
        <w:spacing w:line="360" w:lineRule="auto"/>
        <w:rPr>
          <w:b/>
        </w:rPr>
      </w:pPr>
      <w:r w:rsidRPr="00535506">
        <w:rPr>
          <w:b/>
        </w:rPr>
        <w:t>2.3 Priorización de Áreas Clave:</w:t>
      </w:r>
    </w:p>
    <w:p w14:paraId="0DA58A5A" w14:textId="24498C1A" w:rsidR="00535506" w:rsidRDefault="00535506" w:rsidP="007E7E61">
      <w:pPr>
        <w:pStyle w:val="TextoPrincipal"/>
        <w:numPr>
          <w:ilvl w:val="0"/>
          <w:numId w:val="12"/>
        </w:numPr>
        <w:spacing w:line="360" w:lineRule="auto"/>
      </w:pPr>
      <w:r>
        <w:t xml:space="preserve">Priorizar las áreas identificadas durante el análisis de datos y el </w:t>
      </w:r>
      <w:proofErr w:type="spellStart"/>
      <w:r>
        <w:t>brainstorming</w:t>
      </w:r>
      <w:proofErr w:type="spellEnd"/>
      <w:r>
        <w:t>.</w:t>
      </w:r>
    </w:p>
    <w:p w14:paraId="3958E1C1" w14:textId="1C1E1664" w:rsidR="00535506" w:rsidRDefault="00535506" w:rsidP="007E7E61">
      <w:pPr>
        <w:pStyle w:val="TextoPrincipal"/>
        <w:numPr>
          <w:ilvl w:val="0"/>
          <w:numId w:val="12"/>
        </w:numPr>
        <w:spacing w:line="360" w:lineRule="auto"/>
      </w:pPr>
      <w:r>
        <w:t>Enfocarse en aquellas que ofrecen el mayor potencial de reducción de costos.</w:t>
      </w:r>
    </w:p>
    <w:p w14:paraId="21D97757" w14:textId="4B301E78" w:rsidR="00535506" w:rsidRDefault="00535506" w:rsidP="00535506">
      <w:pPr>
        <w:pStyle w:val="TextoPrincipal"/>
        <w:spacing w:line="360" w:lineRule="auto"/>
      </w:pPr>
      <w:r w:rsidRPr="00535506">
        <w:rPr>
          <w:b/>
        </w:rPr>
        <w:t>2.4 Desarrollo de Estrategias Específicas:</w:t>
      </w:r>
    </w:p>
    <w:p w14:paraId="2EC4105C" w14:textId="5E03F30B" w:rsidR="00535506" w:rsidRDefault="00535506" w:rsidP="007E7E61">
      <w:pPr>
        <w:pStyle w:val="TextoPrincipal"/>
        <w:numPr>
          <w:ilvl w:val="0"/>
          <w:numId w:val="12"/>
        </w:numPr>
        <w:spacing w:line="360" w:lineRule="auto"/>
      </w:pPr>
      <w:r>
        <w:t>Diseñar estrategias específicas para reducir costos en las áreas prioritarias.</w:t>
      </w:r>
    </w:p>
    <w:p w14:paraId="4DA2DAF0" w14:textId="516B320A" w:rsidR="00535506" w:rsidRDefault="00535506" w:rsidP="007E7E61">
      <w:pPr>
        <w:pStyle w:val="TextoPrincipal"/>
        <w:numPr>
          <w:ilvl w:val="0"/>
          <w:numId w:val="12"/>
        </w:numPr>
        <w:spacing w:line="360" w:lineRule="auto"/>
      </w:pPr>
      <w:r>
        <w:t>Establecer metas y plazos claros para la implementación de cada estrategia.</w:t>
      </w:r>
    </w:p>
    <w:p w14:paraId="7BB5FDB4" w14:textId="4946A469" w:rsidR="00535506" w:rsidRDefault="00535506" w:rsidP="00535506">
      <w:pPr>
        <w:pStyle w:val="TextoPrincipal"/>
        <w:spacing w:line="360" w:lineRule="auto"/>
      </w:pPr>
      <w:r w:rsidRPr="00535506">
        <w:rPr>
          <w:b/>
        </w:rPr>
        <w:t>2.5 Evaluación de Oportunidades de Automatización:</w:t>
      </w:r>
    </w:p>
    <w:p w14:paraId="0FD2DE66" w14:textId="214D9FEE" w:rsidR="00535506" w:rsidRDefault="00535506" w:rsidP="007E7E61">
      <w:pPr>
        <w:pStyle w:val="TextoPrincipal"/>
        <w:numPr>
          <w:ilvl w:val="0"/>
          <w:numId w:val="12"/>
        </w:numPr>
        <w:spacing w:line="360" w:lineRule="auto"/>
      </w:pPr>
      <w:r>
        <w:t>Identificar procesos susceptibles de ser automatizados.</w:t>
      </w:r>
    </w:p>
    <w:p w14:paraId="5BB66436" w14:textId="7EB4E568" w:rsidR="00535506" w:rsidRDefault="00535506" w:rsidP="007E7E61">
      <w:pPr>
        <w:pStyle w:val="TextoPrincipal"/>
        <w:numPr>
          <w:ilvl w:val="0"/>
          <w:numId w:val="12"/>
        </w:numPr>
        <w:spacing w:line="360" w:lineRule="auto"/>
      </w:pPr>
      <w:r>
        <w:t>Evaluar las soluciones tecnológicas disponibles para la automatización.</w:t>
      </w:r>
    </w:p>
    <w:p w14:paraId="7F2F471A" w14:textId="2E2B0140" w:rsidR="00535506" w:rsidRDefault="00535506" w:rsidP="00535506">
      <w:pPr>
        <w:pStyle w:val="TextoPrincipal"/>
        <w:spacing w:line="360" w:lineRule="auto"/>
      </w:pPr>
      <w:r w:rsidRPr="00535506">
        <w:rPr>
          <w:b/>
        </w:rPr>
        <w:t>2.6 Costo-Beneficio de Automatización:</w:t>
      </w:r>
    </w:p>
    <w:p w14:paraId="53C7A854" w14:textId="666F12DB" w:rsidR="00535506" w:rsidRDefault="00535506" w:rsidP="007E7E61">
      <w:pPr>
        <w:pStyle w:val="TextoPrincipal"/>
        <w:numPr>
          <w:ilvl w:val="0"/>
          <w:numId w:val="12"/>
        </w:numPr>
        <w:spacing w:line="360" w:lineRule="auto"/>
      </w:pPr>
      <w:r>
        <w:t>Realizar un análisis de costo-beneficio para las oportunidades de automatización.</w:t>
      </w:r>
    </w:p>
    <w:p w14:paraId="445AE359" w14:textId="4E8A0DB5" w:rsidR="00535506" w:rsidRDefault="00535506" w:rsidP="007E7E61">
      <w:pPr>
        <w:pStyle w:val="TextoPrincipal"/>
        <w:numPr>
          <w:ilvl w:val="0"/>
          <w:numId w:val="12"/>
        </w:numPr>
        <w:spacing w:line="360" w:lineRule="auto"/>
      </w:pPr>
      <w:r>
        <w:lastRenderedPageBreak/>
        <w:t>Evaluar el retorno de inversión y la eficiencia esperada.</w:t>
      </w:r>
    </w:p>
    <w:p w14:paraId="6DD09855" w14:textId="161895C5" w:rsidR="00535506" w:rsidRPr="00535506" w:rsidRDefault="00535506" w:rsidP="00535506">
      <w:pPr>
        <w:pStyle w:val="TextoPrincipal"/>
        <w:spacing w:line="360" w:lineRule="auto"/>
        <w:rPr>
          <w:b/>
        </w:rPr>
      </w:pPr>
      <w:r w:rsidRPr="00535506">
        <w:rPr>
          <w:b/>
        </w:rPr>
        <w:t>2.7 Integración de Estrategias y Automatización:</w:t>
      </w:r>
    </w:p>
    <w:p w14:paraId="7670EE42" w14:textId="14F6CD5B" w:rsidR="00535506" w:rsidRDefault="00535506" w:rsidP="007E7E61">
      <w:pPr>
        <w:pStyle w:val="TextoPrincipal"/>
        <w:numPr>
          <w:ilvl w:val="0"/>
          <w:numId w:val="12"/>
        </w:numPr>
        <w:spacing w:line="360" w:lineRule="auto"/>
      </w:pPr>
      <w:r>
        <w:t>Integrar las estrategias diseñadas con las oportunidades de automatización identificadas.</w:t>
      </w:r>
    </w:p>
    <w:p w14:paraId="4A18D763" w14:textId="77E466F1" w:rsidR="00535506" w:rsidRDefault="00535506" w:rsidP="007E7E61">
      <w:pPr>
        <w:pStyle w:val="TextoPrincipal"/>
        <w:numPr>
          <w:ilvl w:val="0"/>
          <w:numId w:val="12"/>
        </w:numPr>
        <w:spacing w:line="360" w:lineRule="auto"/>
      </w:pPr>
      <w:r>
        <w:t>Asegurar la coherencia y sinergia en la implementación.</w:t>
      </w:r>
    </w:p>
    <w:p w14:paraId="360BCA6E" w14:textId="124E95FA" w:rsidR="00535506" w:rsidRDefault="00535506" w:rsidP="00535506">
      <w:pPr>
        <w:pStyle w:val="TextoPrincipal"/>
        <w:spacing w:line="360" w:lineRule="auto"/>
      </w:pPr>
      <w:r w:rsidRPr="00535506">
        <w:rPr>
          <w:b/>
        </w:rPr>
        <w:t>2.8 Plan de Implementación:</w:t>
      </w:r>
    </w:p>
    <w:p w14:paraId="7D61B327" w14:textId="4B6AC69B" w:rsidR="00535506" w:rsidRDefault="00535506" w:rsidP="007E7E61">
      <w:pPr>
        <w:pStyle w:val="TextoPrincipal"/>
        <w:numPr>
          <w:ilvl w:val="0"/>
          <w:numId w:val="12"/>
        </w:numPr>
        <w:spacing w:line="360" w:lineRule="auto"/>
      </w:pPr>
      <w:r>
        <w:t>Desarrollar un plan detallado de implementación que incluya roles, responsabilidades y plazos.</w:t>
      </w:r>
    </w:p>
    <w:p w14:paraId="5A25909C" w14:textId="0B54A69A" w:rsidR="00535506" w:rsidRDefault="00535506" w:rsidP="007E7E61">
      <w:pPr>
        <w:pStyle w:val="TextoPrincipal"/>
        <w:numPr>
          <w:ilvl w:val="0"/>
          <w:numId w:val="12"/>
        </w:numPr>
        <w:spacing w:line="360" w:lineRule="auto"/>
      </w:pPr>
      <w:r>
        <w:t>Establecer un sistema de monitoreo para evaluar el progreso.</w:t>
      </w:r>
    </w:p>
    <w:p w14:paraId="6E298E08" w14:textId="4731F5BC" w:rsidR="00535506" w:rsidRDefault="00535506" w:rsidP="00535506">
      <w:pPr>
        <w:pStyle w:val="TextoPrincipal"/>
        <w:spacing w:line="360" w:lineRule="auto"/>
      </w:pPr>
      <w:r w:rsidRPr="00535506">
        <w:rPr>
          <w:b/>
        </w:rPr>
        <w:t>2.9 Retroalimentación y Ajustes:</w:t>
      </w:r>
    </w:p>
    <w:p w14:paraId="4B3AAF2F" w14:textId="594A1F26" w:rsidR="00535506" w:rsidRDefault="00535506" w:rsidP="007E7E61">
      <w:pPr>
        <w:pStyle w:val="TextoPrincipal"/>
        <w:numPr>
          <w:ilvl w:val="0"/>
          <w:numId w:val="12"/>
        </w:numPr>
        <w:spacing w:line="360" w:lineRule="auto"/>
      </w:pPr>
      <w:r>
        <w:t xml:space="preserve">Recoger la retroalimentación del equipo y los </w:t>
      </w:r>
      <w:proofErr w:type="spellStart"/>
      <w:r>
        <w:t>stakeholders</w:t>
      </w:r>
      <w:proofErr w:type="spellEnd"/>
      <w:r>
        <w:t>.</w:t>
      </w:r>
    </w:p>
    <w:p w14:paraId="5A31E18F" w14:textId="7DA3AB69" w:rsidR="00535506" w:rsidRDefault="00535506" w:rsidP="007E7E61">
      <w:pPr>
        <w:pStyle w:val="TextoPrincipal"/>
        <w:numPr>
          <w:ilvl w:val="0"/>
          <w:numId w:val="12"/>
        </w:numPr>
        <w:spacing w:line="360" w:lineRule="auto"/>
      </w:pPr>
      <w:r>
        <w:t>Realizar ajustes en las estrategias según sea necesario.</w:t>
      </w:r>
    </w:p>
    <w:p w14:paraId="527905FA" w14:textId="46A70CE1" w:rsidR="00C660AB" w:rsidRDefault="00535506" w:rsidP="00535506">
      <w:pPr>
        <w:pStyle w:val="TextoPrincipal"/>
        <w:spacing w:line="360" w:lineRule="auto"/>
      </w:pPr>
      <w:r>
        <w:t>Este proceso busca no solo diseñar estrategias efectivas para la reducción de costos administrativos, sino también identificar oportunidades clave para la automatización, aprovechando la tecnología para mejorar la eficiencia operativa en instituciones financieras.</w:t>
      </w:r>
    </w:p>
    <w:p w14:paraId="70816955" w14:textId="3EC17A42" w:rsidR="003B1CDE" w:rsidRPr="008F55C1" w:rsidRDefault="003B1CDE" w:rsidP="007E7E61">
      <w:pPr>
        <w:pStyle w:val="TextoPrincipal"/>
        <w:numPr>
          <w:ilvl w:val="0"/>
          <w:numId w:val="32"/>
        </w:numPr>
        <w:spacing w:line="360" w:lineRule="auto"/>
      </w:pPr>
      <w:r w:rsidRPr="008F55C1">
        <w:rPr>
          <w:b/>
          <w:bCs/>
        </w:rPr>
        <w:t xml:space="preserve">Proceso de </w:t>
      </w:r>
      <w:r w:rsidR="007E7A08" w:rsidRPr="007E7A08">
        <w:rPr>
          <w:b/>
          <w:bCs/>
        </w:rPr>
        <w:t>Desarrollo de Herramientas y Sistemas</w:t>
      </w:r>
    </w:p>
    <w:p w14:paraId="2FB2CC81" w14:textId="4A6D5C74" w:rsidR="003B1CDE" w:rsidRDefault="003B1CDE" w:rsidP="003B1CDE">
      <w:pPr>
        <w:pStyle w:val="TextoPrincipal"/>
        <w:spacing w:line="360" w:lineRule="auto"/>
        <w:ind w:left="720" w:firstLine="0"/>
      </w:pPr>
      <w:r w:rsidRPr="008F55C1">
        <w:rPr>
          <w:b/>
          <w:bCs/>
        </w:rPr>
        <w:t>Duración:</w:t>
      </w:r>
      <w:r>
        <w:t xml:space="preserve"> Semana </w:t>
      </w:r>
      <w:r w:rsidR="007E7A08">
        <w:t>5</w:t>
      </w:r>
      <w:r>
        <w:t>-</w:t>
      </w:r>
      <w:r w:rsidR="007E7A08">
        <w:t>6</w:t>
      </w:r>
    </w:p>
    <w:p w14:paraId="795C369E" w14:textId="77777777" w:rsidR="003B1CDE" w:rsidRDefault="003B1CDE" w:rsidP="003B1CDE">
      <w:pPr>
        <w:pStyle w:val="TextoPrincipal"/>
        <w:spacing w:line="360" w:lineRule="auto"/>
      </w:pPr>
      <w:r w:rsidRPr="00514810">
        <w:rPr>
          <w:b/>
          <w:bCs/>
        </w:rPr>
        <w:t>Objetivo General:</w:t>
      </w:r>
    </w:p>
    <w:p w14:paraId="68D3CF78" w14:textId="6080A49B" w:rsidR="003B1CDE" w:rsidRDefault="003B1CDE" w:rsidP="007E7A08">
      <w:pPr>
        <w:pStyle w:val="TextoPrincipal"/>
        <w:spacing w:line="360" w:lineRule="auto"/>
      </w:pPr>
      <w:r>
        <w:t>Facilitar la gestión eficiente de costos administrativos mediante la creación o adquisición de herramientas tecnológicas y la implementación de sistemas de seguimiento.</w:t>
      </w:r>
    </w:p>
    <w:p w14:paraId="2D75FDCB" w14:textId="44D89F32" w:rsidR="003B1CDE" w:rsidRPr="007E7A08" w:rsidRDefault="003B1CDE" w:rsidP="007E7A08">
      <w:pPr>
        <w:pStyle w:val="TextoPrincipal"/>
        <w:spacing w:line="360" w:lineRule="auto"/>
        <w:rPr>
          <w:b/>
        </w:rPr>
      </w:pPr>
      <w:r w:rsidRPr="007E7A08">
        <w:rPr>
          <w:b/>
        </w:rPr>
        <w:t>Pasos</w:t>
      </w:r>
      <w:r w:rsidR="007E7A08" w:rsidRPr="007E7A08">
        <w:rPr>
          <w:b/>
        </w:rPr>
        <w:t xml:space="preserve"> del Proceso</w:t>
      </w:r>
      <w:r w:rsidRPr="007E7A08">
        <w:rPr>
          <w:b/>
        </w:rPr>
        <w:t>:</w:t>
      </w:r>
    </w:p>
    <w:p w14:paraId="22961470" w14:textId="47F31D4B" w:rsidR="003B1CDE" w:rsidRPr="007E7A08" w:rsidRDefault="003B1CDE" w:rsidP="003B1CDE">
      <w:pPr>
        <w:pStyle w:val="TextoPrincipal"/>
        <w:spacing w:line="360" w:lineRule="auto"/>
        <w:rPr>
          <w:b/>
        </w:rPr>
      </w:pPr>
      <w:r w:rsidRPr="007E7A08">
        <w:rPr>
          <w:b/>
        </w:rPr>
        <w:t>3.1 Evaluación de Necesidades Tecnológicas:</w:t>
      </w:r>
    </w:p>
    <w:p w14:paraId="729ACF4C" w14:textId="34B0B176" w:rsidR="003B1CDE" w:rsidRDefault="003B1CDE" w:rsidP="007E7E61">
      <w:pPr>
        <w:pStyle w:val="TextoPrincipal"/>
        <w:numPr>
          <w:ilvl w:val="0"/>
          <w:numId w:val="12"/>
        </w:numPr>
        <w:spacing w:line="360" w:lineRule="auto"/>
      </w:pPr>
      <w:r>
        <w:t>Revisar las necesidades específicas de tecnología para la gestión de costos administrativos identificadas en las fases anteriores.</w:t>
      </w:r>
    </w:p>
    <w:p w14:paraId="380F82CE" w14:textId="5D8C95C9" w:rsidR="003B1CDE" w:rsidRDefault="003B1CDE" w:rsidP="007E7E61">
      <w:pPr>
        <w:pStyle w:val="TextoPrincipal"/>
        <w:numPr>
          <w:ilvl w:val="0"/>
          <w:numId w:val="12"/>
        </w:numPr>
        <w:spacing w:line="360" w:lineRule="auto"/>
      </w:pPr>
      <w:r>
        <w:t>Considerar las áreas prioritarias y los requisitos del equipo.</w:t>
      </w:r>
    </w:p>
    <w:p w14:paraId="4619FDC4" w14:textId="77777777" w:rsidR="003B1CDE" w:rsidRDefault="003B1CDE" w:rsidP="003B1CDE">
      <w:pPr>
        <w:pStyle w:val="TextoPrincipal"/>
        <w:spacing w:line="360" w:lineRule="auto"/>
      </w:pPr>
    </w:p>
    <w:p w14:paraId="6E291560" w14:textId="14BFADBF" w:rsidR="003B1CDE" w:rsidRPr="007E7A08" w:rsidRDefault="003B1CDE" w:rsidP="003B1CDE">
      <w:pPr>
        <w:pStyle w:val="TextoPrincipal"/>
        <w:spacing w:line="360" w:lineRule="auto"/>
        <w:rPr>
          <w:b/>
        </w:rPr>
      </w:pPr>
      <w:r w:rsidRPr="007E7A08">
        <w:rPr>
          <w:b/>
        </w:rPr>
        <w:t>3.2 Desarrollo Interno o Adquisición:</w:t>
      </w:r>
    </w:p>
    <w:p w14:paraId="39260786" w14:textId="1C3DD700" w:rsidR="003B1CDE" w:rsidRDefault="003B1CDE" w:rsidP="007E7E61">
      <w:pPr>
        <w:pStyle w:val="TextoPrincipal"/>
        <w:numPr>
          <w:ilvl w:val="0"/>
          <w:numId w:val="12"/>
        </w:numPr>
        <w:spacing w:line="360" w:lineRule="auto"/>
      </w:pPr>
      <w:r>
        <w:t>Evaluar la viabilidad de desarrollar internamente las herramientas necesarias.</w:t>
      </w:r>
    </w:p>
    <w:p w14:paraId="05466B6C" w14:textId="1F161E2A" w:rsidR="003B1CDE" w:rsidRDefault="003B1CDE" w:rsidP="007E7E61">
      <w:pPr>
        <w:pStyle w:val="TextoPrincipal"/>
        <w:numPr>
          <w:ilvl w:val="0"/>
          <w:numId w:val="12"/>
        </w:numPr>
        <w:spacing w:line="360" w:lineRule="auto"/>
      </w:pPr>
      <w:r>
        <w:t>Explorar opciones externas y evaluar proveedores de herramientas tecnológicas especializadas.</w:t>
      </w:r>
    </w:p>
    <w:p w14:paraId="7993C335" w14:textId="14E273BC" w:rsidR="003B1CDE" w:rsidRPr="007E7A08" w:rsidRDefault="003B1CDE" w:rsidP="003B1CDE">
      <w:pPr>
        <w:pStyle w:val="TextoPrincipal"/>
        <w:spacing w:line="360" w:lineRule="auto"/>
        <w:rPr>
          <w:b/>
        </w:rPr>
      </w:pPr>
      <w:r w:rsidRPr="007E7A08">
        <w:rPr>
          <w:b/>
        </w:rPr>
        <w:t>3.3 Personalización de Herramientas:</w:t>
      </w:r>
    </w:p>
    <w:p w14:paraId="34B4C932" w14:textId="11788A19" w:rsidR="003B1CDE" w:rsidRDefault="003B1CDE" w:rsidP="007E7E61">
      <w:pPr>
        <w:pStyle w:val="TextoPrincipal"/>
        <w:numPr>
          <w:ilvl w:val="0"/>
          <w:numId w:val="12"/>
        </w:numPr>
        <w:spacing w:line="360" w:lineRule="auto"/>
      </w:pPr>
      <w:r>
        <w:t>Personalizar las herramientas tecnológicas seleccionadas según las necesidades específicas de la institución financiera.</w:t>
      </w:r>
    </w:p>
    <w:p w14:paraId="49087354" w14:textId="329C7EE9" w:rsidR="003B1CDE" w:rsidRPr="007E7A08" w:rsidRDefault="003B1CDE" w:rsidP="007E7E61">
      <w:pPr>
        <w:pStyle w:val="TextoPrincipal"/>
        <w:numPr>
          <w:ilvl w:val="0"/>
          <w:numId w:val="12"/>
        </w:numPr>
        <w:spacing w:line="360" w:lineRule="auto"/>
        <w:rPr>
          <w:b/>
        </w:rPr>
      </w:pPr>
      <w:r>
        <w:t>Asegurar la integración adecuada con los sistemas existentes.</w:t>
      </w:r>
    </w:p>
    <w:p w14:paraId="643D2811" w14:textId="3BC714D5" w:rsidR="003B1CDE" w:rsidRPr="007E7A08" w:rsidRDefault="003B1CDE" w:rsidP="003B1CDE">
      <w:pPr>
        <w:pStyle w:val="TextoPrincipal"/>
        <w:spacing w:line="360" w:lineRule="auto"/>
        <w:rPr>
          <w:b/>
        </w:rPr>
      </w:pPr>
      <w:r w:rsidRPr="007E7A08">
        <w:rPr>
          <w:b/>
        </w:rPr>
        <w:t>3.4 Pruebas y Validación:</w:t>
      </w:r>
    </w:p>
    <w:p w14:paraId="19370A1E" w14:textId="035771F7" w:rsidR="003B1CDE" w:rsidRDefault="003B1CDE" w:rsidP="007E7E61">
      <w:pPr>
        <w:pStyle w:val="TextoPrincipal"/>
        <w:numPr>
          <w:ilvl w:val="0"/>
          <w:numId w:val="12"/>
        </w:numPr>
        <w:spacing w:line="360" w:lineRule="auto"/>
      </w:pPr>
      <w:r>
        <w:t>Realizar pruebas exhaustivas de las herramientas desarrolladas o adquiridas.</w:t>
      </w:r>
    </w:p>
    <w:p w14:paraId="61CF7F03" w14:textId="4AE0D5AD" w:rsidR="003B1CDE" w:rsidRDefault="003B1CDE" w:rsidP="007E7E61">
      <w:pPr>
        <w:pStyle w:val="TextoPrincipal"/>
        <w:numPr>
          <w:ilvl w:val="0"/>
          <w:numId w:val="12"/>
        </w:numPr>
        <w:spacing w:line="360" w:lineRule="auto"/>
      </w:pPr>
      <w:r>
        <w:t>Validar su eficacia y capacidad para abordar los desafíos identificados en la gestión de costos.</w:t>
      </w:r>
    </w:p>
    <w:p w14:paraId="70487DB7" w14:textId="2EDFB775" w:rsidR="003B1CDE" w:rsidRPr="007E7A08" w:rsidRDefault="003B1CDE" w:rsidP="003B1CDE">
      <w:pPr>
        <w:pStyle w:val="TextoPrincipal"/>
        <w:spacing w:line="360" w:lineRule="auto"/>
        <w:rPr>
          <w:b/>
        </w:rPr>
      </w:pPr>
      <w:r w:rsidRPr="007E7A08">
        <w:rPr>
          <w:b/>
        </w:rPr>
        <w:t>3.5 Implementación Gradual:</w:t>
      </w:r>
    </w:p>
    <w:p w14:paraId="280BB757" w14:textId="4FF4E3AB" w:rsidR="003B1CDE" w:rsidRDefault="003B1CDE" w:rsidP="007E7E61">
      <w:pPr>
        <w:pStyle w:val="TextoPrincipal"/>
        <w:numPr>
          <w:ilvl w:val="0"/>
          <w:numId w:val="12"/>
        </w:numPr>
        <w:spacing w:line="360" w:lineRule="auto"/>
      </w:pPr>
      <w:r>
        <w:t>Implementar las herramientas y sistemas de manera gradual, comenzando por áreas prioritarias.</w:t>
      </w:r>
    </w:p>
    <w:p w14:paraId="6712C04C" w14:textId="7FEC8CDB" w:rsidR="003B1CDE" w:rsidRDefault="003B1CDE" w:rsidP="007E7E61">
      <w:pPr>
        <w:pStyle w:val="TextoPrincipal"/>
        <w:numPr>
          <w:ilvl w:val="0"/>
          <w:numId w:val="12"/>
        </w:numPr>
        <w:spacing w:line="360" w:lineRule="auto"/>
      </w:pPr>
      <w:r>
        <w:t>Proporcionar capacitación al personal sobre el uso efectivo de las nuevas herramientas.</w:t>
      </w:r>
    </w:p>
    <w:p w14:paraId="556811AE" w14:textId="1A54091F" w:rsidR="003B1CDE" w:rsidRPr="007E7A08" w:rsidRDefault="003B1CDE" w:rsidP="003B1CDE">
      <w:pPr>
        <w:pStyle w:val="TextoPrincipal"/>
        <w:spacing w:line="360" w:lineRule="auto"/>
        <w:rPr>
          <w:b/>
        </w:rPr>
      </w:pPr>
      <w:r w:rsidRPr="007E7A08">
        <w:rPr>
          <w:b/>
        </w:rPr>
        <w:t>3.6 Monitoreo Continuo:</w:t>
      </w:r>
    </w:p>
    <w:p w14:paraId="147B1389" w14:textId="21D19CA0" w:rsidR="003B1CDE" w:rsidRDefault="003B1CDE" w:rsidP="007E7E61">
      <w:pPr>
        <w:pStyle w:val="TextoPrincipal"/>
        <w:numPr>
          <w:ilvl w:val="0"/>
          <w:numId w:val="12"/>
        </w:numPr>
        <w:spacing w:line="360" w:lineRule="auto"/>
      </w:pPr>
      <w:r>
        <w:t>Establecer un sistema de monitoreo continuo para evaluar la eficiencia y la efectividad de las herramientas implementadas.</w:t>
      </w:r>
    </w:p>
    <w:p w14:paraId="037C9D99" w14:textId="3EC79E6C" w:rsidR="003B1CDE" w:rsidRDefault="003B1CDE" w:rsidP="007E7E61">
      <w:pPr>
        <w:pStyle w:val="TextoPrincipal"/>
        <w:numPr>
          <w:ilvl w:val="0"/>
          <w:numId w:val="12"/>
        </w:numPr>
        <w:spacing w:line="360" w:lineRule="auto"/>
      </w:pPr>
      <w:r>
        <w:t>Identificar oportunidades de mejora y realizar ajustes según sea necesario.</w:t>
      </w:r>
    </w:p>
    <w:p w14:paraId="5EB6A436" w14:textId="3CDD064F" w:rsidR="003B1CDE" w:rsidRDefault="003B1CDE" w:rsidP="003B1CDE">
      <w:pPr>
        <w:pStyle w:val="TextoPrincipal"/>
        <w:spacing w:line="360" w:lineRule="auto"/>
      </w:pPr>
      <w:r w:rsidRPr="007E7A08">
        <w:rPr>
          <w:b/>
        </w:rPr>
        <w:t>3.7 Integración con Sistemas de Seguimiento:</w:t>
      </w:r>
    </w:p>
    <w:p w14:paraId="1FC69D36" w14:textId="4D2ACD2F" w:rsidR="003B1CDE" w:rsidRPr="007E7A08" w:rsidRDefault="003B1CDE" w:rsidP="007E7E61">
      <w:pPr>
        <w:pStyle w:val="TextoPrincipal"/>
        <w:numPr>
          <w:ilvl w:val="0"/>
          <w:numId w:val="12"/>
        </w:numPr>
        <w:spacing w:line="360" w:lineRule="auto"/>
      </w:pPr>
      <w:r w:rsidRPr="007E7A08">
        <w:t>Desarrollar sistemas de seguimiento para evaluar el rendimiento en tiempo real.</w:t>
      </w:r>
    </w:p>
    <w:p w14:paraId="41B6D614" w14:textId="11D7C904" w:rsidR="003B1CDE" w:rsidRDefault="003B1CDE" w:rsidP="007E7E61">
      <w:pPr>
        <w:pStyle w:val="TextoPrincipal"/>
        <w:numPr>
          <w:ilvl w:val="0"/>
          <w:numId w:val="12"/>
        </w:numPr>
        <w:spacing w:line="360" w:lineRule="auto"/>
      </w:pPr>
      <w:r w:rsidRPr="007E7A08">
        <w:t>Integrar datos de costos administrativos para obtener información actualizada.</w:t>
      </w:r>
    </w:p>
    <w:p w14:paraId="1E3F8F2A" w14:textId="0E0F8884" w:rsidR="003B1CDE" w:rsidRDefault="003B1CDE" w:rsidP="003B1CDE">
      <w:pPr>
        <w:pStyle w:val="TextoPrincipal"/>
        <w:spacing w:line="360" w:lineRule="auto"/>
      </w:pPr>
      <w:r w:rsidRPr="007E7A08">
        <w:rPr>
          <w:b/>
        </w:rPr>
        <w:lastRenderedPageBreak/>
        <w:t>3.8 Capacitación del Personal:</w:t>
      </w:r>
    </w:p>
    <w:p w14:paraId="07640631" w14:textId="491B9731" w:rsidR="003B1CDE" w:rsidRDefault="003B1CDE" w:rsidP="007E7E61">
      <w:pPr>
        <w:pStyle w:val="TextoPrincipal"/>
        <w:numPr>
          <w:ilvl w:val="0"/>
          <w:numId w:val="12"/>
        </w:numPr>
        <w:spacing w:line="360" w:lineRule="auto"/>
      </w:pPr>
      <w:r>
        <w:t>Proporcionar capacitación adicional al personal para garantizar la correcta utilización de las nuevas herramientas y sistemas.</w:t>
      </w:r>
    </w:p>
    <w:p w14:paraId="0D2011A3" w14:textId="5F391D7F" w:rsidR="003B1CDE" w:rsidRDefault="003B1CDE" w:rsidP="007E7E61">
      <w:pPr>
        <w:pStyle w:val="TextoPrincipal"/>
        <w:numPr>
          <w:ilvl w:val="0"/>
          <w:numId w:val="12"/>
        </w:numPr>
        <w:spacing w:line="360" w:lineRule="auto"/>
      </w:pPr>
      <w:r>
        <w:t>Fomentar una cultura de adaptabilidad y eficiencia.</w:t>
      </w:r>
    </w:p>
    <w:p w14:paraId="22515BA1" w14:textId="59F1AD1E" w:rsidR="003B1CDE" w:rsidRDefault="003B1CDE" w:rsidP="003B1CDE">
      <w:pPr>
        <w:pStyle w:val="TextoPrincipal"/>
        <w:spacing w:line="360" w:lineRule="auto"/>
      </w:pPr>
      <w:r w:rsidRPr="007E7A08">
        <w:rPr>
          <w:b/>
        </w:rPr>
        <w:t xml:space="preserve">3.9 Evaluación </w:t>
      </w:r>
      <w:proofErr w:type="spellStart"/>
      <w:r w:rsidRPr="007E7A08">
        <w:rPr>
          <w:b/>
        </w:rPr>
        <w:t>Post-implementación</w:t>
      </w:r>
      <w:proofErr w:type="spellEnd"/>
      <w:r w:rsidRPr="007E7A08">
        <w:rPr>
          <w:b/>
        </w:rPr>
        <w:t>:</w:t>
      </w:r>
    </w:p>
    <w:p w14:paraId="2634F8EB" w14:textId="4FD80941" w:rsidR="003B1CDE" w:rsidRDefault="003B1CDE" w:rsidP="007E7E61">
      <w:pPr>
        <w:pStyle w:val="TextoPrincipal"/>
        <w:numPr>
          <w:ilvl w:val="0"/>
          <w:numId w:val="12"/>
        </w:numPr>
        <w:spacing w:line="360" w:lineRule="auto"/>
      </w:pPr>
      <w:r>
        <w:t>Realizar una evaluación exhaustiva después de la implementación para medir el impacto de las nuevas herramientas y sistemas.</w:t>
      </w:r>
    </w:p>
    <w:p w14:paraId="40CB4DC6" w14:textId="11702D15" w:rsidR="003B1CDE" w:rsidRDefault="003B1CDE" w:rsidP="007E7E61">
      <w:pPr>
        <w:pStyle w:val="TextoPrincipal"/>
        <w:numPr>
          <w:ilvl w:val="0"/>
          <w:numId w:val="12"/>
        </w:numPr>
        <w:spacing w:line="360" w:lineRule="auto"/>
      </w:pPr>
      <w:r>
        <w:t>Identificar lecciones aprendidas y áreas de mejora continua.</w:t>
      </w:r>
    </w:p>
    <w:p w14:paraId="496D7D48" w14:textId="52736DD6" w:rsidR="00C660AB" w:rsidRDefault="003B1CDE" w:rsidP="003B1CDE">
      <w:pPr>
        <w:pStyle w:val="TextoPrincipal"/>
        <w:spacing w:line="360" w:lineRule="auto"/>
      </w:pPr>
      <w:r>
        <w:t>Este proceso busca asegurar que las herramientas tecnológicas y sistemas implementados sean efectivos y contribuyan de manera significativa a la gestión eficiente de costos administrativos en instituciones financieras.</w:t>
      </w:r>
    </w:p>
    <w:p w14:paraId="344F8368" w14:textId="77777777" w:rsidR="00C660AB" w:rsidRDefault="00C660AB" w:rsidP="006075C1">
      <w:pPr>
        <w:pStyle w:val="TextoPrincipal"/>
        <w:spacing w:line="360" w:lineRule="auto"/>
      </w:pPr>
    </w:p>
    <w:p w14:paraId="2BB3E600" w14:textId="77777777" w:rsidR="00C660AB" w:rsidRDefault="00C660AB" w:rsidP="006075C1">
      <w:pPr>
        <w:pStyle w:val="TextoPrincipal"/>
        <w:spacing w:line="360" w:lineRule="auto"/>
      </w:pPr>
    </w:p>
    <w:p w14:paraId="120D156D" w14:textId="77777777" w:rsidR="00C660AB" w:rsidRDefault="00C660AB" w:rsidP="006075C1">
      <w:pPr>
        <w:pStyle w:val="TextoPrincipal"/>
        <w:spacing w:line="360" w:lineRule="auto"/>
      </w:pPr>
    </w:p>
    <w:p w14:paraId="46BDA9C9" w14:textId="77777777" w:rsidR="00C660AB" w:rsidRDefault="00C660AB" w:rsidP="006075C1">
      <w:pPr>
        <w:pStyle w:val="TextoPrincipal"/>
        <w:spacing w:line="360" w:lineRule="auto"/>
      </w:pPr>
    </w:p>
    <w:p w14:paraId="02CFAC85" w14:textId="77777777" w:rsidR="00C660AB" w:rsidRDefault="00C660AB" w:rsidP="006075C1">
      <w:pPr>
        <w:pStyle w:val="TextoPrincipal"/>
        <w:spacing w:line="360" w:lineRule="auto"/>
      </w:pPr>
    </w:p>
    <w:p w14:paraId="289F8A4D" w14:textId="77777777" w:rsidR="00C660AB" w:rsidRDefault="00C660AB" w:rsidP="006075C1">
      <w:pPr>
        <w:pStyle w:val="TextoPrincipal"/>
        <w:spacing w:line="360" w:lineRule="auto"/>
      </w:pPr>
    </w:p>
    <w:p w14:paraId="34CB5AA7" w14:textId="77777777" w:rsidR="00C660AB" w:rsidRDefault="00C660AB" w:rsidP="006075C1">
      <w:pPr>
        <w:pStyle w:val="TextoPrincipal"/>
        <w:spacing w:line="360" w:lineRule="auto"/>
      </w:pPr>
    </w:p>
    <w:p w14:paraId="4E394532" w14:textId="77777777" w:rsidR="00C660AB" w:rsidRDefault="00C660AB" w:rsidP="006075C1">
      <w:pPr>
        <w:pStyle w:val="TextoPrincipal"/>
        <w:spacing w:line="360" w:lineRule="auto"/>
      </w:pPr>
    </w:p>
    <w:p w14:paraId="26F87F8D" w14:textId="77777777" w:rsidR="00C660AB" w:rsidRDefault="00C660AB" w:rsidP="006075C1">
      <w:pPr>
        <w:pStyle w:val="TextoPrincipal"/>
        <w:spacing w:line="360" w:lineRule="auto"/>
      </w:pPr>
    </w:p>
    <w:p w14:paraId="0A231F4C" w14:textId="77777777" w:rsidR="00C660AB" w:rsidRDefault="00C660AB" w:rsidP="006075C1">
      <w:pPr>
        <w:pStyle w:val="TextoPrincipal"/>
        <w:spacing w:line="360" w:lineRule="auto"/>
      </w:pPr>
    </w:p>
    <w:p w14:paraId="765DF40E" w14:textId="77777777" w:rsidR="00C660AB" w:rsidRDefault="00C660AB" w:rsidP="006075C1">
      <w:pPr>
        <w:pStyle w:val="TextoPrincipal"/>
        <w:spacing w:line="360" w:lineRule="auto"/>
      </w:pPr>
    </w:p>
    <w:p w14:paraId="6BFED2C0" w14:textId="77777777" w:rsidR="00875F00" w:rsidRDefault="00875F00" w:rsidP="006075C1">
      <w:pPr>
        <w:pStyle w:val="TextoPrincipal"/>
        <w:spacing w:line="360" w:lineRule="auto"/>
      </w:pPr>
    </w:p>
    <w:p w14:paraId="4DFD7503" w14:textId="77777777" w:rsidR="00875F00" w:rsidRDefault="00875F00" w:rsidP="006075C1">
      <w:pPr>
        <w:pStyle w:val="TextoPrincipal"/>
        <w:spacing w:line="360" w:lineRule="auto"/>
      </w:pPr>
    </w:p>
    <w:p w14:paraId="1B6E750E" w14:textId="77777777" w:rsidR="00875F00" w:rsidRDefault="00875F00" w:rsidP="006075C1">
      <w:pPr>
        <w:pStyle w:val="TextoPrincipal"/>
        <w:spacing w:line="360" w:lineRule="auto"/>
      </w:pPr>
    </w:p>
    <w:p w14:paraId="17579051" w14:textId="6578FA03" w:rsidR="00875F00" w:rsidRPr="007E7A08" w:rsidRDefault="007E7A08" w:rsidP="006075C1">
      <w:pPr>
        <w:pStyle w:val="TextoPrincipal"/>
        <w:spacing w:line="360" w:lineRule="auto"/>
        <w:rPr>
          <w:b/>
        </w:rPr>
      </w:pPr>
      <w:r w:rsidRPr="007E7A08">
        <w:rPr>
          <w:b/>
        </w:rPr>
        <w:lastRenderedPageBreak/>
        <w:t>Fase 3: Implementación y Capacitación</w:t>
      </w:r>
    </w:p>
    <w:p w14:paraId="08E3D0E6" w14:textId="2E9CD5EA" w:rsidR="007E7A08" w:rsidRDefault="007E7A08" w:rsidP="007E7A08">
      <w:pPr>
        <w:pStyle w:val="TextoPrincipal"/>
        <w:spacing w:line="360" w:lineRule="auto"/>
      </w:pPr>
      <w:r>
        <w:t>En este segmento del manual, nos adentraremos en el arte de la implementación efectiva, donde las estrategias elaboradas y las herramientas seleccionadas tomarán vida en la operación diaria, mientras la capacitación del personal se erige como el pilar que sustenta la transformación organizacional.</w:t>
      </w:r>
    </w:p>
    <w:p w14:paraId="57B8EB4D" w14:textId="51C743A4" w:rsidR="007E7A08" w:rsidRDefault="007E7A08" w:rsidP="007E7A08">
      <w:pPr>
        <w:pStyle w:val="TextoPrincipal"/>
        <w:spacing w:line="360" w:lineRule="auto"/>
      </w:pPr>
      <w:r>
        <w:t>Este capítulo trasciende la teoría para sumergirse en la práctica, delineando cuidadosamente cómo llevar a cabo la implementación de las soluciones ideadas en las fases anteriores. Además, enfocaremos nuestra atención en la capacitación del equipo, reconociendo que el conocimiento y la habilidad del personal son factores esenciales para la ejecución efectiva de cualquier estrategia de gestión de costos.</w:t>
      </w:r>
    </w:p>
    <w:p w14:paraId="3B08FDCE" w14:textId="17617417" w:rsidR="00875F00" w:rsidRDefault="007E7A08" w:rsidP="007E7A08">
      <w:pPr>
        <w:pStyle w:val="TextoPrincipal"/>
        <w:spacing w:line="360" w:lineRule="auto"/>
      </w:pPr>
      <w:r>
        <w:t>A través de una estructura rigurosa y una atención meticulosa a los detalles, este capítulo tiene como objetivo proporcionar una guía detallada para los profesionales del sector financiero que buscan llevar a cabo una implementación exitosa y una capacitación efectiva. Nos embarcamos en la fase operativa de este viaje, donde cada paso conduce a la consolidación de prácticas financieras más ágiles, sostenibles y adaptativas en el universo de las instituciones financieras.</w:t>
      </w:r>
    </w:p>
    <w:p w14:paraId="327921FB" w14:textId="09491807" w:rsidR="002E2BAB" w:rsidRPr="008F55C1" w:rsidRDefault="002E2BAB" w:rsidP="007E7E61">
      <w:pPr>
        <w:pStyle w:val="TextoPrincipal"/>
        <w:numPr>
          <w:ilvl w:val="0"/>
          <w:numId w:val="38"/>
        </w:numPr>
        <w:spacing w:line="360" w:lineRule="auto"/>
      </w:pPr>
      <w:r w:rsidRPr="008F55C1">
        <w:rPr>
          <w:b/>
          <w:bCs/>
        </w:rPr>
        <w:t xml:space="preserve">Proceso de </w:t>
      </w:r>
      <w:r w:rsidRPr="002E2BAB">
        <w:rPr>
          <w:b/>
          <w:bCs/>
        </w:rPr>
        <w:t>Implementación Gradual en Departamentos Piloto</w:t>
      </w:r>
    </w:p>
    <w:p w14:paraId="6C195AFF" w14:textId="29E3208F" w:rsidR="002E2BAB" w:rsidRDefault="002E2BAB" w:rsidP="002E2BAB">
      <w:pPr>
        <w:pStyle w:val="TextoPrincipal"/>
        <w:spacing w:line="360" w:lineRule="auto"/>
        <w:ind w:left="720" w:firstLine="0"/>
      </w:pPr>
      <w:r w:rsidRPr="008F55C1">
        <w:rPr>
          <w:b/>
          <w:bCs/>
        </w:rPr>
        <w:t>Duración:</w:t>
      </w:r>
      <w:r>
        <w:t xml:space="preserve"> </w:t>
      </w:r>
      <w:r w:rsidR="00FB78F0">
        <w:t>Mes 1-2</w:t>
      </w:r>
    </w:p>
    <w:p w14:paraId="23C4C70C" w14:textId="77777777" w:rsidR="002E2BAB" w:rsidRDefault="002E2BAB" w:rsidP="002E2BAB">
      <w:pPr>
        <w:pStyle w:val="TextoPrincipal"/>
        <w:spacing w:line="360" w:lineRule="auto"/>
      </w:pPr>
      <w:r w:rsidRPr="00514810">
        <w:rPr>
          <w:b/>
          <w:bCs/>
        </w:rPr>
        <w:t>Objetivo General:</w:t>
      </w:r>
    </w:p>
    <w:p w14:paraId="00760E34" w14:textId="0964C673" w:rsidR="002E2BAB" w:rsidRDefault="002E2BAB" w:rsidP="00FB78F0">
      <w:pPr>
        <w:pStyle w:val="TextoPrincipal"/>
        <w:spacing w:line="360" w:lineRule="auto"/>
      </w:pPr>
      <w:r>
        <w:t>Iniciar la implementación gradual de las estrategias y herramientas de gestión de costos administrativos en departamentos piloto específicos, permitiendo un monitoreo detallado de los resultados iniciales.</w:t>
      </w:r>
    </w:p>
    <w:p w14:paraId="7402836A" w14:textId="1280BD92" w:rsidR="002E2BAB" w:rsidRPr="001473B1" w:rsidRDefault="002E2BAB" w:rsidP="001473B1">
      <w:pPr>
        <w:pStyle w:val="TextoPrincipal"/>
        <w:spacing w:line="360" w:lineRule="auto"/>
        <w:rPr>
          <w:b/>
        </w:rPr>
      </w:pPr>
      <w:r w:rsidRPr="00FB78F0">
        <w:rPr>
          <w:b/>
        </w:rPr>
        <w:t>Pasos</w:t>
      </w:r>
      <w:r w:rsidR="00FB78F0" w:rsidRPr="00FB78F0">
        <w:rPr>
          <w:b/>
        </w:rPr>
        <w:t xml:space="preserve"> del Proceso</w:t>
      </w:r>
      <w:r w:rsidRPr="00FB78F0">
        <w:rPr>
          <w:b/>
        </w:rPr>
        <w:t>:</w:t>
      </w:r>
    </w:p>
    <w:p w14:paraId="1F785F0A" w14:textId="21930122" w:rsidR="002E2BAB" w:rsidRPr="001473B1" w:rsidRDefault="002E2BAB" w:rsidP="002E2BAB">
      <w:pPr>
        <w:pStyle w:val="TextoPrincipal"/>
        <w:spacing w:line="360" w:lineRule="auto"/>
        <w:rPr>
          <w:b/>
        </w:rPr>
      </w:pPr>
      <w:r w:rsidRPr="001473B1">
        <w:rPr>
          <w:b/>
        </w:rPr>
        <w:t>1.1 Selección de Departamentos Piloto:</w:t>
      </w:r>
    </w:p>
    <w:p w14:paraId="67E2BAE7" w14:textId="41994D76" w:rsidR="002E2BAB" w:rsidRDefault="002E2BAB" w:rsidP="007E7E61">
      <w:pPr>
        <w:pStyle w:val="TextoPrincipal"/>
        <w:numPr>
          <w:ilvl w:val="0"/>
          <w:numId w:val="39"/>
        </w:numPr>
        <w:spacing w:line="360" w:lineRule="auto"/>
      </w:pPr>
      <w:r>
        <w:t>Identificar departamentos específicos para servir como pilotos.</w:t>
      </w:r>
    </w:p>
    <w:p w14:paraId="43C6ADDC" w14:textId="0AF76F0A" w:rsidR="002E2BAB" w:rsidRDefault="002E2BAB" w:rsidP="007E7E61">
      <w:pPr>
        <w:pStyle w:val="TextoPrincipal"/>
        <w:numPr>
          <w:ilvl w:val="0"/>
          <w:numId w:val="39"/>
        </w:numPr>
        <w:spacing w:line="360" w:lineRule="auto"/>
      </w:pPr>
      <w:r>
        <w:t>Seleccionar aquellos que representen una variedad de funciones y que sean cruciales para el funcionamiento general de la institución financiera.</w:t>
      </w:r>
    </w:p>
    <w:p w14:paraId="3808B720" w14:textId="1E4C87E7" w:rsidR="002E2BAB" w:rsidRDefault="002E2BAB" w:rsidP="002E2BAB">
      <w:pPr>
        <w:pStyle w:val="TextoPrincipal"/>
        <w:spacing w:line="360" w:lineRule="auto"/>
      </w:pPr>
      <w:r w:rsidRPr="001473B1">
        <w:rPr>
          <w:b/>
        </w:rPr>
        <w:t>1.2 Planificación Detallada:</w:t>
      </w:r>
    </w:p>
    <w:p w14:paraId="4166258F" w14:textId="5792B3C7" w:rsidR="002E2BAB" w:rsidRDefault="002E2BAB" w:rsidP="007E7E61">
      <w:pPr>
        <w:pStyle w:val="TextoPrincipal"/>
        <w:numPr>
          <w:ilvl w:val="0"/>
          <w:numId w:val="39"/>
        </w:numPr>
        <w:spacing w:line="360" w:lineRule="auto"/>
      </w:pPr>
      <w:r>
        <w:lastRenderedPageBreak/>
        <w:t>Desarrollar un plan detallado para la implementación en cada departamento piloto.</w:t>
      </w:r>
    </w:p>
    <w:p w14:paraId="6B7905DF" w14:textId="23404A25" w:rsidR="002E2BAB" w:rsidRDefault="002E2BAB" w:rsidP="007E7E61">
      <w:pPr>
        <w:pStyle w:val="TextoPrincipal"/>
        <w:numPr>
          <w:ilvl w:val="0"/>
          <w:numId w:val="39"/>
        </w:numPr>
        <w:spacing w:line="360" w:lineRule="auto"/>
      </w:pPr>
      <w:r>
        <w:t>Establecer roles y responsabilidades claros para el personal involucrado.</w:t>
      </w:r>
    </w:p>
    <w:p w14:paraId="1CE323B7" w14:textId="776D5968" w:rsidR="002E2BAB" w:rsidRDefault="002E2BAB" w:rsidP="002E2BAB">
      <w:pPr>
        <w:pStyle w:val="TextoPrincipal"/>
        <w:spacing w:line="360" w:lineRule="auto"/>
      </w:pPr>
      <w:r w:rsidRPr="001473B1">
        <w:rPr>
          <w:b/>
        </w:rPr>
        <w:t>1.3 Comunicación Interna:</w:t>
      </w:r>
    </w:p>
    <w:p w14:paraId="50DDE5F1" w14:textId="71BF8D6D" w:rsidR="002E2BAB" w:rsidRDefault="002E2BAB" w:rsidP="007E7E61">
      <w:pPr>
        <w:pStyle w:val="TextoPrincipal"/>
        <w:numPr>
          <w:ilvl w:val="0"/>
          <w:numId w:val="39"/>
        </w:numPr>
        <w:spacing w:line="360" w:lineRule="auto"/>
      </w:pPr>
      <w:r>
        <w:t>Comunicar claramente los objetivos de la implementación a los equipos seleccionados.</w:t>
      </w:r>
    </w:p>
    <w:p w14:paraId="6C82EE5E" w14:textId="6014EF36" w:rsidR="002E2BAB" w:rsidRDefault="002E2BAB" w:rsidP="007E7E61">
      <w:pPr>
        <w:pStyle w:val="TextoPrincipal"/>
        <w:numPr>
          <w:ilvl w:val="0"/>
          <w:numId w:val="39"/>
        </w:numPr>
        <w:spacing w:line="360" w:lineRule="auto"/>
      </w:pPr>
      <w:r>
        <w:t>Fomentar la colaboración y el compromiso del personal en los departamentos piloto.</w:t>
      </w:r>
    </w:p>
    <w:p w14:paraId="75FF7F03" w14:textId="0F3F1B20" w:rsidR="002E2BAB" w:rsidRDefault="002E2BAB" w:rsidP="002E2BAB">
      <w:pPr>
        <w:pStyle w:val="TextoPrincipal"/>
        <w:spacing w:line="360" w:lineRule="auto"/>
      </w:pPr>
      <w:r w:rsidRPr="001473B1">
        <w:rPr>
          <w:b/>
        </w:rPr>
        <w:t>1.4 Entrenamiento del Personal:</w:t>
      </w:r>
    </w:p>
    <w:p w14:paraId="65B88176" w14:textId="315B9AA6" w:rsidR="002E2BAB" w:rsidRDefault="002E2BAB" w:rsidP="007E7E61">
      <w:pPr>
        <w:pStyle w:val="TextoPrincipal"/>
        <w:numPr>
          <w:ilvl w:val="0"/>
          <w:numId w:val="39"/>
        </w:numPr>
        <w:spacing w:line="360" w:lineRule="auto"/>
      </w:pPr>
      <w:r>
        <w:t>Proporcionar capacitación específica sobre las estrategias y herramientas a implementar.</w:t>
      </w:r>
    </w:p>
    <w:p w14:paraId="5338CF07" w14:textId="134FCA5B" w:rsidR="002E2BAB" w:rsidRDefault="002E2BAB" w:rsidP="007E7E61">
      <w:pPr>
        <w:pStyle w:val="TextoPrincipal"/>
        <w:numPr>
          <w:ilvl w:val="0"/>
          <w:numId w:val="39"/>
        </w:numPr>
        <w:spacing w:line="360" w:lineRule="auto"/>
      </w:pPr>
      <w:r>
        <w:t>Asegurarse de que el personal comprenda la importancia de la gestión de costos administrativos y esté familiarizado con las nuevas prácticas.</w:t>
      </w:r>
    </w:p>
    <w:p w14:paraId="456B1496" w14:textId="240D7676" w:rsidR="002E2BAB" w:rsidRDefault="002E2BAB" w:rsidP="002E2BAB">
      <w:pPr>
        <w:pStyle w:val="TextoPrincipal"/>
        <w:spacing w:line="360" w:lineRule="auto"/>
      </w:pPr>
      <w:r w:rsidRPr="001473B1">
        <w:rPr>
          <w:b/>
        </w:rPr>
        <w:t>1.5 Implementación Gradual:</w:t>
      </w:r>
    </w:p>
    <w:p w14:paraId="38019E8D" w14:textId="11A0A8FA" w:rsidR="002E2BAB" w:rsidRDefault="002E2BAB" w:rsidP="007E7E61">
      <w:pPr>
        <w:pStyle w:val="TextoPrincipal"/>
        <w:numPr>
          <w:ilvl w:val="0"/>
          <w:numId w:val="39"/>
        </w:numPr>
        <w:spacing w:line="360" w:lineRule="auto"/>
      </w:pPr>
      <w:r>
        <w:t>Iniciar la implementación de las estrategias y herramientas de manera gradual en los departamentos seleccionados.</w:t>
      </w:r>
    </w:p>
    <w:p w14:paraId="0DCB3D8A" w14:textId="311DF868" w:rsidR="002E2BAB" w:rsidRDefault="002E2BAB" w:rsidP="007E7E61">
      <w:pPr>
        <w:pStyle w:val="TextoPrincipal"/>
        <w:numPr>
          <w:ilvl w:val="0"/>
          <w:numId w:val="39"/>
        </w:numPr>
        <w:spacing w:line="360" w:lineRule="auto"/>
      </w:pPr>
      <w:r>
        <w:t>Supervisar el proceso para garantizar una transición sin contratiempos.</w:t>
      </w:r>
    </w:p>
    <w:p w14:paraId="49049E17" w14:textId="6560E50A" w:rsidR="002E2BAB" w:rsidRDefault="002E2BAB" w:rsidP="002E2BAB">
      <w:pPr>
        <w:pStyle w:val="TextoPrincipal"/>
        <w:spacing w:line="360" w:lineRule="auto"/>
      </w:pPr>
      <w:r w:rsidRPr="001473B1">
        <w:rPr>
          <w:b/>
        </w:rPr>
        <w:t>1.6 Monitoreo Continuo:</w:t>
      </w:r>
    </w:p>
    <w:p w14:paraId="5131B2B8" w14:textId="564F9661" w:rsidR="002E2BAB" w:rsidRDefault="002E2BAB" w:rsidP="007E7E61">
      <w:pPr>
        <w:pStyle w:val="TextoPrincipal"/>
        <w:numPr>
          <w:ilvl w:val="0"/>
          <w:numId w:val="39"/>
        </w:numPr>
        <w:spacing w:line="360" w:lineRule="auto"/>
      </w:pPr>
      <w:r>
        <w:t>Establecer un sistema de monitoreo continuo para evaluar los resultados iniciales.</w:t>
      </w:r>
    </w:p>
    <w:p w14:paraId="37A3455E" w14:textId="63B32F6D" w:rsidR="002E2BAB" w:rsidRDefault="002E2BAB" w:rsidP="007E7E61">
      <w:pPr>
        <w:pStyle w:val="TextoPrincipal"/>
        <w:numPr>
          <w:ilvl w:val="0"/>
          <w:numId w:val="39"/>
        </w:numPr>
        <w:spacing w:line="360" w:lineRule="auto"/>
      </w:pPr>
      <w:r>
        <w:t>Recoger datos sobre la eficiencia operativa, reducción de costos y cualquier desafío identificado.</w:t>
      </w:r>
    </w:p>
    <w:p w14:paraId="0DA8F800" w14:textId="703A979A" w:rsidR="002E2BAB" w:rsidRDefault="002E2BAB" w:rsidP="002E2BAB">
      <w:pPr>
        <w:pStyle w:val="TextoPrincipal"/>
        <w:spacing w:line="360" w:lineRule="auto"/>
      </w:pPr>
      <w:r w:rsidRPr="001473B1">
        <w:rPr>
          <w:b/>
        </w:rPr>
        <w:t>1.7 Evaluación Intermedia:</w:t>
      </w:r>
    </w:p>
    <w:p w14:paraId="263ECB1A" w14:textId="150D4C33" w:rsidR="002E2BAB" w:rsidRDefault="002E2BAB" w:rsidP="007E7E61">
      <w:pPr>
        <w:pStyle w:val="TextoPrincipal"/>
        <w:numPr>
          <w:ilvl w:val="0"/>
          <w:numId w:val="39"/>
        </w:numPr>
        <w:spacing w:line="360" w:lineRule="auto"/>
      </w:pPr>
      <w:r>
        <w:t>Realizar una evaluación intermedia de los resultados obtenidos en los departamentos piloto.</w:t>
      </w:r>
    </w:p>
    <w:p w14:paraId="44015036" w14:textId="30FB7F5A" w:rsidR="002E2BAB" w:rsidRDefault="002E2BAB" w:rsidP="007E7E61">
      <w:pPr>
        <w:pStyle w:val="TextoPrincipal"/>
        <w:numPr>
          <w:ilvl w:val="0"/>
          <w:numId w:val="39"/>
        </w:numPr>
        <w:spacing w:line="360" w:lineRule="auto"/>
      </w:pPr>
      <w:r>
        <w:t>Identificar lecciones aprendidas y áreas de mejora.</w:t>
      </w:r>
    </w:p>
    <w:p w14:paraId="016EF3F9" w14:textId="6FBB8E39" w:rsidR="002E2BAB" w:rsidRDefault="002E2BAB" w:rsidP="002E2BAB">
      <w:pPr>
        <w:pStyle w:val="TextoPrincipal"/>
        <w:spacing w:line="360" w:lineRule="auto"/>
      </w:pPr>
      <w:r w:rsidRPr="001473B1">
        <w:rPr>
          <w:b/>
        </w:rPr>
        <w:t>1.8 Ajustes y Mejoras:</w:t>
      </w:r>
    </w:p>
    <w:p w14:paraId="18924E75" w14:textId="7CB3DD7B" w:rsidR="002E2BAB" w:rsidRDefault="002E2BAB" w:rsidP="007E7E61">
      <w:pPr>
        <w:pStyle w:val="TextoPrincipal"/>
        <w:numPr>
          <w:ilvl w:val="0"/>
          <w:numId w:val="39"/>
        </w:numPr>
        <w:spacing w:line="360" w:lineRule="auto"/>
      </w:pPr>
      <w:r>
        <w:t>Realizar ajustes en las estrategias y herramientas según sea necesario.</w:t>
      </w:r>
    </w:p>
    <w:p w14:paraId="744251E3" w14:textId="21448654" w:rsidR="002E2BAB" w:rsidRDefault="002E2BAB" w:rsidP="007E7E61">
      <w:pPr>
        <w:pStyle w:val="TextoPrincipal"/>
        <w:numPr>
          <w:ilvl w:val="0"/>
          <w:numId w:val="39"/>
        </w:numPr>
        <w:spacing w:line="360" w:lineRule="auto"/>
      </w:pPr>
      <w:r>
        <w:t>Implementar mejoras basadas en la retroalimentación y resultados obtenidos.</w:t>
      </w:r>
    </w:p>
    <w:p w14:paraId="2F4C5FE9" w14:textId="5B407E05" w:rsidR="002E2BAB" w:rsidRDefault="002E2BAB" w:rsidP="002E2BAB">
      <w:pPr>
        <w:pStyle w:val="TextoPrincipal"/>
        <w:spacing w:line="360" w:lineRule="auto"/>
      </w:pPr>
      <w:r w:rsidRPr="001473B1">
        <w:rPr>
          <w:b/>
        </w:rPr>
        <w:lastRenderedPageBreak/>
        <w:t>1.9 Informe Preliminar:</w:t>
      </w:r>
    </w:p>
    <w:p w14:paraId="20083D98" w14:textId="53D2EB26" w:rsidR="002E2BAB" w:rsidRDefault="002E2BAB" w:rsidP="007E7E61">
      <w:pPr>
        <w:pStyle w:val="TextoPrincipal"/>
        <w:numPr>
          <w:ilvl w:val="0"/>
          <w:numId w:val="39"/>
        </w:numPr>
        <w:spacing w:line="360" w:lineRule="auto"/>
      </w:pPr>
      <w:r>
        <w:t>Preparar un informe preliminar que documente los resultados iniciales y las lecciones aprendidas.</w:t>
      </w:r>
    </w:p>
    <w:p w14:paraId="7E509FAA" w14:textId="2B477D9A" w:rsidR="002E2BAB" w:rsidRDefault="002E2BAB" w:rsidP="007E7E61">
      <w:pPr>
        <w:pStyle w:val="TextoPrincipal"/>
        <w:numPr>
          <w:ilvl w:val="0"/>
          <w:numId w:val="39"/>
        </w:numPr>
        <w:spacing w:line="360" w:lineRule="auto"/>
      </w:pPr>
      <w:r>
        <w:t xml:space="preserve">Comunicar los avances a los </w:t>
      </w:r>
      <w:proofErr w:type="spellStart"/>
      <w:r>
        <w:t>stakeholders</w:t>
      </w:r>
      <w:proofErr w:type="spellEnd"/>
      <w:r>
        <w:t xml:space="preserve"> clave.</w:t>
      </w:r>
    </w:p>
    <w:p w14:paraId="10AF5C6B" w14:textId="760A2654" w:rsidR="002E2BAB" w:rsidRDefault="002E2BAB" w:rsidP="002E2BAB">
      <w:pPr>
        <w:pStyle w:val="TextoPrincipal"/>
        <w:spacing w:line="360" w:lineRule="auto"/>
      </w:pPr>
      <w:r>
        <w:t>Este proceso establece las bases para la implementación gradual, permitiendo un enfoque controlado y adaptativo a medida que las estrategias y herramientas de gestión de costos administrativos se integran en la operación diaria de la institución financiera.</w:t>
      </w:r>
    </w:p>
    <w:p w14:paraId="3D32B0F9" w14:textId="185F44D0" w:rsidR="008364BE" w:rsidRPr="008F55C1" w:rsidRDefault="008364BE" w:rsidP="007E7E61">
      <w:pPr>
        <w:pStyle w:val="TextoPrincipal"/>
        <w:numPr>
          <w:ilvl w:val="0"/>
          <w:numId w:val="38"/>
        </w:numPr>
        <w:spacing w:line="360" w:lineRule="auto"/>
      </w:pPr>
      <w:r w:rsidRPr="008F55C1">
        <w:rPr>
          <w:b/>
          <w:bCs/>
        </w:rPr>
        <w:t xml:space="preserve">Proceso de </w:t>
      </w:r>
      <w:r w:rsidRPr="008364BE">
        <w:rPr>
          <w:b/>
          <w:bCs/>
        </w:rPr>
        <w:t>Capacitación del Personal</w:t>
      </w:r>
    </w:p>
    <w:p w14:paraId="5CBC1427" w14:textId="0A0D90DD" w:rsidR="008364BE" w:rsidRDefault="008364BE" w:rsidP="008364BE">
      <w:pPr>
        <w:pStyle w:val="TextoPrincipal"/>
        <w:spacing w:line="360" w:lineRule="auto"/>
        <w:ind w:left="720" w:firstLine="0"/>
      </w:pPr>
      <w:r w:rsidRPr="008F55C1">
        <w:rPr>
          <w:b/>
          <w:bCs/>
        </w:rPr>
        <w:t>Duración:</w:t>
      </w:r>
      <w:r>
        <w:t xml:space="preserve"> Mes 3-4</w:t>
      </w:r>
    </w:p>
    <w:p w14:paraId="365DF1E3" w14:textId="77777777" w:rsidR="008364BE" w:rsidRDefault="008364BE" w:rsidP="008364BE">
      <w:pPr>
        <w:pStyle w:val="TextoPrincipal"/>
        <w:spacing w:line="360" w:lineRule="auto"/>
      </w:pPr>
      <w:r w:rsidRPr="00514810">
        <w:rPr>
          <w:b/>
          <w:bCs/>
        </w:rPr>
        <w:t>Objetivo General:</w:t>
      </w:r>
    </w:p>
    <w:p w14:paraId="304F6C99" w14:textId="457B26C8" w:rsidR="008364BE" w:rsidRDefault="008364BE" w:rsidP="008364BE">
      <w:pPr>
        <w:pStyle w:val="TextoPrincipal"/>
        <w:spacing w:line="360" w:lineRule="auto"/>
      </w:pPr>
      <w:r>
        <w:t>Facilitar la transición efectiva hacia nuevas herramientas y procesos de gestión de costos administrativos mediante sesiones de formación estructuradas y ajustes continuos basados en la retroalimentación del personal.</w:t>
      </w:r>
    </w:p>
    <w:p w14:paraId="6917B66D" w14:textId="374580E1" w:rsidR="008364BE" w:rsidRPr="008364BE" w:rsidRDefault="008364BE" w:rsidP="008364BE">
      <w:pPr>
        <w:pStyle w:val="TextoPrincipal"/>
        <w:spacing w:line="360" w:lineRule="auto"/>
        <w:rPr>
          <w:b/>
        </w:rPr>
      </w:pPr>
      <w:r w:rsidRPr="008364BE">
        <w:rPr>
          <w:b/>
        </w:rPr>
        <w:t>Pasos del Proceso:</w:t>
      </w:r>
    </w:p>
    <w:p w14:paraId="4DBE5AA0" w14:textId="26531667" w:rsidR="008364BE" w:rsidRDefault="008364BE" w:rsidP="008364BE">
      <w:pPr>
        <w:pStyle w:val="TextoPrincipal"/>
        <w:spacing w:line="360" w:lineRule="auto"/>
      </w:pPr>
      <w:r w:rsidRPr="008364BE">
        <w:rPr>
          <w:b/>
        </w:rPr>
        <w:t>2.1 Diseño de Programa de Capacitación:</w:t>
      </w:r>
    </w:p>
    <w:p w14:paraId="1AA77C9A" w14:textId="0293C1C9" w:rsidR="008364BE" w:rsidRDefault="008364BE" w:rsidP="007E7E61">
      <w:pPr>
        <w:pStyle w:val="TextoPrincipal"/>
        <w:numPr>
          <w:ilvl w:val="0"/>
          <w:numId w:val="39"/>
        </w:numPr>
        <w:spacing w:line="360" w:lineRule="auto"/>
      </w:pPr>
      <w:r>
        <w:t>Crear un programa de capacitación detallado que aborde las nuevas herramientas y procesos de gestión de costos.</w:t>
      </w:r>
    </w:p>
    <w:p w14:paraId="5F2B6279" w14:textId="4063CF2C" w:rsidR="008364BE" w:rsidRDefault="008364BE" w:rsidP="007E7E61">
      <w:pPr>
        <w:pStyle w:val="TextoPrincipal"/>
        <w:numPr>
          <w:ilvl w:val="0"/>
          <w:numId w:val="39"/>
        </w:numPr>
        <w:spacing w:line="360" w:lineRule="auto"/>
      </w:pPr>
      <w:r>
        <w:t>Estructurar sesiones específicas para diferentes niveles de personal y funciones.</w:t>
      </w:r>
    </w:p>
    <w:p w14:paraId="1E6DA815" w14:textId="1F1F8FC7" w:rsidR="008364BE" w:rsidRDefault="008364BE" w:rsidP="008364BE">
      <w:pPr>
        <w:pStyle w:val="TextoPrincipal"/>
        <w:spacing w:line="360" w:lineRule="auto"/>
      </w:pPr>
      <w:r w:rsidRPr="008364BE">
        <w:rPr>
          <w:b/>
        </w:rPr>
        <w:t>2.2 Identificación de Formadores:</w:t>
      </w:r>
    </w:p>
    <w:p w14:paraId="6FD5E539" w14:textId="0B1C1137" w:rsidR="008364BE" w:rsidRDefault="008364BE" w:rsidP="007E7E61">
      <w:pPr>
        <w:pStyle w:val="TextoPrincipal"/>
        <w:numPr>
          <w:ilvl w:val="0"/>
          <w:numId w:val="39"/>
        </w:numPr>
        <w:spacing w:line="360" w:lineRule="auto"/>
      </w:pPr>
      <w:r>
        <w:t>Seleccionar formadores competentes y con experiencia en las herramientas y procesos a enseñar.</w:t>
      </w:r>
    </w:p>
    <w:p w14:paraId="3738FA23" w14:textId="69F841D9" w:rsidR="008364BE" w:rsidRDefault="008364BE" w:rsidP="007E7E61">
      <w:pPr>
        <w:pStyle w:val="TextoPrincipal"/>
        <w:numPr>
          <w:ilvl w:val="0"/>
          <w:numId w:val="39"/>
        </w:numPr>
        <w:spacing w:line="360" w:lineRule="auto"/>
      </w:pPr>
      <w:r>
        <w:t>Asegurar que los formadores estén familiarizados con la cultura y operaciones de la institución financiera.</w:t>
      </w:r>
    </w:p>
    <w:p w14:paraId="1FE0D43A" w14:textId="2C924065" w:rsidR="008364BE" w:rsidRDefault="008364BE" w:rsidP="008364BE">
      <w:pPr>
        <w:pStyle w:val="TextoPrincipal"/>
        <w:spacing w:line="360" w:lineRule="auto"/>
      </w:pPr>
      <w:r w:rsidRPr="008364BE">
        <w:rPr>
          <w:b/>
        </w:rPr>
        <w:t>2.3 Programación de Sesiones:</w:t>
      </w:r>
    </w:p>
    <w:p w14:paraId="0F3A81CD" w14:textId="2DC49021" w:rsidR="008364BE" w:rsidRDefault="008364BE" w:rsidP="007E7E61">
      <w:pPr>
        <w:pStyle w:val="TextoPrincipal"/>
        <w:numPr>
          <w:ilvl w:val="0"/>
          <w:numId w:val="39"/>
        </w:numPr>
        <w:spacing w:line="360" w:lineRule="auto"/>
      </w:pPr>
      <w:r>
        <w:t>Planificar y programar sesiones de capacitación para cubrir a todos los departamentos relevantes.</w:t>
      </w:r>
    </w:p>
    <w:p w14:paraId="510563F3" w14:textId="17FFC9FF" w:rsidR="008364BE" w:rsidRDefault="008364BE" w:rsidP="007E7E61">
      <w:pPr>
        <w:pStyle w:val="TextoPrincipal"/>
        <w:numPr>
          <w:ilvl w:val="0"/>
          <w:numId w:val="39"/>
        </w:numPr>
        <w:spacing w:line="360" w:lineRule="auto"/>
      </w:pPr>
      <w:r>
        <w:lastRenderedPageBreak/>
        <w:t>Asegurar la disponibilidad y participación activa del personal clave.</w:t>
      </w:r>
    </w:p>
    <w:p w14:paraId="56D83AAA" w14:textId="49840A4D" w:rsidR="008364BE" w:rsidRPr="008364BE" w:rsidRDefault="008364BE" w:rsidP="008364BE">
      <w:pPr>
        <w:pStyle w:val="TextoPrincipal"/>
        <w:spacing w:line="360" w:lineRule="auto"/>
        <w:rPr>
          <w:b/>
        </w:rPr>
      </w:pPr>
      <w:r w:rsidRPr="008364BE">
        <w:rPr>
          <w:b/>
        </w:rPr>
        <w:t>2.4 Ejecución de Sesiones:</w:t>
      </w:r>
    </w:p>
    <w:p w14:paraId="404F8059" w14:textId="6A14226D" w:rsidR="008364BE" w:rsidRDefault="008364BE" w:rsidP="007E7E61">
      <w:pPr>
        <w:pStyle w:val="TextoPrincipal"/>
        <w:numPr>
          <w:ilvl w:val="0"/>
          <w:numId w:val="39"/>
        </w:numPr>
        <w:spacing w:line="360" w:lineRule="auto"/>
      </w:pPr>
      <w:r>
        <w:t>Facilitar las sesiones de capacitación siguiendo el programa establecido.</w:t>
      </w:r>
    </w:p>
    <w:p w14:paraId="0485F1F9" w14:textId="1656DAAA" w:rsidR="008364BE" w:rsidRDefault="008364BE" w:rsidP="007E7E61">
      <w:pPr>
        <w:pStyle w:val="TextoPrincipal"/>
        <w:numPr>
          <w:ilvl w:val="0"/>
          <w:numId w:val="39"/>
        </w:numPr>
        <w:spacing w:line="360" w:lineRule="auto"/>
      </w:pPr>
      <w:r>
        <w:t>Proporcionar material de apoyo y ejemplos prácticos para mejorar la comprensión.</w:t>
      </w:r>
    </w:p>
    <w:p w14:paraId="21A097FA" w14:textId="0184144B" w:rsidR="008364BE" w:rsidRDefault="008364BE" w:rsidP="008364BE">
      <w:pPr>
        <w:pStyle w:val="TextoPrincipal"/>
        <w:spacing w:line="360" w:lineRule="auto"/>
      </w:pPr>
      <w:r w:rsidRPr="008364BE">
        <w:rPr>
          <w:b/>
        </w:rPr>
        <w:t>2.5 Sesiones Prácticas:</w:t>
      </w:r>
    </w:p>
    <w:p w14:paraId="28F32657" w14:textId="27DBCB47" w:rsidR="008364BE" w:rsidRDefault="008364BE" w:rsidP="007E7E61">
      <w:pPr>
        <w:pStyle w:val="TextoPrincipal"/>
        <w:numPr>
          <w:ilvl w:val="0"/>
          <w:numId w:val="39"/>
        </w:numPr>
        <w:spacing w:line="360" w:lineRule="auto"/>
      </w:pPr>
      <w:r>
        <w:t>Integrar sesiones prácticas para permitir a los empleados aplicar directamente lo aprendido.</w:t>
      </w:r>
    </w:p>
    <w:p w14:paraId="4E8D3B54" w14:textId="54EF7C4D" w:rsidR="008364BE" w:rsidRDefault="008364BE" w:rsidP="007E7E61">
      <w:pPr>
        <w:pStyle w:val="TextoPrincipal"/>
        <w:numPr>
          <w:ilvl w:val="0"/>
          <w:numId w:val="39"/>
        </w:numPr>
        <w:spacing w:line="360" w:lineRule="auto"/>
      </w:pPr>
      <w:r>
        <w:t>Fomentar un entorno de aprendizaje interactivo.</w:t>
      </w:r>
    </w:p>
    <w:p w14:paraId="1B29DF82" w14:textId="55332486" w:rsidR="008364BE" w:rsidRDefault="008364BE" w:rsidP="008364BE">
      <w:pPr>
        <w:pStyle w:val="TextoPrincipal"/>
        <w:spacing w:line="360" w:lineRule="auto"/>
      </w:pPr>
      <w:r w:rsidRPr="008364BE">
        <w:rPr>
          <w:b/>
        </w:rPr>
        <w:t>2.6 Evaluación Continua:</w:t>
      </w:r>
    </w:p>
    <w:p w14:paraId="30703779" w14:textId="43E424DF" w:rsidR="008364BE" w:rsidRDefault="008364BE" w:rsidP="007E7E61">
      <w:pPr>
        <w:pStyle w:val="TextoPrincipal"/>
        <w:numPr>
          <w:ilvl w:val="0"/>
          <w:numId w:val="39"/>
        </w:numPr>
        <w:spacing w:line="360" w:lineRule="auto"/>
      </w:pPr>
      <w:r>
        <w:t>Realizar evaluaciones continuas durante y después de las sesiones de capacitación.</w:t>
      </w:r>
    </w:p>
    <w:p w14:paraId="771750C8" w14:textId="1CCC883B" w:rsidR="008364BE" w:rsidRDefault="008364BE" w:rsidP="007E7E61">
      <w:pPr>
        <w:pStyle w:val="TextoPrincipal"/>
        <w:numPr>
          <w:ilvl w:val="0"/>
          <w:numId w:val="39"/>
        </w:numPr>
        <w:spacing w:line="360" w:lineRule="auto"/>
      </w:pPr>
      <w:r>
        <w:t>Identificar áreas de confusión o resistencia al cambio.</w:t>
      </w:r>
    </w:p>
    <w:p w14:paraId="5482F3BA" w14:textId="5CF867CA" w:rsidR="008364BE" w:rsidRDefault="008364BE" w:rsidP="008364BE">
      <w:pPr>
        <w:pStyle w:val="TextoPrincipal"/>
        <w:spacing w:line="360" w:lineRule="auto"/>
      </w:pPr>
      <w:r w:rsidRPr="008364BE">
        <w:rPr>
          <w:b/>
        </w:rPr>
        <w:t>2.7 Retroalimentación del Personal:</w:t>
      </w:r>
    </w:p>
    <w:p w14:paraId="3ECD1624" w14:textId="7A1AD277" w:rsidR="008364BE" w:rsidRDefault="008364BE" w:rsidP="007E7E61">
      <w:pPr>
        <w:pStyle w:val="TextoPrincipal"/>
        <w:numPr>
          <w:ilvl w:val="0"/>
          <w:numId w:val="39"/>
        </w:numPr>
        <w:spacing w:line="360" w:lineRule="auto"/>
      </w:pPr>
      <w:r>
        <w:t>Recoger retroalimentación del personal sobre las sesiones de capacitación.</w:t>
      </w:r>
    </w:p>
    <w:p w14:paraId="4532589C" w14:textId="2FC610B8" w:rsidR="008364BE" w:rsidRDefault="008364BE" w:rsidP="007E7E61">
      <w:pPr>
        <w:pStyle w:val="TextoPrincipal"/>
        <w:numPr>
          <w:ilvl w:val="0"/>
          <w:numId w:val="39"/>
        </w:numPr>
        <w:spacing w:line="360" w:lineRule="auto"/>
      </w:pPr>
      <w:r>
        <w:t>Permitir un espacio abierto para que expresen preguntas, inquietudes y sugerencias.</w:t>
      </w:r>
    </w:p>
    <w:p w14:paraId="377E2074" w14:textId="74E4A3CF" w:rsidR="008364BE" w:rsidRDefault="008364BE" w:rsidP="008364BE">
      <w:pPr>
        <w:pStyle w:val="TextoPrincipal"/>
        <w:spacing w:line="360" w:lineRule="auto"/>
      </w:pPr>
      <w:r w:rsidRPr="008364BE">
        <w:rPr>
          <w:b/>
        </w:rPr>
        <w:t>2.8 Ajustes en el Programa:</w:t>
      </w:r>
    </w:p>
    <w:p w14:paraId="7CAFDC6D" w14:textId="6DA0F2E6" w:rsidR="008364BE" w:rsidRDefault="008364BE" w:rsidP="007E7E61">
      <w:pPr>
        <w:pStyle w:val="TextoPrincipal"/>
        <w:numPr>
          <w:ilvl w:val="0"/>
          <w:numId w:val="39"/>
        </w:numPr>
        <w:spacing w:line="360" w:lineRule="auto"/>
      </w:pPr>
      <w:r>
        <w:t>Realizar ajustes en el programa de capacitación según la retroalimentación recibida.</w:t>
      </w:r>
    </w:p>
    <w:p w14:paraId="2E3C0F4B" w14:textId="139F857E" w:rsidR="008364BE" w:rsidRDefault="008364BE" w:rsidP="007E7E61">
      <w:pPr>
        <w:pStyle w:val="TextoPrincipal"/>
        <w:numPr>
          <w:ilvl w:val="0"/>
          <w:numId w:val="39"/>
        </w:numPr>
        <w:spacing w:line="360" w:lineRule="auto"/>
      </w:pPr>
      <w:r>
        <w:t>Asegurar que el contenido sea relevante y comprensible para todos los participantes.</w:t>
      </w:r>
    </w:p>
    <w:p w14:paraId="512380B8" w14:textId="0C239595" w:rsidR="008364BE" w:rsidRDefault="008364BE" w:rsidP="008364BE">
      <w:pPr>
        <w:pStyle w:val="TextoPrincipal"/>
        <w:spacing w:line="360" w:lineRule="auto"/>
      </w:pPr>
      <w:r w:rsidRPr="008364BE">
        <w:rPr>
          <w:b/>
        </w:rPr>
        <w:t>2.9 Creación de Materiales de Referencia:</w:t>
      </w:r>
    </w:p>
    <w:p w14:paraId="5A0DFB54" w14:textId="230E8361" w:rsidR="008364BE" w:rsidRDefault="008364BE" w:rsidP="007E7E61">
      <w:pPr>
        <w:pStyle w:val="TextoPrincipal"/>
        <w:numPr>
          <w:ilvl w:val="0"/>
          <w:numId w:val="39"/>
        </w:numPr>
        <w:spacing w:line="360" w:lineRule="auto"/>
      </w:pPr>
      <w:r>
        <w:t>Desarrollar materiales de referencia para el personal, como manuales o guías rápidas.</w:t>
      </w:r>
    </w:p>
    <w:p w14:paraId="0AD8E2D7" w14:textId="07D1FF7E" w:rsidR="008364BE" w:rsidRDefault="008364BE" w:rsidP="007E7E61">
      <w:pPr>
        <w:pStyle w:val="TextoPrincipal"/>
        <w:numPr>
          <w:ilvl w:val="0"/>
          <w:numId w:val="39"/>
        </w:numPr>
        <w:spacing w:line="360" w:lineRule="auto"/>
      </w:pPr>
      <w:r>
        <w:t>Facilitar el acceso a recursos que refuercen el aprendizaje.</w:t>
      </w:r>
    </w:p>
    <w:p w14:paraId="3D83079B" w14:textId="710B1E99" w:rsidR="008364BE" w:rsidRDefault="008364BE" w:rsidP="008364BE">
      <w:pPr>
        <w:pStyle w:val="TextoPrincipal"/>
        <w:spacing w:line="360" w:lineRule="auto"/>
      </w:pPr>
      <w:r w:rsidRPr="008364BE">
        <w:rPr>
          <w:b/>
        </w:rPr>
        <w:t>2.10 Evaluación Final:</w:t>
      </w:r>
    </w:p>
    <w:p w14:paraId="66C7934F" w14:textId="1062EB0B" w:rsidR="008364BE" w:rsidRDefault="008364BE" w:rsidP="007E7E61">
      <w:pPr>
        <w:pStyle w:val="TextoPrincipal"/>
        <w:numPr>
          <w:ilvl w:val="0"/>
          <w:numId w:val="39"/>
        </w:numPr>
        <w:spacing w:line="360" w:lineRule="auto"/>
      </w:pPr>
      <w:r>
        <w:t>Realizar una evaluación final para medir el nivel de comprensión y aplicación práctica del personal.</w:t>
      </w:r>
    </w:p>
    <w:p w14:paraId="54F434FC" w14:textId="5498CAA5" w:rsidR="008364BE" w:rsidRDefault="008364BE" w:rsidP="007E7E61">
      <w:pPr>
        <w:pStyle w:val="TextoPrincipal"/>
        <w:numPr>
          <w:ilvl w:val="0"/>
          <w:numId w:val="39"/>
        </w:numPr>
        <w:spacing w:line="360" w:lineRule="auto"/>
      </w:pPr>
      <w:r>
        <w:t>Identificar la necesidad de sesiones de capacitación adicionales o ajustes continuos.</w:t>
      </w:r>
    </w:p>
    <w:p w14:paraId="21BCE706" w14:textId="3032C72D" w:rsidR="00875F00" w:rsidRDefault="008364BE" w:rsidP="001A41E4">
      <w:pPr>
        <w:pStyle w:val="TextoPrincipal"/>
        <w:spacing w:line="360" w:lineRule="auto"/>
      </w:pPr>
      <w:r>
        <w:lastRenderedPageBreak/>
        <w:t>Este proceso garantiza que la capacitación del personal sea un componente integral y efectivo en la implementación de nuevas herramientas y procesos de gestión de costos administrativos en instituciones financieras, permitiendo una transición suave y un desarrollo continuo de habilidades.</w:t>
      </w:r>
    </w:p>
    <w:p w14:paraId="6D86D0FA" w14:textId="643A6FA3" w:rsidR="001A41E4" w:rsidRPr="008F55C1" w:rsidRDefault="001A41E4" w:rsidP="007E7E61">
      <w:pPr>
        <w:pStyle w:val="TextoPrincipal"/>
        <w:numPr>
          <w:ilvl w:val="0"/>
          <w:numId w:val="38"/>
        </w:numPr>
        <w:spacing w:line="360" w:lineRule="auto"/>
      </w:pPr>
      <w:bookmarkStart w:id="192" w:name="_Toc132615488"/>
      <w:bookmarkStart w:id="193" w:name="_Hlk152990500"/>
      <w:r w:rsidRPr="008F55C1">
        <w:rPr>
          <w:b/>
          <w:bCs/>
        </w:rPr>
        <w:t xml:space="preserve">Proceso de </w:t>
      </w:r>
      <w:r w:rsidRPr="001A41E4">
        <w:rPr>
          <w:b/>
          <w:bCs/>
        </w:rPr>
        <w:t>Extensión a Toda la Organización</w:t>
      </w:r>
    </w:p>
    <w:p w14:paraId="680C0945" w14:textId="09AEAFC4" w:rsidR="001A41E4" w:rsidRDefault="001A41E4" w:rsidP="001A41E4">
      <w:pPr>
        <w:pStyle w:val="TextoPrincipal"/>
        <w:spacing w:line="360" w:lineRule="auto"/>
        <w:ind w:left="720" w:firstLine="0"/>
      </w:pPr>
      <w:r w:rsidRPr="008F55C1">
        <w:rPr>
          <w:b/>
          <w:bCs/>
        </w:rPr>
        <w:t>Duración:</w:t>
      </w:r>
      <w:r>
        <w:t xml:space="preserve"> Mes </w:t>
      </w:r>
      <w:r w:rsidR="002677CD">
        <w:t>5</w:t>
      </w:r>
      <w:r>
        <w:t>-</w:t>
      </w:r>
      <w:r w:rsidR="002677CD">
        <w:t>6</w:t>
      </w:r>
    </w:p>
    <w:p w14:paraId="3B576259" w14:textId="30D9B5A1" w:rsidR="001A41E4" w:rsidRDefault="001A41E4" w:rsidP="001A41E4">
      <w:pPr>
        <w:pStyle w:val="TextoPrincipal"/>
        <w:spacing w:line="360" w:lineRule="auto"/>
      </w:pPr>
      <w:r w:rsidRPr="00514810">
        <w:rPr>
          <w:b/>
          <w:bCs/>
        </w:rPr>
        <w:t>Objetivo General:</w:t>
      </w:r>
    </w:p>
    <w:p w14:paraId="414AF199" w14:textId="0D99AFCC" w:rsidR="001A41E4" w:rsidRDefault="001A41E4" w:rsidP="002677CD">
      <w:pPr>
        <w:pStyle w:val="TextoPrincipal"/>
      </w:pPr>
      <w:r>
        <w:t>Llevar a cabo el despliegue completo de estrategias y herramientas de gestión de costos administrativos a lo largo de toda la organización financiera, asegurando un acompañamiento continuo y realizando ajustes según sea necesario.</w:t>
      </w:r>
    </w:p>
    <w:p w14:paraId="732344AF" w14:textId="7EB4CCF2" w:rsidR="001A41E4" w:rsidRDefault="001A41E4" w:rsidP="001A41E4">
      <w:pPr>
        <w:pStyle w:val="TextoPrincipal"/>
      </w:pPr>
      <w:r w:rsidRPr="002677CD">
        <w:rPr>
          <w:b/>
        </w:rPr>
        <w:t>Pasos</w:t>
      </w:r>
      <w:r w:rsidR="002677CD" w:rsidRPr="002677CD">
        <w:rPr>
          <w:b/>
        </w:rPr>
        <w:t xml:space="preserve"> del Proceso</w:t>
      </w:r>
      <w:r w:rsidRPr="002677CD">
        <w:rPr>
          <w:b/>
        </w:rPr>
        <w:t>:</w:t>
      </w:r>
    </w:p>
    <w:p w14:paraId="74B6B4A1" w14:textId="7A42D2F8" w:rsidR="001A41E4" w:rsidRDefault="001A41E4" w:rsidP="001A41E4">
      <w:pPr>
        <w:pStyle w:val="TextoPrincipal"/>
      </w:pPr>
      <w:r w:rsidRPr="002677CD">
        <w:rPr>
          <w:b/>
        </w:rPr>
        <w:t>3.1 Planificación de Despliegue:</w:t>
      </w:r>
    </w:p>
    <w:p w14:paraId="203C7721" w14:textId="72E1C4DF" w:rsidR="001A41E4" w:rsidRDefault="001A41E4" w:rsidP="007E7E61">
      <w:pPr>
        <w:pStyle w:val="TextoPrincipal"/>
        <w:numPr>
          <w:ilvl w:val="0"/>
          <w:numId w:val="39"/>
        </w:numPr>
      </w:pPr>
      <w:r>
        <w:t>Desarrollar un plan detallado para la expansión de las estrategias y herramientas a toda la organización.</w:t>
      </w:r>
    </w:p>
    <w:p w14:paraId="509B4A61" w14:textId="0D636AB5" w:rsidR="001A41E4" w:rsidRDefault="001A41E4" w:rsidP="007E7E61">
      <w:pPr>
        <w:pStyle w:val="TextoPrincipal"/>
        <w:numPr>
          <w:ilvl w:val="0"/>
          <w:numId w:val="39"/>
        </w:numPr>
      </w:pPr>
      <w:r>
        <w:t>Establecer un cronograma que considere la capacidad de implementación de cada departamento.</w:t>
      </w:r>
    </w:p>
    <w:p w14:paraId="70813A23" w14:textId="5BFFEA5C" w:rsidR="001A41E4" w:rsidRDefault="001A41E4" w:rsidP="001A41E4">
      <w:pPr>
        <w:pStyle w:val="TextoPrincipal"/>
      </w:pPr>
      <w:r w:rsidRPr="002677CD">
        <w:rPr>
          <w:b/>
        </w:rPr>
        <w:t>3.2 Comunicación a la Organización:</w:t>
      </w:r>
    </w:p>
    <w:p w14:paraId="28A034D2" w14:textId="550CB313" w:rsidR="001A41E4" w:rsidRDefault="001A41E4" w:rsidP="007E7E61">
      <w:pPr>
        <w:pStyle w:val="TextoPrincipal"/>
        <w:numPr>
          <w:ilvl w:val="0"/>
          <w:numId w:val="39"/>
        </w:numPr>
      </w:pPr>
      <w:r>
        <w:t>Comunicar a toda la organización la expansión de las estrategias y herramientas de gestión de costos.</w:t>
      </w:r>
    </w:p>
    <w:p w14:paraId="04A17764" w14:textId="5AD3C498" w:rsidR="001A41E4" w:rsidRDefault="001A41E4" w:rsidP="007E7E61">
      <w:pPr>
        <w:pStyle w:val="TextoPrincipal"/>
        <w:numPr>
          <w:ilvl w:val="0"/>
          <w:numId w:val="39"/>
        </w:numPr>
      </w:pPr>
      <w:r>
        <w:t>Destacar los beneficios y la importancia de la participación activa de todos los empleados.</w:t>
      </w:r>
    </w:p>
    <w:p w14:paraId="416DEC27" w14:textId="03DAFD49" w:rsidR="001A41E4" w:rsidRDefault="001A41E4" w:rsidP="001A41E4">
      <w:pPr>
        <w:pStyle w:val="TextoPrincipal"/>
      </w:pPr>
      <w:r w:rsidRPr="002677CD">
        <w:rPr>
          <w:b/>
        </w:rPr>
        <w:t>3.3 Sesiones de Presentación:</w:t>
      </w:r>
    </w:p>
    <w:p w14:paraId="3109702E" w14:textId="05AC03BD" w:rsidR="001A41E4" w:rsidRDefault="001A41E4" w:rsidP="007E7E61">
      <w:pPr>
        <w:pStyle w:val="TextoPrincipal"/>
        <w:numPr>
          <w:ilvl w:val="0"/>
          <w:numId w:val="39"/>
        </w:numPr>
      </w:pPr>
      <w:r>
        <w:lastRenderedPageBreak/>
        <w:t>Facilitar sesiones de presentación para explicar las estrategias y herramientas a todo el personal.</w:t>
      </w:r>
    </w:p>
    <w:p w14:paraId="67EB6545" w14:textId="17E048BD" w:rsidR="001A41E4" w:rsidRDefault="001A41E4" w:rsidP="007E7E61">
      <w:pPr>
        <w:pStyle w:val="TextoPrincipal"/>
        <w:numPr>
          <w:ilvl w:val="0"/>
          <w:numId w:val="39"/>
        </w:numPr>
      </w:pPr>
      <w:r>
        <w:t>Resaltar cómo estas contribuyen a los objetivos organizativos y mejoran la eficiencia.</w:t>
      </w:r>
    </w:p>
    <w:p w14:paraId="4C990785" w14:textId="402FA063" w:rsidR="001A41E4" w:rsidRDefault="001A41E4" w:rsidP="001A41E4">
      <w:pPr>
        <w:pStyle w:val="TextoPrincipal"/>
      </w:pPr>
      <w:r w:rsidRPr="002677CD">
        <w:rPr>
          <w:b/>
        </w:rPr>
        <w:t>3.4 Despliegue Gradual por Departamentos:</w:t>
      </w:r>
    </w:p>
    <w:p w14:paraId="25C25209" w14:textId="1B0A6DAE" w:rsidR="001A41E4" w:rsidRDefault="001A41E4" w:rsidP="007E7E61">
      <w:pPr>
        <w:pStyle w:val="TextoPrincipal"/>
        <w:numPr>
          <w:ilvl w:val="0"/>
          <w:numId w:val="39"/>
        </w:numPr>
      </w:pPr>
      <w:r>
        <w:t>Implementar las estrategias y herramientas gradualmente en cada departamento.</w:t>
      </w:r>
    </w:p>
    <w:p w14:paraId="4F842AEB" w14:textId="7F97EBCA" w:rsidR="001A41E4" w:rsidRDefault="001A41E4" w:rsidP="007E7E61">
      <w:pPr>
        <w:pStyle w:val="TextoPrincipal"/>
        <w:numPr>
          <w:ilvl w:val="0"/>
          <w:numId w:val="39"/>
        </w:numPr>
      </w:pPr>
      <w:r>
        <w:t>Proporcionar apoyo adicional a los equipos durante la fase de implementación.</w:t>
      </w:r>
    </w:p>
    <w:p w14:paraId="1C6F6858" w14:textId="2286F2D6" w:rsidR="001A41E4" w:rsidRDefault="001A41E4" w:rsidP="001A41E4">
      <w:pPr>
        <w:pStyle w:val="TextoPrincipal"/>
      </w:pPr>
      <w:r w:rsidRPr="002677CD">
        <w:rPr>
          <w:b/>
        </w:rPr>
        <w:t>3.5 Acompañamiento Continuo:</w:t>
      </w:r>
    </w:p>
    <w:p w14:paraId="7902ABD1" w14:textId="0EA93529" w:rsidR="001A41E4" w:rsidRDefault="001A41E4" w:rsidP="007E7E61">
      <w:pPr>
        <w:pStyle w:val="TextoPrincipal"/>
        <w:numPr>
          <w:ilvl w:val="0"/>
          <w:numId w:val="39"/>
        </w:numPr>
      </w:pPr>
      <w:r>
        <w:t>Establecer un programa de acompañamiento continuo para resolver preguntas y brindar asistencia a medida que se implementan las estrategias.</w:t>
      </w:r>
    </w:p>
    <w:p w14:paraId="1CEE64EA" w14:textId="06E1289C" w:rsidR="001A41E4" w:rsidRDefault="001A41E4" w:rsidP="007E7E61">
      <w:pPr>
        <w:pStyle w:val="TextoPrincipal"/>
        <w:numPr>
          <w:ilvl w:val="0"/>
          <w:numId w:val="39"/>
        </w:numPr>
      </w:pPr>
      <w:r>
        <w:t>Designar expertos internos para ofrecer soporte adicional.</w:t>
      </w:r>
    </w:p>
    <w:p w14:paraId="00A215CA" w14:textId="53DC2284" w:rsidR="001A41E4" w:rsidRDefault="001A41E4" w:rsidP="001A41E4">
      <w:pPr>
        <w:pStyle w:val="TextoPrincipal"/>
      </w:pPr>
      <w:r w:rsidRPr="002677CD">
        <w:rPr>
          <w:b/>
        </w:rPr>
        <w:t>3.6 Monitoreo y Evaluación Constantes:</w:t>
      </w:r>
    </w:p>
    <w:p w14:paraId="652AA35F" w14:textId="38BC461E" w:rsidR="001A41E4" w:rsidRDefault="001A41E4" w:rsidP="007E7E61">
      <w:pPr>
        <w:pStyle w:val="TextoPrincipal"/>
        <w:numPr>
          <w:ilvl w:val="0"/>
          <w:numId w:val="39"/>
        </w:numPr>
      </w:pPr>
      <w:r>
        <w:t>Implementar un sistema de monitoreo continuo para evaluar la efectividad de las estrategias y herramientas en toda la organización.</w:t>
      </w:r>
    </w:p>
    <w:p w14:paraId="03F15A31" w14:textId="580C739B" w:rsidR="001A41E4" w:rsidRDefault="001A41E4" w:rsidP="007E7E61">
      <w:pPr>
        <w:pStyle w:val="TextoPrincipal"/>
        <w:numPr>
          <w:ilvl w:val="0"/>
          <w:numId w:val="39"/>
        </w:numPr>
      </w:pPr>
      <w:r>
        <w:t>Recoger datos para realizar evaluaciones periódicas.</w:t>
      </w:r>
    </w:p>
    <w:p w14:paraId="5D1DB2DC" w14:textId="5FECB498" w:rsidR="001A41E4" w:rsidRDefault="001A41E4" w:rsidP="001A41E4">
      <w:pPr>
        <w:pStyle w:val="TextoPrincipal"/>
      </w:pPr>
      <w:r w:rsidRPr="002677CD">
        <w:rPr>
          <w:b/>
        </w:rPr>
        <w:t>3.7 Sesiones de Retroalimentación:</w:t>
      </w:r>
    </w:p>
    <w:p w14:paraId="57639071" w14:textId="72889DF2" w:rsidR="001A41E4" w:rsidRDefault="001A41E4" w:rsidP="007E7E61">
      <w:pPr>
        <w:pStyle w:val="TextoPrincipal"/>
        <w:numPr>
          <w:ilvl w:val="0"/>
          <w:numId w:val="39"/>
        </w:numPr>
      </w:pPr>
      <w:r>
        <w:t>Realizar sesiones periódicas de retroalimentación con los empleados para recoger comentarios sobre la implementación.</w:t>
      </w:r>
    </w:p>
    <w:p w14:paraId="6EB6D9CD" w14:textId="12CD22D7" w:rsidR="001A41E4" w:rsidRDefault="001A41E4" w:rsidP="007E7E61">
      <w:pPr>
        <w:pStyle w:val="TextoPrincipal"/>
        <w:numPr>
          <w:ilvl w:val="0"/>
          <w:numId w:val="39"/>
        </w:numPr>
      </w:pPr>
      <w:r>
        <w:t>Ajustar estrategias y herramientas según las necesidades y sugerencias recibidas.</w:t>
      </w:r>
    </w:p>
    <w:p w14:paraId="77CE765F" w14:textId="2C1AE5A2" w:rsidR="001A41E4" w:rsidRDefault="001A41E4" w:rsidP="001A41E4">
      <w:pPr>
        <w:pStyle w:val="TextoPrincipal"/>
      </w:pPr>
      <w:r w:rsidRPr="002677CD">
        <w:rPr>
          <w:b/>
        </w:rPr>
        <w:t>3.8 Ajustes y Mejoras Continuas:</w:t>
      </w:r>
    </w:p>
    <w:p w14:paraId="469FFFBD" w14:textId="0DE7EFE3" w:rsidR="001A41E4" w:rsidRDefault="001A41E4" w:rsidP="007E7E61">
      <w:pPr>
        <w:pStyle w:val="TextoPrincipal"/>
        <w:numPr>
          <w:ilvl w:val="0"/>
          <w:numId w:val="39"/>
        </w:numPr>
      </w:pPr>
      <w:r>
        <w:t xml:space="preserve">Realizar ajustes y mejoras continuas en las estrategias y herramientas según la </w:t>
      </w:r>
      <w:r>
        <w:lastRenderedPageBreak/>
        <w:t>retroalimentación y los resultados obtenidos.</w:t>
      </w:r>
    </w:p>
    <w:p w14:paraId="6BC998C9" w14:textId="19691B68" w:rsidR="001A41E4" w:rsidRDefault="001A41E4" w:rsidP="007E7E61">
      <w:pPr>
        <w:pStyle w:val="TextoPrincipal"/>
        <w:numPr>
          <w:ilvl w:val="0"/>
          <w:numId w:val="39"/>
        </w:numPr>
      </w:pPr>
      <w:r>
        <w:t>Garantizar una adaptación constante a las dinámicas cambiantes del entorno financiero.</w:t>
      </w:r>
    </w:p>
    <w:p w14:paraId="2FF75A13" w14:textId="4C7A1BDB" w:rsidR="001A41E4" w:rsidRDefault="001A41E4" w:rsidP="001A41E4">
      <w:pPr>
        <w:pStyle w:val="TextoPrincipal"/>
      </w:pPr>
      <w:r w:rsidRPr="002677CD">
        <w:rPr>
          <w:b/>
        </w:rPr>
        <w:t>3.9 Informe de Despliegue Completo:</w:t>
      </w:r>
    </w:p>
    <w:p w14:paraId="3F474978" w14:textId="6A9CFE76" w:rsidR="001A41E4" w:rsidRDefault="001A41E4" w:rsidP="007E7E61">
      <w:pPr>
        <w:pStyle w:val="TextoPrincipal"/>
        <w:numPr>
          <w:ilvl w:val="0"/>
          <w:numId w:val="39"/>
        </w:numPr>
      </w:pPr>
      <w:r>
        <w:t>Preparar un informe detallado sobre el despliegue completo de estrategias y herramientas en toda la organización.</w:t>
      </w:r>
    </w:p>
    <w:p w14:paraId="4DE65BDA" w14:textId="38001C84" w:rsidR="001A41E4" w:rsidRDefault="001A41E4" w:rsidP="007E7E61">
      <w:pPr>
        <w:pStyle w:val="TextoPrincipal"/>
        <w:numPr>
          <w:ilvl w:val="0"/>
          <w:numId w:val="39"/>
        </w:numPr>
      </w:pPr>
      <w:r>
        <w:t xml:space="preserve">Comunicar los logros alcanzados y las lecciones aprendidas a los </w:t>
      </w:r>
      <w:proofErr w:type="spellStart"/>
      <w:r>
        <w:t>stakeholders</w:t>
      </w:r>
      <w:proofErr w:type="spellEnd"/>
      <w:r>
        <w:t xml:space="preserve"> clave.</w:t>
      </w:r>
    </w:p>
    <w:p w14:paraId="29199849" w14:textId="6C12E00E" w:rsidR="002677CD" w:rsidRDefault="001A41E4" w:rsidP="002677CD">
      <w:pPr>
        <w:pStyle w:val="TextoPrincipal"/>
      </w:pPr>
      <w:r>
        <w:t>Este proceso asegura que la implementación de estrategias y herramientas de gestión de costos administrativos se extienda de manera efectiva a toda la organización financiera, con un enfoque en el acompañamiento continuo y la mejora constante para garantizar la adopción sostenible de estas prácticas en el largo plazo.</w:t>
      </w:r>
    </w:p>
    <w:p w14:paraId="2B2A65A9" w14:textId="148ABF84" w:rsidR="002677CD" w:rsidRDefault="002677CD" w:rsidP="002677CD">
      <w:pPr>
        <w:pStyle w:val="TextoPrincipal"/>
      </w:pPr>
    </w:p>
    <w:p w14:paraId="29E1EA7E" w14:textId="5AEDBECF" w:rsidR="002677CD" w:rsidRDefault="002677CD" w:rsidP="002677CD">
      <w:pPr>
        <w:pStyle w:val="TextoPrincipal"/>
      </w:pPr>
    </w:p>
    <w:p w14:paraId="6DBDFFA3" w14:textId="2D04F465" w:rsidR="002677CD" w:rsidRDefault="002677CD" w:rsidP="002677CD">
      <w:pPr>
        <w:pStyle w:val="TextoPrincipal"/>
      </w:pPr>
    </w:p>
    <w:p w14:paraId="32209AFD" w14:textId="27E69CA6" w:rsidR="002677CD" w:rsidRDefault="002677CD" w:rsidP="002677CD">
      <w:pPr>
        <w:pStyle w:val="TextoPrincipal"/>
      </w:pPr>
    </w:p>
    <w:p w14:paraId="551463BF" w14:textId="0A436F41" w:rsidR="002677CD" w:rsidRDefault="002677CD" w:rsidP="002677CD">
      <w:pPr>
        <w:pStyle w:val="TextoPrincipal"/>
      </w:pPr>
    </w:p>
    <w:p w14:paraId="580FD46C" w14:textId="72551BD5" w:rsidR="002677CD" w:rsidRDefault="002677CD" w:rsidP="002677CD">
      <w:pPr>
        <w:pStyle w:val="TextoPrincipal"/>
      </w:pPr>
    </w:p>
    <w:p w14:paraId="4619AA19" w14:textId="619F5453" w:rsidR="002677CD" w:rsidRDefault="002677CD" w:rsidP="002677CD">
      <w:pPr>
        <w:pStyle w:val="TextoPrincipal"/>
      </w:pPr>
    </w:p>
    <w:p w14:paraId="3872ECCA" w14:textId="2BF2C5CB" w:rsidR="002677CD" w:rsidRDefault="002677CD" w:rsidP="002677CD">
      <w:pPr>
        <w:pStyle w:val="TextoPrincipal"/>
      </w:pPr>
    </w:p>
    <w:p w14:paraId="1B9AD05E" w14:textId="1D3874E7" w:rsidR="002677CD" w:rsidRDefault="002677CD" w:rsidP="002677CD">
      <w:pPr>
        <w:pStyle w:val="TextoPrincipal"/>
      </w:pPr>
    </w:p>
    <w:p w14:paraId="2622F26E" w14:textId="77777777" w:rsidR="002677CD" w:rsidRDefault="002677CD" w:rsidP="002677CD">
      <w:pPr>
        <w:pStyle w:val="TextoPrincipal"/>
        <w:ind w:firstLine="0"/>
      </w:pPr>
    </w:p>
    <w:p w14:paraId="7B59E260" w14:textId="05AD9D28" w:rsidR="002677CD" w:rsidRPr="002677CD" w:rsidRDefault="002677CD" w:rsidP="001A41E4">
      <w:pPr>
        <w:pStyle w:val="TextoPrincipal"/>
        <w:rPr>
          <w:b/>
        </w:rPr>
      </w:pPr>
      <w:r w:rsidRPr="002677CD">
        <w:rPr>
          <w:b/>
        </w:rPr>
        <w:lastRenderedPageBreak/>
        <w:t>Fase 4: Monitoreo Continuo y Mejora Continua</w:t>
      </w:r>
    </w:p>
    <w:p w14:paraId="6DA5606B" w14:textId="467B085C" w:rsidR="002677CD" w:rsidRDefault="002677CD" w:rsidP="002677CD">
      <w:pPr>
        <w:pStyle w:val="TextoPrincipal"/>
      </w:pPr>
      <w:r>
        <w:t>En esta fase crucial, trascendemos el despliegue inicial para adentrarnos en una práctica fundamental: la capacidad de adaptación constante y el perfeccionamiento continuo de las estrategias y herramientas adoptadas.</w:t>
      </w:r>
    </w:p>
    <w:p w14:paraId="684A7C29" w14:textId="6BF74799" w:rsidR="002677CD" w:rsidRDefault="002677CD" w:rsidP="009320AC">
      <w:pPr>
        <w:pStyle w:val="TextoPrincipal"/>
      </w:pPr>
      <w:r>
        <w:t>Este capítulo no solo abarca la necesidad de mantener una vigilancia constante sobre los resultados obtenidos, sino también de cultivar un entorno organizacional que valore la mejora continua como un imperativo. Aquí, exploraremos las metodologías efectivas de monitoreo, evaluación y ajuste, reconociendo que la agilidad y la adaptabilidad son esenciales en un panorama financiero siempre cambiante.</w:t>
      </w:r>
    </w:p>
    <w:p w14:paraId="148E4EAD" w14:textId="3A087F46" w:rsidR="009320AC" w:rsidRPr="008F55C1" w:rsidRDefault="009320AC" w:rsidP="007E7E61">
      <w:pPr>
        <w:pStyle w:val="TextoPrincipal"/>
        <w:numPr>
          <w:ilvl w:val="0"/>
          <w:numId w:val="40"/>
        </w:numPr>
        <w:spacing w:line="360" w:lineRule="auto"/>
      </w:pPr>
      <w:r w:rsidRPr="008F55C1">
        <w:rPr>
          <w:b/>
          <w:bCs/>
        </w:rPr>
        <w:t xml:space="preserve">Proceso de </w:t>
      </w:r>
      <w:r w:rsidR="0028458C" w:rsidRPr="0028458C">
        <w:rPr>
          <w:b/>
          <w:bCs/>
        </w:rPr>
        <w:t>Establecimiento de Sistemas de Monitoreo Continuo</w:t>
      </w:r>
    </w:p>
    <w:p w14:paraId="326CFAD2" w14:textId="024EEAB5" w:rsidR="009320AC" w:rsidRDefault="009320AC" w:rsidP="009320AC">
      <w:pPr>
        <w:pStyle w:val="TextoPrincipal"/>
        <w:spacing w:line="360" w:lineRule="auto"/>
        <w:ind w:left="720" w:firstLine="0"/>
      </w:pPr>
      <w:r w:rsidRPr="008F55C1">
        <w:rPr>
          <w:b/>
          <w:bCs/>
        </w:rPr>
        <w:t>Duración:</w:t>
      </w:r>
      <w:r>
        <w:t xml:space="preserve"> Mes </w:t>
      </w:r>
      <w:r w:rsidR="0028458C">
        <w:t>1</w:t>
      </w:r>
      <w:r>
        <w:t>-6</w:t>
      </w:r>
    </w:p>
    <w:p w14:paraId="19DF1811" w14:textId="77777777" w:rsidR="009320AC" w:rsidRDefault="009320AC" w:rsidP="009320AC">
      <w:pPr>
        <w:pStyle w:val="TextoPrincipal"/>
        <w:spacing w:line="360" w:lineRule="auto"/>
      </w:pPr>
      <w:r w:rsidRPr="00514810">
        <w:rPr>
          <w:b/>
          <w:bCs/>
        </w:rPr>
        <w:t>Objetivo General:</w:t>
      </w:r>
    </w:p>
    <w:p w14:paraId="2CFDB0E7" w14:textId="77777777" w:rsidR="0028458C" w:rsidRDefault="0028458C" w:rsidP="009320AC">
      <w:pPr>
        <w:pStyle w:val="TextoPrincipal"/>
      </w:pPr>
      <w:r w:rsidRPr="0028458C">
        <w:t>Establecer sistemas robustos de monitoreo continuo, incluyendo la implementación de sistemas de seguimiento y la definición de Indicadores Clave de Rendimiento (</w:t>
      </w:r>
      <w:proofErr w:type="spellStart"/>
      <w:r w:rsidRPr="0028458C">
        <w:t>KPIs</w:t>
      </w:r>
      <w:proofErr w:type="spellEnd"/>
      <w:r w:rsidRPr="0028458C">
        <w:t>), para evaluar de manera efectiva la eficiencia en la gestión de costos administrativos.</w:t>
      </w:r>
      <w:r>
        <w:t xml:space="preserve"> </w:t>
      </w:r>
    </w:p>
    <w:p w14:paraId="79D7BED3" w14:textId="1B7856C0" w:rsidR="009320AC" w:rsidRDefault="009320AC" w:rsidP="0028458C">
      <w:pPr>
        <w:pStyle w:val="TextoPrincipal"/>
      </w:pPr>
      <w:r w:rsidRPr="002677CD">
        <w:rPr>
          <w:b/>
        </w:rPr>
        <w:t>Pasos del Proceso:</w:t>
      </w:r>
    </w:p>
    <w:p w14:paraId="64C0A201" w14:textId="2806D910" w:rsidR="009320AC" w:rsidRDefault="009320AC" w:rsidP="009320AC">
      <w:pPr>
        <w:pStyle w:val="TextoPrincipal"/>
      </w:pPr>
      <w:r w:rsidRPr="0028458C">
        <w:rPr>
          <w:b/>
        </w:rPr>
        <w:t>1.1 Identificación de Áreas Clave:</w:t>
      </w:r>
    </w:p>
    <w:p w14:paraId="4D13FC38" w14:textId="084A6CDD" w:rsidR="009320AC" w:rsidRDefault="009320AC" w:rsidP="007E7E61">
      <w:pPr>
        <w:pStyle w:val="TextoPrincipal"/>
        <w:numPr>
          <w:ilvl w:val="0"/>
          <w:numId w:val="39"/>
        </w:numPr>
      </w:pPr>
      <w:r>
        <w:t>Identificar las áreas clave de costos administrativos que serán objeto de monitoreo continuo.</w:t>
      </w:r>
    </w:p>
    <w:p w14:paraId="642F0E10" w14:textId="33416C46" w:rsidR="009320AC" w:rsidRDefault="009320AC" w:rsidP="007E7E61">
      <w:pPr>
        <w:pStyle w:val="TextoPrincipal"/>
        <w:numPr>
          <w:ilvl w:val="0"/>
          <w:numId w:val="39"/>
        </w:numPr>
      </w:pPr>
      <w:r>
        <w:t>Priorizar aquellas que tienen un impacto significativo en la salud financiera de la institución.</w:t>
      </w:r>
    </w:p>
    <w:p w14:paraId="7C3B5AAB" w14:textId="7022E516" w:rsidR="009320AC" w:rsidRDefault="009320AC" w:rsidP="009320AC">
      <w:pPr>
        <w:pStyle w:val="TextoPrincipal"/>
      </w:pPr>
      <w:r w:rsidRPr="0028458C">
        <w:rPr>
          <w:b/>
        </w:rPr>
        <w:t>1.2 Selección de Indicadores Clave de Rendimiento (</w:t>
      </w:r>
      <w:proofErr w:type="spellStart"/>
      <w:r w:rsidRPr="0028458C">
        <w:rPr>
          <w:b/>
        </w:rPr>
        <w:t>KPIs</w:t>
      </w:r>
      <w:proofErr w:type="spellEnd"/>
      <w:r w:rsidRPr="0028458C">
        <w:rPr>
          <w:b/>
        </w:rPr>
        <w:t>):</w:t>
      </w:r>
    </w:p>
    <w:p w14:paraId="0C1250AE" w14:textId="2EDF514E" w:rsidR="009320AC" w:rsidRDefault="009320AC" w:rsidP="007E7E61">
      <w:pPr>
        <w:pStyle w:val="TextoPrincipal"/>
        <w:numPr>
          <w:ilvl w:val="0"/>
          <w:numId w:val="39"/>
        </w:numPr>
      </w:pPr>
      <w:r>
        <w:lastRenderedPageBreak/>
        <w:t>Definir Indicadores Clave de Rendimiento específicos para cada área identificada.</w:t>
      </w:r>
    </w:p>
    <w:p w14:paraId="67E13D51" w14:textId="04D6DB69" w:rsidR="009320AC" w:rsidRDefault="009320AC" w:rsidP="007E7E61">
      <w:pPr>
        <w:pStyle w:val="TextoPrincipal"/>
        <w:numPr>
          <w:ilvl w:val="0"/>
          <w:numId w:val="39"/>
        </w:numPr>
      </w:pPr>
      <w:r>
        <w:t xml:space="preserve">Asegurar que los </w:t>
      </w:r>
      <w:proofErr w:type="spellStart"/>
      <w:r>
        <w:t>KPIs</w:t>
      </w:r>
      <w:proofErr w:type="spellEnd"/>
      <w:r>
        <w:t xml:space="preserve"> sean medibles, relevantes y alineados con los objetivos organizacionales.</w:t>
      </w:r>
    </w:p>
    <w:p w14:paraId="46FA34A7" w14:textId="5159BDBD" w:rsidR="009320AC" w:rsidRDefault="009320AC" w:rsidP="009320AC">
      <w:pPr>
        <w:pStyle w:val="TextoPrincipal"/>
      </w:pPr>
      <w:r w:rsidRPr="0028458C">
        <w:rPr>
          <w:b/>
        </w:rPr>
        <w:t>1.3 Desarrollo de Sistemas de Seguimiento:</w:t>
      </w:r>
    </w:p>
    <w:p w14:paraId="07C2B78C" w14:textId="2C8CD260" w:rsidR="009320AC" w:rsidRDefault="009320AC" w:rsidP="007E7E61">
      <w:pPr>
        <w:pStyle w:val="TextoPrincipal"/>
        <w:numPr>
          <w:ilvl w:val="0"/>
          <w:numId w:val="39"/>
        </w:numPr>
      </w:pPr>
      <w:r>
        <w:t>Seleccionar o desarrollar sistemas de seguimiento adecuados para cada KPI identificado.</w:t>
      </w:r>
    </w:p>
    <w:p w14:paraId="5A3D41DC" w14:textId="2152C1C3" w:rsidR="009320AC" w:rsidRDefault="009320AC" w:rsidP="007E7E61">
      <w:pPr>
        <w:pStyle w:val="TextoPrincipal"/>
        <w:numPr>
          <w:ilvl w:val="0"/>
          <w:numId w:val="39"/>
        </w:numPr>
      </w:pPr>
      <w:r>
        <w:t>Integrar estos sistemas con la infraestructura tecnológica existente de la institución financiera.</w:t>
      </w:r>
    </w:p>
    <w:p w14:paraId="7B146F0F" w14:textId="6DB282CF" w:rsidR="009320AC" w:rsidRDefault="009320AC" w:rsidP="009320AC">
      <w:pPr>
        <w:pStyle w:val="TextoPrincipal"/>
      </w:pPr>
      <w:r w:rsidRPr="0028458C">
        <w:rPr>
          <w:b/>
        </w:rPr>
        <w:t>1.4 Establecimiento de Frecuencia de Monitoreo:</w:t>
      </w:r>
    </w:p>
    <w:p w14:paraId="59F57FFE" w14:textId="0B9A822B" w:rsidR="009320AC" w:rsidRDefault="009320AC" w:rsidP="007E7E61">
      <w:pPr>
        <w:pStyle w:val="TextoPrincipal"/>
        <w:numPr>
          <w:ilvl w:val="0"/>
          <w:numId w:val="39"/>
        </w:numPr>
      </w:pPr>
      <w:r>
        <w:t>Determinar la frecuencia con la que se llevará a cabo el monitoreo de cada KPI.</w:t>
      </w:r>
    </w:p>
    <w:p w14:paraId="300BBDF6" w14:textId="4A5863C1" w:rsidR="009320AC" w:rsidRDefault="009320AC" w:rsidP="007E7E61">
      <w:pPr>
        <w:pStyle w:val="TextoPrincipal"/>
        <w:numPr>
          <w:ilvl w:val="0"/>
          <w:numId w:val="39"/>
        </w:numPr>
      </w:pPr>
      <w:r>
        <w:t>Ajustar la frecuencia según la dinámica y la criticidad de cada área.</w:t>
      </w:r>
    </w:p>
    <w:p w14:paraId="4D836227" w14:textId="1B01A4CC" w:rsidR="009320AC" w:rsidRDefault="009320AC" w:rsidP="009320AC">
      <w:pPr>
        <w:pStyle w:val="TextoPrincipal"/>
      </w:pPr>
      <w:r w:rsidRPr="0028458C">
        <w:rPr>
          <w:b/>
        </w:rPr>
        <w:t>1.5 Asignación de Responsabilidades:</w:t>
      </w:r>
    </w:p>
    <w:p w14:paraId="44595F90" w14:textId="21D4AF85" w:rsidR="009320AC" w:rsidRDefault="009320AC" w:rsidP="007E7E61">
      <w:pPr>
        <w:pStyle w:val="TextoPrincipal"/>
        <w:numPr>
          <w:ilvl w:val="0"/>
          <w:numId w:val="39"/>
        </w:numPr>
      </w:pPr>
      <w:r>
        <w:t>Designar responsabilidades claras para el monitoreo de cada KPI.</w:t>
      </w:r>
    </w:p>
    <w:p w14:paraId="1A56A9E9" w14:textId="1E2AF5D1" w:rsidR="009320AC" w:rsidRDefault="009320AC" w:rsidP="007E7E61">
      <w:pPr>
        <w:pStyle w:val="TextoPrincipal"/>
        <w:numPr>
          <w:ilvl w:val="0"/>
          <w:numId w:val="39"/>
        </w:numPr>
      </w:pPr>
      <w:r>
        <w:t>Asegurar que los equipos pertinentes estén capacitados y comprometidos con el proceso de monitoreo.</w:t>
      </w:r>
    </w:p>
    <w:p w14:paraId="09C10C91" w14:textId="62F91838" w:rsidR="009320AC" w:rsidRDefault="009320AC" w:rsidP="009320AC">
      <w:pPr>
        <w:pStyle w:val="TextoPrincipal"/>
      </w:pPr>
      <w:r w:rsidRPr="0028458C">
        <w:rPr>
          <w:b/>
        </w:rPr>
        <w:t>1.6 Desarrollo de Paneles de Control:</w:t>
      </w:r>
    </w:p>
    <w:p w14:paraId="4E0BBDA3" w14:textId="5E672239" w:rsidR="009320AC" w:rsidRDefault="009320AC" w:rsidP="007E7E61">
      <w:pPr>
        <w:pStyle w:val="TextoPrincipal"/>
        <w:numPr>
          <w:ilvl w:val="0"/>
          <w:numId w:val="39"/>
        </w:numPr>
      </w:pPr>
      <w:r>
        <w:t xml:space="preserve">Crear paneles de control visuales para proporcionar una representación clara y en tiempo real de los </w:t>
      </w:r>
      <w:proofErr w:type="spellStart"/>
      <w:r>
        <w:t>KPIs</w:t>
      </w:r>
      <w:proofErr w:type="spellEnd"/>
      <w:r>
        <w:t>.</w:t>
      </w:r>
    </w:p>
    <w:p w14:paraId="777EFCC0" w14:textId="47EF42F1" w:rsidR="009320AC" w:rsidRDefault="009320AC" w:rsidP="007E7E61">
      <w:pPr>
        <w:pStyle w:val="TextoPrincipal"/>
        <w:numPr>
          <w:ilvl w:val="0"/>
          <w:numId w:val="39"/>
        </w:numPr>
      </w:pPr>
      <w:r>
        <w:t>Facilitar el acceso fácil y rápido a la información crítica para la toma de decisiones.</w:t>
      </w:r>
    </w:p>
    <w:p w14:paraId="5DB35480" w14:textId="4F03F7D8" w:rsidR="009320AC" w:rsidRDefault="009320AC" w:rsidP="009320AC">
      <w:pPr>
        <w:pStyle w:val="TextoPrincipal"/>
      </w:pPr>
      <w:r w:rsidRPr="0028458C">
        <w:rPr>
          <w:b/>
        </w:rPr>
        <w:t>1.7 Pruebas de Monitoreo:</w:t>
      </w:r>
    </w:p>
    <w:p w14:paraId="43BD8AFE" w14:textId="56B24434" w:rsidR="009320AC" w:rsidRDefault="009320AC" w:rsidP="007E7E61">
      <w:pPr>
        <w:pStyle w:val="TextoPrincipal"/>
        <w:numPr>
          <w:ilvl w:val="0"/>
          <w:numId w:val="39"/>
        </w:numPr>
      </w:pPr>
      <w:r>
        <w:lastRenderedPageBreak/>
        <w:t xml:space="preserve">Realizar pruebas iniciales de monitoreo para garantizar que los sistemas y </w:t>
      </w:r>
      <w:proofErr w:type="spellStart"/>
      <w:r>
        <w:t>KPIs</w:t>
      </w:r>
      <w:proofErr w:type="spellEnd"/>
      <w:r>
        <w:t xml:space="preserve"> estén funcionando correctamente.</w:t>
      </w:r>
    </w:p>
    <w:p w14:paraId="1D398627" w14:textId="04781898" w:rsidR="009320AC" w:rsidRDefault="009320AC" w:rsidP="007E7E61">
      <w:pPr>
        <w:pStyle w:val="TextoPrincipal"/>
        <w:numPr>
          <w:ilvl w:val="0"/>
          <w:numId w:val="39"/>
        </w:numPr>
      </w:pPr>
      <w:r>
        <w:t>Identificar posibles áreas de mejora en la implementación del monitoreo.</w:t>
      </w:r>
    </w:p>
    <w:p w14:paraId="42DC4DA6" w14:textId="3FA04501" w:rsidR="009320AC" w:rsidRDefault="009320AC" w:rsidP="009320AC">
      <w:pPr>
        <w:pStyle w:val="TextoPrincipal"/>
      </w:pPr>
      <w:r w:rsidRPr="0028458C">
        <w:rPr>
          <w:b/>
        </w:rPr>
        <w:t>1.8 Ajustes Iniciales:</w:t>
      </w:r>
    </w:p>
    <w:p w14:paraId="189BBE16" w14:textId="60EBAEF5" w:rsidR="009320AC" w:rsidRDefault="009320AC" w:rsidP="007E7E61">
      <w:pPr>
        <w:pStyle w:val="TextoPrincipal"/>
        <w:numPr>
          <w:ilvl w:val="0"/>
          <w:numId w:val="39"/>
        </w:numPr>
      </w:pPr>
      <w:r>
        <w:t>Realizar ajustes iniciales en los sistemas de monitoreo según la retroalimentación obtenida durante las pruebas.</w:t>
      </w:r>
    </w:p>
    <w:p w14:paraId="6119E9F6" w14:textId="2093ABC4" w:rsidR="009320AC" w:rsidRDefault="009320AC" w:rsidP="007E7E61">
      <w:pPr>
        <w:pStyle w:val="TextoPrincipal"/>
        <w:numPr>
          <w:ilvl w:val="0"/>
          <w:numId w:val="39"/>
        </w:numPr>
      </w:pPr>
      <w:r>
        <w:t xml:space="preserve">Asegurarse de que los </w:t>
      </w:r>
      <w:proofErr w:type="spellStart"/>
      <w:r>
        <w:t>KPIs</w:t>
      </w:r>
      <w:proofErr w:type="spellEnd"/>
      <w:r>
        <w:t xml:space="preserve"> sean representativos y pertinentes.</w:t>
      </w:r>
    </w:p>
    <w:p w14:paraId="3A3160ED" w14:textId="6DB33025" w:rsidR="009320AC" w:rsidRDefault="009320AC" w:rsidP="009320AC">
      <w:pPr>
        <w:pStyle w:val="TextoPrincipal"/>
      </w:pPr>
      <w:r w:rsidRPr="0028458C">
        <w:rPr>
          <w:b/>
        </w:rPr>
        <w:t>1.9 Capacitación del Personal:</w:t>
      </w:r>
    </w:p>
    <w:p w14:paraId="136046C8" w14:textId="614F9979" w:rsidR="009320AC" w:rsidRDefault="009320AC" w:rsidP="007E7E61">
      <w:pPr>
        <w:pStyle w:val="TextoPrincipal"/>
        <w:numPr>
          <w:ilvl w:val="0"/>
          <w:numId w:val="39"/>
        </w:numPr>
      </w:pPr>
      <w:r>
        <w:t>Proporcionar capacitación al personal involucrado en el monitoreo continuo.</w:t>
      </w:r>
    </w:p>
    <w:p w14:paraId="54A42D69" w14:textId="5202EE74" w:rsidR="009320AC" w:rsidRDefault="009320AC" w:rsidP="007E7E61">
      <w:pPr>
        <w:pStyle w:val="TextoPrincipal"/>
        <w:numPr>
          <w:ilvl w:val="0"/>
          <w:numId w:val="39"/>
        </w:numPr>
      </w:pPr>
      <w:r>
        <w:t xml:space="preserve">Fomentar la comprensión de la importancia de los </w:t>
      </w:r>
      <w:proofErr w:type="spellStart"/>
      <w:r>
        <w:t>KPIs</w:t>
      </w:r>
      <w:proofErr w:type="spellEnd"/>
      <w:r>
        <w:t xml:space="preserve"> y el impacto en la gestión de costos.</w:t>
      </w:r>
    </w:p>
    <w:p w14:paraId="396EE94A" w14:textId="2646760F" w:rsidR="009320AC" w:rsidRDefault="009320AC" w:rsidP="009320AC">
      <w:pPr>
        <w:pStyle w:val="TextoPrincipal"/>
      </w:pPr>
      <w:r w:rsidRPr="0028458C">
        <w:rPr>
          <w:b/>
        </w:rPr>
        <w:t>1.10 Informe Inicial de Monitoreo:</w:t>
      </w:r>
    </w:p>
    <w:p w14:paraId="6EF8950C" w14:textId="17F5A3BA" w:rsidR="009320AC" w:rsidRDefault="009320AC" w:rsidP="007E7E61">
      <w:pPr>
        <w:pStyle w:val="TextoPrincipal"/>
        <w:numPr>
          <w:ilvl w:val="0"/>
          <w:numId w:val="39"/>
        </w:numPr>
      </w:pPr>
      <w:r>
        <w:t>Generar un informe inicial que destaque los resultados obtenidos durante las primeras fases de monitoreo.</w:t>
      </w:r>
    </w:p>
    <w:p w14:paraId="6F18F72F" w14:textId="6BF62F25" w:rsidR="009320AC" w:rsidRDefault="009320AC" w:rsidP="007E7E61">
      <w:pPr>
        <w:pStyle w:val="TextoPrincipal"/>
        <w:numPr>
          <w:ilvl w:val="0"/>
          <w:numId w:val="39"/>
        </w:numPr>
      </w:pPr>
      <w:r>
        <w:t xml:space="preserve">Presentar el informe a los </w:t>
      </w:r>
      <w:proofErr w:type="spellStart"/>
      <w:r>
        <w:t>stakeholders</w:t>
      </w:r>
      <w:proofErr w:type="spellEnd"/>
      <w:r>
        <w:t xml:space="preserve"> clave y obtener retroalimentación.</w:t>
      </w:r>
    </w:p>
    <w:p w14:paraId="32E5DC6A" w14:textId="78F0D0A1" w:rsidR="00CB63D2" w:rsidRDefault="009320AC" w:rsidP="009320AC">
      <w:pPr>
        <w:pStyle w:val="TextoPrincipal"/>
        <w:ind w:firstLine="0"/>
      </w:pPr>
      <w:r>
        <w:t>Este proceso establece las bases para un monitoreo continuo efectivo, permitiendo a la institución financiera evaluar de manera proactiva la eficiencia en la gestión de costos administrativos y realizar ajustes necesarios para optimizar el rendimiento organizacional.</w:t>
      </w:r>
    </w:p>
    <w:p w14:paraId="3745AE44" w14:textId="423D7881" w:rsidR="00CB63D2" w:rsidRPr="008F55C1" w:rsidRDefault="00CB63D2" w:rsidP="007E7E61">
      <w:pPr>
        <w:pStyle w:val="TextoPrincipal"/>
        <w:numPr>
          <w:ilvl w:val="0"/>
          <w:numId w:val="40"/>
        </w:numPr>
        <w:spacing w:line="360" w:lineRule="auto"/>
      </w:pPr>
      <w:r w:rsidRPr="008F55C1">
        <w:rPr>
          <w:b/>
          <w:bCs/>
        </w:rPr>
        <w:t xml:space="preserve">Proceso de </w:t>
      </w:r>
      <w:r w:rsidRPr="00CB63D2">
        <w:rPr>
          <w:b/>
          <w:bCs/>
        </w:rPr>
        <w:t>Evaluación Periódica y Ajustes</w:t>
      </w:r>
    </w:p>
    <w:p w14:paraId="073B45CA" w14:textId="53C0253F" w:rsidR="00CB63D2" w:rsidRDefault="00CB63D2" w:rsidP="00CB63D2">
      <w:pPr>
        <w:pStyle w:val="TextoPrincipal"/>
        <w:spacing w:line="360" w:lineRule="auto"/>
        <w:ind w:left="720" w:firstLine="0"/>
      </w:pPr>
      <w:r w:rsidRPr="008F55C1">
        <w:rPr>
          <w:b/>
          <w:bCs/>
        </w:rPr>
        <w:t>Duración:</w:t>
      </w:r>
      <w:r>
        <w:t xml:space="preserve"> Mes 7-12</w:t>
      </w:r>
    </w:p>
    <w:p w14:paraId="07F11D1E" w14:textId="77777777" w:rsidR="00CB63D2" w:rsidRDefault="00CB63D2" w:rsidP="00CB63D2">
      <w:pPr>
        <w:pStyle w:val="TextoPrincipal"/>
        <w:spacing w:line="360" w:lineRule="auto"/>
      </w:pPr>
      <w:r w:rsidRPr="00514810">
        <w:rPr>
          <w:b/>
          <w:bCs/>
        </w:rPr>
        <w:t>Objetivo General:</w:t>
      </w:r>
    </w:p>
    <w:p w14:paraId="5C0DE76F" w14:textId="77777777" w:rsidR="00CB63D2" w:rsidRDefault="00CB63D2" w:rsidP="00CB63D2">
      <w:pPr>
        <w:pStyle w:val="TextoPrincipal"/>
      </w:pPr>
      <w:r w:rsidRPr="00CB63D2">
        <w:lastRenderedPageBreak/>
        <w:t>Conducir revisiones sistemáticas de costos y eficiencia, implementando ajustes estratégicos en respuesta al rendimiento y a los cambios organizativos, para mantener una gestión de costos administrativos eficaz y adaptable.</w:t>
      </w:r>
      <w:r>
        <w:t xml:space="preserve"> </w:t>
      </w:r>
    </w:p>
    <w:p w14:paraId="67948E0D" w14:textId="08F9390A" w:rsidR="00CB63D2" w:rsidRPr="00CB63D2" w:rsidRDefault="00CB63D2" w:rsidP="00CB63D2">
      <w:pPr>
        <w:pStyle w:val="TextoPrincipal"/>
      </w:pPr>
      <w:r w:rsidRPr="002677CD">
        <w:rPr>
          <w:b/>
        </w:rPr>
        <w:t>Pasos del Proceso:</w:t>
      </w:r>
    </w:p>
    <w:p w14:paraId="13AF853B" w14:textId="55EA7F3C" w:rsidR="00CB63D2" w:rsidRPr="00CB63D2" w:rsidRDefault="00CB63D2" w:rsidP="00CB63D2">
      <w:pPr>
        <w:pStyle w:val="TextoPrincipal"/>
      </w:pPr>
      <w:r w:rsidRPr="00CB63D2">
        <w:rPr>
          <w:b/>
        </w:rPr>
        <w:t>2.1 Programación de Revisiones Periódicas:</w:t>
      </w:r>
    </w:p>
    <w:p w14:paraId="4F96E7E6" w14:textId="3B9CA8B9" w:rsidR="00CB63D2" w:rsidRPr="00CB63D2" w:rsidRDefault="00CB63D2" w:rsidP="007E7E61">
      <w:pPr>
        <w:pStyle w:val="TextoPrincipal"/>
        <w:numPr>
          <w:ilvl w:val="0"/>
          <w:numId w:val="39"/>
        </w:numPr>
      </w:pPr>
      <w:r w:rsidRPr="00CB63D2">
        <w:t>Establecer un calendario regular para revisiones periódicas de costos y eficiencia.</w:t>
      </w:r>
    </w:p>
    <w:p w14:paraId="3F7B6A52" w14:textId="70582189" w:rsidR="00CB63D2" w:rsidRPr="00CB63D2" w:rsidRDefault="00CB63D2" w:rsidP="007E7E61">
      <w:pPr>
        <w:pStyle w:val="TextoPrincipal"/>
        <w:numPr>
          <w:ilvl w:val="0"/>
          <w:numId w:val="39"/>
        </w:numPr>
      </w:pPr>
      <w:r w:rsidRPr="00CB63D2">
        <w:t>Asegurar que las revisiones se alineen con los ciclos financieros y estratégicos de la institución financiera.</w:t>
      </w:r>
    </w:p>
    <w:p w14:paraId="7CAAAFAA" w14:textId="15EB485F" w:rsidR="00CB63D2" w:rsidRPr="00CB63D2" w:rsidRDefault="00CB63D2" w:rsidP="00CB63D2">
      <w:pPr>
        <w:pStyle w:val="TextoPrincipal"/>
      </w:pPr>
      <w:r w:rsidRPr="00CB63D2">
        <w:rPr>
          <w:b/>
        </w:rPr>
        <w:t>2.2 Análisis de Resultados KPI:</w:t>
      </w:r>
    </w:p>
    <w:p w14:paraId="3B2211D5" w14:textId="381519B8" w:rsidR="00CB63D2" w:rsidRPr="00CB63D2" w:rsidRDefault="00CB63D2" w:rsidP="007E7E61">
      <w:pPr>
        <w:pStyle w:val="TextoPrincipal"/>
        <w:numPr>
          <w:ilvl w:val="0"/>
          <w:numId w:val="39"/>
        </w:numPr>
      </w:pPr>
      <w:r w:rsidRPr="00CB63D2">
        <w:t xml:space="preserve">Analizar los resultados de los </w:t>
      </w:r>
      <w:proofErr w:type="spellStart"/>
      <w:r w:rsidRPr="00CB63D2">
        <w:t>KPIs</w:t>
      </w:r>
      <w:proofErr w:type="spellEnd"/>
      <w:r w:rsidRPr="00CB63D2">
        <w:t xml:space="preserve"> establecidos durante las revisiones periódicas.</w:t>
      </w:r>
    </w:p>
    <w:p w14:paraId="608D3AEA" w14:textId="7A403FB3" w:rsidR="00CB63D2" w:rsidRPr="00CB63D2" w:rsidRDefault="00CB63D2" w:rsidP="007E7E61">
      <w:pPr>
        <w:pStyle w:val="TextoPrincipal"/>
        <w:numPr>
          <w:ilvl w:val="0"/>
          <w:numId w:val="39"/>
        </w:numPr>
      </w:pPr>
      <w:r w:rsidRPr="00CB63D2">
        <w:t>Identificar tendencias, áreas de mejora y posibles desviaciones con respecto a los objetivos establecidos.</w:t>
      </w:r>
    </w:p>
    <w:p w14:paraId="251A0996" w14:textId="15FCC14B" w:rsidR="00CB63D2" w:rsidRPr="00CB63D2" w:rsidRDefault="00CB63D2" w:rsidP="00CB63D2">
      <w:pPr>
        <w:pStyle w:val="TextoPrincipal"/>
      </w:pPr>
      <w:r w:rsidRPr="00CB63D2">
        <w:rPr>
          <w:b/>
        </w:rPr>
        <w:t>2.3 Evaluación del Impacto en los Costos Administrativos:</w:t>
      </w:r>
    </w:p>
    <w:p w14:paraId="72EE8C84" w14:textId="013382AA" w:rsidR="00CB63D2" w:rsidRPr="00CB63D2" w:rsidRDefault="00CB63D2" w:rsidP="007E7E61">
      <w:pPr>
        <w:pStyle w:val="TextoPrincipal"/>
        <w:numPr>
          <w:ilvl w:val="0"/>
          <w:numId w:val="39"/>
        </w:numPr>
      </w:pPr>
      <w:r w:rsidRPr="00CB63D2">
        <w:t>Evaluar el impacto de los resultados de las revisiones en los costos administrativos.</w:t>
      </w:r>
    </w:p>
    <w:p w14:paraId="20C0F663" w14:textId="7ABA60CB" w:rsidR="00CB63D2" w:rsidRPr="00CB63D2" w:rsidRDefault="00CB63D2" w:rsidP="007E7E61">
      <w:pPr>
        <w:pStyle w:val="TextoPrincipal"/>
        <w:numPr>
          <w:ilvl w:val="0"/>
          <w:numId w:val="39"/>
        </w:numPr>
      </w:pPr>
      <w:r w:rsidRPr="00CB63D2">
        <w:t>Identificar oportunidades para la optimización y la reducción de costos.</w:t>
      </w:r>
    </w:p>
    <w:p w14:paraId="25B8EF76" w14:textId="2A7CB048" w:rsidR="00CB63D2" w:rsidRPr="00CB63D2" w:rsidRDefault="00CB63D2" w:rsidP="00CB63D2">
      <w:pPr>
        <w:pStyle w:val="TextoPrincipal"/>
      </w:pPr>
      <w:r w:rsidRPr="00CB63D2">
        <w:rPr>
          <w:b/>
        </w:rPr>
        <w:t>2.4 Ajustes Estratégicos:</w:t>
      </w:r>
    </w:p>
    <w:p w14:paraId="42C73DE3" w14:textId="7B9A403D" w:rsidR="00CB63D2" w:rsidRPr="00CB63D2" w:rsidRDefault="00CB63D2" w:rsidP="007E7E61">
      <w:pPr>
        <w:pStyle w:val="TextoPrincipal"/>
        <w:numPr>
          <w:ilvl w:val="0"/>
          <w:numId w:val="39"/>
        </w:numPr>
      </w:pPr>
      <w:r w:rsidRPr="00CB63D2">
        <w:t>Implementar ajustes estratégicos en las prácticas y procesos de gestión de costos según los hallazgos de las revisiones.</w:t>
      </w:r>
    </w:p>
    <w:p w14:paraId="76A28E80" w14:textId="71C3183D" w:rsidR="00CB63D2" w:rsidRPr="00CB63D2" w:rsidRDefault="00CB63D2" w:rsidP="007E7E61">
      <w:pPr>
        <w:pStyle w:val="TextoPrincipal"/>
        <w:numPr>
          <w:ilvl w:val="0"/>
          <w:numId w:val="39"/>
        </w:numPr>
      </w:pPr>
      <w:r w:rsidRPr="00CB63D2">
        <w:t>Asegurar que los ajustes estén alineados con los objetivos organizativos y financieros.</w:t>
      </w:r>
    </w:p>
    <w:p w14:paraId="5541BD82" w14:textId="2C5121C3" w:rsidR="00CB63D2" w:rsidRPr="00CB63D2" w:rsidRDefault="00CB63D2" w:rsidP="00CB63D2">
      <w:pPr>
        <w:pStyle w:val="TextoPrincipal"/>
      </w:pPr>
      <w:r w:rsidRPr="00CB63D2">
        <w:rPr>
          <w:b/>
        </w:rPr>
        <w:t>2.5 Evaluación de Cambios Organizativos:</w:t>
      </w:r>
    </w:p>
    <w:p w14:paraId="56100B8D" w14:textId="233F67FC" w:rsidR="00CB63D2" w:rsidRPr="00CB63D2" w:rsidRDefault="00CB63D2" w:rsidP="007E7E61">
      <w:pPr>
        <w:pStyle w:val="TextoPrincipal"/>
        <w:numPr>
          <w:ilvl w:val="0"/>
          <w:numId w:val="39"/>
        </w:numPr>
      </w:pPr>
      <w:r w:rsidRPr="00CB63D2">
        <w:lastRenderedPageBreak/>
        <w:t>Evaluar cualquier cambio organizativo que pueda afectar la gestión de costos administrativos.</w:t>
      </w:r>
    </w:p>
    <w:p w14:paraId="2427098B" w14:textId="120B4A03" w:rsidR="00CB63D2" w:rsidRPr="00CB63D2" w:rsidRDefault="00CB63D2" w:rsidP="007E7E61">
      <w:pPr>
        <w:pStyle w:val="TextoPrincipal"/>
        <w:numPr>
          <w:ilvl w:val="0"/>
          <w:numId w:val="39"/>
        </w:numPr>
      </w:pPr>
      <w:r w:rsidRPr="00CB63D2">
        <w:t>Ajustar estrategias y procesos para adaptarse a las nuevas dinámicas organizativas.</w:t>
      </w:r>
    </w:p>
    <w:p w14:paraId="08A5DE6F" w14:textId="0D97FB65" w:rsidR="00CB63D2" w:rsidRPr="00CB63D2" w:rsidRDefault="00CB63D2" w:rsidP="00CB63D2">
      <w:pPr>
        <w:pStyle w:val="TextoPrincipal"/>
      </w:pPr>
      <w:r w:rsidRPr="00CB63D2">
        <w:rPr>
          <w:b/>
        </w:rPr>
        <w:t>2.6 Comunicación Interna:</w:t>
      </w:r>
    </w:p>
    <w:p w14:paraId="5E52FFFF" w14:textId="63393A37" w:rsidR="00CB63D2" w:rsidRPr="00CB63D2" w:rsidRDefault="00CB63D2" w:rsidP="007E7E61">
      <w:pPr>
        <w:pStyle w:val="TextoPrincipal"/>
        <w:numPr>
          <w:ilvl w:val="0"/>
          <w:numId w:val="39"/>
        </w:numPr>
      </w:pPr>
      <w:r w:rsidRPr="00CB63D2">
        <w:t>Comunicar de manera proactiva los resultados de las revisiones y los ajustes planificados al personal.</w:t>
      </w:r>
    </w:p>
    <w:p w14:paraId="273CC3B6" w14:textId="0441C976" w:rsidR="00CB63D2" w:rsidRPr="00CB63D2" w:rsidRDefault="00CB63D2" w:rsidP="007E7E61">
      <w:pPr>
        <w:pStyle w:val="TextoPrincipal"/>
        <w:numPr>
          <w:ilvl w:val="0"/>
          <w:numId w:val="39"/>
        </w:numPr>
      </w:pPr>
      <w:r w:rsidRPr="00CB63D2">
        <w:t>Fomentar la transparencia y la comprensión de la importancia de la adaptabilidad en la gestión de costos.</w:t>
      </w:r>
    </w:p>
    <w:p w14:paraId="612CD9F5" w14:textId="45B16F07" w:rsidR="00CB63D2" w:rsidRPr="00CB63D2" w:rsidRDefault="00CB63D2" w:rsidP="00CB63D2">
      <w:pPr>
        <w:pStyle w:val="TextoPrincipal"/>
      </w:pPr>
      <w:r w:rsidRPr="00CB63D2">
        <w:rPr>
          <w:b/>
        </w:rPr>
        <w:t>2.7 Retroalimentación del Personal:</w:t>
      </w:r>
    </w:p>
    <w:p w14:paraId="10B278BA" w14:textId="64E74C8E" w:rsidR="00CB63D2" w:rsidRPr="00CB63D2" w:rsidRDefault="00CB63D2" w:rsidP="007E7E61">
      <w:pPr>
        <w:pStyle w:val="TextoPrincipal"/>
        <w:numPr>
          <w:ilvl w:val="0"/>
          <w:numId w:val="39"/>
        </w:numPr>
      </w:pPr>
      <w:r w:rsidRPr="00CB63D2">
        <w:t>Recoger la retroalimentación del personal sobre los ajustes implementados y su impacto en las operaciones diarias.</w:t>
      </w:r>
    </w:p>
    <w:p w14:paraId="688F37EA" w14:textId="4DE69A18" w:rsidR="00CB63D2" w:rsidRPr="00CB63D2" w:rsidRDefault="00CB63D2" w:rsidP="007E7E61">
      <w:pPr>
        <w:pStyle w:val="TextoPrincipal"/>
        <w:numPr>
          <w:ilvl w:val="0"/>
          <w:numId w:val="39"/>
        </w:numPr>
      </w:pPr>
      <w:r w:rsidRPr="00CB63D2">
        <w:t>Identificar posibles desafíos y áreas que requieran atención adicional.</w:t>
      </w:r>
    </w:p>
    <w:p w14:paraId="5960EBEA" w14:textId="64131B39" w:rsidR="00CB63D2" w:rsidRPr="00CB63D2" w:rsidRDefault="00CB63D2" w:rsidP="00CB63D2">
      <w:pPr>
        <w:pStyle w:val="TextoPrincipal"/>
      </w:pPr>
      <w:r w:rsidRPr="00304735">
        <w:rPr>
          <w:b/>
        </w:rPr>
        <w:t>2.8 Mejoras Continuas:</w:t>
      </w:r>
    </w:p>
    <w:p w14:paraId="76475D07" w14:textId="6EC57D79" w:rsidR="00CB63D2" w:rsidRPr="00CB63D2" w:rsidRDefault="00CB63D2" w:rsidP="007E7E61">
      <w:pPr>
        <w:pStyle w:val="TextoPrincipal"/>
        <w:numPr>
          <w:ilvl w:val="0"/>
          <w:numId w:val="39"/>
        </w:numPr>
      </w:pPr>
      <w:r w:rsidRPr="00CB63D2">
        <w:t>Implementar mejoras continuas en los procesos de gestión de costos en función de la retroalimentación y los resultados de las revisiones.</w:t>
      </w:r>
    </w:p>
    <w:p w14:paraId="71A3A169" w14:textId="77CFE0E9" w:rsidR="00CB63D2" w:rsidRPr="00CB63D2" w:rsidRDefault="00CB63D2" w:rsidP="007E7E61">
      <w:pPr>
        <w:pStyle w:val="TextoPrincipal"/>
        <w:numPr>
          <w:ilvl w:val="0"/>
          <w:numId w:val="39"/>
        </w:numPr>
      </w:pPr>
      <w:r w:rsidRPr="00CB63D2">
        <w:t>Mantener una mentalidad de mejora constante.</w:t>
      </w:r>
    </w:p>
    <w:p w14:paraId="2D74287D" w14:textId="2E825CF0" w:rsidR="00CB63D2" w:rsidRPr="00CB63D2" w:rsidRDefault="00CB63D2" w:rsidP="00CB63D2">
      <w:pPr>
        <w:pStyle w:val="TextoPrincipal"/>
      </w:pPr>
      <w:r w:rsidRPr="00304735">
        <w:rPr>
          <w:b/>
        </w:rPr>
        <w:t xml:space="preserve">2.9 Actualización de </w:t>
      </w:r>
      <w:proofErr w:type="spellStart"/>
      <w:r w:rsidRPr="00304735">
        <w:rPr>
          <w:b/>
        </w:rPr>
        <w:t>KPIs</w:t>
      </w:r>
      <w:proofErr w:type="spellEnd"/>
      <w:r w:rsidRPr="00304735">
        <w:rPr>
          <w:b/>
        </w:rPr>
        <w:t xml:space="preserve"> si es necesario:</w:t>
      </w:r>
    </w:p>
    <w:p w14:paraId="6EF5F718" w14:textId="7625C78A" w:rsidR="00CB63D2" w:rsidRPr="00CB63D2" w:rsidRDefault="00CB63D2" w:rsidP="007E7E61">
      <w:pPr>
        <w:pStyle w:val="TextoPrincipal"/>
        <w:numPr>
          <w:ilvl w:val="0"/>
          <w:numId w:val="39"/>
        </w:numPr>
      </w:pPr>
      <w:r w:rsidRPr="00CB63D2">
        <w:t xml:space="preserve">Reevaluar y actualizar los </w:t>
      </w:r>
      <w:proofErr w:type="spellStart"/>
      <w:r w:rsidRPr="00CB63D2">
        <w:t>KPIs</w:t>
      </w:r>
      <w:proofErr w:type="spellEnd"/>
      <w:r w:rsidRPr="00CB63D2">
        <w:t xml:space="preserve"> si es necesario para reflejar cambios en las prioridades organizativas o en el entorno financiero.</w:t>
      </w:r>
    </w:p>
    <w:p w14:paraId="6D15387F" w14:textId="53D96631" w:rsidR="00CB63D2" w:rsidRPr="00CB63D2" w:rsidRDefault="00CB63D2" w:rsidP="00CB63D2">
      <w:pPr>
        <w:pStyle w:val="TextoPrincipal"/>
      </w:pPr>
      <w:r w:rsidRPr="00304735">
        <w:rPr>
          <w:b/>
        </w:rPr>
        <w:t>2.10 Informe de Evaluación Periódica:</w:t>
      </w:r>
    </w:p>
    <w:p w14:paraId="622545D0" w14:textId="209D0D9F" w:rsidR="00CB63D2" w:rsidRPr="00CB63D2" w:rsidRDefault="00CB63D2" w:rsidP="007E7E61">
      <w:pPr>
        <w:pStyle w:val="TextoPrincipal"/>
        <w:numPr>
          <w:ilvl w:val="0"/>
          <w:numId w:val="39"/>
        </w:numPr>
      </w:pPr>
      <w:r w:rsidRPr="00CB63D2">
        <w:lastRenderedPageBreak/>
        <w:t>Preparar un informe detallado que documente los resultados de la evaluación periódica y los ajustes implementados.</w:t>
      </w:r>
    </w:p>
    <w:p w14:paraId="13DADEC3" w14:textId="0246B7E1" w:rsidR="00CB63D2" w:rsidRPr="00CB63D2" w:rsidRDefault="00CB63D2" w:rsidP="007E7E61">
      <w:pPr>
        <w:pStyle w:val="TextoPrincipal"/>
        <w:numPr>
          <w:ilvl w:val="0"/>
          <w:numId w:val="39"/>
        </w:numPr>
      </w:pPr>
      <w:r w:rsidRPr="00CB63D2">
        <w:t xml:space="preserve">Presentar el informe a los </w:t>
      </w:r>
      <w:proofErr w:type="spellStart"/>
      <w:r w:rsidRPr="00CB63D2">
        <w:t>stakeholders</w:t>
      </w:r>
      <w:proofErr w:type="spellEnd"/>
      <w:r w:rsidRPr="00CB63D2">
        <w:t xml:space="preserve"> clave para mantener la alineación estratégica.</w:t>
      </w:r>
    </w:p>
    <w:p w14:paraId="4317656C" w14:textId="4EA09769" w:rsidR="00CB63D2" w:rsidRPr="00CB63D2" w:rsidRDefault="00CB63D2" w:rsidP="00CB63D2">
      <w:pPr>
        <w:pStyle w:val="TextoPrincipal"/>
      </w:pPr>
      <w:r w:rsidRPr="00CB63D2">
        <w:t>Este proceso establece un ciclo de evaluación y ajustes continuos, asegurando que la gestión de costos administrativos se adapte de manera efectiva a los cambios internos y externos, y permita a la institución financiera mantener un enfoque ágil y proactivo hacia la eficiencia operativa.</w:t>
      </w:r>
    </w:p>
    <w:p w14:paraId="144B40C6" w14:textId="26009B5C" w:rsidR="00CB63D2" w:rsidRDefault="00CB63D2" w:rsidP="00CB63D2">
      <w:pPr>
        <w:pStyle w:val="TextoPrincipal"/>
        <w:rPr>
          <w:b/>
        </w:rPr>
      </w:pPr>
    </w:p>
    <w:p w14:paraId="0054F171" w14:textId="55BF276F" w:rsidR="00CB63D2" w:rsidRDefault="00CB63D2" w:rsidP="00CB63D2">
      <w:pPr>
        <w:pStyle w:val="TextoPrincipal"/>
        <w:rPr>
          <w:b/>
        </w:rPr>
      </w:pPr>
    </w:p>
    <w:p w14:paraId="2158ADB0" w14:textId="77777777" w:rsidR="00CB63D2" w:rsidRDefault="00CB63D2" w:rsidP="00CB63D2">
      <w:pPr>
        <w:pStyle w:val="TextoPrincipal"/>
      </w:pPr>
    </w:p>
    <w:p w14:paraId="6AABEC70" w14:textId="68E84D2E" w:rsidR="00CB63D2" w:rsidRPr="001A41E4" w:rsidRDefault="00CB63D2" w:rsidP="009320AC">
      <w:pPr>
        <w:pStyle w:val="TextoPrincipal"/>
        <w:ind w:firstLine="0"/>
        <w:sectPr w:rsidR="00CB63D2" w:rsidRPr="001A41E4" w:rsidSect="00151EC0">
          <w:pgSz w:w="12240" w:h="15840" w:code="1"/>
          <w:pgMar w:top="1440" w:right="1440" w:bottom="1440" w:left="1440" w:header="709" w:footer="709" w:gutter="0"/>
          <w:cols w:space="708"/>
          <w:docGrid w:linePitch="360"/>
        </w:sectPr>
      </w:pPr>
    </w:p>
    <w:p w14:paraId="22948EE1" w14:textId="61CD1BCC" w:rsidR="00875F00" w:rsidRDefault="006075C1" w:rsidP="007E7E61">
      <w:pPr>
        <w:pStyle w:val="Ttulo2"/>
        <w:numPr>
          <w:ilvl w:val="1"/>
          <w:numId w:val="13"/>
        </w:numPr>
        <w:spacing w:line="360" w:lineRule="auto"/>
      </w:pPr>
      <w:bookmarkStart w:id="194" w:name="_Toc155066665"/>
      <w:r>
        <w:lastRenderedPageBreak/>
        <w:t>CONCORDANCIA DE LOS SEGMENTOS DE LA TESIS CON LA PROPUESTA</w:t>
      </w:r>
      <w:bookmarkEnd w:id="192"/>
      <w:bookmarkEnd w:id="194"/>
    </w:p>
    <w:bookmarkEnd w:id="193"/>
    <w:p w14:paraId="28527E5B" w14:textId="22C6232A" w:rsidR="00875F00" w:rsidRPr="00875F00" w:rsidRDefault="00875F00" w:rsidP="00875F00">
      <w:pPr>
        <w:pStyle w:val="TextoPrincipal"/>
        <w:spacing w:line="360" w:lineRule="auto"/>
        <w:rPr>
          <w:rFonts w:eastAsia="Calibri"/>
          <w:b/>
          <w:bCs/>
          <w:iCs/>
        </w:rPr>
      </w:pPr>
      <w:r w:rsidRPr="00434B43">
        <w:rPr>
          <w:rFonts w:eastAsia="Calibri"/>
          <w:b/>
          <w:bCs/>
          <w:iCs/>
        </w:rPr>
        <w:t xml:space="preserve">Tabla </w:t>
      </w:r>
      <w:r>
        <w:rPr>
          <w:rFonts w:eastAsia="Calibri"/>
          <w:b/>
          <w:bCs/>
          <w:iCs/>
        </w:rPr>
        <w:t>6. C</w:t>
      </w:r>
      <w:r w:rsidRPr="00875F00">
        <w:rPr>
          <w:rFonts w:eastAsia="Calibri"/>
          <w:b/>
          <w:bCs/>
          <w:iCs/>
        </w:rPr>
        <w:t xml:space="preserve">oncordancia de los </w:t>
      </w:r>
      <w:r>
        <w:rPr>
          <w:rFonts w:eastAsia="Calibri"/>
          <w:b/>
          <w:bCs/>
          <w:iCs/>
        </w:rPr>
        <w:t>Se</w:t>
      </w:r>
      <w:r w:rsidRPr="00875F00">
        <w:rPr>
          <w:rFonts w:eastAsia="Calibri"/>
          <w:b/>
          <w:bCs/>
          <w:iCs/>
        </w:rPr>
        <w:t xml:space="preserve">gmentos de la </w:t>
      </w:r>
      <w:r>
        <w:rPr>
          <w:rFonts w:eastAsia="Calibri"/>
          <w:b/>
          <w:bCs/>
          <w:iCs/>
        </w:rPr>
        <w:t>T</w:t>
      </w:r>
      <w:r w:rsidRPr="00875F00">
        <w:rPr>
          <w:rFonts w:eastAsia="Calibri"/>
          <w:b/>
          <w:bCs/>
          <w:iCs/>
        </w:rPr>
        <w:t xml:space="preserve">esis con la </w:t>
      </w:r>
      <w:r>
        <w:rPr>
          <w:rFonts w:eastAsia="Calibri"/>
          <w:b/>
          <w:bCs/>
          <w:iCs/>
        </w:rPr>
        <w:t>P</w:t>
      </w:r>
      <w:r w:rsidRPr="00875F00">
        <w:rPr>
          <w:rFonts w:eastAsia="Calibri"/>
          <w:b/>
          <w:bCs/>
          <w:iCs/>
        </w:rPr>
        <w:t>ropuesta</w:t>
      </w:r>
    </w:p>
    <w:tbl>
      <w:tblPr>
        <w:tblW w:w="15187" w:type="dxa"/>
        <w:tblInd w:w="-998" w:type="dxa"/>
        <w:tblLayout w:type="fixed"/>
        <w:tblCellMar>
          <w:left w:w="70" w:type="dxa"/>
          <w:right w:w="70" w:type="dxa"/>
        </w:tblCellMar>
        <w:tblLook w:val="04A0" w:firstRow="1" w:lastRow="0" w:firstColumn="1" w:lastColumn="0" w:noHBand="0" w:noVBand="1"/>
      </w:tblPr>
      <w:tblGrid>
        <w:gridCol w:w="1248"/>
        <w:gridCol w:w="1350"/>
        <w:gridCol w:w="1350"/>
        <w:gridCol w:w="1211"/>
        <w:gridCol w:w="1368"/>
        <w:gridCol w:w="1068"/>
        <w:gridCol w:w="1230"/>
        <w:gridCol w:w="2800"/>
        <w:gridCol w:w="1417"/>
        <w:gridCol w:w="1985"/>
        <w:gridCol w:w="160"/>
      </w:tblGrid>
      <w:tr w:rsidR="00F22CE3" w:rsidRPr="00F22CE3" w14:paraId="53A8A572" w14:textId="77777777" w:rsidTr="00F22CE3">
        <w:trPr>
          <w:gridAfter w:val="1"/>
          <w:wAfter w:w="160" w:type="dxa"/>
          <w:trHeight w:val="240"/>
          <w:tblHeader/>
        </w:trPr>
        <w:tc>
          <w:tcPr>
            <w:tcW w:w="3948"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5B34A5"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Capítulo I</w:t>
            </w:r>
          </w:p>
        </w:tc>
        <w:tc>
          <w:tcPr>
            <w:tcW w:w="1211" w:type="dxa"/>
            <w:tcBorders>
              <w:top w:val="single" w:sz="4" w:space="0" w:color="auto"/>
              <w:left w:val="nil"/>
              <w:bottom w:val="single" w:sz="4" w:space="0" w:color="auto"/>
              <w:right w:val="single" w:sz="4" w:space="0" w:color="auto"/>
            </w:tcBorders>
            <w:shd w:val="clear" w:color="auto" w:fill="auto"/>
            <w:noWrap/>
            <w:vAlign w:val="center"/>
            <w:hideMark/>
          </w:tcPr>
          <w:p w14:paraId="6DFF736F"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Capítulo II</w:t>
            </w:r>
          </w:p>
        </w:tc>
        <w:tc>
          <w:tcPr>
            <w:tcW w:w="3666" w:type="dxa"/>
            <w:gridSpan w:val="3"/>
            <w:tcBorders>
              <w:top w:val="single" w:sz="4" w:space="0" w:color="auto"/>
              <w:left w:val="nil"/>
              <w:bottom w:val="single" w:sz="4" w:space="0" w:color="auto"/>
              <w:right w:val="single" w:sz="4" w:space="0" w:color="auto"/>
            </w:tcBorders>
            <w:shd w:val="clear" w:color="auto" w:fill="auto"/>
            <w:noWrap/>
            <w:vAlign w:val="center"/>
            <w:hideMark/>
          </w:tcPr>
          <w:p w14:paraId="7BFC4CD3"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Capítulo III</w:t>
            </w:r>
          </w:p>
        </w:tc>
        <w:tc>
          <w:tcPr>
            <w:tcW w:w="2800" w:type="dxa"/>
            <w:tcBorders>
              <w:top w:val="single" w:sz="4" w:space="0" w:color="auto"/>
              <w:left w:val="nil"/>
              <w:bottom w:val="single" w:sz="4" w:space="0" w:color="auto"/>
              <w:right w:val="single" w:sz="4" w:space="0" w:color="000000"/>
            </w:tcBorders>
            <w:shd w:val="clear" w:color="auto" w:fill="auto"/>
            <w:noWrap/>
            <w:vAlign w:val="center"/>
            <w:hideMark/>
          </w:tcPr>
          <w:p w14:paraId="191C4340"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Capítulo V</w:t>
            </w:r>
          </w:p>
        </w:tc>
        <w:tc>
          <w:tcPr>
            <w:tcW w:w="3402" w:type="dxa"/>
            <w:gridSpan w:val="2"/>
            <w:tcBorders>
              <w:top w:val="single" w:sz="4" w:space="0" w:color="auto"/>
              <w:left w:val="nil"/>
              <w:bottom w:val="single" w:sz="4" w:space="0" w:color="auto"/>
              <w:right w:val="single" w:sz="4" w:space="0" w:color="auto"/>
            </w:tcBorders>
            <w:shd w:val="clear" w:color="auto" w:fill="auto"/>
            <w:noWrap/>
            <w:vAlign w:val="center"/>
            <w:hideMark/>
          </w:tcPr>
          <w:p w14:paraId="6C4CA6D2"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Capítulo VI</w:t>
            </w:r>
          </w:p>
        </w:tc>
      </w:tr>
      <w:tr w:rsidR="00F22CE3" w:rsidRPr="00F22CE3" w14:paraId="2AC80966" w14:textId="77777777" w:rsidTr="00F22CE3">
        <w:trPr>
          <w:gridAfter w:val="1"/>
          <w:wAfter w:w="160" w:type="dxa"/>
          <w:trHeight w:val="720"/>
          <w:tblHeader/>
        </w:trPr>
        <w:tc>
          <w:tcPr>
            <w:tcW w:w="1248" w:type="dxa"/>
            <w:tcBorders>
              <w:top w:val="nil"/>
              <w:left w:val="single" w:sz="4" w:space="0" w:color="auto"/>
              <w:bottom w:val="single" w:sz="4" w:space="0" w:color="auto"/>
              <w:right w:val="single" w:sz="4" w:space="0" w:color="auto"/>
            </w:tcBorders>
            <w:shd w:val="clear" w:color="auto" w:fill="auto"/>
            <w:vAlign w:val="center"/>
            <w:hideMark/>
          </w:tcPr>
          <w:p w14:paraId="07DFFAA2"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Título Investigación</w:t>
            </w:r>
          </w:p>
        </w:tc>
        <w:tc>
          <w:tcPr>
            <w:tcW w:w="1350" w:type="dxa"/>
            <w:tcBorders>
              <w:top w:val="nil"/>
              <w:left w:val="nil"/>
              <w:bottom w:val="single" w:sz="4" w:space="0" w:color="auto"/>
              <w:right w:val="single" w:sz="4" w:space="0" w:color="auto"/>
            </w:tcBorders>
            <w:shd w:val="clear" w:color="auto" w:fill="auto"/>
            <w:vAlign w:val="center"/>
            <w:hideMark/>
          </w:tcPr>
          <w:p w14:paraId="369EC1C3"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Objetivo General</w:t>
            </w:r>
          </w:p>
        </w:tc>
        <w:tc>
          <w:tcPr>
            <w:tcW w:w="1350" w:type="dxa"/>
            <w:tcBorders>
              <w:top w:val="nil"/>
              <w:left w:val="nil"/>
              <w:bottom w:val="single" w:sz="4" w:space="0" w:color="auto"/>
              <w:right w:val="single" w:sz="4" w:space="0" w:color="auto"/>
            </w:tcBorders>
            <w:shd w:val="clear" w:color="auto" w:fill="auto"/>
            <w:vAlign w:val="center"/>
            <w:hideMark/>
          </w:tcPr>
          <w:p w14:paraId="037C366D"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Objetivos Específicos</w:t>
            </w:r>
          </w:p>
        </w:tc>
        <w:tc>
          <w:tcPr>
            <w:tcW w:w="1211" w:type="dxa"/>
            <w:tcBorders>
              <w:top w:val="nil"/>
              <w:left w:val="nil"/>
              <w:bottom w:val="single" w:sz="4" w:space="0" w:color="auto"/>
              <w:right w:val="single" w:sz="4" w:space="0" w:color="auto"/>
            </w:tcBorders>
            <w:shd w:val="clear" w:color="auto" w:fill="auto"/>
            <w:vAlign w:val="center"/>
            <w:hideMark/>
          </w:tcPr>
          <w:p w14:paraId="4F40AC3E"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Teorías / Metodologías de Sustento</w:t>
            </w:r>
          </w:p>
        </w:tc>
        <w:tc>
          <w:tcPr>
            <w:tcW w:w="1368" w:type="dxa"/>
            <w:tcBorders>
              <w:top w:val="nil"/>
              <w:left w:val="nil"/>
              <w:bottom w:val="single" w:sz="4" w:space="0" w:color="auto"/>
              <w:right w:val="single" w:sz="4" w:space="0" w:color="auto"/>
            </w:tcBorders>
            <w:shd w:val="clear" w:color="auto" w:fill="auto"/>
            <w:vAlign w:val="center"/>
            <w:hideMark/>
          </w:tcPr>
          <w:p w14:paraId="7F1CACA6"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Variables</w:t>
            </w:r>
          </w:p>
        </w:tc>
        <w:tc>
          <w:tcPr>
            <w:tcW w:w="1068" w:type="dxa"/>
            <w:tcBorders>
              <w:top w:val="nil"/>
              <w:left w:val="nil"/>
              <w:bottom w:val="single" w:sz="4" w:space="0" w:color="auto"/>
              <w:right w:val="single" w:sz="4" w:space="0" w:color="auto"/>
            </w:tcBorders>
            <w:shd w:val="clear" w:color="auto" w:fill="auto"/>
            <w:vAlign w:val="center"/>
            <w:hideMark/>
          </w:tcPr>
          <w:p w14:paraId="0A184C40"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Poblaciones</w:t>
            </w:r>
          </w:p>
        </w:tc>
        <w:tc>
          <w:tcPr>
            <w:tcW w:w="1230" w:type="dxa"/>
            <w:tcBorders>
              <w:top w:val="nil"/>
              <w:left w:val="nil"/>
              <w:bottom w:val="single" w:sz="4" w:space="0" w:color="auto"/>
              <w:right w:val="single" w:sz="4" w:space="0" w:color="auto"/>
            </w:tcBorders>
            <w:shd w:val="clear" w:color="auto" w:fill="auto"/>
            <w:vAlign w:val="center"/>
            <w:hideMark/>
          </w:tcPr>
          <w:p w14:paraId="6131F51C"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Técnicas</w:t>
            </w:r>
          </w:p>
        </w:tc>
        <w:tc>
          <w:tcPr>
            <w:tcW w:w="2800" w:type="dxa"/>
            <w:tcBorders>
              <w:top w:val="single" w:sz="4" w:space="0" w:color="auto"/>
              <w:left w:val="nil"/>
              <w:bottom w:val="single" w:sz="4" w:space="0" w:color="auto"/>
              <w:right w:val="single" w:sz="4" w:space="0" w:color="000000"/>
            </w:tcBorders>
            <w:shd w:val="clear" w:color="auto" w:fill="auto"/>
            <w:vAlign w:val="center"/>
            <w:hideMark/>
          </w:tcPr>
          <w:p w14:paraId="54952669"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Conclusiones</w:t>
            </w:r>
          </w:p>
        </w:tc>
        <w:tc>
          <w:tcPr>
            <w:tcW w:w="1417" w:type="dxa"/>
            <w:tcBorders>
              <w:top w:val="nil"/>
              <w:left w:val="nil"/>
              <w:bottom w:val="single" w:sz="4" w:space="0" w:color="auto"/>
              <w:right w:val="single" w:sz="4" w:space="0" w:color="auto"/>
            </w:tcBorders>
            <w:shd w:val="clear" w:color="auto" w:fill="auto"/>
            <w:vAlign w:val="center"/>
            <w:hideMark/>
          </w:tcPr>
          <w:p w14:paraId="78EF71EB"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Nombre de la Propuesta</w:t>
            </w:r>
          </w:p>
        </w:tc>
        <w:tc>
          <w:tcPr>
            <w:tcW w:w="1985" w:type="dxa"/>
            <w:tcBorders>
              <w:top w:val="nil"/>
              <w:left w:val="nil"/>
              <w:bottom w:val="single" w:sz="4" w:space="0" w:color="auto"/>
              <w:right w:val="single" w:sz="4" w:space="0" w:color="auto"/>
            </w:tcBorders>
            <w:shd w:val="clear" w:color="auto" w:fill="auto"/>
            <w:vAlign w:val="center"/>
            <w:hideMark/>
          </w:tcPr>
          <w:p w14:paraId="14F2342B" w14:textId="77777777" w:rsidR="00F22CE3" w:rsidRPr="00F22CE3" w:rsidRDefault="00F22CE3" w:rsidP="00F22CE3">
            <w:pPr>
              <w:widowControl/>
              <w:jc w:val="center"/>
              <w:rPr>
                <w:rFonts w:ascii="Times New Roman" w:eastAsia="Times New Roman" w:hAnsi="Times New Roman" w:cs="Times New Roman"/>
                <w:b/>
                <w:bCs/>
                <w:color w:val="000000"/>
                <w:sz w:val="18"/>
                <w:szCs w:val="18"/>
                <w:lang w:eastAsia="es-HN"/>
              </w:rPr>
            </w:pPr>
            <w:r w:rsidRPr="00F22CE3">
              <w:rPr>
                <w:rFonts w:ascii="Times New Roman" w:eastAsia="Times New Roman" w:hAnsi="Times New Roman" w:cs="Times New Roman"/>
                <w:b/>
                <w:bCs/>
                <w:color w:val="000000"/>
                <w:sz w:val="18"/>
                <w:szCs w:val="18"/>
                <w:lang w:eastAsia="es-HN"/>
              </w:rPr>
              <w:t>Objetivos Propuesta</w:t>
            </w:r>
          </w:p>
        </w:tc>
      </w:tr>
      <w:tr w:rsidR="00F22CE3" w:rsidRPr="00F22CE3" w14:paraId="4357B43C" w14:textId="77777777" w:rsidTr="00F22CE3">
        <w:trPr>
          <w:gridAfter w:val="1"/>
          <w:wAfter w:w="160" w:type="dxa"/>
          <w:trHeight w:val="1380"/>
        </w:trPr>
        <w:tc>
          <w:tcPr>
            <w:tcW w:w="1248" w:type="dxa"/>
            <w:vMerge w:val="restart"/>
            <w:tcBorders>
              <w:top w:val="nil"/>
              <w:left w:val="single" w:sz="4" w:space="0" w:color="auto"/>
              <w:bottom w:val="single" w:sz="4" w:space="0" w:color="auto"/>
              <w:right w:val="single" w:sz="4" w:space="0" w:color="auto"/>
            </w:tcBorders>
            <w:shd w:val="clear" w:color="auto" w:fill="auto"/>
            <w:vAlign w:val="center"/>
            <w:hideMark/>
          </w:tcPr>
          <w:p w14:paraId="571D553C"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Análisis y Descomposición de la Tasa de Interés Nominal en Moneda Nacional Cobrada por los Bancos Comerciales en Honduras Durante el Período 2019-2022.</w:t>
            </w:r>
          </w:p>
        </w:tc>
        <w:tc>
          <w:tcPr>
            <w:tcW w:w="1350" w:type="dxa"/>
            <w:vMerge w:val="restart"/>
            <w:tcBorders>
              <w:top w:val="nil"/>
              <w:left w:val="single" w:sz="4" w:space="0" w:color="auto"/>
              <w:bottom w:val="single" w:sz="4" w:space="0" w:color="auto"/>
              <w:right w:val="single" w:sz="4" w:space="0" w:color="auto"/>
            </w:tcBorders>
            <w:shd w:val="clear" w:color="auto" w:fill="auto"/>
            <w:vAlign w:val="center"/>
            <w:hideMark/>
          </w:tcPr>
          <w:p w14:paraId="1B5BCE11"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Analizar los principales factores macroeconómicos y financieros que determinaron el comportamiento cíclico de la tasa de interés nominal en moneda nacional cobrada por los bancos comerciales en Honduras durante el período de 2019 a 2022.</w:t>
            </w:r>
          </w:p>
        </w:tc>
        <w:tc>
          <w:tcPr>
            <w:tcW w:w="1350" w:type="dxa"/>
            <w:vMerge w:val="restart"/>
            <w:tcBorders>
              <w:top w:val="nil"/>
              <w:left w:val="single" w:sz="4" w:space="0" w:color="auto"/>
              <w:bottom w:val="single" w:sz="4" w:space="0" w:color="000000"/>
              <w:right w:val="single" w:sz="4" w:space="0" w:color="auto"/>
            </w:tcBorders>
            <w:shd w:val="clear" w:color="auto" w:fill="auto"/>
            <w:vAlign w:val="center"/>
            <w:hideMark/>
          </w:tcPr>
          <w:p w14:paraId="2BFD31E7"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Determinar los factores macroeconómicos que influenciaron la tasa de interés nominal en moneda nacional cobrada por los bancos comerciales en Honduras durante el período de 2019 a 2022.</w:t>
            </w:r>
          </w:p>
        </w:tc>
        <w:tc>
          <w:tcPr>
            <w:tcW w:w="1211" w:type="dxa"/>
            <w:vMerge w:val="restart"/>
            <w:tcBorders>
              <w:top w:val="nil"/>
              <w:left w:val="single" w:sz="4" w:space="0" w:color="auto"/>
              <w:bottom w:val="single" w:sz="4" w:space="0" w:color="000000"/>
              <w:right w:val="single" w:sz="4" w:space="0" w:color="auto"/>
            </w:tcBorders>
            <w:shd w:val="clear" w:color="auto" w:fill="auto"/>
            <w:vAlign w:val="center"/>
            <w:hideMark/>
          </w:tcPr>
          <w:p w14:paraId="2B702896"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 xml:space="preserve">La Metodología de Costo de Fondeo (García y López, 2015), descompone la tasa de interés activa en función de los costos en los que incurre la entidad financiera para obtener los fondos necesarios para otorgar créditos; además, considera aspectos como el riesgo crediticio y el margen de ganancia. </w:t>
            </w:r>
          </w:p>
        </w:tc>
        <w:tc>
          <w:tcPr>
            <w:tcW w:w="1368" w:type="dxa"/>
            <w:vMerge w:val="restart"/>
            <w:tcBorders>
              <w:top w:val="nil"/>
              <w:left w:val="single" w:sz="4" w:space="0" w:color="auto"/>
              <w:bottom w:val="single" w:sz="4" w:space="0" w:color="000000"/>
              <w:right w:val="single" w:sz="4" w:space="0" w:color="auto"/>
            </w:tcBorders>
            <w:shd w:val="clear" w:color="auto" w:fill="auto"/>
            <w:vAlign w:val="center"/>
            <w:hideMark/>
          </w:tcPr>
          <w:p w14:paraId="08D1C8C7"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Factores Macroeconómicos</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14:paraId="73103C4D"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 xml:space="preserve">Los quince bancos comerciales del sistema financiero con operaciones en el país durante el período 2019-2022, siendo los elementos de medición los estados financieros de las instituciones bancarias y la estadística monetaria copilada por los entes reguladores en el período descrito; así como, actores clave del sistema financiero y </w:t>
            </w:r>
            <w:r w:rsidRPr="00F22CE3">
              <w:rPr>
                <w:rFonts w:ascii="Times New Roman" w:eastAsia="Times New Roman" w:hAnsi="Times New Roman" w:cs="Times New Roman"/>
                <w:color w:val="000000"/>
                <w:sz w:val="18"/>
                <w:szCs w:val="18"/>
                <w:lang w:eastAsia="es-HN"/>
              </w:rPr>
              <w:lastRenderedPageBreak/>
              <w:t>monetario del país que aportan información valiosa a la investigación.</w:t>
            </w:r>
          </w:p>
        </w:tc>
        <w:tc>
          <w:tcPr>
            <w:tcW w:w="1230" w:type="dxa"/>
            <w:vMerge w:val="restart"/>
            <w:tcBorders>
              <w:top w:val="nil"/>
              <w:left w:val="single" w:sz="4" w:space="0" w:color="auto"/>
              <w:bottom w:val="single" w:sz="4" w:space="0" w:color="000000"/>
              <w:right w:val="single" w:sz="4" w:space="0" w:color="auto"/>
            </w:tcBorders>
            <w:shd w:val="clear" w:color="auto" w:fill="auto"/>
            <w:vAlign w:val="center"/>
            <w:hideMark/>
          </w:tcPr>
          <w:p w14:paraId="50E65726"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lastRenderedPageBreak/>
              <w:t>Muestreo por conveniencia, dado que se analiza el comportamiento de un grupo específico, en este caso los estados financieros consolidados del sistema bancario de Honduras.</w:t>
            </w:r>
          </w:p>
        </w:tc>
        <w:tc>
          <w:tcPr>
            <w:tcW w:w="280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FAA2C57"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 xml:space="preserve">Durante el período de 2019 a 2022, los factores macroeconómicos, especialmente el crecimiento económico y las decisiones de política monetaria, jugaron un papel determinante en la tasa de interés nominal en moneda nacional cobrada por los bancos comerciales en Honduras. </w:t>
            </w:r>
          </w:p>
        </w:tc>
        <w:tc>
          <w:tcPr>
            <w:tcW w:w="1417" w:type="dxa"/>
            <w:vMerge w:val="restart"/>
            <w:tcBorders>
              <w:top w:val="nil"/>
              <w:left w:val="single" w:sz="4" w:space="0" w:color="auto"/>
              <w:bottom w:val="single" w:sz="4" w:space="0" w:color="000000"/>
              <w:right w:val="single" w:sz="4" w:space="0" w:color="auto"/>
            </w:tcBorders>
            <w:shd w:val="clear" w:color="auto" w:fill="auto"/>
            <w:vAlign w:val="center"/>
            <w:hideMark/>
          </w:tcPr>
          <w:p w14:paraId="2E73CFC9" w14:textId="12C7507F"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Manual para la administración y gestión eficiente de costos administrativos para la toma de decisiones en instituciones financieras, relacionada con la optimización de procesos administrativos internos.</w:t>
            </w:r>
          </w:p>
        </w:tc>
        <w:tc>
          <w:tcPr>
            <w:tcW w:w="1985" w:type="dxa"/>
            <w:vMerge w:val="restart"/>
            <w:tcBorders>
              <w:top w:val="nil"/>
              <w:left w:val="single" w:sz="4" w:space="0" w:color="auto"/>
              <w:bottom w:val="single" w:sz="4" w:space="0" w:color="000000"/>
              <w:right w:val="single" w:sz="4" w:space="0" w:color="auto"/>
            </w:tcBorders>
            <w:shd w:val="clear" w:color="auto" w:fill="auto"/>
            <w:vAlign w:val="center"/>
            <w:hideMark/>
          </w:tcPr>
          <w:p w14:paraId="2BF7251E"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Proporcionar pautas para la optimización de los procesos administrativos internos en instituciones financieras, con el objetivo de aumentar la eficiencia operativa y reducir los costos administrativos asociados.</w:t>
            </w:r>
          </w:p>
        </w:tc>
      </w:tr>
      <w:tr w:rsidR="00F22CE3" w:rsidRPr="00F22CE3" w14:paraId="4D9AF186" w14:textId="77777777" w:rsidTr="00F22CE3">
        <w:trPr>
          <w:trHeight w:val="1380"/>
        </w:trPr>
        <w:tc>
          <w:tcPr>
            <w:tcW w:w="1248" w:type="dxa"/>
            <w:vMerge/>
            <w:tcBorders>
              <w:top w:val="nil"/>
              <w:left w:val="single" w:sz="4" w:space="0" w:color="auto"/>
              <w:bottom w:val="single" w:sz="4" w:space="0" w:color="auto"/>
              <w:right w:val="single" w:sz="4" w:space="0" w:color="auto"/>
            </w:tcBorders>
            <w:vAlign w:val="center"/>
            <w:hideMark/>
          </w:tcPr>
          <w:p w14:paraId="16AA2E74"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50" w:type="dxa"/>
            <w:vMerge/>
            <w:tcBorders>
              <w:top w:val="nil"/>
              <w:left w:val="single" w:sz="4" w:space="0" w:color="auto"/>
              <w:bottom w:val="single" w:sz="4" w:space="0" w:color="auto"/>
              <w:right w:val="single" w:sz="4" w:space="0" w:color="auto"/>
            </w:tcBorders>
            <w:vAlign w:val="center"/>
            <w:hideMark/>
          </w:tcPr>
          <w:p w14:paraId="19C4C4A7"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50" w:type="dxa"/>
            <w:vMerge/>
            <w:tcBorders>
              <w:top w:val="nil"/>
              <w:left w:val="single" w:sz="4" w:space="0" w:color="auto"/>
              <w:bottom w:val="single" w:sz="4" w:space="0" w:color="000000"/>
              <w:right w:val="single" w:sz="4" w:space="0" w:color="auto"/>
            </w:tcBorders>
            <w:vAlign w:val="center"/>
            <w:hideMark/>
          </w:tcPr>
          <w:p w14:paraId="2CB8EA19"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211" w:type="dxa"/>
            <w:vMerge/>
            <w:tcBorders>
              <w:top w:val="nil"/>
              <w:left w:val="single" w:sz="4" w:space="0" w:color="auto"/>
              <w:bottom w:val="single" w:sz="4" w:space="0" w:color="000000"/>
              <w:right w:val="single" w:sz="4" w:space="0" w:color="auto"/>
            </w:tcBorders>
            <w:vAlign w:val="center"/>
            <w:hideMark/>
          </w:tcPr>
          <w:p w14:paraId="4CF99A19"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68" w:type="dxa"/>
            <w:vMerge/>
            <w:tcBorders>
              <w:top w:val="nil"/>
              <w:left w:val="single" w:sz="4" w:space="0" w:color="auto"/>
              <w:bottom w:val="single" w:sz="4" w:space="0" w:color="000000"/>
              <w:right w:val="single" w:sz="4" w:space="0" w:color="auto"/>
            </w:tcBorders>
            <w:vAlign w:val="center"/>
            <w:hideMark/>
          </w:tcPr>
          <w:p w14:paraId="1E9982D5"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068" w:type="dxa"/>
            <w:vMerge/>
            <w:tcBorders>
              <w:top w:val="nil"/>
              <w:left w:val="single" w:sz="4" w:space="0" w:color="auto"/>
              <w:bottom w:val="single" w:sz="4" w:space="0" w:color="000000"/>
              <w:right w:val="single" w:sz="4" w:space="0" w:color="auto"/>
            </w:tcBorders>
            <w:vAlign w:val="center"/>
            <w:hideMark/>
          </w:tcPr>
          <w:p w14:paraId="023CDF61"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230" w:type="dxa"/>
            <w:vMerge/>
            <w:tcBorders>
              <w:top w:val="nil"/>
              <w:left w:val="single" w:sz="4" w:space="0" w:color="auto"/>
              <w:bottom w:val="single" w:sz="4" w:space="0" w:color="000000"/>
              <w:right w:val="single" w:sz="4" w:space="0" w:color="auto"/>
            </w:tcBorders>
            <w:vAlign w:val="center"/>
            <w:hideMark/>
          </w:tcPr>
          <w:p w14:paraId="74522FFA"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2800" w:type="dxa"/>
            <w:vMerge/>
            <w:tcBorders>
              <w:top w:val="single" w:sz="4" w:space="0" w:color="auto"/>
              <w:left w:val="single" w:sz="4" w:space="0" w:color="auto"/>
              <w:bottom w:val="single" w:sz="4" w:space="0" w:color="000000"/>
              <w:right w:val="single" w:sz="4" w:space="0" w:color="000000"/>
            </w:tcBorders>
            <w:vAlign w:val="center"/>
            <w:hideMark/>
          </w:tcPr>
          <w:p w14:paraId="10077C51"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417" w:type="dxa"/>
            <w:vMerge/>
            <w:tcBorders>
              <w:top w:val="nil"/>
              <w:left w:val="single" w:sz="4" w:space="0" w:color="auto"/>
              <w:bottom w:val="single" w:sz="4" w:space="0" w:color="000000"/>
              <w:right w:val="single" w:sz="4" w:space="0" w:color="auto"/>
            </w:tcBorders>
            <w:vAlign w:val="center"/>
            <w:hideMark/>
          </w:tcPr>
          <w:p w14:paraId="0A38E89A"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985" w:type="dxa"/>
            <w:vMerge/>
            <w:tcBorders>
              <w:top w:val="nil"/>
              <w:left w:val="single" w:sz="4" w:space="0" w:color="auto"/>
              <w:bottom w:val="single" w:sz="4" w:space="0" w:color="000000"/>
              <w:right w:val="single" w:sz="4" w:space="0" w:color="auto"/>
            </w:tcBorders>
            <w:vAlign w:val="center"/>
            <w:hideMark/>
          </w:tcPr>
          <w:p w14:paraId="443FFFC3"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60" w:type="dxa"/>
            <w:tcBorders>
              <w:top w:val="nil"/>
              <w:left w:val="nil"/>
              <w:bottom w:val="nil"/>
              <w:right w:val="nil"/>
            </w:tcBorders>
            <w:shd w:val="clear" w:color="auto" w:fill="auto"/>
            <w:noWrap/>
            <w:vAlign w:val="bottom"/>
            <w:hideMark/>
          </w:tcPr>
          <w:p w14:paraId="6643AEEF"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p>
        </w:tc>
      </w:tr>
      <w:tr w:rsidR="00F22CE3" w:rsidRPr="00F22CE3" w14:paraId="7CD87D6F" w14:textId="77777777" w:rsidTr="00F22CE3">
        <w:trPr>
          <w:trHeight w:val="1380"/>
        </w:trPr>
        <w:tc>
          <w:tcPr>
            <w:tcW w:w="1248" w:type="dxa"/>
            <w:vMerge/>
            <w:tcBorders>
              <w:top w:val="nil"/>
              <w:left w:val="single" w:sz="4" w:space="0" w:color="auto"/>
              <w:bottom w:val="single" w:sz="4" w:space="0" w:color="auto"/>
              <w:right w:val="single" w:sz="4" w:space="0" w:color="auto"/>
            </w:tcBorders>
            <w:vAlign w:val="center"/>
            <w:hideMark/>
          </w:tcPr>
          <w:p w14:paraId="4C306E55"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50" w:type="dxa"/>
            <w:vMerge/>
            <w:tcBorders>
              <w:top w:val="nil"/>
              <w:left w:val="single" w:sz="4" w:space="0" w:color="auto"/>
              <w:bottom w:val="single" w:sz="4" w:space="0" w:color="auto"/>
              <w:right w:val="single" w:sz="4" w:space="0" w:color="auto"/>
            </w:tcBorders>
            <w:vAlign w:val="center"/>
            <w:hideMark/>
          </w:tcPr>
          <w:p w14:paraId="790585BF"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50" w:type="dxa"/>
            <w:vMerge w:val="restart"/>
            <w:tcBorders>
              <w:top w:val="nil"/>
              <w:left w:val="single" w:sz="4" w:space="0" w:color="auto"/>
              <w:bottom w:val="single" w:sz="4" w:space="0" w:color="000000"/>
              <w:right w:val="single" w:sz="4" w:space="0" w:color="auto"/>
            </w:tcBorders>
            <w:shd w:val="clear" w:color="auto" w:fill="auto"/>
            <w:vAlign w:val="center"/>
            <w:hideMark/>
          </w:tcPr>
          <w:p w14:paraId="63E8EC8B"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Identificar los principales componentes financieros que determinaron la tasa de interés nominal en moneda nacional cobrada por los bancos comerciales en Honduras durante el período de 2019 a 2022.</w:t>
            </w:r>
          </w:p>
        </w:tc>
        <w:tc>
          <w:tcPr>
            <w:tcW w:w="1211" w:type="dxa"/>
            <w:vMerge/>
            <w:tcBorders>
              <w:top w:val="nil"/>
              <w:left w:val="single" w:sz="4" w:space="0" w:color="auto"/>
              <w:bottom w:val="single" w:sz="4" w:space="0" w:color="000000"/>
              <w:right w:val="single" w:sz="4" w:space="0" w:color="auto"/>
            </w:tcBorders>
            <w:vAlign w:val="center"/>
            <w:hideMark/>
          </w:tcPr>
          <w:p w14:paraId="79C76995"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68" w:type="dxa"/>
            <w:vMerge w:val="restart"/>
            <w:tcBorders>
              <w:top w:val="nil"/>
              <w:left w:val="single" w:sz="4" w:space="0" w:color="auto"/>
              <w:bottom w:val="single" w:sz="4" w:space="0" w:color="000000"/>
              <w:right w:val="single" w:sz="4" w:space="0" w:color="auto"/>
            </w:tcBorders>
            <w:shd w:val="clear" w:color="auto" w:fill="auto"/>
            <w:vAlign w:val="center"/>
            <w:hideMark/>
          </w:tcPr>
          <w:p w14:paraId="722A7834"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Componentes Financieros</w:t>
            </w:r>
          </w:p>
        </w:tc>
        <w:tc>
          <w:tcPr>
            <w:tcW w:w="1068" w:type="dxa"/>
            <w:vMerge/>
            <w:tcBorders>
              <w:top w:val="nil"/>
              <w:left w:val="single" w:sz="4" w:space="0" w:color="auto"/>
              <w:bottom w:val="single" w:sz="4" w:space="0" w:color="000000"/>
              <w:right w:val="single" w:sz="4" w:space="0" w:color="auto"/>
            </w:tcBorders>
            <w:vAlign w:val="center"/>
            <w:hideMark/>
          </w:tcPr>
          <w:p w14:paraId="6252657D"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230" w:type="dxa"/>
            <w:vMerge/>
            <w:tcBorders>
              <w:top w:val="nil"/>
              <w:left w:val="single" w:sz="4" w:space="0" w:color="auto"/>
              <w:bottom w:val="single" w:sz="4" w:space="0" w:color="000000"/>
              <w:right w:val="single" w:sz="4" w:space="0" w:color="auto"/>
            </w:tcBorders>
            <w:vAlign w:val="center"/>
            <w:hideMark/>
          </w:tcPr>
          <w:p w14:paraId="0E0C5D55"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2800" w:type="dxa"/>
            <w:tcBorders>
              <w:top w:val="single" w:sz="4" w:space="0" w:color="auto"/>
              <w:left w:val="nil"/>
              <w:bottom w:val="nil"/>
              <w:right w:val="single" w:sz="4" w:space="0" w:color="000000"/>
            </w:tcBorders>
            <w:shd w:val="clear" w:color="auto" w:fill="auto"/>
            <w:vAlign w:val="center"/>
            <w:hideMark/>
          </w:tcPr>
          <w:p w14:paraId="0B652F18"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 xml:space="preserve">La participación del sistema financiero en las ventanillas de liquidez del Banco Central de Honduras (BCH) desempeñó un papel crucial en la determinación de las tasas de interés. </w:t>
            </w:r>
          </w:p>
        </w:tc>
        <w:tc>
          <w:tcPr>
            <w:tcW w:w="1417" w:type="dxa"/>
            <w:vMerge/>
            <w:tcBorders>
              <w:top w:val="nil"/>
              <w:left w:val="single" w:sz="4" w:space="0" w:color="auto"/>
              <w:bottom w:val="single" w:sz="4" w:space="0" w:color="000000"/>
              <w:right w:val="single" w:sz="4" w:space="0" w:color="auto"/>
            </w:tcBorders>
            <w:vAlign w:val="center"/>
            <w:hideMark/>
          </w:tcPr>
          <w:p w14:paraId="43CC5B73"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985" w:type="dxa"/>
            <w:vMerge w:val="restart"/>
            <w:tcBorders>
              <w:top w:val="nil"/>
              <w:left w:val="single" w:sz="4" w:space="0" w:color="auto"/>
              <w:bottom w:val="single" w:sz="4" w:space="0" w:color="000000"/>
              <w:right w:val="single" w:sz="4" w:space="0" w:color="auto"/>
            </w:tcBorders>
            <w:shd w:val="clear" w:color="auto" w:fill="auto"/>
            <w:vAlign w:val="center"/>
            <w:hideMark/>
          </w:tcPr>
          <w:p w14:paraId="11DD194E"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Brindar recomendaciones prácticas para la administración de costos, incluyendo directrices específicas para identificar áreas de mejora y adoptar estrategias efectivas.</w:t>
            </w:r>
          </w:p>
        </w:tc>
        <w:tc>
          <w:tcPr>
            <w:tcW w:w="160" w:type="dxa"/>
            <w:vAlign w:val="center"/>
            <w:hideMark/>
          </w:tcPr>
          <w:p w14:paraId="6A208699" w14:textId="77777777" w:rsidR="00F22CE3" w:rsidRPr="00F22CE3" w:rsidRDefault="00F22CE3" w:rsidP="00F22CE3">
            <w:pPr>
              <w:widowControl/>
              <w:rPr>
                <w:rFonts w:ascii="Times New Roman" w:eastAsia="Times New Roman" w:hAnsi="Times New Roman" w:cs="Times New Roman"/>
                <w:sz w:val="20"/>
                <w:szCs w:val="20"/>
                <w:lang w:eastAsia="es-HN"/>
              </w:rPr>
            </w:pPr>
          </w:p>
        </w:tc>
      </w:tr>
      <w:tr w:rsidR="00F22CE3" w:rsidRPr="00F22CE3" w14:paraId="46102209" w14:textId="77777777" w:rsidTr="00F22CE3">
        <w:trPr>
          <w:trHeight w:val="1380"/>
        </w:trPr>
        <w:tc>
          <w:tcPr>
            <w:tcW w:w="1248" w:type="dxa"/>
            <w:vMerge/>
            <w:tcBorders>
              <w:top w:val="nil"/>
              <w:left w:val="single" w:sz="4" w:space="0" w:color="auto"/>
              <w:bottom w:val="single" w:sz="4" w:space="0" w:color="auto"/>
              <w:right w:val="single" w:sz="4" w:space="0" w:color="auto"/>
            </w:tcBorders>
            <w:vAlign w:val="center"/>
            <w:hideMark/>
          </w:tcPr>
          <w:p w14:paraId="18511412"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50" w:type="dxa"/>
            <w:vMerge/>
            <w:tcBorders>
              <w:top w:val="nil"/>
              <w:left w:val="single" w:sz="4" w:space="0" w:color="auto"/>
              <w:bottom w:val="single" w:sz="4" w:space="0" w:color="auto"/>
              <w:right w:val="single" w:sz="4" w:space="0" w:color="auto"/>
            </w:tcBorders>
            <w:vAlign w:val="center"/>
            <w:hideMark/>
          </w:tcPr>
          <w:p w14:paraId="797BBD0B"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50" w:type="dxa"/>
            <w:vMerge/>
            <w:tcBorders>
              <w:top w:val="nil"/>
              <w:left w:val="single" w:sz="4" w:space="0" w:color="auto"/>
              <w:bottom w:val="single" w:sz="4" w:space="0" w:color="000000"/>
              <w:right w:val="single" w:sz="4" w:space="0" w:color="auto"/>
            </w:tcBorders>
            <w:vAlign w:val="center"/>
            <w:hideMark/>
          </w:tcPr>
          <w:p w14:paraId="1B104C47"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211" w:type="dxa"/>
            <w:vMerge w:val="restart"/>
            <w:tcBorders>
              <w:top w:val="nil"/>
              <w:left w:val="single" w:sz="4" w:space="0" w:color="auto"/>
              <w:bottom w:val="single" w:sz="4" w:space="0" w:color="000000"/>
              <w:right w:val="single" w:sz="4" w:space="0" w:color="auto"/>
            </w:tcBorders>
            <w:shd w:val="clear" w:color="auto" w:fill="auto"/>
            <w:vAlign w:val="center"/>
            <w:hideMark/>
          </w:tcPr>
          <w:p w14:paraId="5B4B0E3E"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 xml:space="preserve">La Metodología de Riesgo Crediticio y Mercado (Pérez et al., </w:t>
            </w:r>
            <w:r w:rsidRPr="00F22CE3">
              <w:rPr>
                <w:rFonts w:ascii="Times New Roman" w:eastAsia="Times New Roman" w:hAnsi="Times New Roman" w:cs="Times New Roman"/>
                <w:color w:val="000000"/>
                <w:sz w:val="18"/>
                <w:szCs w:val="18"/>
                <w:lang w:eastAsia="es-HN"/>
              </w:rPr>
              <w:lastRenderedPageBreak/>
              <w:t xml:space="preserve">2018), se centra en la descomposición de la tasa de interés activa basada en la evaluación del riesgo crediticio de los prestatarios y las condiciones del mercado, considera que el riesgo crediticio impacta en el costo del crédito y el margen de riesgo de la institución financiera. </w:t>
            </w:r>
          </w:p>
        </w:tc>
        <w:tc>
          <w:tcPr>
            <w:tcW w:w="1368" w:type="dxa"/>
            <w:vMerge/>
            <w:tcBorders>
              <w:top w:val="nil"/>
              <w:left w:val="single" w:sz="4" w:space="0" w:color="auto"/>
              <w:bottom w:val="single" w:sz="4" w:space="0" w:color="000000"/>
              <w:right w:val="single" w:sz="4" w:space="0" w:color="auto"/>
            </w:tcBorders>
            <w:vAlign w:val="center"/>
            <w:hideMark/>
          </w:tcPr>
          <w:p w14:paraId="696E412E"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068" w:type="dxa"/>
            <w:vMerge/>
            <w:tcBorders>
              <w:top w:val="nil"/>
              <w:left w:val="single" w:sz="4" w:space="0" w:color="auto"/>
              <w:bottom w:val="single" w:sz="4" w:space="0" w:color="000000"/>
              <w:right w:val="single" w:sz="4" w:space="0" w:color="auto"/>
            </w:tcBorders>
            <w:vAlign w:val="center"/>
            <w:hideMark/>
          </w:tcPr>
          <w:p w14:paraId="45C767B0"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230" w:type="dxa"/>
            <w:vMerge w:val="restart"/>
            <w:tcBorders>
              <w:top w:val="nil"/>
              <w:left w:val="single" w:sz="4" w:space="0" w:color="auto"/>
              <w:bottom w:val="single" w:sz="4" w:space="0" w:color="000000"/>
              <w:right w:val="single" w:sz="4" w:space="0" w:color="auto"/>
            </w:tcBorders>
            <w:shd w:val="clear" w:color="auto" w:fill="auto"/>
            <w:vAlign w:val="center"/>
            <w:hideMark/>
          </w:tcPr>
          <w:p w14:paraId="0DE1ACF2"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 xml:space="preserve">Muestra de expertos, basándose en la premisa de que su profundo </w:t>
            </w:r>
            <w:r w:rsidRPr="00F22CE3">
              <w:rPr>
                <w:rFonts w:ascii="Times New Roman" w:eastAsia="Times New Roman" w:hAnsi="Times New Roman" w:cs="Times New Roman"/>
                <w:color w:val="000000"/>
                <w:sz w:val="18"/>
                <w:szCs w:val="18"/>
                <w:lang w:eastAsia="es-HN"/>
              </w:rPr>
              <w:lastRenderedPageBreak/>
              <w:t xml:space="preserve">conocimiento y experiencia en sectores clave relacionados con la tasa de interés, permite aportar una perspectiva única y valiosa sobre el tema. </w:t>
            </w:r>
          </w:p>
        </w:tc>
        <w:tc>
          <w:tcPr>
            <w:tcW w:w="2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5B489DF"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lastRenderedPageBreak/>
              <w:t xml:space="preserve">Los componentes financieros, en particular los costos administrativos y los activos menos rentables, tuvieron una incidencia significativa en la tasa de interés activa. La reducción de costos administrativos </w:t>
            </w:r>
            <w:r w:rsidRPr="00F22CE3">
              <w:rPr>
                <w:rFonts w:ascii="Times New Roman" w:eastAsia="Times New Roman" w:hAnsi="Times New Roman" w:cs="Times New Roman"/>
                <w:color w:val="000000"/>
                <w:sz w:val="18"/>
                <w:szCs w:val="18"/>
                <w:lang w:eastAsia="es-HN"/>
              </w:rPr>
              <w:lastRenderedPageBreak/>
              <w:t xml:space="preserve">durante la pandemia, derivada de la implementación de prácticas semipresenciales y de trabajo remoto, contribuyó a la disminución de la tasa. </w:t>
            </w:r>
          </w:p>
        </w:tc>
        <w:tc>
          <w:tcPr>
            <w:tcW w:w="1417" w:type="dxa"/>
            <w:vMerge/>
            <w:tcBorders>
              <w:top w:val="nil"/>
              <w:left w:val="single" w:sz="4" w:space="0" w:color="auto"/>
              <w:bottom w:val="single" w:sz="4" w:space="0" w:color="000000"/>
              <w:right w:val="single" w:sz="4" w:space="0" w:color="auto"/>
            </w:tcBorders>
            <w:vAlign w:val="center"/>
            <w:hideMark/>
          </w:tcPr>
          <w:p w14:paraId="1A19EE34"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985" w:type="dxa"/>
            <w:vMerge/>
            <w:tcBorders>
              <w:top w:val="nil"/>
              <w:left w:val="single" w:sz="4" w:space="0" w:color="auto"/>
              <w:bottom w:val="single" w:sz="4" w:space="0" w:color="000000"/>
              <w:right w:val="single" w:sz="4" w:space="0" w:color="auto"/>
            </w:tcBorders>
            <w:vAlign w:val="center"/>
            <w:hideMark/>
          </w:tcPr>
          <w:p w14:paraId="6FD41196"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60" w:type="dxa"/>
            <w:vAlign w:val="center"/>
            <w:hideMark/>
          </w:tcPr>
          <w:p w14:paraId="35B39962" w14:textId="77777777" w:rsidR="00F22CE3" w:rsidRPr="00F22CE3" w:rsidRDefault="00F22CE3" w:rsidP="00F22CE3">
            <w:pPr>
              <w:widowControl/>
              <w:rPr>
                <w:rFonts w:ascii="Times New Roman" w:eastAsia="Times New Roman" w:hAnsi="Times New Roman" w:cs="Times New Roman"/>
                <w:sz w:val="20"/>
                <w:szCs w:val="20"/>
                <w:lang w:eastAsia="es-HN"/>
              </w:rPr>
            </w:pPr>
          </w:p>
        </w:tc>
      </w:tr>
      <w:tr w:rsidR="00F22CE3" w:rsidRPr="00F22CE3" w14:paraId="1AA78457" w14:textId="77777777" w:rsidTr="00F22CE3">
        <w:trPr>
          <w:trHeight w:val="1380"/>
        </w:trPr>
        <w:tc>
          <w:tcPr>
            <w:tcW w:w="1248" w:type="dxa"/>
            <w:vMerge/>
            <w:tcBorders>
              <w:top w:val="nil"/>
              <w:left w:val="single" w:sz="4" w:space="0" w:color="auto"/>
              <w:bottom w:val="single" w:sz="4" w:space="0" w:color="auto"/>
              <w:right w:val="single" w:sz="4" w:space="0" w:color="auto"/>
            </w:tcBorders>
            <w:vAlign w:val="center"/>
            <w:hideMark/>
          </w:tcPr>
          <w:p w14:paraId="73F6A083"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50" w:type="dxa"/>
            <w:vMerge/>
            <w:tcBorders>
              <w:top w:val="nil"/>
              <w:left w:val="single" w:sz="4" w:space="0" w:color="auto"/>
              <w:bottom w:val="single" w:sz="4" w:space="0" w:color="auto"/>
              <w:right w:val="single" w:sz="4" w:space="0" w:color="auto"/>
            </w:tcBorders>
            <w:vAlign w:val="center"/>
            <w:hideMark/>
          </w:tcPr>
          <w:p w14:paraId="5778BB59"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50" w:type="dxa"/>
            <w:vMerge w:val="restart"/>
            <w:tcBorders>
              <w:top w:val="nil"/>
              <w:left w:val="single" w:sz="4" w:space="0" w:color="auto"/>
              <w:bottom w:val="single" w:sz="4" w:space="0" w:color="000000"/>
              <w:right w:val="single" w:sz="4" w:space="0" w:color="auto"/>
            </w:tcBorders>
            <w:shd w:val="clear" w:color="auto" w:fill="auto"/>
            <w:vAlign w:val="center"/>
            <w:hideMark/>
          </w:tcPr>
          <w:p w14:paraId="4DB8259D"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 xml:space="preserve">Contrastar la incidencia de las políticas gubernamentales en apoyo al crédito en el comportamiento general de la tasa de interés nominal en moneda nacional cobrada por los bancos comerciales en Honduras durante el período de 2019 a 2022. </w:t>
            </w:r>
          </w:p>
        </w:tc>
        <w:tc>
          <w:tcPr>
            <w:tcW w:w="1211" w:type="dxa"/>
            <w:vMerge/>
            <w:tcBorders>
              <w:top w:val="nil"/>
              <w:left w:val="single" w:sz="4" w:space="0" w:color="auto"/>
              <w:bottom w:val="single" w:sz="4" w:space="0" w:color="000000"/>
              <w:right w:val="single" w:sz="4" w:space="0" w:color="auto"/>
            </w:tcBorders>
            <w:vAlign w:val="center"/>
            <w:hideMark/>
          </w:tcPr>
          <w:p w14:paraId="2C87E189"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68" w:type="dxa"/>
            <w:vMerge w:val="restart"/>
            <w:tcBorders>
              <w:top w:val="nil"/>
              <w:left w:val="single" w:sz="4" w:space="0" w:color="auto"/>
              <w:bottom w:val="single" w:sz="4" w:space="0" w:color="000000"/>
              <w:right w:val="single" w:sz="4" w:space="0" w:color="auto"/>
            </w:tcBorders>
            <w:shd w:val="clear" w:color="auto" w:fill="auto"/>
            <w:vAlign w:val="center"/>
            <w:hideMark/>
          </w:tcPr>
          <w:p w14:paraId="73E41504"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Políticas Gubernamentales</w:t>
            </w:r>
          </w:p>
        </w:tc>
        <w:tc>
          <w:tcPr>
            <w:tcW w:w="1068" w:type="dxa"/>
            <w:vMerge/>
            <w:tcBorders>
              <w:top w:val="nil"/>
              <w:left w:val="single" w:sz="4" w:space="0" w:color="auto"/>
              <w:bottom w:val="single" w:sz="4" w:space="0" w:color="000000"/>
              <w:right w:val="single" w:sz="4" w:space="0" w:color="auto"/>
            </w:tcBorders>
            <w:vAlign w:val="center"/>
            <w:hideMark/>
          </w:tcPr>
          <w:p w14:paraId="100728E7"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230" w:type="dxa"/>
            <w:vMerge/>
            <w:tcBorders>
              <w:top w:val="nil"/>
              <w:left w:val="single" w:sz="4" w:space="0" w:color="auto"/>
              <w:bottom w:val="single" w:sz="4" w:space="0" w:color="000000"/>
              <w:right w:val="single" w:sz="4" w:space="0" w:color="auto"/>
            </w:tcBorders>
            <w:vAlign w:val="center"/>
            <w:hideMark/>
          </w:tcPr>
          <w:p w14:paraId="7DB8CF80"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2800" w:type="dxa"/>
            <w:vMerge/>
            <w:tcBorders>
              <w:top w:val="single" w:sz="4" w:space="0" w:color="auto"/>
              <w:left w:val="single" w:sz="4" w:space="0" w:color="auto"/>
              <w:bottom w:val="single" w:sz="4" w:space="0" w:color="auto"/>
              <w:right w:val="single" w:sz="4" w:space="0" w:color="auto"/>
            </w:tcBorders>
            <w:vAlign w:val="center"/>
            <w:hideMark/>
          </w:tcPr>
          <w:p w14:paraId="35FD5A6F"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417" w:type="dxa"/>
            <w:vMerge/>
            <w:tcBorders>
              <w:top w:val="nil"/>
              <w:left w:val="single" w:sz="4" w:space="0" w:color="auto"/>
              <w:bottom w:val="single" w:sz="4" w:space="0" w:color="000000"/>
              <w:right w:val="single" w:sz="4" w:space="0" w:color="auto"/>
            </w:tcBorders>
            <w:vAlign w:val="center"/>
            <w:hideMark/>
          </w:tcPr>
          <w:p w14:paraId="538334C2"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985" w:type="dxa"/>
            <w:vMerge w:val="restart"/>
            <w:tcBorders>
              <w:top w:val="nil"/>
              <w:left w:val="single" w:sz="4" w:space="0" w:color="auto"/>
              <w:bottom w:val="single" w:sz="4" w:space="0" w:color="000000"/>
              <w:right w:val="single" w:sz="4" w:space="0" w:color="auto"/>
            </w:tcBorders>
            <w:shd w:val="clear" w:color="auto" w:fill="auto"/>
            <w:vAlign w:val="center"/>
            <w:hideMark/>
          </w:tcPr>
          <w:p w14:paraId="6B8BC78C"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Establecer criterios de evaluación, indicadores clave de rendimiento y sistemas de seguimiento que permitan una evaluación precisa y oportuna de la eficiencia en la gestión de costos.</w:t>
            </w:r>
          </w:p>
        </w:tc>
        <w:tc>
          <w:tcPr>
            <w:tcW w:w="160" w:type="dxa"/>
            <w:vAlign w:val="center"/>
            <w:hideMark/>
          </w:tcPr>
          <w:p w14:paraId="6C73343A" w14:textId="77777777" w:rsidR="00F22CE3" w:rsidRPr="00F22CE3" w:rsidRDefault="00F22CE3" w:rsidP="00F22CE3">
            <w:pPr>
              <w:widowControl/>
              <w:rPr>
                <w:rFonts w:ascii="Times New Roman" w:eastAsia="Times New Roman" w:hAnsi="Times New Roman" w:cs="Times New Roman"/>
                <w:sz w:val="20"/>
                <w:szCs w:val="20"/>
                <w:lang w:eastAsia="es-HN"/>
              </w:rPr>
            </w:pPr>
          </w:p>
        </w:tc>
      </w:tr>
      <w:tr w:rsidR="00F22CE3" w:rsidRPr="00F22CE3" w14:paraId="7AA63C4F" w14:textId="77777777" w:rsidTr="00F22CE3">
        <w:trPr>
          <w:trHeight w:val="1380"/>
        </w:trPr>
        <w:tc>
          <w:tcPr>
            <w:tcW w:w="1248" w:type="dxa"/>
            <w:vMerge/>
            <w:tcBorders>
              <w:top w:val="nil"/>
              <w:left w:val="single" w:sz="4" w:space="0" w:color="auto"/>
              <w:bottom w:val="single" w:sz="4" w:space="0" w:color="auto"/>
              <w:right w:val="single" w:sz="4" w:space="0" w:color="auto"/>
            </w:tcBorders>
            <w:vAlign w:val="center"/>
            <w:hideMark/>
          </w:tcPr>
          <w:p w14:paraId="278CCD68"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50" w:type="dxa"/>
            <w:vMerge/>
            <w:tcBorders>
              <w:top w:val="nil"/>
              <w:left w:val="single" w:sz="4" w:space="0" w:color="auto"/>
              <w:bottom w:val="single" w:sz="4" w:space="0" w:color="auto"/>
              <w:right w:val="single" w:sz="4" w:space="0" w:color="auto"/>
            </w:tcBorders>
            <w:vAlign w:val="center"/>
            <w:hideMark/>
          </w:tcPr>
          <w:p w14:paraId="5FB0D36A"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50" w:type="dxa"/>
            <w:vMerge/>
            <w:tcBorders>
              <w:top w:val="nil"/>
              <w:left w:val="single" w:sz="4" w:space="0" w:color="auto"/>
              <w:bottom w:val="single" w:sz="4" w:space="0" w:color="000000"/>
              <w:right w:val="single" w:sz="4" w:space="0" w:color="auto"/>
            </w:tcBorders>
            <w:vAlign w:val="center"/>
            <w:hideMark/>
          </w:tcPr>
          <w:p w14:paraId="1DAB7209"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211" w:type="dxa"/>
            <w:vMerge/>
            <w:tcBorders>
              <w:top w:val="nil"/>
              <w:left w:val="single" w:sz="4" w:space="0" w:color="auto"/>
              <w:bottom w:val="single" w:sz="4" w:space="0" w:color="000000"/>
              <w:right w:val="single" w:sz="4" w:space="0" w:color="auto"/>
            </w:tcBorders>
            <w:vAlign w:val="center"/>
            <w:hideMark/>
          </w:tcPr>
          <w:p w14:paraId="554285A8"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368" w:type="dxa"/>
            <w:vMerge/>
            <w:tcBorders>
              <w:top w:val="nil"/>
              <w:left w:val="single" w:sz="4" w:space="0" w:color="auto"/>
              <w:bottom w:val="single" w:sz="4" w:space="0" w:color="000000"/>
              <w:right w:val="single" w:sz="4" w:space="0" w:color="auto"/>
            </w:tcBorders>
            <w:vAlign w:val="center"/>
            <w:hideMark/>
          </w:tcPr>
          <w:p w14:paraId="740E5552"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068" w:type="dxa"/>
            <w:vMerge/>
            <w:tcBorders>
              <w:top w:val="nil"/>
              <w:left w:val="single" w:sz="4" w:space="0" w:color="auto"/>
              <w:bottom w:val="single" w:sz="4" w:space="0" w:color="000000"/>
              <w:right w:val="single" w:sz="4" w:space="0" w:color="auto"/>
            </w:tcBorders>
            <w:vAlign w:val="center"/>
            <w:hideMark/>
          </w:tcPr>
          <w:p w14:paraId="64EC1C14"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230" w:type="dxa"/>
            <w:vMerge/>
            <w:tcBorders>
              <w:top w:val="nil"/>
              <w:left w:val="single" w:sz="4" w:space="0" w:color="auto"/>
              <w:bottom w:val="single" w:sz="4" w:space="0" w:color="000000"/>
              <w:right w:val="single" w:sz="4" w:space="0" w:color="auto"/>
            </w:tcBorders>
            <w:vAlign w:val="center"/>
            <w:hideMark/>
          </w:tcPr>
          <w:p w14:paraId="50FE1DAE"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2800" w:type="dxa"/>
            <w:tcBorders>
              <w:top w:val="single" w:sz="4" w:space="0" w:color="auto"/>
              <w:left w:val="nil"/>
              <w:bottom w:val="single" w:sz="4" w:space="0" w:color="auto"/>
              <w:right w:val="single" w:sz="4" w:space="0" w:color="000000"/>
            </w:tcBorders>
            <w:shd w:val="clear" w:color="auto" w:fill="auto"/>
            <w:vAlign w:val="center"/>
            <w:hideMark/>
          </w:tcPr>
          <w:p w14:paraId="3FC58410" w14:textId="77777777" w:rsidR="00F22CE3" w:rsidRPr="00F22CE3" w:rsidRDefault="00F22CE3" w:rsidP="00F22CE3">
            <w:pPr>
              <w:widowControl/>
              <w:jc w:val="center"/>
              <w:rPr>
                <w:rFonts w:ascii="Times New Roman" w:eastAsia="Times New Roman" w:hAnsi="Times New Roman" w:cs="Times New Roman"/>
                <w:color w:val="000000"/>
                <w:sz w:val="18"/>
                <w:szCs w:val="18"/>
                <w:lang w:eastAsia="es-HN"/>
              </w:rPr>
            </w:pPr>
            <w:r w:rsidRPr="00F22CE3">
              <w:rPr>
                <w:rFonts w:ascii="Times New Roman" w:eastAsia="Times New Roman" w:hAnsi="Times New Roman" w:cs="Times New Roman"/>
                <w:color w:val="000000"/>
                <w:sz w:val="18"/>
                <w:szCs w:val="18"/>
                <w:lang w:eastAsia="es-HN"/>
              </w:rPr>
              <w:t>Las políticas gubernamentales, como las medidas de alivio financiero y el respaldo a sectores afectados por la pandemia, tuvieron un impacto positivo en la reducción de las tasas de interés activas.</w:t>
            </w:r>
          </w:p>
        </w:tc>
        <w:tc>
          <w:tcPr>
            <w:tcW w:w="1417" w:type="dxa"/>
            <w:vMerge/>
            <w:tcBorders>
              <w:top w:val="nil"/>
              <w:left w:val="single" w:sz="4" w:space="0" w:color="auto"/>
              <w:bottom w:val="single" w:sz="4" w:space="0" w:color="000000"/>
              <w:right w:val="single" w:sz="4" w:space="0" w:color="auto"/>
            </w:tcBorders>
            <w:vAlign w:val="center"/>
            <w:hideMark/>
          </w:tcPr>
          <w:p w14:paraId="17682A37"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985" w:type="dxa"/>
            <w:vMerge/>
            <w:tcBorders>
              <w:top w:val="nil"/>
              <w:left w:val="single" w:sz="4" w:space="0" w:color="auto"/>
              <w:bottom w:val="single" w:sz="4" w:space="0" w:color="000000"/>
              <w:right w:val="single" w:sz="4" w:space="0" w:color="auto"/>
            </w:tcBorders>
            <w:vAlign w:val="center"/>
            <w:hideMark/>
          </w:tcPr>
          <w:p w14:paraId="12282FA3" w14:textId="77777777" w:rsidR="00F22CE3" w:rsidRPr="00F22CE3" w:rsidRDefault="00F22CE3" w:rsidP="00F22CE3">
            <w:pPr>
              <w:widowControl/>
              <w:rPr>
                <w:rFonts w:ascii="Times New Roman" w:eastAsia="Times New Roman" w:hAnsi="Times New Roman" w:cs="Times New Roman"/>
                <w:color w:val="000000"/>
                <w:sz w:val="18"/>
                <w:szCs w:val="18"/>
                <w:lang w:eastAsia="es-HN"/>
              </w:rPr>
            </w:pPr>
          </w:p>
        </w:tc>
        <w:tc>
          <w:tcPr>
            <w:tcW w:w="160" w:type="dxa"/>
            <w:vAlign w:val="center"/>
            <w:hideMark/>
          </w:tcPr>
          <w:p w14:paraId="2AB847C6" w14:textId="77777777" w:rsidR="00F22CE3" w:rsidRPr="00F22CE3" w:rsidRDefault="00F22CE3" w:rsidP="00F22CE3">
            <w:pPr>
              <w:widowControl/>
              <w:rPr>
                <w:rFonts w:ascii="Times New Roman" w:eastAsia="Times New Roman" w:hAnsi="Times New Roman" w:cs="Times New Roman"/>
                <w:sz w:val="20"/>
                <w:szCs w:val="20"/>
                <w:lang w:eastAsia="es-HN"/>
              </w:rPr>
            </w:pPr>
          </w:p>
        </w:tc>
      </w:tr>
    </w:tbl>
    <w:p w14:paraId="4B12EB76" w14:textId="7CAA004A" w:rsidR="006075C1" w:rsidRDefault="00F22CE3" w:rsidP="006075C1">
      <w:pPr>
        <w:pStyle w:val="TextoPrincipal"/>
        <w:spacing w:line="360" w:lineRule="auto"/>
      </w:pPr>
      <w:r w:rsidRPr="00F22CE3">
        <w:rPr>
          <w:b/>
          <w:bCs/>
        </w:rPr>
        <w:t>Fuente:</w:t>
      </w:r>
      <w:r>
        <w:t xml:space="preserve"> Elaboración propia. </w:t>
      </w:r>
    </w:p>
    <w:p w14:paraId="609A7920" w14:textId="77777777" w:rsidR="00FE58E3" w:rsidRDefault="00FE58E3" w:rsidP="00F22CE3">
      <w:pPr>
        <w:pStyle w:val="TextoPrincipal"/>
        <w:spacing w:line="360" w:lineRule="auto"/>
        <w:ind w:firstLine="0"/>
        <w:sectPr w:rsidR="00FE58E3" w:rsidSect="00FE58E3">
          <w:pgSz w:w="15840" w:h="12240" w:orient="landscape" w:code="1"/>
          <w:pgMar w:top="1440" w:right="1440" w:bottom="1440" w:left="1440" w:header="709" w:footer="709" w:gutter="0"/>
          <w:cols w:space="708"/>
          <w:docGrid w:linePitch="360"/>
        </w:sectPr>
      </w:pPr>
    </w:p>
    <w:p w14:paraId="26ED7539" w14:textId="161185AC" w:rsidR="00BA71B0" w:rsidRPr="004965A1" w:rsidRDefault="00640979" w:rsidP="004965A1">
      <w:pPr>
        <w:pStyle w:val="Ttulo1"/>
      </w:pPr>
      <w:bookmarkStart w:id="195" w:name="_Toc155066666"/>
      <w:r w:rsidRPr="00B049AA">
        <w:lastRenderedPageBreak/>
        <w:t>REFERENCIAS BIBLIOGRÁFICAS</w:t>
      </w:r>
      <w:bookmarkEnd w:id="44"/>
      <w:bookmarkEnd w:id="45"/>
      <w:bookmarkEnd w:id="195"/>
    </w:p>
    <w:p w14:paraId="1D9ED0FA" w14:textId="77777777" w:rsidR="004965A1" w:rsidRPr="004965A1" w:rsidRDefault="004965A1" w:rsidP="00D478D5">
      <w:pPr>
        <w:pStyle w:val="TextoPrincipal"/>
        <w:spacing w:line="360" w:lineRule="auto"/>
        <w:ind w:left="720" w:hanging="720"/>
      </w:pPr>
      <w:r w:rsidRPr="004965A1">
        <w:t>Banco Central de Honduras. (2020). Informe Anual sobre la Economía y el Sistema Financiero.</w:t>
      </w:r>
    </w:p>
    <w:p w14:paraId="70C3C169" w14:textId="77777777" w:rsidR="004965A1" w:rsidRPr="004965A1" w:rsidRDefault="004965A1" w:rsidP="00D478D5">
      <w:pPr>
        <w:pStyle w:val="TextoPrincipal"/>
        <w:spacing w:line="360" w:lineRule="auto"/>
        <w:ind w:left="720" w:hanging="720"/>
      </w:pPr>
      <w:r w:rsidRPr="004965A1">
        <w:t>Banco Central de la República Dominicana. (2019). Análisis de la tasa activa promedio en la República Dominicana.</w:t>
      </w:r>
    </w:p>
    <w:p w14:paraId="20DFDAFF" w14:textId="77777777" w:rsidR="004965A1" w:rsidRPr="00F43694" w:rsidRDefault="004965A1" w:rsidP="00D478D5">
      <w:pPr>
        <w:pStyle w:val="TextoPrincipal"/>
        <w:spacing w:line="360" w:lineRule="auto"/>
        <w:ind w:left="720" w:hanging="720"/>
        <w:rPr>
          <w:lang w:val="en-US"/>
        </w:rPr>
      </w:pPr>
      <w:r w:rsidRPr="00F43694">
        <w:rPr>
          <w:lang w:val="en-US"/>
        </w:rPr>
        <w:t>Blinder, A. S. (2008). Monetary Policy in a Liquidity Trap. The Economic Journal, 118(527), 1-15.</w:t>
      </w:r>
    </w:p>
    <w:p w14:paraId="46E13A3C" w14:textId="513F055E" w:rsidR="004965A1" w:rsidRDefault="004965A1" w:rsidP="00D478D5">
      <w:pPr>
        <w:pStyle w:val="TextoPrincipal"/>
        <w:spacing w:line="360" w:lineRule="auto"/>
        <w:ind w:left="720" w:hanging="720"/>
      </w:pPr>
      <w:r w:rsidRPr="00F43694">
        <w:rPr>
          <w:lang w:val="en-US"/>
        </w:rPr>
        <w:t xml:space="preserve">Center for Economic and Policy Research (CEPR). </w:t>
      </w:r>
      <w:r w:rsidRPr="004965A1">
        <w:t xml:space="preserve">(2013). Honduras: ¿Quién ha ganado y quién ha perdido? Las estadísticas detrás del golpe. </w:t>
      </w:r>
      <w:hyperlink r:id="rId36" w:history="1">
        <w:r w:rsidR="00D478D5" w:rsidRPr="00F058EB">
          <w:rPr>
            <w:rStyle w:val="Hipervnculo"/>
          </w:rPr>
          <w:t>https://cepr.net/documents/publications/Honduras-2013-11-ESPANOL.pdf</w:t>
        </w:r>
      </w:hyperlink>
    </w:p>
    <w:p w14:paraId="4983E238" w14:textId="20FCD3B0" w:rsidR="004965A1" w:rsidRDefault="004965A1" w:rsidP="00D478D5">
      <w:pPr>
        <w:pStyle w:val="TextoPrincipal"/>
        <w:spacing w:line="360" w:lineRule="auto"/>
        <w:ind w:left="720" w:hanging="720"/>
      </w:pPr>
      <w:r w:rsidRPr="004965A1">
        <w:t xml:space="preserve">Comisión Económica para América Latina y el Caribe (CEPAL). (2021). Informe de economía de Honduras 2021. </w:t>
      </w:r>
      <w:hyperlink r:id="rId37" w:history="1">
        <w:r w:rsidR="00D478D5" w:rsidRPr="00F058EB">
          <w:rPr>
            <w:rStyle w:val="Hipervnculo"/>
          </w:rPr>
          <w:t>https://repositorio.cepal.org/bitstream/handle/11362/47192/72/EE2021_Honduras_es.pdf</w:t>
        </w:r>
      </w:hyperlink>
    </w:p>
    <w:p w14:paraId="638A50B0" w14:textId="77777777" w:rsidR="004965A1" w:rsidRPr="004965A1" w:rsidRDefault="004965A1" w:rsidP="00D478D5">
      <w:pPr>
        <w:pStyle w:val="TextoPrincipal"/>
        <w:spacing w:line="360" w:lineRule="auto"/>
        <w:ind w:left="720" w:hanging="720"/>
      </w:pPr>
      <w:r w:rsidRPr="004965A1">
        <w:t>Díaz, J.L. (2018). Análisis de la tasa de interés activa en América Latina: una aproximación desde la descomposición por componente financiero. Revista de Economía y Finanzas, 15, 67-84.</w:t>
      </w:r>
    </w:p>
    <w:p w14:paraId="4C4661AE" w14:textId="77777777" w:rsidR="004965A1" w:rsidRPr="004965A1" w:rsidRDefault="004965A1" w:rsidP="00D478D5">
      <w:pPr>
        <w:pStyle w:val="TextoPrincipal"/>
        <w:spacing w:line="360" w:lineRule="auto"/>
        <w:ind w:left="720" w:hanging="720"/>
      </w:pPr>
      <w:r w:rsidRPr="004965A1">
        <w:t>Díaz, J.L. (2019). Análisis de la tasa de interés activa en Centroamérica: una perspectiva de descomposición por componente financiero. Revista Centroamericana de Economía, 25, 87-105.</w:t>
      </w:r>
    </w:p>
    <w:p w14:paraId="431E1FB6" w14:textId="77777777" w:rsidR="004965A1" w:rsidRPr="004965A1" w:rsidRDefault="004965A1" w:rsidP="00D478D5">
      <w:pPr>
        <w:pStyle w:val="TextoPrincipal"/>
        <w:spacing w:line="360" w:lineRule="auto"/>
        <w:ind w:left="720" w:hanging="720"/>
      </w:pPr>
      <w:r w:rsidRPr="004965A1">
        <w:t>Fondo Monetario Internacional. (2020). PERSPECTIVAS ECONÓMICAS: LAS AMÉRICAS.</w:t>
      </w:r>
    </w:p>
    <w:p w14:paraId="75B3583D" w14:textId="77777777" w:rsidR="004965A1" w:rsidRPr="00F43694" w:rsidRDefault="004965A1" w:rsidP="00D478D5">
      <w:pPr>
        <w:pStyle w:val="TextoPrincipal"/>
        <w:spacing w:line="360" w:lineRule="auto"/>
        <w:ind w:left="720" w:hanging="720"/>
        <w:rPr>
          <w:lang w:val="en-US"/>
        </w:rPr>
      </w:pPr>
      <w:r w:rsidRPr="00F43694">
        <w:rPr>
          <w:lang w:val="en-US"/>
        </w:rPr>
        <w:t xml:space="preserve">Friedman, M. (1956). The Quantity Theory of Money: A Restatement. </w:t>
      </w:r>
      <w:proofErr w:type="spellStart"/>
      <w:r w:rsidRPr="00F43694">
        <w:rPr>
          <w:lang w:val="en-US"/>
        </w:rPr>
        <w:t>En</w:t>
      </w:r>
      <w:proofErr w:type="spellEnd"/>
      <w:r w:rsidRPr="00F43694">
        <w:rPr>
          <w:lang w:val="en-US"/>
        </w:rPr>
        <w:t xml:space="preserve"> Studies in the Quantity Theory of Money (pp. 3-21). University of Chicago Press.</w:t>
      </w:r>
    </w:p>
    <w:p w14:paraId="7C4D152A" w14:textId="77777777" w:rsidR="004965A1" w:rsidRPr="00F43694" w:rsidRDefault="004965A1" w:rsidP="00D478D5">
      <w:pPr>
        <w:pStyle w:val="TextoPrincipal"/>
        <w:spacing w:line="360" w:lineRule="auto"/>
        <w:ind w:left="720" w:hanging="720"/>
        <w:rPr>
          <w:lang w:val="en-US"/>
        </w:rPr>
      </w:pPr>
      <w:r w:rsidRPr="004965A1">
        <w:t xml:space="preserve">García, A., &amp; López, J. (2015). Descomposición de la tasa de interés activa: Metodología de Costo de Fondeo. </w:t>
      </w:r>
      <w:proofErr w:type="spellStart"/>
      <w:r w:rsidRPr="00F43694">
        <w:rPr>
          <w:lang w:val="en-US"/>
        </w:rPr>
        <w:t>Revista</w:t>
      </w:r>
      <w:proofErr w:type="spellEnd"/>
      <w:r w:rsidRPr="00F43694">
        <w:rPr>
          <w:lang w:val="en-US"/>
        </w:rPr>
        <w:t xml:space="preserve"> de </w:t>
      </w:r>
      <w:proofErr w:type="spellStart"/>
      <w:r w:rsidRPr="00F43694">
        <w:rPr>
          <w:lang w:val="en-US"/>
        </w:rPr>
        <w:t>Finanzas</w:t>
      </w:r>
      <w:proofErr w:type="spellEnd"/>
      <w:r w:rsidRPr="00F43694">
        <w:rPr>
          <w:lang w:val="en-US"/>
        </w:rPr>
        <w:t xml:space="preserve"> </w:t>
      </w:r>
      <w:proofErr w:type="spellStart"/>
      <w:r w:rsidRPr="00F43694">
        <w:rPr>
          <w:lang w:val="en-US"/>
        </w:rPr>
        <w:t>Aplicadas</w:t>
      </w:r>
      <w:proofErr w:type="spellEnd"/>
      <w:r w:rsidRPr="00F43694">
        <w:rPr>
          <w:lang w:val="en-US"/>
        </w:rPr>
        <w:t>, 20(2), 45-63.</w:t>
      </w:r>
    </w:p>
    <w:p w14:paraId="3431F9F3" w14:textId="77777777" w:rsidR="004965A1" w:rsidRPr="004965A1" w:rsidRDefault="004965A1" w:rsidP="00D478D5">
      <w:pPr>
        <w:pStyle w:val="TextoPrincipal"/>
        <w:spacing w:line="360" w:lineRule="auto"/>
        <w:ind w:left="720" w:hanging="720"/>
      </w:pPr>
      <w:r w:rsidRPr="00F43694">
        <w:rPr>
          <w:lang w:val="en-US"/>
        </w:rPr>
        <w:t xml:space="preserve">Hicks, J. R. (1937). Mr. Keynes and the "Classics"; A Suggested Interpretation. </w:t>
      </w:r>
      <w:proofErr w:type="spellStart"/>
      <w:r w:rsidRPr="004965A1">
        <w:t>Econometrica</w:t>
      </w:r>
      <w:proofErr w:type="spellEnd"/>
      <w:r w:rsidRPr="004965A1">
        <w:t>, 5(2), 147-159.</w:t>
      </w:r>
    </w:p>
    <w:p w14:paraId="7C4EA555" w14:textId="77777777" w:rsidR="004965A1" w:rsidRPr="004965A1" w:rsidRDefault="004965A1" w:rsidP="00D478D5">
      <w:pPr>
        <w:pStyle w:val="TextoPrincipal"/>
        <w:spacing w:line="360" w:lineRule="auto"/>
        <w:ind w:left="720" w:hanging="720"/>
      </w:pPr>
      <w:r w:rsidRPr="004965A1">
        <w:t>Herrera, A.M. (2015). Política monetaria y tasas de interés en América Latina: un enfoque de descomposición. Estudios Económicos, 32, 25-47.</w:t>
      </w:r>
    </w:p>
    <w:p w14:paraId="7029A7B6" w14:textId="77777777" w:rsidR="004965A1" w:rsidRPr="004965A1" w:rsidRDefault="004965A1" w:rsidP="00D478D5">
      <w:pPr>
        <w:pStyle w:val="TextoPrincipal"/>
        <w:spacing w:line="360" w:lineRule="auto"/>
        <w:ind w:left="720" w:hanging="720"/>
      </w:pPr>
      <w:r w:rsidRPr="004965A1">
        <w:lastRenderedPageBreak/>
        <w:t xml:space="preserve">Johnson, R. (2019). "El Papel de los Bancos Comerciales en la Intermediación Financiera". </w:t>
      </w:r>
      <w:proofErr w:type="spellStart"/>
      <w:r w:rsidRPr="004965A1">
        <w:t>Journal</w:t>
      </w:r>
      <w:proofErr w:type="spellEnd"/>
      <w:r w:rsidRPr="004965A1">
        <w:t xml:space="preserve"> </w:t>
      </w:r>
      <w:proofErr w:type="spellStart"/>
      <w:r w:rsidRPr="004965A1">
        <w:t>of</w:t>
      </w:r>
      <w:proofErr w:type="spellEnd"/>
      <w:r w:rsidRPr="004965A1">
        <w:t xml:space="preserve"> </w:t>
      </w:r>
      <w:proofErr w:type="spellStart"/>
      <w:r w:rsidRPr="004965A1">
        <w:t>Financial</w:t>
      </w:r>
      <w:proofErr w:type="spellEnd"/>
      <w:r w:rsidRPr="004965A1">
        <w:t xml:space="preserve"> </w:t>
      </w:r>
      <w:proofErr w:type="spellStart"/>
      <w:r w:rsidRPr="004965A1">
        <w:t>Economics</w:t>
      </w:r>
      <w:proofErr w:type="spellEnd"/>
      <w:r w:rsidRPr="004965A1">
        <w:t>, Vol. 24, No. 4, pp. 67-82.</w:t>
      </w:r>
    </w:p>
    <w:p w14:paraId="0913D872" w14:textId="77777777" w:rsidR="004965A1" w:rsidRPr="00F43694" w:rsidRDefault="004965A1" w:rsidP="00D478D5">
      <w:pPr>
        <w:pStyle w:val="TextoPrincipal"/>
        <w:spacing w:line="360" w:lineRule="auto"/>
        <w:ind w:left="720" w:hanging="720"/>
        <w:rPr>
          <w:lang w:val="en-US"/>
        </w:rPr>
      </w:pPr>
      <w:r w:rsidRPr="004965A1">
        <w:t xml:space="preserve">Johnson, R. (2019). "Tasas de Interés Bancarias y sus Efectos en la Economía". </w:t>
      </w:r>
      <w:r w:rsidRPr="00F43694">
        <w:rPr>
          <w:lang w:val="en-US"/>
        </w:rPr>
        <w:t>Journal of Financial Studies, Vol. 23, No. 3, pp. 78-94.</w:t>
      </w:r>
    </w:p>
    <w:p w14:paraId="59635379" w14:textId="77777777" w:rsidR="004965A1" w:rsidRPr="004965A1" w:rsidRDefault="004965A1" w:rsidP="00D478D5">
      <w:pPr>
        <w:pStyle w:val="TextoPrincipal"/>
        <w:spacing w:line="360" w:lineRule="auto"/>
        <w:ind w:left="720" w:hanging="720"/>
      </w:pPr>
      <w:r w:rsidRPr="00F43694">
        <w:rPr>
          <w:lang w:val="en-US"/>
        </w:rPr>
        <w:t xml:space="preserve">Keynes, J. M. (1936). The General Theory of Employment, Interest, and Money. </w:t>
      </w:r>
      <w:proofErr w:type="spellStart"/>
      <w:r w:rsidRPr="004965A1">
        <w:t>Palgrave</w:t>
      </w:r>
      <w:proofErr w:type="spellEnd"/>
      <w:r w:rsidRPr="004965A1">
        <w:t xml:space="preserve"> Macmillan.</w:t>
      </w:r>
    </w:p>
    <w:p w14:paraId="52861C6D" w14:textId="302E5FCA" w:rsidR="004965A1" w:rsidRDefault="004965A1" w:rsidP="00D478D5">
      <w:pPr>
        <w:pStyle w:val="TextoPrincipal"/>
        <w:spacing w:line="360" w:lineRule="auto"/>
        <w:ind w:left="720" w:hanging="720"/>
      </w:pPr>
      <w:r w:rsidRPr="004965A1">
        <w:t xml:space="preserve">KPMG. (2011). Tasas de interés activas. </w:t>
      </w:r>
      <w:hyperlink r:id="rId38" w:history="1">
        <w:r w:rsidR="00D478D5" w:rsidRPr="00F058EB">
          <w:rPr>
            <w:rStyle w:val="Hipervnculo"/>
          </w:rPr>
          <w:t>https://assets.kpmg.com/content/dam/kpmg/pdf/2011/11/KPMG-Tasa-de-interes-activa.pdf</w:t>
        </w:r>
      </w:hyperlink>
    </w:p>
    <w:p w14:paraId="7DFD68C5" w14:textId="77777777" w:rsidR="004965A1" w:rsidRPr="004965A1" w:rsidRDefault="004965A1" w:rsidP="00D478D5">
      <w:pPr>
        <w:pStyle w:val="TextoPrincipal"/>
        <w:spacing w:line="360" w:lineRule="auto"/>
        <w:ind w:left="720" w:hanging="720"/>
      </w:pPr>
      <w:r w:rsidRPr="004965A1">
        <w:t>López, M., &amp; Rodríguez, P. (2020). Descomposición de la tasa de interés activa: Metodología de Perspectivas Macroeconómicas. Economía y Finanzas, 15(2), 87-105.</w:t>
      </w:r>
    </w:p>
    <w:p w14:paraId="7DA95256" w14:textId="77777777" w:rsidR="004965A1" w:rsidRPr="004965A1" w:rsidRDefault="004965A1" w:rsidP="00D478D5">
      <w:pPr>
        <w:pStyle w:val="TextoPrincipal"/>
        <w:spacing w:line="360" w:lineRule="auto"/>
        <w:ind w:left="720" w:hanging="720"/>
      </w:pPr>
      <w:r w:rsidRPr="004965A1">
        <w:t>Martínez, A. (2018). "Funciones y Contribuciones de los Bancos Comerciales en la Economía". Revista de Economía y Finanzas, Vol. 12, No. 1, pp. 105-120.</w:t>
      </w:r>
    </w:p>
    <w:p w14:paraId="63C8A859" w14:textId="77777777" w:rsidR="004965A1" w:rsidRPr="004965A1" w:rsidRDefault="004965A1" w:rsidP="00D478D5">
      <w:pPr>
        <w:pStyle w:val="TextoPrincipal"/>
        <w:spacing w:line="360" w:lineRule="auto"/>
        <w:ind w:left="720" w:hanging="720"/>
      </w:pPr>
      <w:r w:rsidRPr="004965A1">
        <w:t>Martínez, S., &amp; Gómez, L. (2019). Descomposición de la tasa de interés activa: Metodología de Competencia y Margen. Revista de Economía Bancaria, 32(1), 112-130.</w:t>
      </w:r>
    </w:p>
    <w:p w14:paraId="23EF48F5" w14:textId="77777777" w:rsidR="004965A1" w:rsidRPr="004965A1" w:rsidRDefault="004965A1" w:rsidP="00D478D5">
      <w:pPr>
        <w:pStyle w:val="TextoPrincipal"/>
        <w:spacing w:line="360" w:lineRule="auto"/>
        <w:ind w:left="720" w:hanging="720"/>
      </w:pPr>
      <w:r w:rsidRPr="004965A1">
        <w:t>Pérez, A. (2018). Análisis de la tasa de interés activa en América Latina: una revisión de la literatura. Economía Latinoamericana, 25, 45-60.</w:t>
      </w:r>
    </w:p>
    <w:p w14:paraId="2DCEA4B0" w14:textId="77777777" w:rsidR="004965A1" w:rsidRPr="004965A1" w:rsidRDefault="004965A1" w:rsidP="00D478D5">
      <w:pPr>
        <w:pStyle w:val="TextoPrincipal"/>
        <w:spacing w:line="360" w:lineRule="auto"/>
        <w:ind w:left="720" w:hanging="720"/>
      </w:pPr>
      <w:r w:rsidRPr="004965A1">
        <w:t>Pérez, R., et al. (2018). Descomposición de la tasa de interés activa: Metodología de Riesgo Crediticio y Mercado. Investigación Financiera, 25(3), 78-95.</w:t>
      </w:r>
    </w:p>
    <w:p w14:paraId="6B90CAED" w14:textId="77777777" w:rsidR="004965A1" w:rsidRPr="00F43694" w:rsidRDefault="004965A1" w:rsidP="00D478D5">
      <w:pPr>
        <w:pStyle w:val="TextoPrincipal"/>
        <w:spacing w:line="360" w:lineRule="auto"/>
        <w:ind w:left="720" w:hanging="720"/>
        <w:rPr>
          <w:lang w:val="en-US"/>
        </w:rPr>
      </w:pPr>
      <w:r w:rsidRPr="004965A1">
        <w:t xml:space="preserve">Smith, J. (2020). "Impacto de las Tasas de Interés Cobradas por los Bancos Comerciales en la Economía: Un Análisis Empírico en Honduras". </w:t>
      </w:r>
      <w:proofErr w:type="spellStart"/>
      <w:r w:rsidRPr="00F43694">
        <w:rPr>
          <w:lang w:val="en-US"/>
        </w:rPr>
        <w:t>Revista</w:t>
      </w:r>
      <w:proofErr w:type="spellEnd"/>
      <w:r w:rsidRPr="00F43694">
        <w:rPr>
          <w:lang w:val="en-US"/>
        </w:rPr>
        <w:t xml:space="preserve"> de </w:t>
      </w:r>
      <w:proofErr w:type="spellStart"/>
      <w:r w:rsidRPr="00F43694">
        <w:rPr>
          <w:lang w:val="en-US"/>
        </w:rPr>
        <w:t>Economía</w:t>
      </w:r>
      <w:proofErr w:type="spellEnd"/>
      <w:r w:rsidRPr="00F43694">
        <w:rPr>
          <w:lang w:val="en-US"/>
        </w:rPr>
        <w:t xml:space="preserve"> </w:t>
      </w:r>
      <w:proofErr w:type="spellStart"/>
      <w:r w:rsidRPr="00F43694">
        <w:rPr>
          <w:lang w:val="en-US"/>
        </w:rPr>
        <w:t>Financiera</w:t>
      </w:r>
      <w:proofErr w:type="spellEnd"/>
      <w:r w:rsidRPr="00F43694">
        <w:rPr>
          <w:lang w:val="en-US"/>
        </w:rPr>
        <w:t>, Vol. 15, No. 2, pp. 45-62.</w:t>
      </w:r>
    </w:p>
    <w:p w14:paraId="2CC5E1E1" w14:textId="77777777" w:rsidR="004965A1" w:rsidRPr="00F43694" w:rsidRDefault="004965A1" w:rsidP="00D478D5">
      <w:pPr>
        <w:pStyle w:val="TextoPrincipal"/>
        <w:spacing w:line="360" w:lineRule="auto"/>
        <w:ind w:left="720" w:hanging="720"/>
        <w:rPr>
          <w:lang w:val="en-US"/>
        </w:rPr>
      </w:pPr>
      <w:r w:rsidRPr="00F43694">
        <w:rPr>
          <w:lang w:val="en-US"/>
        </w:rPr>
        <w:t>Tobin, J. (1969). A General Equilibrium Approach to Monetary Theory. Journal of Money, Credit and Banking, 1(1), 15-29.</w:t>
      </w:r>
    </w:p>
    <w:p w14:paraId="3E775146" w14:textId="77777777" w:rsidR="004965A1" w:rsidRPr="00F43694" w:rsidRDefault="004965A1" w:rsidP="00D478D5">
      <w:pPr>
        <w:pStyle w:val="TextoPrincipal"/>
        <w:spacing w:line="360" w:lineRule="auto"/>
        <w:ind w:left="720" w:hanging="720"/>
        <w:rPr>
          <w:lang w:val="en-US"/>
        </w:rPr>
      </w:pPr>
      <w:r w:rsidRPr="00506D02">
        <w:rPr>
          <w:lang w:val="fr-CA"/>
        </w:rPr>
        <w:t xml:space="preserve">Torres, O., &amp; </w:t>
      </w:r>
      <w:proofErr w:type="spellStart"/>
      <w:r w:rsidRPr="00506D02">
        <w:rPr>
          <w:lang w:val="fr-CA"/>
        </w:rPr>
        <w:t>Jeaneth</w:t>
      </w:r>
      <w:proofErr w:type="spellEnd"/>
      <w:r w:rsidRPr="00506D02">
        <w:rPr>
          <w:lang w:val="fr-CA"/>
        </w:rPr>
        <w:t xml:space="preserve">, M. (2009). </w:t>
      </w:r>
      <w:r w:rsidRPr="004965A1">
        <w:t xml:space="preserve">Determinantes del spread en las tasas de interés bancarias en el Ecuador. Maestría en Ciencias Sociales con mención en Economía del Desarrollo; FLACSO sede Ecuador. </w:t>
      </w:r>
      <w:r w:rsidRPr="00F43694">
        <w:rPr>
          <w:lang w:val="en-US"/>
        </w:rPr>
        <w:t>Quito. 92 p.</w:t>
      </w:r>
    </w:p>
    <w:p w14:paraId="02E7DCE3" w14:textId="0275D0C9" w:rsidR="00BA71B0" w:rsidRDefault="004965A1" w:rsidP="00D478D5">
      <w:pPr>
        <w:pStyle w:val="TextoPrincipal"/>
        <w:spacing w:line="360" w:lineRule="auto"/>
        <w:ind w:left="720" w:hanging="720"/>
      </w:pPr>
      <w:r w:rsidRPr="00F43694">
        <w:rPr>
          <w:lang w:val="en-US"/>
        </w:rPr>
        <w:t xml:space="preserve">Wicksell, K. (1898). Interest and Prices: A Study of the Causes Regulating the Value of Money. </w:t>
      </w:r>
      <w:r w:rsidRPr="004965A1">
        <w:lastRenderedPageBreak/>
        <w:t>Macmillan and Co.</w:t>
      </w:r>
    </w:p>
    <w:p w14:paraId="0BA47513" w14:textId="77777777" w:rsidR="00BA71B0" w:rsidRDefault="00BA71B0" w:rsidP="004965A1">
      <w:pPr>
        <w:pStyle w:val="TextoPrincipal"/>
        <w:spacing w:line="360" w:lineRule="auto"/>
      </w:pPr>
    </w:p>
    <w:p w14:paraId="09EE96E4" w14:textId="77777777" w:rsidR="00BA71B0" w:rsidRDefault="00BA71B0" w:rsidP="004965A1">
      <w:pPr>
        <w:pStyle w:val="TextoPrincipal"/>
        <w:spacing w:line="360" w:lineRule="auto"/>
      </w:pPr>
    </w:p>
    <w:p w14:paraId="0430FFC0" w14:textId="77777777" w:rsidR="00BA71B0" w:rsidRDefault="00BA71B0" w:rsidP="004965A1">
      <w:pPr>
        <w:pStyle w:val="TextoPrincipal"/>
        <w:spacing w:line="360" w:lineRule="auto"/>
      </w:pPr>
    </w:p>
    <w:p w14:paraId="020E2E1F" w14:textId="77777777" w:rsidR="00BA71B0" w:rsidRDefault="00BA71B0" w:rsidP="004965A1">
      <w:pPr>
        <w:pStyle w:val="TextoPrincipal"/>
        <w:spacing w:line="360" w:lineRule="auto"/>
      </w:pPr>
    </w:p>
    <w:p w14:paraId="4E76B5BA" w14:textId="77777777" w:rsidR="00BA71B0" w:rsidRDefault="00BA71B0" w:rsidP="004965A1">
      <w:pPr>
        <w:pStyle w:val="TextoPrincipal"/>
        <w:spacing w:line="360" w:lineRule="auto"/>
      </w:pPr>
    </w:p>
    <w:p w14:paraId="0D7CF5E3" w14:textId="77777777" w:rsidR="00BA71B0" w:rsidRDefault="00BA71B0" w:rsidP="004965A1">
      <w:pPr>
        <w:pStyle w:val="TextoPrincipal"/>
        <w:spacing w:line="360" w:lineRule="auto"/>
      </w:pPr>
    </w:p>
    <w:p w14:paraId="33833383" w14:textId="77777777" w:rsidR="00BA71B0" w:rsidRDefault="00BA71B0" w:rsidP="004965A1">
      <w:pPr>
        <w:pStyle w:val="TextoPrincipal"/>
        <w:spacing w:line="360" w:lineRule="auto"/>
      </w:pPr>
    </w:p>
    <w:p w14:paraId="55C79A5F" w14:textId="77777777" w:rsidR="00BA71B0" w:rsidRDefault="00BA71B0" w:rsidP="004965A1">
      <w:pPr>
        <w:pStyle w:val="TextoPrincipal"/>
        <w:spacing w:line="360" w:lineRule="auto"/>
      </w:pPr>
    </w:p>
    <w:p w14:paraId="449E3C95" w14:textId="77777777" w:rsidR="00BA71B0" w:rsidRDefault="00BA71B0" w:rsidP="004965A1">
      <w:pPr>
        <w:pStyle w:val="TextoPrincipal"/>
        <w:spacing w:line="360" w:lineRule="auto"/>
      </w:pPr>
    </w:p>
    <w:p w14:paraId="4569CB20" w14:textId="77777777" w:rsidR="00BA71B0" w:rsidRDefault="00BA71B0" w:rsidP="004965A1">
      <w:pPr>
        <w:pStyle w:val="TextoPrincipal"/>
        <w:spacing w:line="360" w:lineRule="auto"/>
      </w:pPr>
    </w:p>
    <w:p w14:paraId="17E30482" w14:textId="77777777" w:rsidR="00853FC5" w:rsidRDefault="00853FC5" w:rsidP="004965A1">
      <w:pPr>
        <w:pStyle w:val="TextoPrincipal"/>
        <w:spacing w:line="360" w:lineRule="auto"/>
      </w:pPr>
    </w:p>
    <w:p w14:paraId="786DCAA0" w14:textId="77777777" w:rsidR="00853FC5" w:rsidRDefault="00853FC5" w:rsidP="004965A1">
      <w:pPr>
        <w:pStyle w:val="TextoPrincipal"/>
        <w:spacing w:line="360" w:lineRule="auto"/>
      </w:pPr>
    </w:p>
    <w:p w14:paraId="60552F6B" w14:textId="77777777" w:rsidR="00853FC5" w:rsidRDefault="00853FC5" w:rsidP="00C45917">
      <w:pPr>
        <w:widowControl/>
        <w:spacing w:after="160" w:line="259" w:lineRule="auto"/>
        <w:rPr>
          <w:rFonts w:ascii="Times New Roman" w:hAnsi="Times New Roman" w:cs="Times New Roman"/>
          <w:sz w:val="24"/>
          <w:szCs w:val="24"/>
        </w:rPr>
      </w:pPr>
    </w:p>
    <w:p w14:paraId="078A3B75" w14:textId="77777777" w:rsidR="00853FC5" w:rsidRDefault="00853FC5" w:rsidP="00C45917">
      <w:pPr>
        <w:widowControl/>
        <w:spacing w:after="160" w:line="259" w:lineRule="auto"/>
        <w:rPr>
          <w:rFonts w:ascii="Times New Roman" w:hAnsi="Times New Roman" w:cs="Times New Roman"/>
          <w:sz w:val="24"/>
          <w:szCs w:val="24"/>
        </w:rPr>
      </w:pPr>
    </w:p>
    <w:p w14:paraId="4C4AC9F9" w14:textId="77777777" w:rsidR="00853FC5" w:rsidRDefault="00853FC5" w:rsidP="00C45917">
      <w:pPr>
        <w:widowControl/>
        <w:spacing w:after="160" w:line="259" w:lineRule="auto"/>
        <w:rPr>
          <w:rFonts w:ascii="Times New Roman" w:hAnsi="Times New Roman" w:cs="Times New Roman"/>
          <w:sz w:val="24"/>
          <w:szCs w:val="24"/>
        </w:rPr>
      </w:pPr>
    </w:p>
    <w:p w14:paraId="2DD47CDE" w14:textId="77777777" w:rsidR="004965A1" w:rsidRDefault="004965A1" w:rsidP="00C45917">
      <w:pPr>
        <w:widowControl/>
        <w:spacing w:after="160" w:line="259" w:lineRule="auto"/>
        <w:rPr>
          <w:rFonts w:ascii="Times New Roman" w:hAnsi="Times New Roman" w:cs="Times New Roman"/>
          <w:sz w:val="24"/>
          <w:szCs w:val="24"/>
        </w:rPr>
      </w:pPr>
    </w:p>
    <w:p w14:paraId="2E49420A" w14:textId="77777777" w:rsidR="004965A1" w:rsidRDefault="004965A1" w:rsidP="00C45917">
      <w:pPr>
        <w:widowControl/>
        <w:spacing w:after="160" w:line="259" w:lineRule="auto"/>
        <w:rPr>
          <w:rFonts w:ascii="Times New Roman" w:hAnsi="Times New Roman" w:cs="Times New Roman"/>
          <w:sz w:val="24"/>
          <w:szCs w:val="24"/>
        </w:rPr>
      </w:pPr>
    </w:p>
    <w:p w14:paraId="25CD0199" w14:textId="77777777" w:rsidR="004965A1" w:rsidRDefault="004965A1" w:rsidP="00C45917">
      <w:pPr>
        <w:widowControl/>
        <w:spacing w:after="160" w:line="259" w:lineRule="auto"/>
        <w:rPr>
          <w:rFonts w:ascii="Times New Roman" w:hAnsi="Times New Roman" w:cs="Times New Roman"/>
          <w:sz w:val="24"/>
          <w:szCs w:val="24"/>
        </w:rPr>
      </w:pPr>
    </w:p>
    <w:p w14:paraId="3B4C9EC8" w14:textId="77777777" w:rsidR="004965A1" w:rsidRDefault="004965A1" w:rsidP="00C45917">
      <w:pPr>
        <w:widowControl/>
        <w:spacing w:after="160" w:line="259" w:lineRule="auto"/>
        <w:rPr>
          <w:rFonts w:ascii="Times New Roman" w:hAnsi="Times New Roman" w:cs="Times New Roman"/>
          <w:sz w:val="24"/>
          <w:szCs w:val="24"/>
        </w:rPr>
      </w:pPr>
    </w:p>
    <w:p w14:paraId="4229D526" w14:textId="77777777" w:rsidR="004965A1" w:rsidRDefault="004965A1" w:rsidP="00C45917">
      <w:pPr>
        <w:widowControl/>
        <w:spacing w:after="160" w:line="259" w:lineRule="auto"/>
        <w:rPr>
          <w:rFonts w:ascii="Times New Roman" w:hAnsi="Times New Roman" w:cs="Times New Roman"/>
          <w:sz w:val="24"/>
          <w:szCs w:val="24"/>
        </w:rPr>
      </w:pPr>
    </w:p>
    <w:p w14:paraId="74E86A8A" w14:textId="77777777" w:rsidR="004965A1" w:rsidRDefault="004965A1" w:rsidP="00C45917">
      <w:pPr>
        <w:widowControl/>
        <w:spacing w:after="160" w:line="259" w:lineRule="auto"/>
        <w:rPr>
          <w:rFonts w:ascii="Times New Roman" w:hAnsi="Times New Roman" w:cs="Times New Roman"/>
          <w:sz w:val="24"/>
          <w:szCs w:val="24"/>
        </w:rPr>
      </w:pPr>
    </w:p>
    <w:p w14:paraId="24CF38B7" w14:textId="77777777" w:rsidR="004965A1" w:rsidRDefault="004965A1" w:rsidP="00C45917">
      <w:pPr>
        <w:widowControl/>
        <w:spacing w:after="160" w:line="259" w:lineRule="auto"/>
        <w:rPr>
          <w:rFonts w:ascii="Times New Roman" w:hAnsi="Times New Roman" w:cs="Times New Roman"/>
          <w:sz w:val="24"/>
          <w:szCs w:val="24"/>
        </w:rPr>
      </w:pPr>
    </w:p>
    <w:p w14:paraId="0802370B" w14:textId="77777777" w:rsidR="00D478D5" w:rsidRDefault="00D478D5" w:rsidP="00C45917">
      <w:pPr>
        <w:widowControl/>
        <w:spacing w:after="160" w:line="259" w:lineRule="auto"/>
        <w:rPr>
          <w:rFonts w:ascii="Times New Roman" w:hAnsi="Times New Roman" w:cs="Times New Roman"/>
          <w:sz w:val="24"/>
          <w:szCs w:val="24"/>
        </w:rPr>
      </w:pPr>
    </w:p>
    <w:p w14:paraId="05A878F6" w14:textId="77777777" w:rsidR="004965A1" w:rsidRDefault="004965A1" w:rsidP="00C45917">
      <w:pPr>
        <w:widowControl/>
        <w:spacing w:after="160" w:line="259" w:lineRule="auto"/>
        <w:rPr>
          <w:rFonts w:ascii="Times New Roman" w:hAnsi="Times New Roman" w:cs="Times New Roman"/>
          <w:sz w:val="24"/>
          <w:szCs w:val="24"/>
        </w:rPr>
      </w:pPr>
    </w:p>
    <w:p w14:paraId="562D881D" w14:textId="77777777" w:rsidR="00BA71B0" w:rsidRDefault="00BA71B0" w:rsidP="00BA71B0">
      <w:pPr>
        <w:pStyle w:val="Ttulo1"/>
        <w:spacing w:after="208"/>
        <w:ind w:right="5" w:firstLine="567"/>
        <w:rPr>
          <w:bCs/>
        </w:rPr>
      </w:pPr>
      <w:bookmarkStart w:id="196" w:name="_Toc122123389"/>
      <w:bookmarkStart w:id="197" w:name="_Toc155066667"/>
      <w:r w:rsidRPr="006203CA">
        <w:rPr>
          <w:bCs/>
        </w:rPr>
        <w:lastRenderedPageBreak/>
        <w:t>ANEXOS</w:t>
      </w:r>
      <w:bookmarkEnd w:id="196"/>
      <w:bookmarkEnd w:id="197"/>
    </w:p>
    <w:p w14:paraId="6E36AB5E" w14:textId="6B8E25AC" w:rsidR="00853FC5" w:rsidRPr="000A4CE5" w:rsidRDefault="00F43694" w:rsidP="00853FC5">
      <w:pPr>
        <w:widowControl/>
        <w:spacing w:after="160" w:line="480" w:lineRule="auto"/>
        <w:rPr>
          <w:rFonts w:ascii="Times New Roman" w:hAnsi="Times New Roman" w:cs="Times New Roman"/>
          <w:b/>
          <w:bCs/>
          <w:sz w:val="24"/>
          <w:szCs w:val="24"/>
        </w:rPr>
      </w:pPr>
      <w:r w:rsidRPr="000A4CE5">
        <w:rPr>
          <w:rFonts w:ascii="Times New Roman" w:hAnsi="Times New Roman" w:cs="Times New Roman"/>
          <w:b/>
          <w:bCs/>
          <w:sz w:val="24"/>
          <w:szCs w:val="24"/>
        </w:rPr>
        <w:t>A</w:t>
      </w:r>
      <w:r>
        <w:rPr>
          <w:rFonts w:ascii="Times New Roman" w:hAnsi="Times New Roman" w:cs="Times New Roman"/>
          <w:b/>
          <w:bCs/>
          <w:sz w:val="24"/>
          <w:szCs w:val="24"/>
        </w:rPr>
        <w:t>NEXO</w:t>
      </w:r>
      <w:r w:rsidRPr="000A4CE5">
        <w:rPr>
          <w:rFonts w:ascii="Times New Roman" w:hAnsi="Times New Roman" w:cs="Times New Roman"/>
          <w:b/>
          <w:bCs/>
          <w:sz w:val="24"/>
          <w:szCs w:val="24"/>
        </w:rPr>
        <w:t xml:space="preserve"> 1</w:t>
      </w:r>
      <w:r>
        <w:rPr>
          <w:rFonts w:ascii="Times New Roman" w:hAnsi="Times New Roman" w:cs="Times New Roman"/>
          <w:b/>
          <w:bCs/>
          <w:sz w:val="24"/>
          <w:szCs w:val="24"/>
        </w:rPr>
        <w:t>.</w:t>
      </w:r>
      <w:r w:rsidRPr="000A4CE5">
        <w:rPr>
          <w:rFonts w:ascii="Times New Roman" w:hAnsi="Times New Roman" w:cs="Times New Roman"/>
          <w:b/>
          <w:bCs/>
          <w:sz w:val="24"/>
          <w:szCs w:val="24"/>
        </w:rPr>
        <w:t xml:space="preserve"> E</w:t>
      </w:r>
      <w:r>
        <w:rPr>
          <w:rFonts w:ascii="Times New Roman" w:hAnsi="Times New Roman" w:cs="Times New Roman"/>
          <w:b/>
          <w:bCs/>
          <w:sz w:val="24"/>
          <w:szCs w:val="24"/>
        </w:rPr>
        <w:t>SQUEMA DE ENTREVISTA</w:t>
      </w:r>
    </w:p>
    <w:tbl>
      <w:tblPr>
        <w:tblW w:w="9756" w:type="dxa"/>
        <w:tblCellMar>
          <w:top w:w="15" w:type="dxa"/>
          <w:left w:w="70" w:type="dxa"/>
          <w:right w:w="70" w:type="dxa"/>
        </w:tblCellMar>
        <w:tblLook w:val="04A0" w:firstRow="1" w:lastRow="0" w:firstColumn="1" w:lastColumn="0" w:noHBand="0" w:noVBand="1"/>
      </w:tblPr>
      <w:tblGrid>
        <w:gridCol w:w="3240"/>
        <w:gridCol w:w="3240"/>
        <w:gridCol w:w="3240"/>
        <w:gridCol w:w="146"/>
      </w:tblGrid>
      <w:tr w:rsidR="000A4CE5" w:rsidRPr="000A4CE5" w14:paraId="264D44D5" w14:textId="77777777" w:rsidTr="000A4CE5">
        <w:trPr>
          <w:gridAfter w:val="1"/>
          <w:wAfter w:w="36" w:type="dxa"/>
          <w:trHeight w:val="240"/>
          <w:tblHeader/>
        </w:trPr>
        <w:tc>
          <w:tcPr>
            <w:tcW w:w="97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C5DA1D" w14:textId="77777777" w:rsidR="000A4CE5" w:rsidRPr="000A4CE5" w:rsidRDefault="000A4CE5" w:rsidP="000A4CE5">
            <w:pPr>
              <w:widowControl/>
              <w:jc w:val="center"/>
              <w:rPr>
                <w:rFonts w:ascii="Times New Roman" w:eastAsia="Times New Roman" w:hAnsi="Times New Roman" w:cs="Times New Roman"/>
                <w:b/>
                <w:bCs/>
                <w:color w:val="000000"/>
                <w:sz w:val="18"/>
                <w:szCs w:val="18"/>
                <w:lang w:eastAsia="es-HN"/>
              </w:rPr>
            </w:pPr>
            <w:r w:rsidRPr="000A4CE5">
              <w:rPr>
                <w:rFonts w:ascii="Times New Roman" w:eastAsia="Times New Roman" w:hAnsi="Times New Roman" w:cs="Times New Roman"/>
                <w:b/>
                <w:bCs/>
                <w:color w:val="000000"/>
                <w:sz w:val="18"/>
                <w:szCs w:val="18"/>
                <w:lang w:eastAsia="es-HN"/>
              </w:rPr>
              <w:t>Panel de Expertos</w:t>
            </w:r>
          </w:p>
        </w:tc>
      </w:tr>
      <w:tr w:rsidR="000A4CE5" w:rsidRPr="000A4CE5" w14:paraId="5E63B2CD" w14:textId="77777777" w:rsidTr="000A4CE5">
        <w:trPr>
          <w:gridAfter w:val="1"/>
          <w:wAfter w:w="36" w:type="dxa"/>
          <w:trHeight w:val="240"/>
          <w:tblHeader/>
        </w:trPr>
        <w:tc>
          <w:tcPr>
            <w:tcW w:w="3240" w:type="dxa"/>
            <w:tcBorders>
              <w:top w:val="nil"/>
              <w:left w:val="single" w:sz="4" w:space="0" w:color="auto"/>
              <w:bottom w:val="single" w:sz="4" w:space="0" w:color="auto"/>
              <w:right w:val="single" w:sz="4" w:space="0" w:color="auto"/>
            </w:tcBorders>
            <w:shd w:val="clear" w:color="auto" w:fill="auto"/>
            <w:vAlign w:val="center"/>
            <w:hideMark/>
          </w:tcPr>
          <w:p w14:paraId="7D565EFD" w14:textId="77777777" w:rsidR="000A4CE5" w:rsidRPr="000A4CE5" w:rsidRDefault="000A4CE5" w:rsidP="000A4CE5">
            <w:pPr>
              <w:widowControl/>
              <w:jc w:val="center"/>
              <w:rPr>
                <w:rFonts w:ascii="Times New Roman" w:eastAsia="Times New Roman" w:hAnsi="Times New Roman" w:cs="Times New Roman"/>
                <w:b/>
                <w:bCs/>
                <w:sz w:val="18"/>
                <w:szCs w:val="18"/>
                <w:lang w:eastAsia="es-HN"/>
              </w:rPr>
            </w:pPr>
            <w:r w:rsidRPr="000A4CE5">
              <w:rPr>
                <w:rFonts w:ascii="Times New Roman" w:eastAsia="Times New Roman" w:hAnsi="Times New Roman" w:cs="Times New Roman"/>
                <w:b/>
                <w:bCs/>
                <w:sz w:val="18"/>
                <w:szCs w:val="18"/>
                <w:lang w:eastAsia="es-HN"/>
              </w:rPr>
              <w:t xml:space="preserve">Preguntas </w:t>
            </w:r>
          </w:p>
        </w:tc>
        <w:tc>
          <w:tcPr>
            <w:tcW w:w="3240" w:type="dxa"/>
            <w:tcBorders>
              <w:top w:val="nil"/>
              <w:left w:val="nil"/>
              <w:bottom w:val="single" w:sz="4" w:space="0" w:color="auto"/>
              <w:right w:val="single" w:sz="4" w:space="0" w:color="auto"/>
            </w:tcBorders>
            <w:shd w:val="clear" w:color="auto" w:fill="auto"/>
            <w:vAlign w:val="center"/>
            <w:hideMark/>
          </w:tcPr>
          <w:p w14:paraId="75871847" w14:textId="77777777" w:rsidR="000A4CE5" w:rsidRPr="000A4CE5" w:rsidRDefault="000A4CE5" w:rsidP="000A4CE5">
            <w:pPr>
              <w:widowControl/>
              <w:jc w:val="center"/>
              <w:rPr>
                <w:rFonts w:ascii="Times New Roman" w:eastAsia="Times New Roman" w:hAnsi="Times New Roman" w:cs="Times New Roman"/>
                <w:b/>
                <w:bCs/>
                <w:sz w:val="18"/>
                <w:szCs w:val="18"/>
                <w:lang w:eastAsia="es-HN"/>
              </w:rPr>
            </w:pPr>
            <w:r w:rsidRPr="000A4CE5">
              <w:rPr>
                <w:rFonts w:ascii="Times New Roman" w:eastAsia="Times New Roman" w:hAnsi="Times New Roman" w:cs="Times New Roman"/>
                <w:b/>
                <w:bCs/>
                <w:sz w:val="18"/>
                <w:szCs w:val="18"/>
                <w:lang w:eastAsia="es-HN"/>
              </w:rPr>
              <w:t xml:space="preserve">Respuesta </w:t>
            </w:r>
          </w:p>
        </w:tc>
        <w:tc>
          <w:tcPr>
            <w:tcW w:w="3240" w:type="dxa"/>
            <w:tcBorders>
              <w:top w:val="nil"/>
              <w:left w:val="nil"/>
              <w:bottom w:val="single" w:sz="4" w:space="0" w:color="auto"/>
              <w:right w:val="single" w:sz="4" w:space="0" w:color="auto"/>
            </w:tcBorders>
            <w:shd w:val="clear" w:color="auto" w:fill="auto"/>
            <w:vAlign w:val="center"/>
            <w:hideMark/>
          </w:tcPr>
          <w:p w14:paraId="5ABB4C1C" w14:textId="77777777" w:rsidR="000A4CE5" w:rsidRPr="000A4CE5" w:rsidRDefault="000A4CE5" w:rsidP="000A4CE5">
            <w:pPr>
              <w:widowControl/>
              <w:jc w:val="center"/>
              <w:rPr>
                <w:rFonts w:ascii="Times New Roman" w:eastAsia="Times New Roman" w:hAnsi="Times New Roman" w:cs="Times New Roman"/>
                <w:b/>
                <w:bCs/>
                <w:sz w:val="18"/>
                <w:szCs w:val="18"/>
                <w:lang w:eastAsia="es-HN"/>
              </w:rPr>
            </w:pPr>
            <w:r w:rsidRPr="000A4CE5">
              <w:rPr>
                <w:rFonts w:ascii="Times New Roman" w:eastAsia="Times New Roman" w:hAnsi="Times New Roman" w:cs="Times New Roman"/>
                <w:b/>
                <w:bCs/>
                <w:sz w:val="18"/>
                <w:szCs w:val="18"/>
                <w:lang w:eastAsia="es-HN"/>
              </w:rPr>
              <w:t xml:space="preserve">Análisis </w:t>
            </w:r>
          </w:p>
        </w:tc>
      </w:tr>
      <w:tr w:rsidR="000A4CE5" w:rsidRPr="000A4CE5" w14:paraId="4CA2D348" w14:textId="77777777" w:rsidTr="000A4CE5">
        <w:trPr>
          <w:gridAfter w:val="1"/>
          <w:wAfter w:w="36" w:type="dxa"/>
          <w:trHeight w:val="1710"/>
        </w:trPr>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31CF3A24"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bookmarkStart w:id="198" w:name="RANGE!C5"/>
            <w:bookmarkStart w:id="199" w:name="_Hlk121984315" w:colFirst="1" w:colLast="2"/>
            <w:r w:rsidRPr="000A4CE5">
              <w:rPr>
                <w:rFonts w:ascii="Times New Roman" w:eastAsia="Times New Roman" w:hAnsi="Times New Roman" w:cs="Times New Roman"/>
                <w:color w:val="000000"/>
                <w:sz w:val="18"/>
                <w:szCs w:val="18"/>
                <w:lang w:eastAsia="es-HN"/>
              </w:rPr>
              <w:t>¿Cómo cree que el crecimiento económico del país ha afectado el comportamiento de las tasas de interés a corto y largo plazo?</w:t>
            </w:r>
            <w:bookmarkEnd w:id="198"/>
          </w:p>
        </w:tc>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75F63E7B"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El impacto del crecimiento económico en las tasas de interés en Honduras podría manifestarse de varias maneras. Durante periodos de expansión económica, es común que la demanda de crédito aumente, lo que podría presionar al alza las tasas de interés a corto plazo. Además, si el crecimiento es percibido como sostenible, las expectativas de inflación podrían elevar las tasas de interés a largo plazo. Sin embargo, factores externos y decisiones de política monetaria también pueden desempeñar un papel importante.</w:t>
            </w:r>
          </w:p>
        </w:tc>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02C7F8DC"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Según los entrevistados el crecimiento económico del país impacta directamente las tasas de interés activa y nominal de los bancos de primer piso, al aumentar las tasas de interés se reduce el atractivo de los prestamos aumentando la liquidez.</w:t>
            </w:r>
          </w:p>
        </w:tc>
      </w:tr>
      <w:tr w:rsidR="000A4CE5" w:rsidRPr="000A4CE5" w14:paraId="761158D9" w14:textId="77777777" w:rsidTr="000A4CE5">
        <w:trPr>
          <w:trHeight w:val="1710"/>
        </w:trPr>
        <w:tc>
          <w:tcPr>
            <w:tcW w:w="3240" w:type="dxa"/>
            <w:vMerge/>
            <w:tcBorders>
              <w:top w:val="nil"/>
              <w:left w:val="single" w:sz="4" w:space="0" w:color="auto"/>
              <w:bottom w:val="single" w:sz="4" w:space="0" w:color="auto"/>
              <w:right w:val="single" w:sz="4" w:space="0" w:color="auto"/>
            </w:tcBorders>
            <w:vAlign w:val="center"/>
            <w:hideMark/>
          </w:tcPr>
          <w:p w14:paraId="1D905650"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240" w:type="dxa"/>
            <w:vMerge/>
            <w:tcBorders>
              <w:top w:val="nil"/>
              <w:left w:val="single" w:sz="4" w:space="0" w:color="auto"/>
              <w:bottom w:val="single" w:sz="4" w:space="0" w:color="auto"/>
              <w:right w:val="single" w:sz="4" w:space="0" w:color="auto"/>
            </w:tcBorders>
            <w:vAlign w:val="center"/>
            <w:hideMark/>
          </w:tcPr>
          <w:p w14:paraId="454C0DC9"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240" w:type="dxa"/>
            <w:vMerge/>
            <w:tcBorders>
              <w:top w:val="nil"/>
              <w:left w:val="single" w:sz="4" w:space="0" w:color="auto"/>
              <w:bottom w:val="single" w:sz="4" w:space="0" w:color="auto"/>
              <w:right w:val="single" w:sz="4" w:space="0" w:color="auto"/>
            </w:tcBorders>
            <w:vAlign w:val="center"/>
            <w:hideMark/>
          </w:tcPr>
          <w:p w14:paraId="11B99FE1"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6" w:type="dxa"/>
            <w:tcBorders>
              <w:top w:val="nil"/>
              <w:left w:val="nil"/>
              <w:bottom w:val="nil"/>
              <w:right w:val="nil"/>
            </w:tcBorders>
            <w:shd w:val="clear" w:color="auto" w:fill="auto"/>
            <w:noWrap/>
            <w:vAlign w:val="bottom"/>
            <w:hideMark/>
          </w:tcPr>
          <w:p w14:paraId="193735A2"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p>
        </w:tc>
      </w:tr>
      <w:tr w:rsidR="000A4CE5" w:rsidRPr="000A4CE5" w14:paraId="675C8AE8" w14:textId="77777777" w:rsidTr="000A4CE5">
        <w:trPr>
          <w:trHeight w:val="1500"/>
        </w:trPr>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128A643C"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¿Cuáles son los principales mecanismos o canales a través de los cuales los cambios en la tasa de política monetaria influyen en las tasas de interés bancarias?</w:t>
            </w:r>
          </w:p>
        </w:tc>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62341EBF"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Cuando la tasa de política monetaria cambia, afecta las tasas de interés a corto plazo, que influyen en los préstamos interbancarios y en las tasas para empresas y consumidores. Además, puede afectar la disponibilidad de crédito, las expectativas del mercado y el tipo de cambio, generando un impacto en las tasas de interés a largo plazo. Estos son los mecanismos clave que conectan las decisiones de política monetaria con las tasas de interés en la economía</w:t>
            </w:r>
            <w:r w:rsidRPr="000A4CE5">
              <w:rPr>
                <w:rFonts w:ascii="Times New Roman" w:eastAsia="Times New Roman" w:hAnsi="Times New Roman" w:cs="Times New Roman"/>
                <w:color w:val="0F0F0F"/>
                <w:sz w:val="18"/>
                <w:szCs w:val="18"/>
                <w:lang w:eastAsia="es-HN"/>
              </w:rPr>
              <w:t>.</w:t>
            </w:r>
          </w:p>
        </w:tc>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048C7422"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Se reconoce que estas decisiones afectan la disponibilidad de crédito, las expectativas del mercado y el tipo de cambio, generando un impacto en las tasas de interés a largo plazo</w:t>
            </w:r>
            <w:r w:rsidRPr="000A4CE5">
              <w:rPr>
                <w:rFonts w:ascii="Times New Roman" w:eastAsia="Times New Roman" w:hAnsi="Times New Roman" w:cs="Times New Roman"/>
                <w:color w:val="0F0F0F"/>
                <w:sz w:val="18"/>
                <w:szCs w:val="18"/>
                <w:lang w:eastAsia="es-HN"/>
              </w:rPr>
              <w:t>.</w:t>
            </w:r>
          </w:p>
        </w:tc>
        <w:tc>
          <w:tcPr>
            <w:tcW w:w="36" w:type="dxa"/>
            <w:vAlign w:val="center"/>
            <w:hideMark/>
          </w:tcPr>
          <w:p w14:paraId="1B5001AA" w14:textId="77777777" w:rsidR="000A4CE5" w:rsidRPr="000A4CE5" w:rsidRDefault="000A4CE5" w:rsidP="000A4CE5">
            <w:pPr>
              <w:widowControl/>
              <w:rPr>
                <w:rFonts w:ascii="Times New Roman" w:eastAsia="Times New Roman" w:hAnsi="Times New Roman" w:cs="Times New Roman"/>
                <w:sz w:val="20"/>
                <w:szCs w:val="20"/>
                <w:lang w:eastAsia="es-HN"/>
              </w:rPr>
            </w:pPr>
          </w:p>
        </w:tc>
      </w:tr>
      <w:tr w:rsidR="000A4CE5" w:rsidRPr="000A4CE5" w14:paraId="3FEF3895" w14:textId="77777777" w:rsidTr="000A4CE5">
        <w:trPr>
          <w:trHeight w:val="1500"/>
        </w:trPr>
        <w:tc>
          <w:tcPr>
            <w:tcW w:w="3240" w:type="dxa"/>
            <w:vMerge/>
            <w:tcBorders>
              <w:top w:val="nil"/>
              <w:left w:val="single" w:sz="4" w:space="0" w:color="auto"/>
              <w:bottom w:val="single" w:sz="4" w:space="0" w:color="auto"/>
              <w:right w:val="single" w:sz="4" w:space="0" w:color="auto"/>
            </w:tcBorders>
            <w:vAlign w:val="center"/>
            <w:hideMark/>
          </w:tcPr>
          <w:p w14:paraId="6449D04E"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240" w:type="dxa"/>
            <w:vMerge/>
            <w:tcBorders>
              <w:top w:val="nil"/>
              <w:left w:val="single" w:sz="4" w:space="0" w:color="auto"/>
              <w:bottom w:val="single" w:sz="4" w:space="0" w:color="auto"/>
              <w:right w:val="single" w:sz="4" w:space="0" w:color="auto"/>
            </w:tcBorders>
            <w:vAlign w:val="center"/>
            <w:hideMark/>
          </w:tcPr>
          <w:p w14:paraId="7EC91AFF"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240" w:type="dxa"/>
            <w:vMerge/>
            <w:tcBorders>
              <w:top w:val="nil"/>
              <w:left w:val="single" w:sz="4" w:space="0" w:color="auto"/>
              <w:bottom w:val="single" w:sz="4" w:space="0" w:color="auto"/>
              <w:right w:val="single" w:sz="4" w:space="0" w:color="auto"/>
            </w:tcBorders>
            <w:vAlign w:val="center"/>
            <w:hideMark/>
          </w:tcPr>
          <w:p w14:paraId="041DA09A"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6" w:type="dxa"/>
            <w:tcBorders>
              <w:top w:val="nil"/>
              <w:left w:val="nil"/>
              <w:bottom w:val="nil"/>
              <w:right w:val="nil"/>
            </w:tcBorders>
            <w:shd w:val="clear" w:color="auto" w:fill="auto"/>
            <w:noWrap/>
            <w:vAlign w:val="bottom"/>
            <w:hideMark/>
          </w:tcPr>
          <w:p w14:paraId="7FA6E013"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p>
        </w:tc>
      </w:tr>
      <w:tr w:rsidR="000A4CE5" w:rsidRPr="000A4CE5" w14:paraId="6C51D2A7" w14:textId="77777777" w:rsidTr="000A4CE5">
        <w:trPr>
          <w:trHeight w:val="1470"/>
        </w:trPr>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575A7362"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¿En qué medida considera que las decisiones de política monetaria, como cambios en la tasa de interés de referencia, han afectado las tasas de interés para préstamos hipotecarios, préstamos personales y otros productos financieros ofrecidos por los bancos comerciales durante el período de 2019 a 2022?</w:t>
            </w:r>
          </w:p>
        </w:tc>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44096CD7"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En el caso de los préstamos hipotecarios, las variaciones en la tasa de interés de referencia han influido directamente en las tasas ofrecidas por los bancos, afectando la asequibilidad de la vivienda para los prestatarios. Para los préstamos personales, también se observó una conexión, ya que las decisiones de política monetaria influyen en las tasas de interés a corto plazo, afectando las condiciones de los préstamos no garantizados.</w:t>
            </w:r>
          </w:p>
        </w:tc>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38A13FB5" w14:textId="1F2BF221"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sz w:val="18"/>
                <w:szCs w:val="18"/>
                <w:lang w:eastAsia="es-HN"/>
              </w:rPr>
              <w:t>Señalamos acertadamente que las variaciones en la tasa de interés de referencia tienen un impacto directo en las tasas ofrecidas por los bancos. Además, se destaca el impacto directo en la asequibilidad de la vivienda para los prestatarios, señalando la conexión directa entre las decisiones de política monetaria y el acceso a la vivienda.</w:t>
            </w:r>
          </w:p>
        </w:tc>
        <w:tc>
          <w:tcPr>
            <w:tcW w:w="36" w:type="dxa"/>
            <w:vAlign w:val="center"/>
            <w:hideMark/>
          </w:tcPr>
          <w:p w14:paraId="1D15E729" w14:textId="77777777" w:rsidR="000A4CE5" w:rsidRPr="000A4CE5" w:rsidRDefault="000A4CE5" w:rsidP="000A4CE5">
            <w:pPr>
              <w:widowControl/>
              <w:rPr>
                <w:rFonts w:ascii="Times New Roman" w:eastAsia="Times New Roman" w:hAnsi="Times New Roman" w:cs="Times New Roman"/>
                <w:sz w:val="20"/>
                <w:szCs w:val="20"/>
                <w:lang w:eastAsia="es-HN"/>
              </w:rPr>
            </w:pPr>
          </w:p>
        </w:tc>
      </w:tr>
      <w:tr w:rsidR="000A4CE5" w:rsidRPr="000A4CE5" w14:paraId="522F8959" w14:textId="77777777" w:rsidTr="000A4CE5">
        <w:trPr>
          <w:trHeight w:val="1470"/>
        </w:trPr>
        <w:tc>
          <w:tcPr>
            <w:tcW w:w="3240" w:type="dxa"/>
            <w:vMerge/>
            <w:tcBorders>
              <w:top w:val="nil"/>
              <w:left w:val="single" w:sz="4" w:space="0" w:color="auto"/>
              <w:bottom w:val="single" w:sz="4" w:space="0" w:color="auto"/>
              <w:right w:val="single" w:sz="4" w:space="0" w:color="auto"/>
            </w:tcBorders>
            <w:vAlign w:val="center"/>
            <w:hideMark/>
          </w:tcPr>
          <w:p w14:paraId="1A0B4ACE"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240" w:type="dxa"/>
            <w:vMerge/>
            <w:tcBorders>
              <w:top w:val="nil"/>
              <w:left w:val="single" w:sz="4" w:space="0" w:color="auto"/>
              <w:bottom w:val="single" w:sz="4" w:space="0" w:color="auto"/>
              <w:right w:val="single" w:sz="4" w:space="0" w:color="auto"/>
            </w:tcBorders>
            <w:vAlign w:val="center"/>
            <w:hideMark/>
          </w:tcPr>
          <w:p w14:paraId="3E41774F"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240" w:type="dxa"/>
            <w:vMerge/>
            <w:tcBorders>
              <w:top w:val="nil"/>
              <w:left w:val="single" w:sz="4" w:space="0" w:color="auto"/>
              <w:bottom w:val="single" w:sz="4" w:space="0" w:color="auto"/>
              <w:right w:val="single" w:sz="4" w:space="0" w:color="auto"/>
            </w:tcBorders>
            <w:vAlign w:val="center"/>
            <w:hideMark/>
          </w:tcPr>
          <w:p w14:paraId="708AED8F"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6" w:type="dxa"/>
            <w:tcBorders>
              <w:top w:val="nil"/>
              <w:left w:val="nil"/>
              <w:bottom w:val="nil"/>
              <w:right w:val="nil"/>
            </w:tcBorders>
            <w:shd w:val="clear" w:color="auto" w:fill="auto"/>
            <w:noWrap/>
            <w:vAlign w:val="bottom"/>
            <w:hideMark/>
          </w:tcPr>
          <w:p w14:paraId="1CC87B51"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p>
        </w:tc>
      </w:tr>
      <w:tr w:rsidR="000A4CE5" w:rsidRPr="000A4CE5" w14:paraId="0612958F" w14:textId="77777777" w:rsidTr="000A4CE5">
        <w:trPr>
          <w:trHeight w:val="3015"/>
        </w:trPr>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04B4FAA5"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lastRenderedPageBreak/>
              <w:t>Desde su perspectiva, ¿cuál es el papel principal que desempeña la participación del sistema financiero en las ventanillas de liquidez del banco central en la determinación de las tasas de interés cobradas por los bancos comerciales?</w:t>
            </w:r>
          </w:p>
        </w:tc>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2E004138"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La participación del sistema financiero en las ventanillas de liquidez del BCH desempeña un papel crucial en la determinación de las tasas de interés cobradas por los bancos comerciales. Cuando los bancos recurren a las ventanillas de liquidez del BCH, están buscando acceso a fondos adicionales para satisfacer sus necesidades de liquidez. La tasa de interés que el banco central establece en estas transacciones influye directamente en el costo de obtener esos fondos para los bancos. Si el banco central establece una tasa baja, los bancos comerciales pueden acceder a financiamiento más barato, lo que tiende a traducirse en tasas de interés más bajas para los prestatarios finales, y viceversa. La política monetaria a través de las ventanillas de liquidez se convierte así en un instrumento para influir en las condiciones crediticias y en las tasas de interés en la economía, afectando la disponibilidad y el costo del crédito para empresas y consumidores.</w:t>
            </w:r>
          </w:p>
        </w:tc>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5AD2BA70"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Se destaca la importancia de la participación del sistema financiero en las ventanillas de liquidez del banco central y su impacto en la determinación de las tasas de interés cobradas por los bancos comerciales. El acceso a fondos adicionales a través de estas ventanillas influye en el costo para los bancos, la tasa de interés establecida por el banco central en estas transacciones se convierte en un referente clave para las tasas de interés en la economía.</w:t>
            </w:r>
          </w:p>
        </w:tc>
        <w:tc>
          <w:tcPr>
            <w:tcW w:w="36" w:type="dxa"/>
            <w:vAlign w:val="center"/>
            <w:hideMark/>
          </w:tcPr>
          <w:p w14:paraId="61474442" w14:textId="77777777" w:rsidR="000A4CE5" w:rsidRPr="000A4CE5" w:rsidRDefault="000A4CE5" w:rsidP="000A4CE5">
            <w:pPr>
              <w:widowControl/>
              <w:rPr>
                <w:rFonts w:ascii="Times New Roman" w:eastAsia="Times New Roman" w:hAnsi="Times New Roman" w:cs="Times New Roman"/>
                <w:sz w:val="20"/>
                <w:szCs w:val="20"/>
                <w:lang w:eastAsia="es-HN"/>
              </w:rPr>
            </w:pPr>
          </w:p>
        </w:tc>
      </w:tr>
      <w:tr w:rsidR="000A4CE5" w:rsidRPr="000A4CE5" w14:paraId="5B9D79DD" w14:textId="77777777" w:rsidTr="000A4CE5">
        <w:trPr>
          <w:trHeight w:val="3015"/>
        </w:trPr>
        <w:tc>
          <w:tcPr>
            <w:tcW w:w="3240" w:type="dxa"/>
            <w:vMerge/>
            <w:tcBorders>
              <w:top w:val="nil"/>
              <w:left w:val="single" w:sz="4" w:space="0" w:color="auto"/>
              <w:bottom w:val="single" w:sz="4" w:space="0" w:color="auto"/>
              <w:right w:val="single" w:sz="4" w:space="0" w:color="auto"/>
            </w:tcBorders>
            <w:vAlign w:val="center"/>
            <w:hideMark/>
          </w:tcPr>
          <w:p w14:paraId="120052EA"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240" w:type="dxa"/>
            <w:vMerge/>
            <w:tcBorders>
              <w:top w:val="nil"/>
              <w:left w:val="single" w:sz="4" w:space="0" w:color="auto"/>
              <w:bottom w:val="single" w:sz="4" w:space="0" w:color="auto"/>
              <w:right w:val="single" w:sz="4" w:space="0" w:color="auto"/>
            </w:tcBorders>
            <w:vAlign w:val="center"/>
            <w:hideMark/>
          </w:tcPr>
          <w:p w14:paraId="317984D2"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240" w:type="dxa"/>
            <w:vMerge/>
            <w:tcBorders>
              <w:top w:val="nil"/>
              <w:left w:val="single" w:sz="4" w:space="0" w:color="auto"/>
              <w:bottom w:val="single" w:sz="4" w:space="0" w:color="auto"/>
              <w:right w:val="single" w:sz="4" w:space="0" w:color="auto"/>
            </w:tcBorders>
            <w:vAlign w:val="center"/>
            <w:hideMark/>
          </w:tcPr>
          <w:p w14:paraId="1DE92D67"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6" w:type="dxa"/>
            <w:tcBorders>
              <w:top w:val="nil"/>
              <w:left w:val="nil"/>
              <w:bottom w:val="nil"/>
              <w:right w:val="nil"/>
            </w:tcBorders>
            <w:shd w:val="clear" w:color="auto" w:fill="auto"/>
            <w:noWrap/>
            <w:vAlign w:val="bottom"/>
            <w:hideMark/>
          </w:tcPr>
          <w:p w14:paraId="157F9C57"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p>
        </w:tc>
      </w:tr>
      <w:tr w:rsidR="000A4CE5" w:rsidRPr="000A4CE5" w14:paraId="6202347D" w14:textId="77777777" w:rsidTr="000A4CE5">
        <w:trPr>
          <w:trHeight w:val="2070"/>
        </w:trPr>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4358FF55"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Desde su perspectiva, ¿cómo describiría el impacto general de las medidas de refinanciamiento y reestructuración de créditos implementadas durante la pandemia en las tasas de interés cobradas por los bancos?</w:t>
            </w:r>
          </w:p>
        </w:tc>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484836DF"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Estas medidas se han diseñado para aliviar la presión financiera de los prestatarios, ofreciendo opciones de refinanciamiento y reestructuración de deudas. En muchos casos, las instituciones financieras han ajustado las condiciones de los préstamos existentes para proporcionar tasas de interés más favorables, plazos extendidos o períodos de gracia. Esto, en conjunto, ha contribuido a mitigar el riesgo de impago y a mantener la estabilidad financiera tanto para los prestatarios como para los propios bancos, los márgenes de beneficio de los bancos se vieron afectados, ya que ofrecer condiciones más flexibles puede reducir los ingresos por intereses.</w:t>
            </w:r>
          </w:p>
        </w:tc>
        <w:tc>
          <w:tcPr>
            <w:tcW w:w="3240" w:type="dxa"/>
            <w:vMerge w:val="restart"/>
            <w:tcBorders>
              <w:top w:val="nil"/>
              <w:left w:val="single" w:sz="4" w:space="0" w:color="auto"/>
              <w:bottom w:val="single" w:sz="4" w:space="0" w:color="auto"/>
              <w:right w:val="single" w:sz="4" w:space="0" w:color="auto"/>
            </w:tcBorders>
            <w:shd w:val="clear" w:color="auto" w:fill="auto"/>
            <w:vAlign w:val="center"/>
            <w:hideMark/>
          </w:tcPr>
          <w:p w14:paraId="156DDE6F" w14:textId="35F7A36E" w:rsidR="000A4CE5" w:rsidRPr="000A4CE5" w:rsidRDefault="000A4CE5" w:rsidP="000A4CE5">
            <w:pPr>
              <w:widowControl/>
              <w:jc w:val="both"/>
              <w:rPr>
                <w:rFonts w:ascii="Times New Roman" w:eastAsia="Times New Roman" w:hAnsi="Times New Roman" w:cs="Times New Roman"/>
                <w:color w:val="000000"/>
                <w:sz w:val="18"/>
                <w:szCs w:val="18"/>
                <w:lang w:eastAsia="es-HN"/>
              </w:rPr>
            </w:pPr>
            <w:r w:rsidRPr="000A4CE5">
              <w:rPr>
                <w:rFonts w:ascii="Times New Roman" w:eastAsia="Times New Roman" w:hAnsi="Times New Roman" w:cs="Times New Roman"/>
                <w:color w:val="000000"/>
                <w:sz w:val="18"/>
                <w:szCs w:val="18"/>
                <w:lang w:eastAsia="es-HN"/>
              </w:rPr>
              <w:t>El propósito de estas medidas fue aliviar la presión financiera de los clientes. El impacto positivo de estas medidas al mitigar el riesgo de incumplimiento de pago y mantener la estabilidad financiera tanto para los clientes como para los propios bancos. Sin embargo, también reconocemos que los márgenes de beneficio de los bancos se vieron afectados debido a la oferta de condiciones más flexibles, lo que indica un equilibrio entre el apoyo a los clientes y los desafíos enfrentados por las instituciones financieras.</w:t>
            </w:r>
          </w:p>
        </w:tc>
        <w:tc>
          <w:tcPr>
            <w:tcW w:w="36" w:type="dxa"/>
            <w:vAlign w:val="center"/>
            <w:hideMark/>
          </w:tcPr>
          <w:p w14:paraId="32FAFE80" w14:textId="77777777" w:rsidR="000A4CE5" w:rsidRPr="000A4CE5" w:rsidRDefault="000A4CE5" w:rsidP="000A4CE5">
            <w:pPr>
              <w:widowControl/>
              <w:rPr>
                <w:rFonts w:ascii="Times New Roman" w:eastAsia="Times New Roman" w:hAnsi="Times New Roman" w:cs="Times New Roman"/>
                <w:sz w:val="20"/>
                <w:szCs w:val="20"/>
                <w:lang w:eastAsia="es-HN"/>
              </w:rPr>
            </w:pPr>
          </w:p>
        </w:tc>
      </w:tr>
      <w:bookmarkEnd w:id="199"/>
      <w:tr w:rsidR="000A4CE5" w:rsidRPr="000A4CE5" w14:paraId="0F5834D4" w14:textId="77777777" w:rsidTr="000A4CE5">
        <w:trPr>
          <w:trHeight w:val="2070"/>
        </w:trPr>
        <w:tc>
          <w:tcPr>
            <w:tcW w:w="3240" w:type="dxa"/>
            <w:vMerge/>
            <w:tcBorders>
              <w:top w:val="nil"/>
              <w:left w:val="single" w:sz="4" w:space="0" w:color="auto"/>
              <w:bottom w:val="single" w:sz="4" w:space="0" w:color="auto"/>
              <w:right w:val="single" w:sz="4" w:space="0" w:color="auto"/>
            </w:tcBorders>
            <w:vAlign w:val="center"/>
            <w:hideMark/>
          </w:tcPr>
          <w:p w14:paraId="09A47DE6"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240" w:type="dxa"/>
            <w:vMerge/>
            <w:tcBorders>
              <w:top w:val="nil"/>
              <w:left w:val="single" w:sz="4" w:space="0" w:color="auto"/>
              <w:bottom w:val="single" w:sz="4" w:space="0" w:color="auto"/>
              <w:right w:val="single" w:sz="4" w:space="0" w:color="auto"/>
            </w:tcBorders>
            <w:vAlign w:val="center"/>
            <w:hideMark/>
          </w:tcPr>
          <w:p w14:paraId="067E95E8"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240" w:type="dxa"/>
            <w:vMerge/>
            <w:tcBorders>
              <w:top w:val="nil"/>
              <w:left w:val="single" w:sz="4" w:space="0" w:color="auto"/>
              <w:bottom w:val="single" w:sz="4" w:space="0" w:color="auto"/>
              <w:right w:val="single" w:sz="4" w:space="0" w:color="auto"/>
            </w:tcBorders>
            <w:vAlign w:val="center"/>
            <w:hideMark/>
          </w:tcPr>
          <w:p w14:paraId="4149A558" w14:textId="77777777" w:rsidR="000A4CE5" w:rsidRPr="000A4CE5" w:rsidRDefault="000A4CE5" w:rsidP="000A4CE5">
            <w:pPr>
              <w:widowControl/>
              <w:rPr>
                <w:rFonts w:ascii="Times New Roman" w:eastAsia="Times New Roman" w:hAnsi="Times New Roman" w:cs="Times New Roman"/>
                <w:color w:val="000000"/>
                <w:sz w:val="18"/>
                <w:szCs w:val="18"/>
                <w:lang w:eastAsia="es-HN"/>
              </w:rPr>
            </w:pPr>
          </w:p>
        </w:tc>
        <w:tc>
          <w:tcPr>
            <w:tcW w:w="36" w:type="dxa"/>
            <w:tcBorders>
              <w:top w:val="nil"/>
              <w:left w:val="nil"/>
              <w:bottom w:val="nil"/>
              <w:right w:val="nil"/>
            </w:tcBorders>
            <w:shd w:val="clear" w:color="auto" w:fill="auto"/>
            <w:noWrap/>
            <w:vAlign w:val="bottom"/>
            <w:hideMark/>
          </w:tcPr>
          <w:p w14:paraId="4159066C" w14:textId="77777777" w:rsidR="000A4CE5" w:rsidRPr="000A4CE5" w:rsidRDefault="000A4CE5" w:rsidP="000A4CE5">
            <w:pPr>
              <w:widowControl/>
              <w:jc w:val="both"/>
              <w:rPr>
                <w:rFonts w:ascii="Times New Roman" w:eastAsia="Times New Roman" w:hAnsi="Times New Roman" w:cs="Times New Roman"/>
                <w:color w:val="000000"/>
                <w:sz w:val="18"/>
                <w:szCs w:val="18"/>
                <w:lang w:eastAsia="es-HN"/>
              </w:rPr>
            </w:pPr>
          </w:p>
        </w:tc>
      </w:tr>
    </w:tbl>
    <w:p w14:paraId="1EDD008E" w14:textId="67C91B9A" w:rsidR="00853FC5" w:rsidRDefault="00853FC5" w:rsidP="00853FC5">
      <w:pPr>
        <w:widowControl/>
        <w:spacing w:after="160" w:line="259" w:lineRule="auto"/>
        <w:rPr>
          <w:rFonts w:ascii="Times New Roman" w:hAnsi="Times New Roman" w:cs="Times New Roman"/>
          <w:sz w:val="24"/>
          <w:szCs w:val="24"/>
        </w:rPr>
        <w:sectPr w:rsidR="00853FC5" w:rsidSect="00151EC0">
          <w:pgSz w:w="12240" w:h="15840" w:code="1"/>
          <w:pgMar w:top="1440" w:right="1440" w:bottom="1440" w:left="1440" w:header="709" w:footer="709" w:gutter="0"/>
          <w:cols w:space="708"/>
          <w:docGrid w:linePitch="360"/>
        </w:sectPr>
      </w:pPr>
      <w:r w:rsidRPr="000A4CE5">
        <w:rPr>
          <w:rFonts w:ascii="Times New Roman" w:hAnsi="Times New Roman" w:cs="Times New Roman"/>
          <w:b/>
          <w:bCs/>
          <w:sz w:val="24"/>
          <w:szCs w:val="24"/>
        </w:rPr>
        <w:t>Fuente:</w:t>
      </w:r>
      <w:r>
        <w:rPr>
          <w:rFonts w:ascii="Times New Roman" w:hAnsi="Times New Roman" w:cs="Times New Roman"/>
          <w:sz w:val="24"/>
          <w:szCs w:val="24"/>
        </w:rPr>
        <w:t xml:space="preserve"> Elaboración propia. </w:t>
      </w:r>
    </w:p>
    <w:p w14:paraId="6EB93BFE" w14:textId="50158E9C" w:rsidR="005E17C8" w:rsidRPr="005E17C8" w:rsidRDefault="00853FC5" w:rsidP="00853FC5">
      <w:pPr>
        <w:widowControl/>
        <w:spacing w:after="160" w:line="480" w:lineRule="auto"/>
        <w:rPr>
          <w:rFonts w:ascii="Times New Roman" w:hAnsi="Times New Roman" w:cs="Times New Roman"/>
          <w:b/>
          <w:bCs/>
          <w:sz w:val="24"/>
          <w:szCs w:val="24"/>
        </w:rPr>
      </w:pPr>
      <w:r w:rsidRPr="005E17C8">
        <w:rPr>
          <w:rFonts w:ascii="Times New Roman" w:hAnsi="Times New Roman" w:cs="Times New Roman"/>
          <w:b/>
          <w:bCs/>
          <w:sz w:val="24"/>
          <w:szCs w:val="24"/>
        </w:rPr>
        <w:lastRenderedPageBreak/>
        <w:t>ANEXO 2</w:t>
      </w:r>
      <w:r w:rsidR="005E17C8">
        <w:rPr>
          <w:rFonts w:ascii="Times New Roman" w:hAnsi="Times New Roman" w:cs="Times New Roman"/>
          <w:b/>
          <w:bCs/>
          <w:sz w:val="24"/>
          <w:szCs w:val="24"/>
        </w:rPr>
        <w:t>.</w:t>
      </w:r>
      <w:r w:rsidRPr="005E17C8">
        <w:rPr>
          <w:rFonts w:ascii="Times New Roman" w:hAnsi="Times New Roman" w:cs="Times New Roman"/>
          <w:b/>
          <w:bCs/>
          <w:sz w:val="24"/>
          <w:szCs w:val="24"/>
        </w:rPr>
        <w:t xml:space="preserve"> FICHA TÉCNICA – ESQUEMA DE REVISIÓN SISTEMATICA</w:t>
      </w:r>
    </w:p>
    <w:tbl>
      <w:tblPr>
        <w:tblW w:w="0" w:type="auto"/>
        <w:jc w:val="center"/>
        <w:tblCellMar>
          <w:left w:w="70" w:type="dxa"/>
          <w:right w:w="70" w:type="dxa"/>
        </w:tblCellMar>
        <w:tblLook w:val="04A0" w:firstRow="1" w:lastRow="0" w:firstColumn="1" w:lastColumn="0" w:noHBand="0" w:noVBand="1"/>
      </w:tblPr>
      <w:tblGrid>
        <w:gridCol w:w="808"/>
        <w:gridCol w:w="1180"/>
        <w:gridCol w:w="899"/>
        <w:gridCol w:w="899"/>
        <w:gridCol w:w="540"/>
        <w:gridCol w:w="683"/>
        <w:gridCol w:w="1023"/>
        <w:gridCol w:w="964"/>
        <w:gridCol w:w="677"/>
        <w:gridCol w:w="1677"/>
      </w:tblGrid>
      <w:tr w:rsidR="005E17C8" w:rsidRPr="005E17C8" w14:paraId="5CBCE909" w14:textId="77777777" w:rsidTr="005E17C8">
        <w:trPr>
          <w:trHeight w:val="240"/>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13FC25"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bookmarkStart w:id="200" w:name="RANGE!B3:K51"/>
            <w:r w:rsidRPr="005E17C8">
              <w:rPr>
                <w:rFonts w:ascii="Times New Roman" w:eastAsia="Times New Roman" w:hAnsi="Times New Roman" w:cs="Times New Roman"/>
                <w:b/>
                <w:bCs/>
                <w:color w:val="000000"/>
                <w:sz w:val="18"/>
                <w:szCs w:val="18"/>
                <w:lang w:eastAsia="es-HN"/>
              </w:rPr>
              <w:t>Ficha Técnica</w:t>
            </w:r>
            <w:bookmarkEnd w:id="200"/>
          </w:p>
        </w:tc>
      </w:tr>
      <w:tr w:rsidR="005E17C8" w:rsidRPr="005E17C8" w14:paraId="2EC6A66F" w14:textId="77777777" w:rsidTr="005E17C8">
        <w:trPr>
          <w:trHeight w:val="240"/>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44F70E"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 </w:t>
            </w:r>
          </w:p>
        </w:tc>
      </w:tr>
      <w:tr w:rsidR="005E17C8" w:rsidRPr="005E17C8" w14:paraId="0F8CB7E5" w14:textId="77777777" w:rsidTr="005E17C8">
        <w:trPr>
          <w:trHeight w:val="585"/>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15EBBBB4" w14:textId="77777777" w:rsidR="005E17C8" w:rsidRPr="005E17C8" w:rsidRDefault="005E17C8" w:rsidP="005E17C8">
            <w:pPr>
              <w:widowControl/>
              <w:ind w:firstLineChars="100" w:firstLine="181"/>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b/>
                <w:bCs/>
                <w:color w:val="000000"/>
                <w:sz w:val="18"/>
                <w:szCs w:val="18"/>
                <w:lang w:eastAsia="es-HN"/>
              </w:rPr>
              <w:t xml:space="preserve">Tema: </w:t>
            </w:r>
            <w:r w:rsidRPr="005E17C8">
              <w:rPr>
                <w:rFonts w:ascii="Times New Roman" w:eastAsia="Times New Roman" w:hAnsi="Times New Roman" w:cs="Times New Roman"/>
                <w:color w:val="000000"/>
                <w:sz w:val="18"/>
                <w:szCs w:val="18"/>
                <w:lang w:eastAsia="es-HN"/>
              </w:rPr>
              <w:t>Análisis y Descomposición de la Tasa de Interés Nominal en Moneda Nacional Cobrada por los Bancos Comerciales en Honduras Durante el Período 2019-2022.</w:t>
            </w:r>
          </w:p>
        </w:tc>
      </w:tr>
      <w:tr w:rsidR="005E17C8" w:rsidRPr="005E17C8" w14:paraId="15CE874A" w14:textId="77777777" w:rsidTr="005E17C8">
        <w:trPr>
          <w:trHeight w:val="240"/>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7774F4" w14:textId="77777777" w:rsidR="005E17C8" w:rsidRPr="005E17C8" w:rsidRDefault="005E17C8" w:rsidP="005E17C8">
            <w:pPr>
              <w:widowControl/>
              <w:ind w:firstLineChars="100" w:firstLine="181"/>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 </w:t>
            </w:r>
          </w:p>
        </w:tc>
      </w:tr>
      <w:tr w:rsidR="005E17C8" w:rsidRPr="005E17C8" w14:paraId="4E9084F2" w14:textId="77777777" w:rsidTr="005E17C8">
        <w:trPr>
          <w:trHeight w:val="585"/>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2F28E2C6" w14:textId="77777777" w:rsidR="005E17C8" w:rsidRPr="005E17C8" w:rsidRDefault="005E17C8" w:rsidP="005E17C8">
            <w:pPr>
              <w:widowControl/>
              <w:ind w:firstLineChars="100" w:firstLine="181"/>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b/>
                <w:bCs/>
                <w:color w:val="000000"/>
                <w:sz w:val="18"/>
                <w:szCs w:val="18"/>
                <w:lang w:eastAsia="es-HN"/>
              </w:rPr>
              <w:t>Objetivo General:</w:t>
            </w:r>
            <w:r w:rsidRPr="005E17C8">
              <w:rPr>
                <w:rFonts w:ascii="Times New Roman" w:eastAsia="Times New Roman" w:hAnsi="Times New Roman" w:cs="Times New Roman"/>
                <w:color w:val="000000"/>
                <w:sz w:val="18"/>
                <w:szCs w:val="18"/>
                <w:lang w:eastAsia="es-HN"/>
              </w:rPr>
              <w:t xml:space="preserve"> Analizar los principales factores macroeconómicos y financieros que determinaron el comportamiento cíclico de la tasa de interés nominal en moneda nacional cobrada por los bancos comerciales en Honduras durante el período de 2019 a 2022.</w:t>
            </w:r>
          </w:p>
        </w:tc>
      </w:tr>
      <w:tr w:rsidR="005E17C8" w:rsidRPr="005E17C8" w14:paraId="21D95AB2" w14:textId="77777777" w:rsidTr="005E17C8">
        <w:trPr>
          <w:trHeight w:val="240"/>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49088A" w14:textId="77777777" w:rsidR="005E17C8" w:rsidRPr="005E17C8" w:rsidRDefault="005E17C8" w:rsidP="005E17C8">
            <w:pPr>
              <w:widowControl/>
              <w:ind w:firstLineChars="100" w:firstLine="181"/>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 </w:t>
            </w:r>
          </w:p>
        </w:tc>
      </w:tr>
      <w:tr w:rsidR="005E17C8" w:rsidRPr="005E17C8" w14:paraId="02E1D36F" w14:textId="77777777" w:rsidTr="005E17C8">
        <w:trPr>
          <w:trHeight w:val="585"/>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2A7919DC" w14:textId="77777777" w:rsidR="005E17C8" w:rsidRPr="005E17C8" w:rsidRDefault="005E17C8" w:rsidP="005E17C8">
            <w:pPr>
              <w:widowControl/>
              <w:ind w:firstLineChars="100" w:firstLine="181"/>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b/>
                <w:bCs/>
                <w:color w:val="000000"/>
                <w:sz w:val="18"/>
                <w:szCs w:val="18"/>
                <w:lang w:eastAsia="es-HN"/>
              </w:rPr>
              <w:t>Objetivo Específico:</w:t>
            </w:r>
            <w:r w:rsidRPr="005E17C8">
              <w:rPr>
                <w:rFonts w:ascii="Times New Roman" w:eastAsia="Times New Roman" w:hAnsi="Times New Roman" w:cs="Times New Roman"/>
                <w:color w:val="000000"/>
                <w:sz w:val="18"/>
                <w:szCs w:val="18"/>
                <w:lang w:eastAsia="es-HN"/>
              </w:rPr>
              <w:t xml:space="preserve"> Identificar los principales factores financieros que determinaron la tasa de interés nominal en moneda nacional cobrada por los bancos comerciales en Honduras durante el período de 2019 a 2022.</w:t>
            </w:r>
          </w:p>
        </w:tc>
      </w:tr>
      <w:tr w:rsidR="005E17C8" w:rsidRPr="005E17C8" w14:paraId="3816FB31" w14:textId="77777777" w:rsidTr="005E17C8">
        <w:trPr>
          <w:trHeight w:val="240"/>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78F9E1" w14:textId="77777777" w:rsidR="005E17C8" w:rsidRPr="005E17C8" w:rsidRDefault="005E17C8" w:rsidP="005E17C8">
            <w:pPr>
              <w:widowControl/>
              <w:ind w:firstLineChars="100" w:firstLine="181"/>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 </w:t>
            </w:r>
          </w:p>
        </w:tc>
      </w:tr>
      <w:tr w:rsidR="005E17C8" w:rsidRPr="005E17C8" w14:paraId="35D393FE" w14:textId="77777777" w:rsidTr="005E17C8">
        <w:trPr>
          <w:trHeight w:val="240"/>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AF5819" w14:textId="77777777" w:rsidR="005E17C8" w:rsidRPr="005E17C8" w:rsidRDefault="005E17C8" w:rsidP="005E17C8">
            <w:pPr>
              <w:widowControl/>
              <w:ind w:firstLineChars="100" w:firstLine="181"/>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 xml:space="preserve">Variable: </w:t>
            </w:r>
            <w:r w:rsidRPr="005E17C8">
              <w:rPr>
                <w:rFonts w:ascii="Times New Roman" w:eastAsia="Times New Roman" w:hAnsi="Times New Roman" w:cs="Times New Roman"/>
                <w:color w:val="000000"/>
                <w:sz w:val="18"/>
                <w:szCs w:val="18"/>
                <w:lang w:eastAsia="es-HN"/>
              </w:rPr>
              <w:t xml:space="preserve">Factores Financieros. </w:t>
            </w:r>
          </w:p>
        </w:tc>
      </w:tr>
      <w:tr w:rsidR="005E17C8" w:rsidRPr="005E17C8" w14:paraId="304A87B0" w14:textId="77777777" w:rsidTr="005E17C8">
        <w:trPr>
          <w:trHeight w:val="240"/>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E15A1B" w14:textId="77777777" w:rsidR="005E17C8" w:rsidRPr="005E17C8" w:rsidRDefault="005E17C8" w:rsidP="005E17C8">
            <w:pPr>
              <w:widowControl/>
              <w:ind w:firstLineChars="100" w:firstLine="181"/>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 </w:t>
            </w:r>
          </w:p>
        </w:tc>
      </w:tr>
      <w:tr w:rsidR="005E17C8" w:rsidRPr="005E17C8" w14:paraId="749F117F" w14:textId="77777777" w:rsidTr="005E17C8">
        <w:trPr>
          <w:trHeight w:val="240"/>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444886" w14:textId="77777777" w:rsidR="005E17C8" w:rsidRPr="005E17C8" w:rsidRDefault="005E17C8" w:rsidP="005E17C8">
            <w:pPr>
              <w:widowControl/>
              <w:ind w:firstLineChars="100" w:firstLine="181"/>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 xml:space="preserve">Estrategia de Recolección de Datos: </w:t>
            </w:r>
            <w:r w:rsidRPr="005E17C8">
              <w:rPr>
                <w:rFonts w:ascii="Times New Roman" w:eastAsia="Times New Roman" w:hAnsi="Times New Roman" w:cs="Times New Roman"/>
                <w:color w:val="000000"/>
                <w:sz w:val="18"/>
                <w:szCs w:val="18"/>
                <w:lang w:eastAsia="es-HN"/>
              </w:rPr>
              <w:t>Revisión Sistemática.</w:t>
            </w:r>
          </w:p>
        </w:tc>
      </w:tr>
      <w:tr w:rsidR="005E17C8" w:rsidRPr="005E17C8" w14:paraId="642AB5B3" w14:textId="77777777" w:rsidTr="005E17C8">
        <w:trPr>
          <w:trHeight w:val="240"/>
          <w:tblHeader/>
          <w:jc w:val="center"/>
        </w:trPr>
        <w:tc>
          <w:tcPr>
            <w:tcW w:w="0" w:type="auto"/>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6F26A8" w14:textId="77777777" w:rsidR="005E17C8" w:rsidRPr="005E17C8" w:rsidRDefault="005E17C8" w:rsidP="005E17C8">
            <w:pPr>
              <w:widowControl/>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 </w:t>
            </w:r>
          </w:p>
        </w:tc>
      </w:tr>
      <w:tr w:rsidR="005E17C8" w:rsidRPr="005E17C8" w14:paraId="5D755A5B" w14:textId="77777777" w:rsidTr="005E17C8">
        <w:trPr>
          <w:trHeight w:val="630"/>
          <w:tblHeader/>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589767B"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Sujetos de la Investigación</w:t>
            </w:r>
          </w:p>
        </w:tc>
        <w:tc>
          <w:tcPr>
            <w:tcW w:w="0" w:type="auto"/>
            <w:tcBorders>
              <w:top w:val="nil"/>
              <w:left w:val="nil"/>
              <w:bottom w:val="single" w:sz="4" w:space="0" w:color="auto"/>
              <w:right w:val="single" w:sz="4" w:space="0" w:color="auto"/>
            </w:tcBorders>
            <w:shd w:val="clear" w:color="auto" w:fill="auto"/>
            <w:vAlign w:val="center"/>
            <w:hideMark/>
          </w:tcPr>
          <w:p w14:paraId="15934073"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Dimensiones de Análisis</w:t>
            </w:r>
          </w:p>
        </w:tc>
        <w:tc>
          <w:tcPr>
            <w:tcW w:w="0" w:type="auto"/>
            <w:tcBorders>
              <w:top w:val="nil"/>
              <w:left w:val="nil"/>
              <w:bottom w:val="single" w:sz="4" w:space="0" w:color="auto"/>
              <w:right w:val="single" w:sz="4" w:space="0" w:color="auto"/>
            </w:tcBorders>
            <w:shd w:val="clear" w:color="auto" w:fill="auto"/>
            <w:noWrap/>
            <w:vAlign w:val="center"/>
            <w:hideMark/>
          </w:tcPr>
          <w:p w14:paraId="4D1C479B"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Indicadores</w:t>
            </w:r>
          </w:p>
        </w:tc>
        <w:tc>
          <w:tcPr>
            <w:tcW w:w="0" w:type="auto"/>
            <w:tcBorders>
              <w:top w:val="nil"/>
              <w:left w:val="nil"/>
              <w:bottom w:val="single" w:sz="4" w:space="0" w:color="auto"/>
              <w:right w:val="single" w:sz="4" w:space="0" w:color="auto"/>
            </w:tcBorders>
            <w:shd w:val="clear" w:color="auto" w:fill="auto"/>
            <w:noWrap/>
            <w:vAlign w:val="center"/>
            <w:hideMark/>
          </w:tcPr>
          <w:p w14:paraId="50F3D841"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Parámetros</w:t>
            </w:r>
          </w:p>
        </w:tc>
        <w:tc>
          <w:tcPr>
            <w:tcW w:w="0" w:type="auto"/>
            <w:tcBorders>
              <w:top w:val="nil"/>
              <w:left w:val="nil"/>
              <w:bottom w:val="single" w:sz="4" w:space="0" w:color="auto"/>
              <w:right w:val="single" w:sz="4" w:space="0" w:color="auto"/>
            </w:tcBorders>
            <w:shd w:val="clear" w:color="auto" w:fill="auto"/>
            <w:vAlign w:val="center"/>
            <w:hideMark/>
          </w:tcPr>
          <w:p w14:paraId="35BC1260"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Período de Análisis</w:t>
            </w:r>
          </w:p>
        </w:tc>
        <w:tc>
          <w:tcPr>
            <w:tcW w:w="0" w:type="auto"/>
            <w:tcBorders>
              <w:top w:val="nil"/>
              <w:left w:val="nil"/>
              <w:bottom w:val="single" w:sz="4" w:space="0" w:color="auto"/>
              <w:right w:val="single" w:sz="4" w:space="0" w:color="auto"/>
            </w:tcBorders>
            <w:shd w:val="clear" w:color="auto" w:fill="auto"/>
            <w:vAlign w:val="center"/>
            <w:hideMark/>
          </w:tcPr>
          <w:p w14:paraId="0B19C1C6"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Valor del Parámetro</w:t>
            </w:r>
          </w:p>
        </w:tc>
        <w:tc>
          <w:tcPr>
            <w:tcW w:w="0" w:type="auto"/>
            <w:tcBorders>
              <w:top w:val="nil"/>
              <w:left w:val="nil"/>
              <w:bottom w:val="single" w:sz="4" w:space="0" w:color="auto"/>
              <w:right w:val="single" w:sz="4" w:space="0" w:color="auto"/>
            </w:tcBorders>
            <w:shd w:val="clear" w:color="auto" w:fill="auto"/>
            <w:noWrap/>
            <w:vAlign w:val="center"/>
            <w:hideMark/>
          </w:tcPr>
          <w:p w14:paraId="762B74AF"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Medida</w:t>
            </w:r>
          </w:p>
        </w:tc>
        <w:tc>
          <w:tcPr>
            <w:tcW w:w="0" w:type="auto"/>
            <w:tcBorders>
              <w:top w:val="nil"/>
              <w:left w:val="nil"/>
              <w:bottom w:val="single" w:sz="4" w:space="0" w:color="auto"/>
              <w:right w:val="single" w:sz="4" w:space="0" w:color="auto"/>
            </w:tcBorders>
            <w:shd w:val="clear" w:color="auto" w:fill="auto"/>
            <w:vAlign w:val="center"/>
            <w:hideMark/>
          </w:tcPr>
          <w:p w14:paraId="7C2860C5"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Tipo de Fuente</w:t>
            </w:r>
          </w:p>
        </w:tc>
        <w:tc>
          <w:tcPr>
            <w:tcW w:w="0" w:type="auto"/>
            <w:tcBorders>
              <w:top w:val="nil"/>
              <w:left w:val="nil"/>
              <w:bottom w:val="single" w:sz="4" w:space="0" w:color="auto"/>
              <w:right w:val="single" w:sz="4" w:space="0" w:color="auto"/>
            </w:tcBorders>
            <w:shd w:val="clear" w:color="auto" w:fill="auto"/>
            <w:vAlign w:val="center"/>
            <w:hideMark/>
          </w:tcPr>
          <w:p w14:paraId="341567DE"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Fecha de Consulta</w:t>
            </w:r>
          </w:p>
        </w:tc>
        <w:tc>
          <w:tcPr>
            <w:tcW w:w="0" w:type="auto"/>
            <w:tcBorders>
              <w:top w:val="nil"/>
              <w:left w:val="nil"/>
              <w:bottom w:val="single" w:sz="4" w:space="0" w:color="auto"/>
              <w:right w:val="single" w:sz="4" w:space="0" w:color="auto"/>
            </w:tcBorders>
            <w:shd w:val="clear" w:color="auto" w:fill="auto"/>
            <w:vAlign w:val="center"/>
            <w:hideMark/>
          </w:tcPr>
          <w:p w14:paraId="343E84B1" w14:textId="77777777" w:rsidR="005E17C8" w:rsidRPr="005E17C8" w:rsidRDefault="005E17C8" w:rsidP="005E17C8">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 xml:space="preserve">Referencia de la Fuente </w:t>
            </w:r>
            <w:r w:rsidRPr="005E17C8">
              <w:rPr>
                <w:rFonts w:ascii="Times New Roman" w:eastAsia="Times New Roman" w:hAnsi="Times New Roman" w:cs="Times New Roman"/>
                <w:b/>
                <w:bCs/>
                <w:color w:val="000000"/>
                <w:sz w:val="18"/>
                <w:szCs w:val="18"/>
                <w:lang w:eastAsia="es-HN"/>
              </w:rPr>
              <w:br/>
              <w:t>(URL)</w:t>
            </w:r>
          </w:p>
        </w:tc>
      </w:tr>
      <w:tr w:rsidR="005E17C8" w:rsidRPr="005E17C8" w14:paraId="4FC05666" w14:textId="77777777" w:rsidTr="005E17C8">
        <w:trPr>
          <w:trHeight w:val="240"/>
          <w:jc w:val="center"/>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A185003"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 xml:space="preserve">Sistema Bancario </w:t>
            </w:r>
            <w:r w:rsidRPr="005E17C8">
              <w:rPr>
                <w:rFonts w:ascii="Times New Roman" w:eastAsia="Times New Roman" w:hAnsi="Times New Roman" w:cs="Times New Roman"/>
                <w:color w:val="000000"/>
                <w:sz w:val="18"/>
                <w:szCs w:val="18"/>
                <w:lang w:eastAsia="es-HN"/>
              </w:rPr>
              <w:br/>
              <w:t>(15 bancos comerciales)</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11C28611"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Costo de Fondeo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E9E0121" w14:textId="18231B2C"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Tasa de interés pasiva implícita</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E9E4FB7"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Gastos Financieros sobre Obligaciones con los Depositantes</w:t>
            </w:r>
          </w:p>
        </w:tc>
        <w:tc>
          <w:tcPr>
            <w:tcW w:w="0" w:type="auto"/>
            <w:tcBorders>
              <w:top w:val="nil"/>
              <w:left w:val="nil"/>
              <w:bottom w:val="single" w:sz="4" w:space="0" w:color="auto"/>
              <w:right w:val="single" w:sz="4" w:space="0" w:color="auto"/>
            </w:tcBorders>
            <w:shd w:val="clear" w:color="auto" w:fill="auto"/>
            <w:noWrap/>
            <w:vAlign w:val="center"/>
            <w:hideMark/>
          </w:tcPr>
          <w:p w14:paraId="5A64FBB7"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2019</w:t>
            </w:r>
          </w:p>
        </w:tc>
        <w:tc>
          <w:tcPr>
            <w:tcW w:w="0" w:type="auto"/>
            <w:tcBorders>
              <w:top w:val="nil"/>
              <w:left w:val="nil"/>
              <w:bottom w:val="single" w:sz="4" w:space="0" w:color="auto"/>
              <w:right w:val="single" w:sz="4" w:space="0" w:color="auto"/>
            </w:tcBorders>
            <w:shd w:val="clear" w:color="auto" w:fill="auto"/>
            <w:noWrap/>
            <w:vAlign w:val="center"/>
            <w:hideMark/>
          </w:tcPr>
          <w:p w14:paraId="6F198C52"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14,023.3</w:t>
            </w:r>
          </w:p>
        </w:tc>
        <w:tc>
          <w:tcPr>
            <w:tcW w:w="0" w:type="auto"/>
            <w:vMerge w:val="restart"/>
            <w:tcBorders>
              <w:top w:val="nil"/>
              <w:left w:val="single" w:sz="4" w:space="0" w:color="auto"/>
              <w:bottom w:val="single" w:sz="4" w:space="0" w:color="000000"/>
              <w:right w:val="single" w:sz="4" w:space="0" w:color="auto"/>
            </w:tcBorders>
            <w:shd w:val="clear" w:color="auto" w:fill="auto"/>
            <w:noWrap/>
            <w:vAlign w:val="center"/>
            <w:hideMark/>
          </w:tcPr>
          <w:p w14:paraId="422914C2"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Miles de Lempiras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D0E30C4"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Estados Financieros Consolidados de los Bancos Comerciales, período de 2019 a 2022, Comisión Nacional de Banca y Seguros (CNBS).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471A452"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21/10/2023</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6B9C4D0" w14:textId="77777777" w:rsidR="005E17C8" w:rsidRPr="005E17C8" w:rsidRDefault="00B027F6" w:rsidP="005E17C8">
            <w:pPr>
              <w:widowControl/>
              <w:jc w:val="center"/>
              <w:rPr>
                <w:rFonts w:ascii="Times New Roman" w:eastAsia="Times New Roman" w:hAnsi="Times New Roman" w:cs="Times New Roman"/>
                <w:sz w:val="18"/>
                <w:szCs w:val="18"/>
                <w:u w:val="single"/>
                <w:lang w:eastAsia="es-HN"/>
              </w:rPr>
            </w:pPr>
            <w:hyperlink r:id="rId39" w:history="1">
              <w:r w:rsidR="005E17C8" w:rsidRPr="005E17C8">
                <w:rPr>
                  <w:rFonts w:ascii="Times New Roman" w:eastAsia="Times New Roman" w:hAnsi="Times New Roman" w:cs="Times New Roman"/>
                  <w:sz w:val="18"/>
                  <w:szCs w:val="18"/>
                  <w:u w:val="single"/>
                  <w:lang w:eastAsia="es-HN"/>
                </w:rPr>
                <w:t>https://analitica.cnbs.gob.hn/</w:t>
              </w:r>
            </w:hyperlink>
          </w:p>
        </w:tc>
      </w:tr>
      <w:tr w:rsidR="005E17C8" w:rsidRPr="005E17C8" w14:paraId="6BE6B408"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20BF6431"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9737D2C"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E95E4DE"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779D0FF"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075390E5"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2020</w:t>
            </w:r>
          </w:p>
        </w:tc>
        <w:tc>
          <w:tcPr>
            <w:tcW w:w="0" w:type="auto"/>
            <w:tcBorders>
              <w:top w:val="nil"/>
              <w:left w:val="nil"/>
              <w:bottom w:val="single" w:sz="4" w:space="0" w:color="auto"/>
              <w:right w:val="single" w:sz="4" w:space="0" w:color="auto"/>
            </w:tcBorders>
            <w:shd w:val="clear" w:color="auto" w:fill="auto"/>
            <w:noWrap/>
            <w:vAlign w:val="center"/>
            <w:hideMark/>
          </w:tcPr>
          <w:p w14:paraId="2BEA54E5"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15,655.3</w:t>
            </w:r>
          </w:p>
        </w:tc>
        <w:tc>
          <w:tcPr>
            <w:tcW w:w="0" w:type="auto"/>
            <w:vMerge/>
            <w:tcBorders>
              <w:top w:val="nil"/>
              <w:left w:val="single" w:sz="4" w:space="0" w:color="auto"/>
              <w:bottom w:val="single" w:sz="4" w:space="0" w:color="000000"/>
              <w:right w:val="single" w:sz="4" w:space="0" w:color="auto"/>
            </w:tcBorders>
            <w:vAlign w:val="center"/>
            <w:hideMark/>
          </w:tcPr>
          <w:p w14:paraId="57C79567"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EBB83CF"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ABC6B8D"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976C169"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3B419837"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0C957D69"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DF8EB33"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163FD5D"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3FB9999"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464060FE"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2021</w:t>
            </w:r>
          </w:p>
        </w:tc>
        <w:tc>
          <w:tcPr>
            <w:tcW w:w="0" w:type="auto"/>
            <w:tcBorders>
              <w:top w:val="nil"/>
              <w:left w:val="nil"/>
              <w:bottom w:val="single" w:sz="4" w:space="0" w:color="auto"/>
              <w:right w:val="single" w:sz="4" w:space="0" w:color="auto"/>
            </w:tcBorders>
            <w:shd w:val="clear" w:color="auto" w:fill="auto"/>
            <w:noWrap/>
            <w:vAlign w:val="center"/>
            <w:hideMark/>
          </w:tcPr>
          <w:p w14:paraId="2ED5C505"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12,781.5</w:t>
            </w:r>
          </w:p>
        </w:tc>
        <w:tc>
          <w:tcPr>
            <w:tcW w:w="0" w:type="auto"/>
            <w:vMerge/>
            <w:tcBorders>
              <w:top w:val="nil"/>
              <w:left w:val="single" w:sz="4" w:space="0" w:color="auto"/>
              <w:bottom w:val="single" w:sz="4" w:space="0" w:color="000000"/>
              <w:right w:val="single" w:sz="4" w:space="0" w:color="auto"/>
            </w:tcBorders>
            <w:vAlign w:val="center"/>
            <w:hideMark/>
          </w:tcPr>
          <w:p w14:paraId="59F41500"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3D68615"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7E28861"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896C649"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58DEB476"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5E794A93"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E2EC603"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36F4E6A"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01FEC96"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53C3F32F"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2022</w:t>
            </w:r>
          </w:p>
        </w:tc>
        <w:tc>
          <w:tcPr>
            <w:tcW w:w="0" w:type="auto"/>
            <w:tcBorders>
              <w:top w:val="nil"/>
              <w:left w:val="nil"/>
              <w:bottom w:val="single" w:sz="4" w:space="0" w:color="auto"/>
              <w:right w:val="single" w:sz="4" w:space="0" w:color="auto"/>
            </w:tcBorders>
            <w:shd w:val="clear" w:color="auto" w:fill="auto"/>
            <w:noWrap/>
            <w:vAlign w:val="center"/>
            <w:hideMark/>
          </w:tcPr>
          <w:p w14:paraId="1F5530DC"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11,290.5</w:t>
            </w:r>
          </w:p>
        </w:tc>
        <w:tc>
          <w:tcPr>
            <w:tcW w:w="0" w:type="auto"/>
            <w:vMerge/>
            <w:tcBorders>
              <w:top w:val="nil"/>
              <w:left w:val="single" w:sz="4" w:space="0" w:color="auto"/>
              <w:bottom w:val="single" w:sz="4" w:space="0" w:color="000000"/>
              <w:right w:val="single" w:sz="4" w:space="0" w:color="auto"/>
            </w:tcBorders>
            <w:vAlign w:val="center"/>
            <w:hideMark/>
          </w:tcPr>
          <w:p w14:paraId="22403925"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4DD1663"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0B0948F"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13FD518"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5A257B86"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72BE07CA"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F3DCEB5"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12FFF8D"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96B7933"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 xml:space="preserve">Depósitos (tasa </w:t>
            </w:r>
            <w:proofErr w:type="spellStart"/>
            <w:r w:rsidRPr="005E17C8">
              <w:rPr>
                <w:rFonts w:ascii="Times New Roman" w:eastAsia="Times New Roman" w:hAnsi="Times New Roman" w:cs="Times New Roman"/>
                <w:color w:val="000000"/>
                <w:sz w:val="18"/>
                <w:szCs w:val="18"/>
                <w:lang w:eastAsia="es-HN"/>
              </w:rPr>
              <w:t>ex-post</w:t>
            </w:r>
            <w:proofErr w:type="spellEnd"/>
            <w:r w:rsidRPr="005E17C8">
              <w:rPr>
                <w:rFonts w:ascii="Times New Roman" w:eastAsia="Times New Roman" w:hAnsi="Times New Roman" w:cs="Times New Roman"/>
                <w:color w:val="000000"/>
                <w:sz w:val="18"/>
                <w:szCs w:val="18"/>
                <w:lang w:eastAsia="es-HN"/>
              </w:rPr>
              <w:t>)</w:t>
            </w:r>
          </w:p>
        </w:tc>
        <w:tc>
          <w:tcPr>
            <w:tcW w:w="0" w:type="auto"/>
            <w:tcBorders>
              <w:top w:val="nil"/>
              <w:left w:val="nil"/>
              <w:bottom w:val="single" w:sz="4" w:space="0" w:color="auto"/>
              <w:right w:val="single" w:sz="4" w:space="0" w:color="auto"/>
            </w:tcBorders>
            <w:shd w:val="clear" w:color="auto" w:fill="auto"/>
            <w:noWrap/>
            <w:vAlign w:val="center"/>
            <w:hideMark/>
          </w:tcPr>
          <w:p w14:paraId="1B155D1E"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2019</w:t>
            </w:r>
          </w:p>
        </w:tc>
        <w:tc>
          <w:tcPr>
            <w:tcW w:w="0" w:type="auto"/>
            <w:tcBorders>
              <w:top w:val="nil"/>
              <w:left w:val="nil"/>
              <w:bottom w:val="single" w:sz="4" w:space="0" w:color="auto"/>
              <w:right w:val="single" w:sz="4" w:space="0" w:color="auto"/>
            </w:tcBorders>
            <w:shd w:val="clear" w:color="auto" w:fill="auto"/>
            <w:noWrap/>
            <w:vAlign w:val="center"/>
            <w:hideMark/>
          </w:tcPr>
          <w:p w14:paraId="1DA200BC"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361,100.0</w:t>
            </w:r>
          </w:p>
        </w:tc>
        <w:tc>
          <w:tcPr>
            <w:tcW w:w="0" w:type="auto"/>
            <w:vMerge/>
            <w:tcBorders>
              <w:top w:val="nil"/>
              <w:left w:val="single" w:sz="4" w:space="0" w:color="auto"/>
              <w:bottom w:val="single" w:sz="4" w:space="0" w:color="000000"/>
              <w:right w:val="single" w:sz="4" w:space="0" w:color="auto"/>
            </w:tcBorders>
            <w:vAlign w:val="center"/>
            <w:hideMark/>
          </w:tcPr>
          <w:p w14:paraId="6B02EA4C"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9E35E6E"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2AA8B16"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21/10/2023</w:t>
            </w:r>
          </w:p>
        </w:tc>
        <w:tc>
          <w:tcPr>
            <w:tcW w:w="0" w:type="auto"/>
            <w:vMerge/>
            <w:tcBorders>
              <w:top w:val="nil"/>
              <w:left w:val="single" w:sz="4" w:space="0" w:color="auto"/>
              <w:bottom w:val="single" w:sz="4" w:space="0" w:color="auto"/>
              <w:right w:val="single" w:sz="4" w:space="0" w:color="auto"/>
            </w:tcBorders>
            <w:vAlign w:val="center"/>
            <w:hideMark/>
          </w:tcPr>
          <w:p w14:paraId="73A69EC2"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24623990"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6B00B80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5A15B36"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A34D898"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8661EF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50BF3BE7"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2020</w:t>
            </w:r>
          </w:p>
        </w:tc>
        <w:tc>
          <w:tcPr>
            <w:tcW w:w="0" w:type="auto"/>
            <w:tcBorders>
              <w:top w:val="nil"/>
              <w:left w:val="nil"/>
              <w:bottom w:val="single" w:sz="4" w:space="0" w:color="auto"/>
              <w:right w:val="single" w:sz="4" w:space="0" w:color="auto"/>
            </w:tcBorders>
            <w:shd w:val="clear" w:color="auto" w:fill="auto"/>
            <w:noWrap/>
            <w:vAlign w:val="center"/>
            <w:hideMark/>
          </w:tcPr>
          <w:p w14:paraId="5369FA03"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430,676.2</w:t>
            </w:r>
          </w:p>
        </w:tc>
        <w:tc>
          <w:tcPr>
            <w:tcW w:w="0" w:type="auto"/>
            <w:vMerge/>
            <w:tcBorders>
              <w:top w:val="nil"/>
              <w:left w:val="single" w:sz="4" w:space="0" w:color="auto"/>
              <w:bottom w:val="single" w:sz="4" w:space="0" w:color="000000"/>
              <w:right w:val="single" w:sz="4" w:space="0" w:color="auto"/>
            </w:tcBorders>
            <w:vAlign w:val="center"/>
            <w:hideMark/>
          </w:tcPr>
          <w:p w14:paraId="23A930EA"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CC64319"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D08D180"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659F6E9"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369D85F2"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674718E2"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D92928F"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B0D4679"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7557794"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24D97110"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2021</w:t>
            </w:r>
          </w:p>
        </w:tc>
        <w:tc>
          <w:tcPr>
            <w:tcW w:w="0" w:type="auto"/>
            <w:tcBorders>
              <w:top w:val="nil"/>
              <w:left w:val="nil"/>
              <w:bottom w:val="single" w:sz="4" w:space="0" w:color="auto"/>
              <w:right w:val="single" w:sz="4" w:space="0" w:color="auto"/>
            </w:tcBorders>
            <w:shd w:val="clear" w:color="auto" w:fill="auto"/>
            <w:noWrap/>
            <w:vAlign w:val="center"/>
            <w:hideMark/>
          </w:tcPr>
          <w:p w14:paraId="44D335E0"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478,681.9</w:t>
            </w:r>
          </w:p>
        </w:tc>
        <w:tc>
          <w:tcPr>
            <w:tcW w:w="0" w:type="auto"/>
            <w:vMerge/>
            <w:tcBorders>
              <w:top w:val="nil"/>
              <w:left w:val="single" w:sz="4" w:space="0" w:color="auto"/>
              <w:bottom w:val="single" w:sz="4" w:space="0" w:color="000000"/>
              <w:right w:val="single" w:sz="4" w:space="0" w:color="auto"/>
            </w:tcBorders>
            <w:vAlign w:val="center"/>
            <w:hideMark/>
          </w:tcPr>
          <w:p w14:paraId="75C69BA7"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F4E483B"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935F54B"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61033BD"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6C6D8DD7"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542855CD"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A707EDA"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8BF41D2"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C4CD9DA"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4B4E3B63"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2022</w:t>
            </w:r>
          </w:p>
        </w:tc>
        <w:tc>
          <w:tcPr>
            <w:tcW w:w="0" w:type="auto"/>
            <w:tcBorders>
              <w:top w:val="nil"/>
              <w:left w:val="nil"/>
              <w:bottom w:val="single" w:sz="4" w:space="0" w:color="auto"/>
              <w:right w:val="single" w:sz="4" w:space="0" w:color="auto"/>
            </w:tcBorders>
            <w:shd w:val="clear" w:color="auto" w:fill="auto"/>
            <w:noWrap/>
            <w:vAlign w:val="center"/>
            <w:hideMark/>
          </w:tcPr>
          <w:p w14:paraId="134931D7"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530,345.4</w:t>
            </w:r>
          </w:p>
        </w:tc>
        <w:tc>
          <w:tcPr>
            <w:tcW w:w="0" w:type="auto"/>
            <w:vMerge/>
            <w:tcBorders>
              <w:top w:val="nil"/>
              <w:left w:val="single" w:sz="4" w:space="0" w:color="auto"/>
              <w:bottom w:val="single" w:sz="4" w:space="0" w:color="000000"/>
              <w:right w:val="single" w:sz="4" w:space="0" w:color="auto"/>
            </w:tcBorders>
            <w:vAlign w:val="center"/>
            <w:hideMark/>
          </w:tcPr>
          <w:p w14:paraId="7A09B5A8"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18AE2D8"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82D5934"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EC3E678"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7431C5D1"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41E761DF"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64A29016"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Excedente Apropiado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B7E814B"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Rentabilidad sobre los Activos (ROA)</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F330A43"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Utilidad Neta</w:t>
            </w:r>
          </w:p>
        </w:tc>
        <w:tc>
          <w:tcPr>
            <w:tcW w:w="0" w:type="auto"/>
            <w:tcBorders>
              <w:top w:val="nil"/>
              <w:left w:val="nil"/>
              <w:bottom w:val="single" w:sz="4" w:space="0" w:color="auto"/>
              <w:right w:val="single" w:sz="4" w:space="0" w:color="auto"/>
            </w:tcBorders>
            <w:shd w:val="clear" w:color="auto" w:fill="auto"/>
            <w:noWrap/>
            <w:vAlign w:val="center"/>
            <w:hideMark/>
          </w:tcPr>
          <w:p w14:paraId="741D9B61"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2019</w:t>
            </w:r>
          </w:p>
        </w:tc>
        <w:tc>
          <w:tcPr>
            <w:tcW w:w="0" w:type="auto"/>
            <w:tcBorders>
              <w:top w:val="nil"/>
              <w:left w:val="nil"/>
              <w:bottom w:val="single" w:sz="4" w:space="0" w:color="auto"/>
              <w:right w:val="single" w:sz="4" w:space="0" w:color="auto"/>
            </w:tcBorders>
            <w:shd w:val="clear" w:color="auto" w:fill="auto"/>
            <w:noWrap/>
            <w:vAlign w:val="center"/>
            <w:hideMark/>
          </w:tcPr>
          <w:p w14:paraId="2EDEDFC9"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6,264.6</w:t>
            </w:r>
          </w:p>
        </w:tc>
        <w:tc>
          <w:tcPr>
            <w:tcW w:w="0" w:type="auto"/>
            <w:vMerge/>
            <w:tcBorders>
              <w:top w:val="nil"/>
              <w:left w:val="single" w:sz="4" w:space="0" w:color="auto"/>
              <w:bottom w:val="single" w:sz="4" w:space="0" w:color="000000"/>
              <w:right w:val="single" w:sz="4" w:space="0" w:color="auto"/>
            </w:tcBorders>
            <w:vAlign w:val="center"/>
            <w:hideMark/>
          </w:tcPr>
          <w:p w14:paraId="373BEC20"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0DE53C1"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C3FDB92"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21/10/2023</w:t>
            </w:r>
          </w:p>
        </w:tc>
        <w:tc>
          <w:tcPr>
            <w:tcW w:w="0" w:type="auto"/>
            <w:vMerge/>
            <w:tcBorders>
              <w:top w:val="nil"/>
              <w:left w:val="single" w:sz="4" w:space="0" w:color="auto"/>
              <w:bottom w:val="single" w:sz="4" w:space="0" w:color="auto"/>
              <w:right w:val="single" w:sz="4" w:space="0" w:color="auto"/>
            </w:tcBorders>
            <w:vAlign w:val="center"/>
            <w:hideMark/>
          </w:tcPr>
          <w:p w14:paraId="78D73C50"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155C44E2"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347ECD66"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F9AA03C"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A022A5C"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0200255"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17065AD6"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2020</w:t>
            </w:r>
          </w:p>
        </w:tc>
        <w:tc>
          <w:tcPr>
            <w:tcW w:w="0" w:type="auto"/>
            <w:tcBorders>
              <w:top w:val="nil"/>
              <w:left w:val="nil"/>
              <w:bottom w:val="single" w:sz="4" w:space="0" w:color="auto"/>
              <w:right w:val="single" w:sz="4" w:space="0" w:color="auto"/>
            </w:tcBorders>
            <w:shd w:val="clear" w:color="auto" w:fill="auto"/>
            <w:noWrap/>
            <w:vAlign w:val="center"/>
            <w:hideMark/>
          </w:tcPr>
          <w:p w14:paraId="69D78334"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3,875.5</w:t>
            </w:r>
          </w:p>
        </w:tc>
        <w:tc>
          <w:tcPr>
            <w:tcW w:w="0" w:type="auto"/>
            <w:vMerge/>
            <w:tcBorders>
              <w:top w:val="nil"/>
              <w:left w:val="single" w:sz="4" w:space="0" w:color="auto"/>
              <w:bottom w:val="single" w:sz="4" w:space="0" w:color="000000"/>
              <w:right w:val="single" w:sz="4" w:space="0" w:color="auto"/>
            </w:tcBorders>
            <w:vAlign w:val="center"/>
            <w:hideMark/>
          </w:tcPr>
          <w:p w14:paraId="0BD15C54"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9CFAE58"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F607023"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1BAC675"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7414724E"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0FCB456E"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43350B3"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FAB9E4C"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5E49716"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1D84F9CA"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2021</w:t>
            </w:r>
          </w:p>
        </w:tc>
        <w:tc>
          <w:tcPr>
            <w:tcW w:w="0" w:type="auto"/>
            <w:tcBorders>
              <w:top w:val="nil"/>
              <w:left w:val="nil"/>
              <w:bottom w:val="single" w:sz="4" w:space="0" w:color="auto"/>
              <w:right w:val="single" w:sz="4" w:space="0" w:color="auto"/>
            </w:tcBorders>
            <w:shd w:val="clear" w:color="auto" w:fill="auto"/>
            <w:noWrap/>
            <w:vAlign w:val="center"/>
            <w:hideMark/>
          </w:tcPr>
          <w:p w14:paraId="116F8936"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6,264.6</w:t>
            </w:r>
          </w:p>
        </w:tc>
        <w:tc>
          <w:tcPr>
            <w:tcW w:w="0" w:type="auto"/>
            <w:vMerge/>
            <w:tcBorders>
              <w:top w:val="nil"/>
              <w:left w:val="single" w:sz="4" w:space="0" w:color="auto"/>
              <w:bottom w:val="single" w:sz="4" w:space="0" w:color="000000"/>
              <w:right w:val="single" w:sz="4" w:space="0" w:color="auto"/>
            </w:tcBorders>
            <w:vAlign w:val="center"/>
            <w:hideMark/>
          </w:tcPr>
          <w:p w14:paraId="7EEF9363"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7F634B3"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B509B0E"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E5954BB"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35B6D910"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4F721B96"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7993011"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AD5EF90"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C545D06"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4B8196CE"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2022</w:t>
            </w:r>
          </w:p>
        </w:tc>
        <w:tc>
          <w:tcPr>
            <w:tcW w:w="0" w:type="auto"/>
            <w:tcBorders>
              <w:top w:val="nil"/>
              <w:left w:val="nil"/>
              <w:bottom w:val="single" w:sz="4" w:space="0" w:color="auto"/>
              <w:right w:val="single" w:sz="4" w:space="0" w:color="auto"/>
            </w:tcBorders>
            <w:shd w:val="clear" w:color="auto" w:fill="auto"/>
            <w:noWrap/>
            <w:vAlign w:val="center"/>
            <w:hideMark/>
          </w:tcPr>
          <w:p w14:paraId="45833EC4"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8,821.6</w:t>
            </w:r>
          </w:p>
        </w:tc>
        <w:tc>
          <w:tcPr>
            <w:tcW w:w="0" w:type="auto"/>
            <w:vMerge/>
            <w:tcBorders>
              <w:top w:val="nil"/>
              <w:left w:val="single" w:sz="4" w:space="0" w:color="auto"/>
              <w:bottom w:val="single" w:sz="4" w:space="0" w:color="000000"/>
              <w:right w:val="single" w:sz="4" w:space="0" w:color="auto"/>
            </w:tcBorders>
            <w:vAlign w:val="center"/>
            <w:hideMark/>
          </w:tcPr>
          <w:p w14:paraId="570BCE8D"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AFFDFE5"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53D4AE1"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B6E68C9"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53ADA0A0"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42B1FFD2"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1B0004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8081165"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890027F"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Activos Totales</w:t>
            </w:r>
          </w:p>
        </w:tc>
        <w:tc>
          <w:tcPr>
            <w:tcW w:w="0" w:type="auto"/>
            <w:tcBorders>
              <w:top w:val="nil"/>
              <w:left w:val="nil"/>
              <w:bottom w:val="single" w:sz="4" w:space="0" w:color="auto"/>
              <w:right w:val="single" w:sz="4" w:space="0" w:color="auto"/>
            </w:tcBorders>
            <w:shd w:val="clear" w:color="auto" w:fill="auto"/>
            <w:noWrap/>
            <w:vAlign w:val="center"/>
            <w:hideMark/>
          </w:tcPr>
          <w:p w14:paraId="17BC7B76"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2019</w:t>
            </w:r>
          </w:p>
        </w:tc>
        <w:tc>
          <w:tcPr>
            <w:tcW w:w="0" w:type="auto"/>
            <w:tcBorders>
              <w:top w:val="nil"/>
              <w:left w:val="nil"/>
              <w:bottom w:val="single" w:sz="4" w:space="0" w:color="auto"/>
              <w:right w:val="single" w:sz="4" w:space="0" w:color="auto"/>
            </w:tcBorders>
            <w:shd w:val="clear" w:color="auto" w:fill="auto"/>
            <w:noWrap/>
            <w:vAlign w:val="center"/>
            <w:hideMark/>
          </w:tcPr>
          <w:p w14:paraId="34D90F9F"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514,206.3</w:t>
            </w:r>
          </w:p>
        </w:tc>
        <w:tc>
          <w:tcPr>
            <w:tcW w:w="0" w:type="auto"/>
            <w:vMerge/>
            <w:tcBorders>
              <w:top w:val="nil"/>
              <w:left w:val="single" w:sz="4" w:space="0" w:color="auto"/>
              <w:bottom w:val="single" w:sz="4" w:space="0" w:color="000000"/>
              <w:right w:val="single" w:sz="4" w:space="0" w:color="auto"/>
            </w:tcBorders>
            <w:vAlign w:val="center"/>
            <w:hideMark/>
          </w:tcPr>
          <w:p w14:paraId="0639119E"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6659F7B"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3A41DA9"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21/10/2023</w:t>
            </w:r>
          </w:p>
        </w:tc>
        <w:tc>
          <w:tcPr>
            <w:tcW w:w="0" w:type="auto"/>
            <w:vMerge/>
            <w:tcBorders>
              <w:top w:val="nil"/>
              <w:left w:val="single" w:sz="4" w:space="0" w:color="auto"/>
              <w:bottom w:val="single" w:sz="4" w:space="0" w:color="auto"/>
              <w:right w:val="single" w:sz="4" w:space="0" w:color="auto"/>
            </w:tcBorders>
            <w:vAlign w:val="center"/>
            <w:hideMark/>
          </w:tcPr>
          <w:p w14:paraId="1A12860F"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172EBDA2"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46F7F649"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1B03865"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070476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E70ADB5"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43C4F0CA"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2020</w:t>
            </w:r>
          </w:p>
        </w:tc>
        <w:tc>
          <w:tcPr>
            <w:tcW w:w="0" w:type="auto"/>
            <w:tcBorders>
              <w:top w:val="nil"/>
              <w:left w:val="nil"/>
              <w:bottom w:val="single" w:sz="4" w:space="0" w:color="auto"/>
              <w:right w:val="single" w:sz="4" w:space="0" w:color="auto"/>
            </w:tcBorders>
            <w:shd w:val="clear" w:color="auto" w:fill="auto"/>
            <w:noWrap/>
            <w:vAlign w:val="center"/>
            <w:hideMark/>
          </w:tcPr>
          <w:p w14:paraId="75564EEB"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586,333.9</w:t>
            </w:r>
          </w:p>
        </w:tc>
        <w:tc>
          <w:tcPr>
            <w:tcW w:w="0" w:type="auto"/>
            <w:vMerge/>
            <w:tcBorders>
              <w:top w:val="nil"/>
              <w:left w:val="single" w:sz="4" w:space="0" w:color="auto"/>
              <w:bottom w:val="single" w:sz="4" w:space="0" w:color="000000"/>
              <w:right w:val="single" w:sz="4" w:space="0" w:color="auto"/>
            </w:tcBorders>
            <w:vAlign w:val="center"/>
            <w:hideMark/>
          </w:tcPr>
          <w:p w14:paraId="0B1E8FE6"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E832E37"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990CEA4"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354618A"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1C397B0C"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772DA2CD"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CCB8018"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5FDE8AC"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8D3BAB1"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7DADF895"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2021</w:t>
            </w:r>
          </w:p>
        </w:tc>
        <w:tc>
          <w:tcPr>
            <w:tcW w:w="0" w:type="auto"/>
            <w:tcBorders>
              <w:top w:val="nil"/>
              <w:left w:val="nil"/>
              <w:bottom w:val="single" w:sz="4" w:space="0" w:color="auto"/>
              <w:right w:val="single" w:sz="4" w:space="0" w:color="auto"/>
            </w:tcBorders>
            <w:shd w:val="clear" w:color="auto" w:fill="auto"/>
            <w:noWrap/>
            <w:vAlign w:val="center"/>
            <w:hideMark/>
          </w:tcPr>
          <w:p w14:paraId="162655A1"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657,562.0</w:t>
            </w:r>
          </w:p>
        </w:tc>
        <w:tc>
          <w:tcPr>
            <w:tcW w:w="0" w:type="auto"/>
            <w:vMerge/>
            <w:tcBorders>
              <w:top w:val="nil"/>
              <w:left w:val="single" w:sz="4" w:space="0" w:color="auto"/>
              <w:bottom w:val="single" w:sz="4" w:space="0" w:color="000000"/>
              <w:right w:val="single" w:sz="4" w:space="0" w:color="auto"/>
            </w:tcBorders>
            <w:vAlign w:val="center"/>
            <w:hideMark/>
          </w:tcPr>
          <w:p w14:paraId="57AFD1BC"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F0E07BF"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84BD3D3"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00A0A4A"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5ABAAAAC"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64323DBF"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677AD50"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840C99A"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882F662"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7332D47B"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2022</w:t>
            </w:r>
          </w:p>
        </w:tc>
        <w:tc>
          <w:tcPr>
            <w:tcW w:w="0" w:type="auto"/>
            <w:tcBorders>
              <w:top w:val="nil"/>
              <w:left w:val="nil"/>
              <w:bottom w:val="single" w:sz="4" w:space="0" w:color="auto"/>
              <w:right w:val="single" w:sz="4" w:space="0" w:color="auto"/>
            </w:tcBorders>
            <w:shd w:val="clear" w:color="auto" w:fill="auto"/>
            <w:noWrap/>
            <w:vAlign w:val="center"/>
            <w:hideMark/>
          </w:tcPr>
          <w:p w14:paraId="000E6C72"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718,523.6</w:t>
            </w:r>
          </w:p>
        </w:tc>
        <w:tc>
          <w:tcPr>
            <w:tcW w:w="0" w:type="auto"/>
            <w:vMerge/>
            <w:tcBorders>
              <w:top w:val="nil"/>
              <w:left w:val="single" w:sz="4" w:space="0" w:color="auto"/>
              <w:bottom w:val="single" w:sz="4" w:space="0" w:color="000000"/>
              <w:right w:val="single" w:sz="4" w:space="0" w:color="auto"/>
            </w:tcBorders>
            <w:vAlign w:val="center"/>
            <w:hideMark/>
          </w:tcPr>
          <w:p w14:paraId="44630B55"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6B6A562"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7F35820"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D888DF4"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40F5948D"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46326AF1"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173D6CF4"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Costo de Oportunidad</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A899878"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Cartera Provisionada</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BAB0689"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Provisiones</w:t>
            </w:r>
          </w:p>
        </w:tc>
        <w:tc>
          <w:tcPr>
            <w:tcW w:w="0" w:type="auto"/>
            <w:tcBorders>
              <w:top w:val="nil"/>
              <w:left w:val="nil"/>
              <w:bottom w:val="single" w:sz="4" w:space="0" w:color="auto"/>
              <w:right w:val="single" w:sz="4" w:space="0" w:color="auto"/>
            </w:tcBorders>
            <w:shd w:val="clear" w:color="auto" w:fill="auto"/>
            <w:noWrap/>
            <w:vAlign w:val="center"/>
            <w:hideMark/>
          </w:tcPr>
          <w:p w14:paraId="6B26B8E4"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2019</w:t>
            </w:r>
          </w:p>
        </w:tc>
        <w:tc>
          <w:tcPr>
            <w:tcW w:w="0" w:type="auto"/>
            <w:tcBorders>
              <w:top w:val="nil"/>
              <w:left w:val="nil"/>
              <w:bottom w:val="single" w:sz="4" w:space="0" w:color="auto"/>
              <w:right w:val="single" w:sz="4" w:space="0" w:color="auto"/>
            </w:tcBorders>
            <w:shd w:val="clear" w:color="auto" w:fill="auto"/>
            <w:noWrap/>
            <w:vAlign w:val="center"/>
            <w:hideMark/>
          </w:tcPr>
          <w:p w14:paraId="478FFE3C"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6,180.6</w:t>
            </w:r>
          </w:p>
        </w:tc>
        <w:tc>
          <w:tcPr>
            <w:tcW w:w="0" w:type="auto"/>
            <w:vMerge/>
            <w:tcBorders>
              <w:top w:val="nil"/>
              <w:left w:val="single" w:sz="4" w:space="0" w:color="auto"/>
              <w:bottom w:val="single" w:sz="4" w:space="0" w:color="000000"/>
              <w:right w:val="single" w:sz="4" w:space="0" w:color="auto"/>
            </w:tcBorders>
            <w:vAlign w:val="center"/>
            <w:hideMark/>
          </w:tcPr>
          <w:p w14:paraId="7A1923ED"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1843D06"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925E7D2"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21/10/2023</w:t>
            </w:r>
          </w:p>
        </w:tc>
        <w:tc>
          <w:tcPr>
            <w:tcW w:w="0" w:type="auto"/>
            <w:vMerge/>
            <w:tcBorders>
              <w:top w:val="nil"/>
              <w:left w:val="single" w:sz="4" w:space="0" w:color="auto"/>
              <w:bottom w:val="single" w:sz="4" w:space="0" w:color="auto"/>
              <w:right w:val="single" w:sz="4" w:space="0" w:color="auto"/>
            </w:tcBorders>
            <w:vAlign w:val="center"/>
            <w:hideMark/>
          </w:tcPr>
          <w:p w14:paraId="7E3B388E"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601A7F9C"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2850AD88"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A1DF8BF"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ADC9606"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B742777"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621ADE6A"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2020</w:t>
            </w:r>
          </w:p>
        </w:tc>
        <w:tc>
          <w:tcPr>
            <w:tcW w:w="0" w:type="auto"/>
            <w:tcBorders>
              <w:top w:val="nil"/>
              <w:left w:val="nil"/>
              <w:bottom w:val="single" w:sz="4" w:space="0" w:color="auto"/>
              <w:right w:val="single" w:sz="4" w:space="0" w:color="auto"/>
            </w:tcBorders>
            <w:shd w:val="clear" w:color="auto" w:fill="auto"/>
            <w:noWrap/>
            <w:vAlign w:val="center"/>
            <w:hideMark/>
          </w:tcPr>
          <w:p w14:paraId="3BD36EC9"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6,121.2</w:t>
            </w:r>
          </w:p>
        </w:tc>
        <w:tc>
          <w:tcPr>
            <w:tcW w:w="0" w:type="auto"/>
            <w:vMerge/>
            <w:tcBorders>
              <w:top w:val="nil"/>
              <w:left w:val="single" w:sz="4" w:space="0" w:color="auto"/>
              <w:bottom w:val="single" w:sz="4" w:space="0" w:color="000000"/>
              <w:right w:val="single" w:sz="4" w:space="0" w:color="auto"/>
            </w:tcBorders>
            <w:vAlign w:val="center"/>
            <w:hideMark/>
          </w:tcPr>
          <w:p w14:paraId="394DEC89"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D782399"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4FAB100"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0650FC3"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17C234CE"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739E605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DE3775A"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A666793"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5A04EDE"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71FE53AB"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2021</w:t>
            </w:r>
          </w:p>
        </w:tc>
        <w:tc>
          <w:tcPr>
            <w:tcW w:w="0" w:type="auto"/>
            <w:tcBorders>
              <w:top w:val="nil"/>
              <w:left w:val="nil"/>
              <w:bottom w:val="single" w:sz="4" w:space="0" w:color="auto"/>
              <w:right w:val="single" w:sz="4" w:space="0" w:color="auto"/>
            </w:tcBorders>
            <w:shd w:val="clear" w:color="auto" w:fill="auto"/>
            <w:noWrap/>
            <w:vAlign w:val="center"/>
            <w:hideMark/>
          </w:tcPr>
          <w:p w14:paraId="44DCA9BA"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7,176.1</w:t>
            </w:r>
          </w:p>
        </w:tc>
        <w:tc>
          <w:tcPr>
            <w:tcW w:w="0" w:type="auto"/>
            <w:vMerge/>
            <w:tcBorders>
              <w:top w:val="nil"/>
              <w:left w:val="single" w:sz="4" w:space="0" w:color="auto"/>
              <w:bottom w:val="single" w:sz="4" w:space="0" w:color="000000"/>
              <w:right w:val="single" w:sz="4" w:space="0" w:color="auto"/>
            </w:tcBorders>
            <w:vAlign w:val="center"/>
            <w:hideMark/>
          </w:tcPr>
          <w:p w14:paraId="60681FE8"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59CF13C"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0DF3821"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E791FB5"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2CF05466" w14:textId="77777777" w:rsidTr="005E17C8">
        <w:trPr>
          <w:trHeight w:val="240"/>
          <w:jc w:val="center"/>
        </w:trPr>
        <w:tc>
          <w:tcPr>
            <w:tcW w:w="0" w:type="auto"/>
            <w:vMerge/>
            <w:tcBorders>
              <w:top w:val="nil"/>
              <w:left w:val="single" w:sz="4" w:space="0" w:color="auto"/>
              <w:bottom w:val="single" w:sz="4" w:space="0" w:color="auto"/>
              <w:right w:val="single" w:sz="4" w:space="0" w:color="auto"/>
            </w:tcBorders>
            <w:vAlign w:val="center"/>
            <w:hideMark/>
          </w:tcPr>
          <w:p w14:paraId="10707258"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4DF5397"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696957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9F1706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5E727F74"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2022</w:t>
            </w:r>
          </w:p>
        </w:tc>
        <w:tc>
          <w:tcPr>
            <w:tcW w:w="0" w:type="auto"/>
            <w:tcBorders>
              <w:top w:val="nil"/>
              <w:left w:val="nil"/>
              <w:bottom w:val="single" w:sz="4" w:space="0" w:color="auto"/>
              <w:right w:val="single" w:sz="4" w:space="0" w:color="auto"/>
            </w:tcBorders>
            <w:shd w:val="clear" w:color="auto" w:fill="auto"/>
            <w:noWrap/>
            <w:vAlign w:val="center"/>
            <w:hideMark/>
          </w:tcPr>
          <w:p w14:paraId="69906306"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8,262.2</w:t>
            </w:r>
          </w:p>
        </w:tc>
        <w:tc>
          <w:tcPr>
            <w:tcW w:w="0" w:type="auto"/>
            <w:vMerge/>
            <w:tcBorders>
              <w:top w:val="nil"/>
              <w:left w:val="single" w:sz="4" w:space="0" w:color="auto"/>
              <w:bottom w:val="single" w:sz="4" w:space="0" w:color="000000"/>
              <w:right w:val="single" w:sz="4" w:space="0" w:color="auto"/>
            </w:tcBorders>
            <w:vAlign w:val="center"/>
            <w:hideMark/>
          </w:tcPr>
          <w:p w14:paraId="6333CDDF"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56DC50B"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F2D1973"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036448B"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7A3076D7" w14:textId="77777777" w:rsidTr="005E17C8">
        <w:trPr>
          <w:trHeight w:val="750"/>
          <w:jc w:val="center"/>
        </w:trPr>
        <w:tc>
          <w:tcPr>
            <w:tcW w:w="0" w:type="auto"/>
            <w:vMerge/>
            <w:tcBorders>
              <w:top w:val="nil"/>
              <w:left w:val="single" w:sz="4" w:space="0" w:color="auto"/>
              <w:bottom w:val="single" w:sz="4" w:space="0" w:color="auto"/>
              <w:right w:val="single" w:sz="4" w:space="0" w:color="auto"/>
            </w:tcBorders>
            <w:vAlign w:val="center"/>
            <w:hideMark/>
          </w:tcPr>
          <w:p w14:paraId="1AE2A6F9"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42C50BD"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3221191"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D08B647"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Encaje Efectivo</w:t>
            </w:r>
          </w:p>
        </w:tc>
        <w:tc>
          <w:tcPr>
            <w:tcW w:w="0" w:type="auto"/>
            <w:tcBorders>
              <w:top w:val="nil"/>
              <w:left w:val="nil"/>
              <w:bottom w:val="single" w:sz="4" w:space="0" w:color="auto"/>
              <w:right w:val="single" w:sz="4" w:space="0" w:color="auto"/>
            </w:tcBorders>
            <w:shd w:val="clear" w:color="auto" w:fill="auto"/>
            <w:noWrap/>
            <w:vAlign w:val="center"/>
            <w:hideMark/>
          </w:tcPr>
          <w:p w14:paraId="12458A07"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2019</w:t>
            </w:r>
          </w:p>
        </w:tc>
        <w:tc>
          <w:tcPr>
            <w:tcW w:w="0" w:type="auto"/>
            <w:tcBorders>
              <w:top w:val="nil"/>
              <w:left w:val="nil"/>
              <w:bottom w:val="single" w:sz="4" w:space="0" w:color="auto"/>
              <w:right w:val="single" w:sz="4" w:space="0" w:color="auto"/>
            </w:tcBorders>
            <w:shd w:val="clear" w:color="auto" w:fill="auto"/>
            <w:noWrap/>
            <w:vAlign w:val="center"/>
            <w:hideMark/>
          </w:tcPr>
          <w:p w14:paraId="10CCE5EB"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43,612.1</w:t>
            </w:r>
          </w:p>
        </w:tc>
        <w:tc>
          <w:tcPr>
            <w:tcW w:w="0" w:type="auto"/>
            <w:vMerge/>
            <w:tcBorders>
              <w:top w:val="nil"/>
              <w:left w:val="single" w:sz="4" w:space="0" w:color="auto"/>
              <w:bottom w:val="single" w:sz="4" w:space="0" w:color="000000"/>
              <w:right w:val="single" w:sz="4" w:space="0" w:color="auto"/>
            </w:tcBorders>
            <w:vAlign w:val="center"/>
            <w:hideMark/>
          </w:tcPr>
          <w:p w14:paraId="1F9D24C4"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A98361D"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Encaje Bancario Requerido y Efectivo por Moneda, período de 2019, a 2022, Estadísticas Monetarias y Financieras Armonizadas, Banco Central de Honduras (BCH).</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6C60D83D"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9/11/2023</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A5496F7" w14:textId="77777777" w:rsidR="005E17C8" w:rsidRPr="005E17C8" w:rsidRDefault="00B027F6" w:rsidP="005E17C8">
            <w:pPr>
              <w:widowControl/>
              <w:jc w:val="center"/>
              <w:rPr>
                <w:rFonts w:ascii="Times New Roman" w:eastAsia="Times New Roman" w:hAnsi="Times New Roman" w:cs="Times New Roman"/>
                <w:sz w:val="18"/>
                <w:szCs w:val="18"/>
                <w:u w:val="single"/>
                <w:lang w:eastAsia="es-HN"/>
              </w:rPr>
            </w:pPr>
            <w:hyperlink r:id="rId40" w:history="1">
              <w:r w:rsidR="005E17C8" w:rsidRPr="005E17C8">
                <w:rPr>
                  <w:rFonts w:ascii="Times New Roman" w:eastAsia="Times New Roman" w:hAnsi="Times New Roman" w:cs="Times New Roman"/>
                  <w:sz w:val="18"/>
                  <w:szCs w:val="18"/>
                  <w:u w:val="single"/>
                  <w:lang w:eastAsia="es-HN"/>
                </w:rPr>
                <w:t>https://www.bch.hn/estadisticas-y-publicaciones-economicas/sector-monetario</w:t>
              </w:r>
            </w:hyperlink>
          </w:p>
        </w:tc>
      </w:tr>
      <w:tr w:rsidR="005E17C8" w:rsidRPr="005E17C8" w14:paraId="010C5AC3" w14:textId="77777777" w:rsidTr="005E17C8">
        <w:trPr>
          <w:trHeight w:val="750"/>
          <w:jc w:val="center"/>
        </w:trPr>
        <w:tc>
          <w:tcPr>
            <w:tcW w:w="0" w:type="auto"/>
            <w:vMerge/>
            <w:tcBorders>
              <w:top w:val="nil"/>
              <w:left w:val="single" w:sz="4" w:space="0" w:color="auto"/>
              <w:bottom w:val="single" w:sz="4" w:space="0" w:color="auto"/>
              <w:right w:val="single" w:sz="4" w:space="0" w:color="auto"/>
            </w:tcBorders>
            <w:vAlign w:val="center"/>
            <w:hideMark/>
          </w:tcPr>
          <w:p w14:paraId="304C12A3"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173CCD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286DF01"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B25DD24"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46A17543"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2020</w:t>
            </w:r>
          </w:p>
        </w:tc>
        <w:tc>
          <w:tcPr>
            <w:tcW w:w="0" w:type="auto"/>
            <w:tcBorders>
              <w:top w:val="nil"/>
              <w:left w:val="nil"/>
              <w:bottom w:val="single" w:sz="4" w:space="0" w:color="auto"/>
              <w:right w:val="single" w:sz="4" w:space="0" w:color="auto"/>
            </w:tcBorders>
            <w:shd w:val="clear" w:color="auto" w:fill="auto"/>
            <w:noWrap/>
            <w:vAlign w:val="center"/>
            <w:hideMark/>
          </w:tcPr>
          <w:p w14:paraId="3B1C6B3D"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76,991.6</w:t>
            </w:r>
          </w:p>
        </w:tc>
        <w:tc>
          <w:tcPr>
            <w:tcW w:w="0" w:type="auto"/>
            <w:vMerge/>
            <w:tcBorders>
              <w:top w:val="nil"/>
              <w:left w:val="single" w:sz="4" w:space="0" w:color="auto"/>
              <w:bottom w:val="single" w:sz="4" w:space="0" w:color="000000"/>
              <w:right w:val="single" w:sz="4" w:space="0" w:color="auto"/>
            </w:tcBorders>
            <w:vAlign w:val="center"/>
            <w:hideMark/>
          </w:tcPr>
          <w:p w14:paraId="4C4AE0E5"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FA293F2"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B129430"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2CBD739"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30C726E7" w14:textId="77777777" w:rsidTr="005E17C8">
        <w:trPr>
          <w:trHeight w:val="750"/>
          <w:jc w:val="center"/>
        </w:trPr>
        <w:tc>
          <w:tcPr>
            <w:tcW w:w="0" w:type="auto"/>
            <w:vMerge/>
            <w:tcBorders>
              <w:top w:val="nil"/>
              <w:left w:val="single" w:sz="4" w:space="0" w:color="auto"/>
              <w:bottom w:val="single" w:sz="4" w:space="0" w:color="auto"/>
              <w:right w:val="single" w:sz="4" w:space="0" w:color="auto"/>
            </w:tcBorders>
            <w:vAlign w:val="center"/>
            <w:hideMark/>
          </w:tcPr>
          <w:p w14:paraId="52028F08"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735F57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C17513D"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5947E08"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4CB3CFE6"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2021</w:t>
            </w:r>
          </w:p>
        </w:tc>
        <w:tc>
          <w:tcPr>
            <w:tcW w:w="0" w:type="auto"/>
            <w:tcBorders>
              <w:top w:val="nil"/>
              <w:left w:val="nil"/>
              <w:bottom w:val="single" w:sz="4" w:space="0" w:color="auto"/>
              <w:right w:val="single" w:sz="4" w:space="0" w:color="auto"/>
            </w:tcBorders>
            <w:shd w:val="clear" w:color="auto" w:fill="auto"/>
            <w:noWrap/>
            <w:vAlign w:val="center"/>
            <w:hideMark/>
          </w:tcPr>
          <w:p w14:paraId="293B7FFA"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68,622.1</w:t>
            </w:r>
          </w:p>
        </w:tc>
        <w:tc>
          <w:tcPr>
            <w:tcW w:w="0" w:type="auto"/>
            <w:vMerge/>
            <w:tcBorders>
              <w:top w:val="nil"/>
              <w:left w:val="single" w:sz="4" w:space="0" w:color="auto"/>
              <w:bottom w:val="single" w:sz="4" w:space="0" w:color="000000"/>
              <w:right w:val="single" w:sz="4" w:space="0" w:color="auto"/>
            </w:tcBorders>
            <w:vAlign w:val="center"/>
            <w:hideMark/>
          </w:tcPr>
          <w:p w14:paraId="6AA94FFE"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C6EA99F"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C6E3D9C"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C3E6575"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128FCEE1" w14:textId="77777777" w:rsidTr="005E17C8">
        <w:trPr>
          <w:trHeight w:val="750"/>
          <w:jc w:val="center"/>
        </w:trPr>
        <w:tc>
          <w:tcPr>
            <w:tcW w:w="0" w:type="auto"/>
            <w:vMerge/>
            <w:tcBorders>
              <w:top w:val="nil"/>
              <w:left w:val="single" w:sz="4" w:space="0" w:color="auto"/>
              <w:bottom w:val="single" w:sz="4" w:space="0" w:color="auto"/>
              <w:right w:val="single" w:sz="4" w:space="0" w:color="auto"/>
            </w:tcBorders>
            <w:vAlign w:val="center"/>
            <w:hideMark/>
          </w:tcPr>
          <w:p w14:paraId="632C26E2"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FDCAA6F"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F83213E"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49F14DA"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05EFB40F"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2022</w:t>
            </w:r>
          </w:p>
        </w:tc>
        <w:tc>
          <w:tcPr>
            <w:tcW w:w="0" w:type="auto"/>
            <w:tcBorders>
              <w:top w:val="nil"/>
              <w:left w:val="nil"/>
              <w:bottom w:val="single" w:sz="4" w:space="0" w:color="auto"/>
              <w:right w:val="single" w:sz="4" w:space="0" w:color="auto"/>
            </w:tcBorders>
            <w:shd w:val="clear" w:color="auto" w:fill="auto"/>
            <w:noWrap/>
            <w:vAlign w:val="center"/>
            <w:hideMark/>
          </w:tcPr>
          <w:p w14:paraId="57DB5427"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51,097.7</w:t>
            </w:r>
          </w:p>
        </w:tc>
        <w:tc>
          <w:tcPr>
            <w:tcW w:w="0" w:type="auto"/>
            <w:vMerge/>
            <w:tcBorders>
              <w:top w:val="nil"/>
              <w:left w:val="single" w:sz="4" w:space="0" w:color="auto"/>
              <w:bottom w:val="single" w:sz="4" w:space="0" w:color="000000"/>
              <w:right w:val="single" w:sz="4" w:space="0" w:color="auto"/>
            </w:tcBorders>
            <w:vAlign w:val="center"/>
            <w:hideMark/>
          </w:tcPr>
          <w:p w14:paraId="1438388F"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BDE7800"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0AE7EBA"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1408089"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3AA430F3" w14:textId="77777777" w:rsidTr="005E17C8">
        <w:trPr>
          <w:trHeight w:val="960"/>
          <w:jc w:val="center"/>
        </w:trPr>
        <w:tc>
          <w:tcPr>
            <w:tcW w:w="0" w:type="auto"/>
            <w:vMerge/>
            <w:tcBorders>
              <w:top w:val="nil"/>
              <w:left w:val="single" w:sz="4" w:space="0" w:color="auto"/>
              <w:bottom w:val="single" w:sz="4" w:space="0" w:color="auto"/>
              <w:right w:val="single" w:sz="4" w:space="0" w:color="auto"/>
            </w:tcBorders>
            <w:vAlign w:val="center"/>
            <w:hideMark/>
          </w:tcPr>
          <w:p w14:paraId="32004FAD"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0FD73B1"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64C30F5"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3FEF0CF"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Letras y Subasta Diaria</w:t>
            </w:r>
          </w:p>
        </w:tc>
        <w:tc>
          <w:tcPr>
            <w:tcW w:w="0" w:type="auto"/>
            <w:tcBorders>
              <w:top w:val="nil"/>
              <w:left w:val="nil"/>
              <w:bottom w:val="single" w:sz="4" w:space="0" w:color="auto"/>
              <w:right w:val="single" w:sz="4" w:space="0" w:color="auto"/>
            </w:tcBorders>
            <w:shd w:val="clear" w:color="auto" w:fill="auto"/>
            <w:noWrap/>
            <w:vAlign w:val="center"/>
            <w:hideMark/>
          </w:tcPr>
          <w:p w14:paraId="76690BD0"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2019</w:t>
            </w:r>
          </w:p>
        </w:tc>
        <w:tc>
          <w:tcPr>
            <w:tcW w:w="0" w:type="auto"/>
            <w:tcBorders>
              <w:top w:val="nil"/>
              <w:left w:val="nil"/>
              <w:bottom w:val="single" w:sz="4" w:space="0" w:color="auto"/>
              <w:right w:val="single" w:sz="4" w:space="0" w:color="auto"/>
            </w:tcBorders>
            <w:shd w:val="clear" w:color="auto" w:fill="auto"/>
            <w:noWrap/>
            <w:vAlign w:val="center"/>
            <w:hideMark/>
          </w:tcPr>
          <w:p w14:paraId="36F729DE"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38,309.2</w:t>
            </w:r>
          </w:p>
        </w:tc>
        <w:tc>
          <w:tcPr>
            <w:tcW w:w="0" w:type="auto"/>
            <w:vMerge/>
            <w:tcBorders>
              <w:top w:val="nil"/>
              <w:left w:val="single" w:sz="4" w:space="0" w:color="auto"/>
              <w:bottom w:val="single" w:sz="4" w:space="0" w:color="000000"/>
              <w:right w:val="single" w:sz="4" w:space="0" w:color="auto"/>
            </w:tcBorders>
            <w:vAlign w:val="center"/>
            <w:hideMark/>
          </w:tcPr>
          <w:p w14:paraId="430DF480"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969BDF3"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 xml:space="preserve">Información de las Subasta de Valores Gubernamentales (Bonos y Letras del BCH y Secretaría de Finanzas), período de 2019 a </w:t>
            </w:r>
            <w:r w:rsidRPr="005E17C8">
              <w:rPr>
                <w:rFonts w:ascii="Times New Roman" w:eastAsia="Times New Roman" w:hAnsi="Times New Roman" w:cs="Times New Roman"/>
                <w:sz w:val="18"/>
                <w:szCs w:val="18"/>
                <w:lang w:eastAsia="es-HN"/>
              </w:rPr>
              <w:lastRenderedPageBreak/>
              <w:t xml:space="preserve">2022, Estadísticas Operaciones Monetarias, Banco Central de Honduras (BCH). </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38A8D8E3"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lastRenderedPageBreak/>
              <w:t>9/11/2023</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0954C7D" w14:textId="77777777" w:rsidR="005E17C8" w:rsidRPr="005E17C8" w:rsidRDefault="00B027F6" w:rsidP="005E17C8">
            <w:pPr>
              <w:widowControl/>
              <w:jc w:val="center"/>
              <w:rPr>
                <w:rFonts w:ascii="Times New Roman" w:eastAsia="Times New Roman" w:hAnsi="Times New Roman" w:cs="Times New Roman"/>
                <w:sz w:val="18"/>
                <w:szCs w:val="18"/>
                <w:u w:val="single"/>
                <w:lang w:eastAsia="es-HN"/>
              </w:rPr>
            </w:pPr>
            <w:hyperlink r:id="rId41" w:history="1">
              <w:r w:rsidR="005E17C8" w:rsidRPr="005E17C8">
                <w:rPr>
                  <w:rFonts w:ascii="Times New Roman" w:eastAsia="Times New Roman" w:hAnsi="Times New Roman" w:cs="Times New Roman"/>
                  <w:sz w:val="18"/>
                  <w:szCs w:val="18"/>
                  <w:u w:val="single"/>
                  <w:lang w:eastAsia="es-HN"/>
                </w:rPr>
                <w:t>https://www.bch.hn/politica-institucional/politica-monetaria/estadisticas-operaciones-monetarias</w:t>
              </w:r>
            </w:hyperlink>
          </w:p>
        </w:tc>
      </w:tr>
      <w:tr w:rsidR="005E17C8" w:rsidRPr="005E17C8" w14:paraId="30D36C55" w14:textId="77777777" w:rsidTr="005E17C8">
        <w:trPr>
          <w:trHeight w:val="960"/>
          <w:jc w:val="center"/>
        </w:trPr>
        <w:tc>
          <w:tcPr>
            <w:tcW w:w="0" w:type="auto"/>
            <w:vMerge/>
            <w:tcBorders>
              <w:top w:val="nil"/>
              <w:left w:val="single" w:sz="4" w:space="0" w:color="auto"/>
              <w:bottom w:val="single" w:sz="4" w:space="0" w:color="auto"/>
              <w:right w:val="single" w:sz="4" w:space="0" w:color="auto"/>
            </w:tcBorders>
            <w:vAlign w:val="center"/>
            <w:hideMark/>
          </w:tcPr>
          <w:p w14:paraId="47F6B670"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EC1D08F"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C6AF10A"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DADE679"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536F81A1"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2020</w:t>
            </w:r>
          </w:p>
        </w:tc>
        <w:tc>
          <w:tcPr>
            <w:tcW w:w="0" w:type="auto"/>
            <w:tcBorders>
              <w:top w:val="nil"/>
              <w:left w:val="nil"/>
              <w:bottom w:val="single" w:sz="4" w:space="0" w:color="auto"/>
              <w:right w:val="single" w:sz="4" w:space="0" w:color="auto"/>
            </w:tcBorders>
            <w:shd w:val="clear" w:color="auto" w:fill="auto"/>
            <w:noWrap/>
            <w:vAlign w:val="center"/>
            <w:hideMark/>
          </w:tcPr>
          <w:p w14:paraId="77CCD6E0"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47,523.8</w:t>
            </w:r>
          </w:p>
        </w:tc>
        <w:tc>
          <w:tcPr>
            <w:tcW w:w="0" w:type="auto"/>
            <w:vMerge/>
            <w:tcBorders>
              <w:top w:val="nil"/>
              <w:left w:val="single" w:sz="4" w:space="0" w:color="auto"/>
              <w:bottom w:val="single" w:sz="4" w:space="0" w:color="000000"/>
              <w:right w:val="single" w:sz="4" w:space="0" w:color="auto"/>
            </w:tcBorders>
            <w:vAlign w:val="center"/>
            <w:hideMark/>
          </w:tcPr>
          <w:p w14:paraId="085C43F8"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6A8267B"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BD92F07"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5EDDA10"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5709E81C" w14:textId="77777777" w:rsidTr="005E17C8">
        <w:trPr>
          <w:trHeight w:val="960"/>
          <w:jc w:val="center"/>
        </w:trPr>
        <w:tc>
          <w:tcPr>
            <w:tcW w:w="0" w:type="auto"/>
            <w:vMerge/>
            <w:tcBorders>
              <w:top w:val="nil"/>
              <w:left w:val="single" w:sz="4" w:space="0" w:color="auto"/>
              <w:bottom w:val="single" w:sz="4" w:space="0" w:color="auto"/>
              <w:right w:val="single" w:sz="4" w:space="0" w:color="auto"/>
            </w:tcBorders>
            <w:vAlign w:val="center"/>
            <w:hideMark/>
          </w:tcPr>
          <w:p w14:paraId="39EFCE86"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FD2B5C2"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193AD78"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9728DD6"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6AB84240"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2021</w:t>
            </w:r>
          </w:p>
        </w:tc>
        <w:tc>
          <w:tcPr>
            <w:tcW w:w="0" w:type="auto"/>
            <w:tcBorders>
              <w:top w:val="nil"/>
              <w:left w:val="nil"/>
              <w:bottom w:val="single" w:sz="4" w:space="0" w:color="auto"/>
              <w:right w:val="single" w:sz="4" w:space="0" w:color="auto"/>
            </w:tcBorders>
            <w:shd w:val="clear" w:color="auto" w:fill="auto"/>
            <w:noWrap/>
            <w:vAlign w:val="center"/>
            <w:hideMark/>
          </w:tcPr>
          <w:p w14:paraId="39D28697"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60,410.5</w:t>
            </w:r>
          </w:p>
        </w:tc>
        <w:tc>
          <w:tcPr>
            <w:tcW w:w="0" w:type="auto"/>
            <w:vMerge/>
            <w:tcBorders>
              <w:top w:val="nil"/>
              <w:left w:val="single" w:sz="4" w:space="0" w:color="auto"/>
              <w:bottom w:val="single" w:sz="4" w:space="0" w:color="000000"/>
              <w:right w:val="single" w:sz="4" w:space="0" w:color="auto"/>
            </w:tcBorders>
            <w:vAlign w:val="center"/>
            <w:hideMark/>
          </w:tcPr>
          <w:p w14:paraId="5C821390"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5356ACF"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D4F4576"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528BDE6"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06E6B19D" w14:textId="77777777" w:rsidTr="005E17C8">
        <w:trPr>
          <w:trHeight w:val="960"/>
          <w:jc w:val="center"/>
        </w:trPr>
        <w:tc>
          <w:tcPr>
            <w:tcW w:w="0" w:type="auto"/>
            <w:vMerge/>
            <w:tcBorders>
              <w:top w:val="nil"/>
              <w:left w:val="single" w:sz="4" w:space="0" w:color="auto"/>
              <w:bottom w:val="single" w:sz="4" w:space="0" w:color="auto"/>
              <w:right w:val="single" w:sz="4" w:space="0" w:color="auto"/>
            </w:tcBorders>
            <w:vAlign w:val="center"/>
            <w:hideMark/>
          </w:tcPr>
          <w:p w14:paraId="321A65EC"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9C4C9DA"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D809619"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90B181E"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19A92B57"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2022</w:t>
            </w:r>
          </w:p>
        </w:tc>
        <w:tc>
          <w:tcPr>
            <w:tcW w:w="0" w:type="auto"/>
            <w:tcBorders>
              <w:top w:val="nil"/>
              <w:left w:val="nil"/>
              <w:bottom w:val="single" w:sz="4" w:space="0" w:color="auto"/>
              <w:right w:val="single" w:sz="4" w:space="0" w:color="auto"/>
            </w:tcBorders>
            <w:shd w:val="clear" w:color="auto" w:fill="auto"/>
            <w:noWrap/>
            <w:vAlign w:val="center"/>
            <w:hideMark/>
          </w:tcPr>
          <w:p w14:paraId="09F0666D"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65,873.6</w:t>
            </w:r>
          </w:p>
        </w:tc>
        <w:tc>
          <w:tcPr>
            <w:tcW w:w="0" w:type="auto"/>
            <w:vMerge/>
            <w:tcBorders>
              <w:top w:val="nil"/>
              <w:left w:val="single" w:sz="4" w:space="0" w:color="auto"/>
              <w:bottom w:val="single" w:sz="4" w:space="0" w:color="000000"/>
              <w:right w:val="single" w:sz="4" w:space="0" w:color="auto"/>
            </w:tcBorders>
            <w:vAlign w:val="center"/>
            <w:hideMark/>
          </w:tcPr>
          <w:p w14:paraId="66961174"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6286F47"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841ABFD"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A7007C4"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27DDA5E5" w14:textId="77777777" w:rsidTr="005E17C8">
        <w:trPr>
          <w:trHeight w:val="315"/>
          <w:jc w:val="center"/>
        </w:trPr>
        <w:tc>
          <w:tcPr>
            <w:tcW w:w="0" w:type="auto"/>
            <w:vMerge/>
            <w:tcBorders>
              <w:top w:val="nil"/>
              <w:left w:val="single" w:sz="4" w:space="0" w:color="auto"/>
              <w:bottom w:val="single" w:sz="4" w:space="0" w:color="auto"/>
              <w:right w:val="single" w:sz="4" w:space="0" w:color="auto"/>
            </w:tcBorders>
            <w:vAlign w:val="center"/>
            <w:hideMark/>
          </w:tcPr>
          <w:p w14:paraId="5B388B7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34BD769"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F9395F0"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Gastos Administrativos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BEBD3E8"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Gastos Administrativos</w:t>
            </w:r>
          </w:p>
        </w:tc>
        <w:tc>
          <w:tcPr>
            <w:tcW w:w="0" w:type="auto"/>
            <w:tcBorders>
              <w:top w:val="nil"/>
              <w:left w:val="nil"/>
              <w:bottom w:val="single" w:sz="4" w:space="0" w:color="auto"/>
              <w:right w:val="single" w:sz="4" w:space="0" w:color="auto"/>
            </w:tcBorders>
            <w:shd w:val="clear" w:color="auto" w:fill="auto"/>
            <w:noWrap/>
            <w:vAlign w:val="center"/>
            <w:hideMark/>
          </w:tcPr>
          <w:p w14:paraId="312D3C34"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2019</w:t>
            </w:r>
          </w:p>
        </w:tc>
        <w:tc>
          <w:tcPr>
            <w:tcW w:w="0" w:type="auto"/>
            <w:tcBorders>
              <w:top w:val="nil"/>
              <w:left w:val="nil"/>
              <w:bottom w:val="single" w:sz="4" w:space="0" w:color="auto"/>
              <w:right w:val="single" w:sz="4" w:space="0" w:color="auto"/>
            </w:tcBorders>
            <w:shd w:val="clear" w:color="auto" w:fill="auto"/>
            <w:noWrap/>
            <w:vAlign w:val="center"/>
            <w:hideMark/>
          </w:tcPr>
          <w:p w14:paraId="2F6B7753"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19,337.0</w:t>
            </w:r>
          </w:p>
        </w:tc>
        <w:tc>
          <w:tcPr>
            <w:tcW w:w="0" w:type="auto"/>
            <w:vMerge/>
            <w:tcBorders>
              <w:top w:val="nil"/>
              <w:left w:val="single" w:sz="4" w:space="0" w:color="auto"/>
              <w:bottom w:val="single" w:sz="4" w:space="0" w:color="000000"/>
              <w:right w:val="single" w:sz="4" w:space="0" w:color="auto"/>
            </w:tcBorders>
            <w:vAlign w:val="center"/>
            <w:hideMark/>
          </w:tcPr>
          <w:p w14:paraId="48CD7C39"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E238514"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Estados Financieros Consolidados de los Bancos Comerciales, período de 2019 a 2022, Comisión Nacional de Banca y Seguros (CNBS).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3B5191A"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21/10/2023</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5909CD6" w14:textId="77777777" w:rsidR="005E17C8" w:rsidRPr="005E17C8" w:rsidRDefault="005E17C8" w:rsidP="005E17C8">
            <w:pPr>
              <w:widowControl/>
              <w:jc w:val="center"/>
              <w:rPr>
                <w:rFonts w:ascii="Times New Roman" w:eastAsia="Times New Roman" w:hAnsi="Times New Roman" w:cs="Times New Roman"/>
                <w:sz w:val="18"/>
                <w:szCs w:val="18"/>
                <w:u w:val="single"/>
                <w:lang w:eastAsia="es-HN"/>
              </w:rPr>
            </w:pPr>
            <w:r w:rsidRPr="005E17C8">
              <w:rPr>
                <w:rFonts w:ascii="Times New Roman" w:eastAsia="Times New Roman" w:hAnsi="Times New Roman" w:cs="Times New Roman"/>
                <w:sz w:val="18"/>
                <w:szCs w:val="18"/>
                <w:u w:val="single"/>
                <w:lang w:eastAsia="es-HN"/>
              </w:rPr>
              <w:t>https://analitica.cnbs.gob.hn/</w:t>
            </w:r>
          </w:p>
        </w:tc>
      </w:tr>
      <w:tr w:rsidR="005E17C8" w:rsidRPr="005E17C8" w14:paraId="30982964" w14:textId="77777777" w:rsidTr="005E17C8">
        <w:trPr>
          <w:trHeight w:val="315"/>
          <w:jc w:val="center"/>
        </w:trPr>
        <w:tc>
          <w:tcPr>
            <w:tcW w:w="0" w:type="auto"/>
            <w:vMerge/>
            <w:tcBorders>
              <w:top w:val="nil"/>
              <w:left w:val="single" w:sz="4" w:space="0" w:color="auto"/>
              <w:bottom w:val="single" w:sz="4" w:space="0" w:color="auto"/>
              <w:right w:val="single" w:sz="4" w:space="0" w:color="auto"/>
            </w:tcBorders>
            <w:vAlign w:val="center"/>
            <w:hideMark/>
          </w:tcPr>
          <w:p w14:paraId="7D320819"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36D92FC"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DAC703E"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B5AB1D1"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6164A113"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2020</w:t>
            </w:r>
          </w:p>
        </w:tc>
        <w:tc>
          <w:tcPr>
            <w:tcW w:w="0" w:type="auto"/>
            <w:tcBorders>
              <w:top w:val="nil"/>
              <w:left w:val="nil"/>
              <w:bottom w:val="single" w:sz="4" w:space="0" w:color="auto"/>
              <w:right w:val="single" w:sz="4" w:space="0" w:color="auto"/>
            </w:tcBorders>
            <w:shd w:val="clear" w:color="auto" w:fill="auto"/>
            <w:noWrap/>
            <w:vAlign w:val="center"/>
            <w:hideMark/>
          </w:tcPr>
          <w:p w14:paraId="6C84435F"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18,985.1</w:t>
            </w:r>
          </w:p>
        </w:tc>
        <w:tc>
          <w:tcPr>
            <w:tcW w:w="0" w:type="auto"/>
            <w:vMerge/>
            <w:tcBorders>
              <w:top w:val="nil"/>
              <w:left w:val="single" w:sz="4" w:space="0" w:color="auto"/>
              <w:bottom w:val="single" w:sz="4" w:space="0" w:color="000000"/>
              <w:right w:val="single" w:sz="4" w:space="0" w:color="auto"/>
            </w:tcBorders>
            <w:vAlign w:val="center"/>
            <w:hideMark/>
          </w:tcPr>
          <w:p w14:paraId="29197BD0"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1AFAE68"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BC2AF6F"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6D1257E"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47F1B466" w14:textId="77777777" w:rsidTr="005E17C8">
        <w:trPr>
          <w:trHeight w:val="315"/>
          <w:jc w:val="center"/>
        </w:trPr>
        <w:tc>
          <w:tcPr>
            <w:tcW w:w="0" w:type="auto"/>
            <w:vMerge/>
            <w:tcBorders>
              <w:top w:val="nil"/>
              <w:left w:val="single" w:sz="4" w:space="0" w:color="auto"/>
              <w:bottom w:val="single" w:sz="4" w:space="0" w:color="auto"/>
              <w:right w:val="single" w:sz="4" w:space="0" w:color="auto"/>
            </w:tcBorders>
            <w:vAlign w:val="center"/>
            <w:hideMark/>
          </w:tcPr>
          <w:p w14:paraId="5878BA44"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A8EB3D9"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F9649F3"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39FB903"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21895161"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2021</w:t>
            </w:r>
          </w:p>
        </w:tc>
        <w:tc>
          <w:tcPr>
            <w:tcW w:w="0" w:type="auto"/>
            <w:tcBorders>
              <w:top w:val="nil"/>
              <w:left w:val="nil"/>
              <w:bottom w:val="single" w:sz="4" w:space="0" w:color="auto"/>
              <w:right w:val="single" w:sz="4" w:space="0" w:color="auto"/>
            </w:tcBorders>
            <w:shd w:val="clear" w:color="auto" w:fill="auto"/>
            <w:noWrap/>
            <w:vAlign w:val="center"/>
            <w:hideMark/>
          </w:tcPr>
          <w:p w14:paraId="2C03ACF0"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20,969.8</w:t>
            </w:r>
          </w:p>
        </w:tc>
        <w:tc>
          <w:tcPr>
            <w:tcW w:w="0" w:type="auto"/>
            <w:vMerge/>
            <w:tcBorders>
              <w:top w:val="nil"/>
              <w:left w:val="single" w:sz="4" w:space="0" w:color="auto"/>
              <w:bottom w:val="single" w:sz="4" w:space="0" w:color="000000"/>
              <w:right w:val="single" w:sz="4" w:space="0" w:color="auto"/>
            </w:tcBorders>
            <w:vAlign w:val="center"/>
            <w:hideMark/>
          </w:tcPr>
          <w:p w14:paraId="240E3D98"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15DB1DB"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27CFCE5"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FFEAAF7"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1F0CE1E7" w14:textId="77777777" w:rsidTr="005E17C8">
        <w:trPr>
          <w:trHeight w:val="315"/>
          <w:jc w:val="center"/>
        </w:trPr>
        <w:tc>
          <w:tcPr>
            <w:tcW w:w="0" w:type="auto"/>
            <w:vMerge/>
            <w:tcBorders>
              <w:top w:val="nil"/>
              <w:left w:val="single" w:sz="4" w:space="0" w:color="auto"/>
              <w:bottom w:val="single" w:sz="4" w:space="0" w:color="auto"/>
              <w:right w:val="single" w:sz="4" w:space="0" w:color="auto"/>
            </w:tcBorders>
            <w:vAlign w:val="center"/>
            <w:hideMark/>
          </w:tcPr>
          <w:p w14:paraId="1EA291C3"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DBE9E1C"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4C481D1"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1B5337A"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0F848F3D"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2022</w:t>
            </w:r>
          </w:p>
        </w:tc>
        <w:tc>
          <w:tcPr>
            <w:tcW w:w="0" w:type="auto"/>
            <w:tcBorders>
              <w:top w:val="nil"/>
              <w:left w:val="nil"/>
              <w:bottom w:val="single" w:sz="4" w:space="0" w:color="auto"/>
              <w:right w:val="single" w:sz="4" w:space="0" w:color="auto"/>
            </w:tcBorders>
            <w:shd w:val="clear" w:color="auto" w:fill="auto"/>
            <w:noWrap/>
            <w:vAlign w:val="center"/>
            <w:hideMark/>
          </w:tcPr>
          <w:p w14:paraId="6B77C850"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23,948.5</w:t>
            </w:r>
          </w:p>
        </w:tc>
        <w:tc>
          <w:tcPr>
            <w:tcW w:w="0" w:type="auto"/>
            <w:vMerge/>
            <w:tcBorders>
              <w:top w:val="nil"/>
              <w:left w:val="single" w:sz="4" w:space="0" w:color="auto"/>
              <w:bottom w:val="single" w:sz="4" w:space="0" w:color="000000"/>
              <w:right w:val="single" w:sz="4" w:space="0" w:color="auto"/>
            </w:tcBorders>
            <w:vAlign w:val="center"/>
            <w:hideMark/>
          </w:tcPr>
          <w:p w14:paraId="6D4C84E5"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B932B52"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7F1B272"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E578819"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2125B81D" w14:textId="77777777" w:rsidTr="005E17C8">
        <w:trPr>
          <w:trHeight w:val="315"/>
          <w:jc w:val="center"/>
        </w:trPr>
        <w:tc>
          <w:tcPr>
            <w:tcW w:w="0" w:type="auto"/>
            <w:vMerge/>
            <w:tcBorders>
              <w:top w:val="nil"/>
              <w:left w:val="single" w:sz="4" w:space="0" w:color="auto"/>
              <w:bottom w:val="single" w:sz="4" w:space="0" w:color="auto"/>
              <w:right w:val="single" w:sz="4" w:space="0" w:color="auto"/>
            </w:tcBorders>
            <w:vAlign w:val="center"/>
            <w:hideMark/>
          </w:tcPr>
          <w:p w14:paraId="4C4324F2"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46ED4370"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Costos Regulatorios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740EC44"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Impuestos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0B4B89B"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Impuestos sobre la Renta</w:t>
            </w:r>
          </w:p>
        </w:tc>
        <w:tc>
          <w:tcPr>
            <w:tcW w:w="0" w:type="auto"/>
            <w:tcBorders>
              <w:top w:val="nil"/>
              <w:left w:val="nil"/>
              <w:bottom w:val="single" w:sz="4" w:space="0" w:color="auto"/>
              <w:right w:val="single" w:sz="4" w:space="0" w:color="auto"/>
            </w:tcBorders>
            <w:shd w:val="clear" w:color="auto" w:fill="auto"/>
            <w:noWrap/>
            <w:vAlign w:val="center"/>
            <w:hideMark/>
          </w:tcPr>
          <w:p w14:paraId="201AEC3A"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2019</w:t>
            </w:r>
          </w:p>
        </w:tc>
        <w:tc>
          <w:tcPr>
            <w:tcW w:w="0" w:type="auto"/>
            <w:tcBorders>
              <w:top w:val="nil"/>
              <w:left w:val="nil"/>
              <w:bottom w:val="single" w:sz="4" w:space="0" w:color="auto"/>
              <w:right w:val="single" w:sz="4" w:space="0" w:color="auto"/>
            </w:tcBorders>
            <w:shd w:val="clear" w:color="auto" w:fill="auto"/>
            <w:noWrap/>
            <w:vAlign w:val="center"/>
            <w:hideMark/>
          </w:tcPr>
          <w:p w14:paraId="43E51F59"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2,793.1</w:t>
            </w:r>
          </w:p>
        </w:tc>
        <w:tc>
          <w:tcPr>
            <w:tcW w:w="0" w:type="auto"/>
            <w:vMerge/>
            <w:tcBorders>
              <w:top w:val="nil"/>
              <w:left w:val="single" w:sz="4" w:space="0" w:color="auto"/>
              <w:bottom w:val="single" w:sz="4" w:space="0" w:color="000000"/>
              <w:right w:val="single" w:sz="4" w:space="0" w:color="auto"/>
            </w:tcBorders>
            <w:vAlign w:val="center"/>
            <w:hideMark/>
          </w:tcPr>
          <w:p w14:paraId="47F06E9A"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DCFD88B"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9B33B17"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21/10/2023</w:t>
            </w:r>
          </w:p>
        </w:tc>
        <w:tc>
          <w:tcPr>
            <w:tcW w:w="0" w:type="auto"/>
            <w:vMerge/>
            <w:tcBorders>
              <w:top w:val="nil"/>
              <w:left w:val="single" w:sz="4" w:space="0" w:color="auto"/>
              <w:bottom w:val="single" w:sz="4" w:space="0" w:color="auto"/>
              <w:right w:val="single" w:sz="4" w:space="0" w:color="auto"/>
            </w:tcBorders>
            <w:vAlign w:val="center"/>
            <w:hideMark/>
          </w:tcPr>
          <w:p w14:paraId="4BEEBF17"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22BD4856" w14:textId="77777777" w:rsidTr="005E17C8">
        <w:trPr>
          <w:trHeight w:val="315"/>
          <w:jc w:val="center"/>
        </w:trPr>
        <w:tc>
          <w:tcPr>
            <w:tcW w:w="0" w:type="auto"/>
            <w:vMerge/>
            <w:tcBorders>
              <w:top w:val="nil"/>
              <w:left w:val="single" w:sz="4" w:space="0" w:color="auto"/>
              <w:bottom w:val="single" w:sz="4" w:space="0" w:color="auto"/>
              <w:right w:val="single" w:sz="4" w:space="0" w:color="auto"/>
            </w:tcBorders>
            <w:vAlign w:val="center"/>
            <w:hideMark/>
          </w:tcPr>
          <w:p w14:paraId="3F14F372"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1CC3E1F"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377FFB5"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D99916E"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276CF829"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2020</w:t>
            </w:r>
          </w:p>
        </w:tc>
        <w:tc>
          <w:tcPr>
            <w:tcW w:w="0" w:type="auto"/>
            <w:tcBorders>
              <w:top w:val="nil"/>
              <w:left w:val="nil"/>
              <w:bottom w:val="single" w:sz="4" w:space="0" w:color="auto"/>
              <w:right w:val="single" w:sz="4" w:space="0" w:color="auto"/>
            </w:tcBorders>
            <w:shd w:val="clear" w:color="auto" w:fill="auto"/>
            <w:noWrap/>
            <w:vAlign w:val="center"/>
            <w:hideMark/>
          </w:tcPr>
          <w:p w14:paraId="1A791683"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1,877.7</w:t>
            </w:r>
          </w:p>
        </w:tc>
        <w:tc>
          <w:tcPr>
            <w:tcW w:w="0" w:type="auto"/>
            <w:vMerge/>
            <w:tcBorders>
              <w:top w:val="nil"/>
              <w:left w:val="single" w:sz="4" w:space="0" w:color="auto"/>
              <w:bottom w:val="single" w:sz="4" w:space="0" w:color="000000"/>
              <w:right w:val="single" w:sz="4" w:space="0" w:color="auto"/>
            </w:tcBorders>
            <w:vAlign w:val="center"/>
            <w:hideMark/>
          </w:tcPr>
          <w:p w14:paraId="32615C5C"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C20F4CF"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75C9CA9"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36F2FC13"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7E88B71F" w14:textId="77777777" w:rsidTr="005E17C8">
        <w:trPr>
          <w:trHeight w:val="315"/>
          <w:jc w:val="center"/>
        </w:trPr>
        <w:tc>
          <w:tcPr>
            <w:tcW w:w="0" w:type="auto"/>
            <w:vMerge/>
            <w:tcBorders>
              <w:top w:val="nil"/>
              <w:left w:val="single" w:sz="4" w:space="0" w:color="auto"/>
              <w:bottom w:val="single" w:sz="4" w:space="0" w:color="auto"/>
              <w:right w:val="single" w:sz="4" w:space="0" w:color="auto"/>
            </w:tcBorders>
            <w:vAlign w:val="center"/>
            <w:hideMark/>
          </w:tcPr>
          <w:p w14:paraId="528CC024"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CB4080E"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1A5FF44"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83EA90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16E806EE"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2021</w:t>
            </w:r>
          </w:p>
        </w:tc>
        <w:tc>
          <w:tcPr>
            <w:tcW w:w="0" w:type="auto"/>
            <w:tcBorders>
              <w:top w:val="nil"/>
              <w:left w:val="nil"/>
              <w:bottom w:val="single" w:sz="4" w:space="0" w:color="auto"/>
              <w:right w:val="single" w:sz="4" w:space="0" w:color="auto"/>
            </w:tcBorders>
            <w:shd w:val="clear" w:color="auto" w:fill="auto"/>
            <w:noWrap/>
            <w:vAlign w:val="center"/>
            <w:hideMark/>
          </w:tcPr>
          <w:p w14:paraId="5E5E9CB8"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3,061.5</w:t>
            </w:r>
          </w:p>
        </w:tc>
        <w:tc>
          <w:tcPr>
            <w:tcW w:w="0" w:type="auto"/>
            <w:vMerge/>
            <w:tcBorders>
              <w:top w:val="nil"/>
              <w:left w:val="single" w:sz="4" w:space="0" w:color="auto"/>
              <w:bottom w:val="single" w:sz="4" w:space="0" w:color="000000"/>
              <w:right w:val="single" w:sz="4" w:space="0" w:color="auto"/>
            </w:tcBorders>
            <w:vAlign w:val="center"/>
            <w:hideMark/>
          </w:tcPr>
          <w:p w14:paraId="6EAF2AE3"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10D43D2"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4EFA4C9"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78917028"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r w:rsidR="005E17C8" w:rsidRPr="005E17C8" w14:paraId="24456B6E" w14:textId="77777777" w:rsidTr="005E17C8">
        <w:trPr>
          <w:trHeight w:val="315"/>
          <w:jc w:val="center"/>
        </w:trPr>
        <w:tc>
          <w:tcPr>
            <w:tcW w:w="0" w:type="auto"/>
            <w:vMerge/>
            <w:tcBorders>
              <w:top w:val="nil"/>
              <w:left w:val="single" w:sz="4" w:space="0" w:color="auto"/>
              <w:bottom w:val="single" w:sz="4" w:space="0" w:color="auto"/>
              <w:right w:val="single" w:sz="4" w:space="0" w:color="auto"/>
            </w:tcBorders>
            <w:vAlign w:val="center"/>
            <w:hideMark/>
          </w:tcPr>
          <w:p w14:paraId="5DE6258F"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13BBE2E"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BFBE5BE"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9A98D9B" w14:textId="77777777" w:rsidR="005E17C8" w:rsidRPr="005E17C8" w:rsidRDefault="005E17C8" w:rsidP="005E17C8">
            <w:pPr>
              <w:widowControl/>
              <w:rPr>
                <w:rFonts w:ascii="Times New Roman" w:eastAsia="Times New Roman" w:hAnsi="Times New Roman" w:cs="Times New Roman"/>
                <w:color w:val="000000"/>
                <w:sz w:val="18"/>
                <w:szCs w:val="18"/>
                <w:lang w:eastAsia="es-HN"/>
              </w:rPr>
            </w:pPr>
          </w:p>
        </w:tc>
        <w:tc>
          <w:tcPr>
            <w:tcW w:w="0" w:type="auto"/>
            <w:tcBorders>
              <w:top w:val="nil"/>
              <w:left w:val="nil"/>
              <w:bottom w:val="single" w:sz="4" w:space="0" w:color="auto"/>
              <w:right w:val="single" w:sz="4" w:space="0" w:color="auto"/>
            </w:tcBorders>
            <w:shd w:val="clear" w:color="auto" w:fill="auto"/>
            <w:noWrap/>
            <w:vAlign w:val="center"/>
            <w:hideMark/>
          </w:tcPr>
          <w:p w14:paraId="18AA3626" w14:textId="77777777" w:rsidR="005E17C8" w:rsidRPr="005E17C8" w:rsidRDefault="005E17C8" w:rsidP="005E17C8">
            <w:pPr>
              <w:widowControl/>
              <w:jc w:val="center"/>
              <w:rPr>
                <w:rFonts w:ascii="Times New Roman" w:eastAsia="Times New Roman" w:hAnsi="Times New Roman" w:cs="Times New Roman"/>
                <w:color w:val="000000"/>
                <w:sz w:val="18"/>
                <w:szCs w:val="18"/>
                <w:lang w:eastAsia="es-HN"/>
              </w:rPr>
            </w:pPr>
            <w:r w:rsidRPr="005E17C8">
              <w:rPr>
                <w:rFonts w:ascii="Times New Roman" w:eastAsia="Times New Roman" w:hAnsi="Times New Roman" w:cs="Times New Roman"/>
                <w:color w:val="000000"/>
                <w:sz w:val="18"/>
                <w:szCs w:val="18"/>
                <w:lang w:eastAsia="es-HN"/>
              </w:rPr>
              <w:t>2022</w:t>
            </w:r>
          </w:p>
        </w:tc>
        <w:tc>
          <w:tcPr>
            <w:tcW w:w="0" w:type="auto"/>
            <w:tcBorders>
              <w:top w:val="nil"/>
              <w:left w:val="nil"/>
              <w:bottom w:val="single" w:sz="4" w:space="0" w:color="auto"/>
              <w:right w:val="single" w:sz="4" w:space="0" w:color="auto"/>
            </w:tcBorders>
            <w:shd w:val="clear" w:color="auto" w:fill="auto"/>
            <w:noWrap/>
            <w:vAlign w:val="center"/>
            <w:hideMark/>
          </w:tcPr>
          <w:p w14:paraId="54EC042E" w14:textId="77777777" w:rsidR="005E17C8" w:rsidRPr="005E17C8" w:rsidRDefault="005E17C8" w:rsidP="005E17C8">
            <w:pPr>
              <w:widowControl/>
              <w:jc w:val="center"/>
              <w:rPr>
                <w:rFonts w:ascii="Times New Roman" w:eastAsia="Times New Roman" w:hAnsi="Times New Roman" w:cs="Times New Roman"/>
                <w:sz w:val="18"/>
                <w:szCs w:val="18"/>
                <w:lang w:eastAsia="es-HN"/>
              </w:rPr>
            </w:pPr>
            <w:r w:rsidRPr="005E17C8">
              <w:rPr>
                <w:rFonts w:ascii="Times New Roman" w:eastAsia="Times New Roman" w:hAnsi="Times New Roman" w:cs="Times New Roman"/>
                <w:sz w:val="18"/>
                <w:szCs w:val="18"/>
                <w:lang w:eastAsia="es-HN"/>
              </w:rPr>
              <w:t>4,134.5</w:t>
            </w:r>
          </w:p>
        </w:tc>
        <w:tc>
          <w:tcPr>
            <w:tcW w:w="0" w:type="auto"/>
            <w:vMerge/>
            <w:tcBorders>
              <w:top w:val="nil"/>
              <w:left w:val="single" w:sz="4" w:space="0" w:color="auto"/>
              <w:bottom w:val="single" w:sz="4" w:space="0" w:color="000000"/>
              <w:right w:val="single" w:sz="4" w:space="0" w:color="auto"/>
            </w:tcBorders>
            <w:vAlign w:val="center"/>
            <w:hideMark/>
          </w:tcPr>
          <w:p w14:paraId="7D693146"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7943F18"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1D454E84" w14:textId="77777777" w:rsidR="005E17C8" w:rsidRPr="005E17C8" w:rsidRDefault="005E17C8" w:rsidP="005E17C8">
            <w:pPr>
              <w:widowControl/>
              <w:rPr>
                <w:rFonts w:ascii="Times New Roman" w:eastAsia="Times New Roman" w:hAnsi="Times New Roman" w:cs="Times New Roman"/>
                <w:sz w:val="18"/>
                <w:szCs w:val="18"/>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6E1ECC8" w14:textId="77777777" w:rsidR="005E17C8" w:rsidRPr="005E17C8" w:rsidRDefault="005E17C8" w:rsidP="005E17C8">
            <w:pPr>
              <w:widowControl/>
              <w:rPr>
                <w:rFonts w:ascii="Times New Roman" w:eastAsia="Times New Roman" w:hAnsi="Times New Roman" w:cs="Times New Roman"/>
                <w:sz w:val="18"/>
                <w:szCs w:val="18"/>
                <w:u w:val="single"/>
                <w:lang w:eastAsia="es-HN"/>
              </w:rPr>
            </w:pPr>
          </w:p>
        </w:tc>
      </w:tr>
    </w:tbl>
    <w:p w14:paraId="500901DE" w14:textId="77777777" w:rsidR="00853FC5" w:rsidRPr="00D93664" w:rsidRDefault="00853FC5" w:rsidP="00853FC5">
      <w:pPr>
        <w:widowControl/>
        <w:spacing w:after="160" w:line="259" w:lineRule="auto"/>
        <w:rPr>
          <w:rFonts w:ascii="Times New Roman" w:hAnsi="Times New Roman" w:cs="Times New Roman"/>
          <w:sz w:val="24"/>
          <w:szCs w:val="24"/>
        </w:rPr>
      </w:pPr>
      <w:r w:rsidRPr="000A4CE5">
        <w:rPr>
          <w:rFonts w:ascii="Times New Roman" w:hAnsi="Times New Roman" w:cs="Times New Roman"/>
          <w:b/>
          <w:bCs/>
          <w:sz w:val="24"/>
          <w:szCs w:val="24"/>
        </w:rPr>
        <w:t>Fuente:</w:t>
      </w:r>
      <w:r>
        <w:rPr>
          <w:rFonts w:ascii="Times New Roman" w:hAnsi="Times New Roman" w:cs="Times New Roman"/>
          <w:sz w:val="24"/>
          <w:szCs w:val="24"/>
        </w:rPr>
        <w:t xml:space="preserve"> Elaboración Propia.</w:t>
      </w:r>
    </w:p>
    <w:p w14:paraId="0AFD6370" w14:textId="77777777" w:rsidR="00853FC5" w:rsidRDefault="00853FC5" w:rsidP="00853FC5">
      <w:pPr>
        <w:pStyle w:val="TextoPrincipal"/>
      </w:pPr>
    </w:p>
    <w:p w14:paraId="66127A3A" w14:textId="77777777" w:rsidR="00853FC5" w:rsidRDefault="00853FC5" w:rsidP="00853FC5">
      <w:pPr>
        <w:pStyle w:val="TextoPrincipal"/>
      </w:pPr>
    </w:p>
    <w:p w14:paraId="4CB46774" w14:textId="77777777" w:rsidR="00F43694" w:rsidRDefault="00F43694" w:rsidP="00853FC5">
      <w:pPr>
        <w:pStyle w:val="TextoPrincipal"/>
      </w:pPr>
      <w:bookmarkStart w:id="201" w:name="_GoBack"/>
      <w:bookmarkEnd w:id="201"/>
    </w:p>
    <w:sectPr w:rsidR="00F43694" w:rsidSect="00151EC0">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E483B2" w14:textId="77777777" w:rsidR="00B027F6" w:rsidRPr="00B049AA" w:rsidRDefault="00B027F6" w:rsidP="002313B9">
      <w:r w:rsidRPr="00B049AA">
        <w:separator/>
      </w:r>
    </w:p>
    <w:p w14:paraId="1D9D000F" w14:textId="77777777" w:rsidR="00B027F6" w:rsidRPr="00B049AA" w:rsidRDefault="00B027F6"/>
  </w:endnote>
  <w:endnote w:type="continuationSeparator" w:id="0">
    <w:p w14:paraId="531F6521" w14:textId="77777777" w:rsidR="00B027F6" w:rsidRPr="00B049AA" w:rsidRDefault="00B027F6" w:rsidP="002313B9">
      <w:r w:rsidRPr="00B049AA">
        <w:continuationSeparator/>
      </w:r>
    </w:p>
    <w:p w14:paraId="7677776E" w14:textId="77777777" w:rsidR="00B027F6" w:rsidRPr="00B049AA" w:rsidRDefault="00B027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B20D3A" w14:textId="77777777" w:rsidR="005E4B80" w:rsidRDefault="005E4B80">
    <w:pPr>
      <w:pStyle w:val="Piedepgina"/>
      <w:jc w:val="right"/>
    </w:pPr>
  </w:p>
  <w:p w14:paraId="58B25C8F" w14:textId="77777777" w:rsidR="005E4B80" w:rsidRDefault="005E4B8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64847913"/>
      <w:docPartObj>
        <w:docPartGallery w:val="Page Numbers (Bottom of Page)"/>
        <w:docPartUnique/>
      </w:docPartObj>
    </w:sdtPr>
    <w:sdtEndPr/>
    <w:sdtContent>
      <w:p w14:paraId="38933E3F" w14:textId="750388CE" w:rsidR="005E4B80" w:rsidRPr="00B049AA" w:rsidRDefault="005E4B80">
        <w:pPr>
          <w:pStyle w:val="Piedepgina"/>
          <w:jc w:val="right"/>
        </w:pPr>
        <w:r w:rsidRPr="00B049AA">
          <w:fldChar w:fldCharType="begin"/>
        </w:r>
        <w:r w:rsidRPr="00B049AA">
          <w:instrText>PAGE   \* MERGEFORMAT</w:instrText>
        </w:r>
        <w:r w:rsidRPr="00B049AA">
          <w:fldChar w:fldCharType="separate"/>
        </w:r>
        <w:r w:rsidR="007508E5">
          <w:rPr>
            <w:noProof/>
          </w:rPr>
          <w:t>xi</w:t>
        </w:r>
        <w:r w:rsidRPr="00B049AA">
          <w:fldChar w:fldCharType="end"/>
        </w:r>
      </w:p>
    </w:sdtContent>
  </w:sdt>
  <w:p w14:paraId="03C7C291" w14:textId="77777777" w:rsidR="005E4B80" w:rsidRPr="00B049AA" w:rsidRDefault="005E4B8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BD6D45" w14:textId="77777777" w:rsidR="00B027F6" w:rsidRPr="00B049AA" w:rsidRDefault="00B027F6" w:rsidP="002313B9">
      <w:r w:rsidRPr="00B049AA">
        <w:separator/>
      </w:r>
    </w:p>
    <w:p w14:paraId="3315C9FB" w14:textId="77777777" w:rsidR="00B027F6" w:rsidRPr="00B049AA" w:rsidRDefault="00B027F6"/>
  </w:footnote>
  <w:footnote w:type="continuationSeparator" w:id="0">
    <w:p w14:paraId="225EC5EC" w14:textId="77777777" w:rsidR="00B027F6" w:rsidRPr="00B049AA" w:rsidRDefault="00B027F6" w:rsidP="002313B9">
      <w:r w:rsidRPr="00B049AA">
        <w:continuationSeparator/>
      </w:r>
    </w:p>
    <w:p w14:paraId="28DBBD56" w14:textId="77777777" w:rsidR="00B027F6" w:rsidRPr="00B049AA" w:rsidRDefault="00B027F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B40BD"/>
    <w:multiLevelType w:val="hybridMultilevel"/>
    <w:tmpl w:val="9F2AA622"/>
    <w:lvl w:ilvl="0" w:tplc="480A0001">
      <w:start w:val="1"/>
      <w:numFmt w:val="bullet"/>
      <w:lvlText w:val=""/>
      <w:lvlJc w:val="left"/>
      <w:pPr>
        <w:ind w:left="1440" w:hanging="360"/>
      </w:pPr>
      <w:rPr>
        <w:rFonts w:ascii="Symbol" w:hAnsi="Symbol" w:hint="default"/>
      </w:rPr>
    </w:lvl>
    <w:lvl w:ilvl="1" w:tplc="240A0001">
      <w:start w:val="1"/>
      <w:numFmt w:val="bullet"/>
      <w:lvlText w:val=""/>
      <w:lvlJc w:val="left"/>
      <w:pPr>
        <w:ind w:left="2160" w:hanging="360"/>
      </w:pPr>
      <w:rPr>
        <w:rFonts w:ascii="Symbol" w:hAnsi="Symbol"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 w15:restartNumberingAfterBreak="0">
    <w:nsid w:val="074515B0"/>
    <w:multiLevelType w:val="hybridMultilevel"/>
    <w:tmpl w:val="9022F91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 w15:restartNumberingAfterBreak="0">
    <w:nsid w:val="105656D6"/>
    <w:multiLevelType w:val="hybridMultilevel"/>
    <w:tmpl w:val="2A48786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 w15:restartNumberingAfterBreak="0">
    <w:nsid w:val="179F5975"/>
    <w:multiLevelType w:val="hybridMultilevel"/>
    <w:tmpl w:val="45D2D9E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 w15:restartNumberingAfterBreak="0">
    <w:nsid w:val="17F83D73"/>
    <w:multiLevelType w:val="hybridMultilevel"/>
    <w:tmpl w:val="4F3069B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 w15:restartNumberingAfterBreak="0">
    <w:nsid w:val="189B26D1"/>
    <w:multiLevelType w:val="hybridMultilevel"/>
    <w:tmpl w:val="DF4AB98A"/>
    <w:lvl w:ilvl="0" w:tplc="F0A821CC">
      <w:start w:val="1"/>
      <w:numFmt w:val="decimal"/>
      <w:lvlText w:val="%1."/>
      <w:lvlJc w:val="left"/>
      <w:pPr>
        <w:ind w:left="1080" w:hanging="360"/>
      </w:pPr>
      <w:rPr>
        <w:rFonts w:hint="default"/>
        <w:b/>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1AF02F4E"/>
    <w:multiLevelType w:val="hybridMultilevel"/>
    <w:tmpl w:val="F6F23E1C"/>
    <w:lvl w:ilvl="0" w:tplc="480A0001">
      <w:start w:val="1"/>
      <w:numFmt w:val="bullet"/>
      <w:lvlText w:val=""/>
      <w:lvlJc w:val="left"/>
      <w:pPr>
        <w:ind w:left="1440" w:hanging="360"/>
      </w:pPr>
      <w:rPr>
        <w:rFonts w:ascii="Symbol" w:hAnsi="Symbol" w:hint="default"/>
      </w:rPr>
    </w:lvl>
    <w:lvl w:ilvl="1" w:tplc="240A0001">
      <w:start w:val="1"/>
      <w:numFmt w:val="bullet"/>
      <w:lvlText w:val=""/>
      <w:lvlJc w:val="left"/>
      <w:pPr>
        <w:ind w:left="2160" w:hanging="360"/>
      </w:pPr>
      <w:rPr>
        <w:rFonts w:ascii="Symbol" w:hAnsi="Symbol"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003"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15573DB"/>
    <w:multiLevelType w:val="hybridMultilevel"/>
    <w:tmpl w:val="F0D834E4"/>
    <w:lvl w:ilvl="0" w:tplc="480A0001">
      <w:start w:val="1"/>
      <w:numFmt w:val="bullet"/>
      <w:lvlText w:val=""/>
      <w:lvlJc w:val="left"/>
      <w:pPr>
        <w:ind w:left="1440" w:hanging="360"/>
      </w:pPr>
      <w:rPr>
        <w:rFonts w:ascii="Symbol" w:hAnsi="Symbol" w:hint="default"/>
      </w:rPr>
    </w:lvl>
    <w:lvl w:ilvl="1" w:tplc="5F5246C4">
      <w:numFmt w:val="bullet"/>
      <w:lvlText w:val="-"/>
      <w:lvlJc w:val="left"/>
      <w:pPr>
        <w:ind w:left="2160" w:hanging="360"/>
      </w:pPr>
      <w:rPr>
        <w:rFonts w:ascii="Times New Roman" w:eastAsiaTheme="minorHAnsi" w:hAnsi="Times New Roman" w:cs="Times New Roman"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9" w15:restartNumberingAfterBreak="0">
    <w:nsid w:val="230944DC"/>
    <w:multiLevelType w:val="multilevel"/>
    <w:tmpl w:val="F1584EB2"/>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1" w15:restartNumberingAfterBreak="0">
    <w:nsid w:val="2E634975"/>
    <w:multiLevelType w:val="hybridMultilevel"/>
    <w:tmpl w:val="B880A13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31FC554C"/>
    <w:multiLevelType w:val="hybridMultilevel"/>
    <w:tmpl w:val="20D294E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3"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9692142"/>
    <w:multiLevelType w:val="multilevel"/>
    <w:tmpl w:val="DCAAE88E"/>
    <w:lvl w:ilvl="0">
      <w:start w:val="1"/>
      <w:numFmt w:val="decimal"/>
      <w:lvlText w:val="%1."/>
      <w:lvlJc w:val="left"/>
      <w:pPr>
        <w:ind w:left="108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3C804CB7"/>
    <w:multiLevelType w:val="hybridMultilevel"/>
    <w:tmpl w:val="0CAEE45A"/>
    <w:lvl w:ilvl="0" w:tplc="33E086AC">
      <w:start w:val="1"/>
      <w:numFmt w:val="decimal"/>
      <w:lvlText w:val="%1."/>
      <w:lvlJc w:val="left"/>
      <w:pPr>
        <w:ind w:left="1080" w:hanging="360"/>
      </w:pPr>
      <w:rPr>
        <w:rFonts w:hint="default"/>
        <w:b/>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6" w15:restartNumberingAfterBreak="0">
    <w:nsid w:val="3F224D58"/>
    <w:multiLevelType w:val="hybridMultilevel"/>
    <w:tmpl w:val="C2083DD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7" w15:restartNumberingAfterBreak="0">
    <w:nsid w:val="41D07C02"/>
    <w:multiLevelType w:val="hybridMultilevel"/>
    <w:tmpl w:val="38E647C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8" w15:restartNumberingAfterBreak="0">
    <w:nsid w:val="44AA017F"/>
    <w:multiLevelType w:val="hybridMultilevel"/>
    <w:tmpl w:val="0A549E2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9" w15:restartNumberingAfterBreak="0">
    <w:nsid w:val="472A624B"/>
    <w:multiLevelType w:val="hybridMultilevel"/>
    <w:tmpl w:val="2A36CE4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0" w15:restartNumberingAfterBreak="0">
    <w:nsid w:val="4B967314"/>
    <w:multiLevelType w:val="hybridMultilevel"/>
    <w:tmpl w:val="4484CBC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1" w15:restartNumberingAfterBreak="0">
    <w:nsid w:val="4E387967"/>
    <w:multiLevelType w:val="hybridMultilevel"/>
    <w:tmpl w:val="AC62BE5E"/>
    <w:lvl w:ilvl="0" w:tplc="240A0001">
      <w:start w:val="1"/>
      <w:numFmt w:val="bullet"/>
      <w:lvlText w:val=""/>
      <w:lvlJc w:val="left"/>
      <w:pPr>
        <w:ind w:left="1080" w:hanging="360"/>
      </w:pPr>
      <w:rPr>
        <w:rFonts w:ascii="Symbol" w:hAnsi="Symbol" w:hint="default"/>
      </w:rPr>
    </w:lvl>
    <w:lvl w:ilvl="1" w:tplc="8CCE374C">
      <w:numFmt w:val="bullet"/>
      <w:lvlText w:val="-"/>
      <w:lvlJc w:val="left"/>
      <w:pPr>
        <w:ind w:left="1800" w:hanging="360"/>
      </w:pPr>
      <w:rPr>
        <w:rFonts w:ascii="Times New Roman" w:eastAsiaTheme="minorHAnsi" w:hAnsi="Times New Roman" w:cs="Times New Roman"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2" w15:restartNumberingAfterBreak="0">
    <w:nsid w:val="5137698C"/>
    <w:multiLevelType w:val="hybridMultilevel"/>
    <w:tmpl w:val="F50ED68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3" w15:restartNumberingAfterBreak="0">
    <w:nsid w:val="51696EC3"/>
    <w:multiLevelType w:val="hybridMultilevel"/>
    <w:tmpl w:val="3E68680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4" w15:restartNumberingAfterBreak="0">
    <w:nsid w:val="5819737D"/>
    <w:multiLevelType w:val="hybridMultilevel"/>
    <w:tmpl w:val="BA7A5AC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5" w15:restartNumberingAfterBreak="0">
    <w:nsid w:val="5BE82533"/>
    <w:multiLevelType w:val="hybridMultilevel"/>
    <w:tmpl w:val="AB7662C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6" w15:restartNumberingAfterBreak="0">
    <w:nsid w:val="5CD22804"/>
    <w:multiLevelType w:val="hybridMultilevel"/>
    <w:tmpl w:val="D2D4C5D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7" w15:restartNumberingAfterBreak="0">
    <w:nsid w:val="5DFB3645"/>
    <w:multiLevelType w:val="multilevel"/>
    <w:tmpl w:val="B4A46D3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E193BD3"/>
    <w:multiLevelType w:val="hybridMultilevel"/>
    <w:tmpl w:val="BCBC18F4"/>
    <w:lvl w:ilvl="0" w:tplc="480A0001">
      <w:start w:val="1"/>
      <w:numFmt w:val="bullet"/>
      <w:lvlText w:val=""/>
      <w:lvlJc w:val="left"/>
      <w:pPr>
        <w:ind w:left="1440" w:hanging="360"/>
      </w:pPr>
      <w:rPr>
        <w:rFonts w:ascii="Symbol" w:hAnsi="Symbol" w:hint="default"/>
      </w:rPr>
    </w:lvl>
    <w:lvl w:ilvl="1" w:tplc="240A0001">
      <w:start w:val="1"/>
      <w:numFmt w:val="bullet"/>
      <w:lvlText w:val=""/>
      <w:lvlJc w:val="left"/>
      <w:pPr>
        <w:ind w:left="2160" w:hanging="360"/>
      </w:pPr>
      <w:rPr>
        <w:rFonts w:ascii="Symbol" w:hAnsi="Symbol"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9" w15:restartNumberingAfterBreak="0">
    <w:nsid w:val="62A10BA7"/>
    <w:multiLevelType w:val="hybridMultilevel"/>
    <w:tmpl w:val="73C2429A"/>
    <w:lvl w:ilvl="0" w:tplc="5A5A9B62">
      <w:start w:val="1"/>
      <w:numFmt w:val="decimal"/>
      <w:lvlText w:val="%1."/>
      <w:lvlJc w:val="left"/>
      <w:pPr>
        <w:ind w:left="1080" w:hanging="360"/>
      </w:pPr>
      <w:rPr>
        <w:rFonts w:hint="default"/>
        <w:b/>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0" w15:restartNumberingAfterBreak="0">
    <w:nsid w:val="704A0FB0"/>
    <w:multiLevelType w:val="hybridMultilevel"/>
    <w:tmpl w:val="F0D2695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1" w15:restartNumberingAfterBreak="0">
    <w:nsid w:val="707F167E"/>
    <w:multiLevelType w:val="hybridMultilevel"/>
    <w:tmpl w:val="3BCA3804"/>
    <w:lvl w:ilvl="0" w:tplc="480A0001">
      <w:start w:val="1"/>
      <w:numFmt w:val="bullet"/>
      <w:lvlText w:val=""/>
      <w:lvlJc w:val="left"/>
      <w:pPr>
        <w:ind w:left="1440" w:hanging="360"/>
      </w:pPr>
      <w:rPr>
        <w:rFonts w:ascii="Symbol" w:hAnsi="Symbol" w:hint="default"/>
      </w:rPr>
    </w:lvl>
    <w:lvl w:ilvl="1" w:tplc="240A0001">
      <w:start w:val="1"/>
      <w:numFmt w:val="bullet"/>
      <w:lvlText w:val=""/>
      <w:lvlJc w:val="left"/>
      <w:pPr>
        <w:ind w:left="2160" w:hanging="360"/>
      </w:pPr>
      <w:rPr>
        <w:rFonts w:ascii="Symbol" w:hAnsi="Symbol"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2" w15:restartNumberingAfterBreak="0">
    <w:nsid w:val="73221D65"/>
    <w:multiLevelType w:val="hybridMultilevel"/>
    <w:tmpl w:val="B9D82B5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3" w15:restartNumberingAfterBreak="0">
    <w:nsid w:val="73DB5BC7"/>
    <w:multiLevelType w:val="hybridMultilevel"/>
    <w:tmpl w:val="41167E8E"/>
    <w:lvl w:ilvl="0" w:tplc="480A0001">
      <w:start w:val="1"/>
      <w:numFmt w:val="bullet"/>
      <w:lvlText w:val=""/>
      <w:lvlJc w:val="left"/>
      <w:pPr>
        <w:ind w:left="1440" w:hanging="360"/>
      </w:pPr>
      <w:rPr>
        <w:rFonts w:ascii="Symbol" w:hAnsi="Symbol" w:hint="default"/>
      </w:rPr>
    </w:lvl>
    <w:lvl w:ilvl="1" w:tplc="240A0001">
      <w:start w:val="1"/>
      <w:numFmt w:val="bullet"/>
      <w:lvlText w:val=""/>
      <w:lvlJc w:val="left"/>
      <w:pPr>
        <w:ind w:left="2160" w:hanging="360"/>
      </w:pPr>
      <w:rPr>
        <w:rFonts w:ascii="Symbol" w:hAnsi="Symbol"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4" w15:restartNumberingAfterBreak="0">
    <w:nsid w:val="77A26622"/>
    <w:multiLevelType w:val="hybridMultilevel"/>
    <w:tmpl w:val="DF7AC7F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5" w15:restartNumberingAfterBreak="0">
    <w:nsid w:val="797E2C3B"/>
    <w:multiLevelType w:val="hybridMultilevel"/>
    <w:tmpl w:val="346471B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6" w15:restartNumberingAfterBreak="0">
    <w:nsid w:val="7A654762"/>
    <w:multiLevelType w:val="hybridMultilevel"/>
    <w:tmpl w:val="94D4184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7" w15:restartNumberingAfterBreak="0">
    <w:nsid w:val="7C034E35"/>
    <w:multiLevelType w:val="hybridMultilevel"/>
    <w:tmpl w:val="F8B612C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8" w15:restartNumberingAfterBreak="0">
    <w:nsid w:val="7CCE3328"/>
    <w:multiLevelType w:val="hybridMultilevel"/>
    <w:tmpl w:val="89B20B3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9" w15:restartNumberingAfterBreak="0">
    <w:nsid w:val="7FFE0528"/>
    <w:multiLevelType w:val="hybridMultilevel"/>
    <w:tmpl w:val="F8F6A90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num w:numId="1">
    <w:abstractNumId w:val="10"/>
  </w:num>
  <w:num w:numId="2">
    <w:abstractNumId w:val="13"/>
  </w:num>
  <w:num w:numId="3">
    <w:abstractNumId w:val="7"/>
  </w:num>
  <w:num w:numId="4">
    <w:abstractNumId w:val="23"/>
  </w:num>
  <w:num w:numId="5">
    <w:abstractNumId w:val="27"/>
  </w:num>
  <w:num w:numId="6">
    <w:abstractNumId w:val="26"/>
  </w:num>
  <w:num w:numId="7">
    <w:abstractNumId w:val="4"/>
  </w:num>
  <w:num w:numId="8">
    <w:abstractNumId w:val="11"/>
  </w:num>
  <w:num w:numId="9">
    <w:abstractNumId w:val="39"/>
  </w:num>
  <w:num w:numId="10">
    <w:abstractNumId w:val="24"/>
  </w:num>
  <w:num w:numId="11">
    <w:abstractNumId w:val="38"/>
  </w:num>
  <w:num w:numId="12">
    <w:abstractNumId w:val="8"/>
  </w:num>
  <w:num w:numId="13">
    <w:abstractNumId w:val="9"/>
  </w:num>
  <w:num w:numId="14">
    <w:abstractNumId w:val="14"/>
  </w:num>
  <w:num w:numId="15">
    <w:abstractNumId w:val="17"/>
  </w:num>
  <w:num w:numId="16">
    <w:abstractNumId w:val="19"/>
  </w:num>
  <w:num w:numId="17">
    <w:abstractNumId w:val="3"/>
  </w:num>
  <w:num w:numId="18">
    <w:abstractNumId w:val="25"/>
  </w:num>
  <w:num w:numId="19">
    <w:abstractNumId w:val="12"/>
  </w:num>
  <w:num w:numId="20">
    <w:abstractNumId w:val="1"/>
  </w:num>
  <w:num w:numId="21">
    <w:abstractNumId w:val="22"/>
  </w:num>
  <w:num w:numId="22">
    <w:abstractNumId w:val="2"/>
  </w:num>
  <w:num w:numId="23">
    <w:abstractNumId w:val="32"/>
  </w:num>
  <w:num w:numId="24">
    <w:abstractNumId w:val="20"/>
  </w:num>
  <w:num w:numId="25">
    <w:abstractNumId w:val="35"/>
  </w:num>
  <w:num w:numId="26">
    <w:abstractNumId w:val="18"/>
  </w:num>
  <w:num w:numId="27">
    <w:abstractNumId w:val="16"/>
  </w:num>
  <w:num w:numId="28">
    <w:abstractNumId w:val="30"/>
  </w:num>
  <w:num w:numId="29">
    <w:abstractNumId w:val="34"/>
  </w:num>
  <w:num w:numId="30">
    <w:abstractNumId w:val="36"/>
  </w:num>
  <w:num w:numId="31">
    <w:abstractNumId w:val="37"/>
  </w:num>
  <w:num w:numId="32">
    <w:abstractNumId w:val="5"/>
  </w:num>
  <w:num w:numId="33">
    <w:abstractNumId w:val="31"/>
  </w:num>
  <w:num w:numId="34">
    <w:abstractNumId w:val="28"/>
  </w:num>
  <w:num w:numId="35">
    <w:abstractNumId w:val="33"/>
  </w:num>
  <w:num w:numId="36">
    <w:abstractNumId w:val="0"/>
  </w:num>
  <w:num w:numId="37">
    <w:abstractNumId w:val="6"/>
  </w:num>
  <w:num w:numId="38">
    <w:abstractNumId w:val="29"/>
  </w:num>
  <w:num w:numId="39">
    <w:abstractNumId w:val="21"/>
  </w:num>
  <w:num w:numId="40">
    <w:abstractNumId w:val="1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4308"/>
    <w:rsid w:val="00004BF0"/>
    <w:rsid w:val="00010CBE"/>
    <w:rsid w:val="00014094"/>
    <w:rsid w:val="00015251"/>
    <w:rsid w:val="00016E9D"/>
    <w:rsid w:val="00023458"/>
    <w:rsid w:val="000247BB"/>
    <w:rsid w:val="00024F4A"/>
    <w:rsid w:val="00026295"/>
    <w:rsid w:val="00031DDD"/>
    <w:rsid w:val="00032A68"/>
    <w:rsid w:val="00035016"/>
    <w:rsid w:val="00036439"/>
    <w:rsid w:val="00037556"/>
    <w:rsid w:val="00041130"/>
    <w:rsid w:val="0004671C"/>
    <w:rsid w:val="000611E2"/>
    <w:rsid w:val="00061BFF"/>
    <w:rsid w:val="000712F5"/>
    <w:rsid w:val="00072C52"/>
    <w:rsid w:val="0008020F"/>
    <w:rsid w:val="00082EEE"/>
    <w:rsid w:val="00087212"/>
    <w:rsid w:val="00092A17"/>
    <w:rsid w:val="00094792"/>
    <w:rsid w:val="000965B8"/>
    <w:rsid w:val="00096CC2"/>
    <w:rsid w:val="000A4CE5"/>
    <w:rsid w:val="000A69EB"/>
    <w:rsid w:val="000B0881"/>
    <w:rsid w:val="000C794E"/>
    <w:rsid w:val="000D40D1"/>
    <w:rsid w:val="000E0C14"/>
    <w:rsid w:val="000E2A5D"/>
    <w:rsid w:val="000E76C0"/>
    <w:rsid w:val="000F3C39"/>
    <w:rsid w:val="000F4CD1"/>
    <w:rsid w:val="000F7E06"/>
    <w:rsid w:val="0010050B"/>
    <w:rsid w:val="00102859"/>
    <w:rsid w:val="001033FE"/>
    <w:rsid w:val="00107429"/>
    <w:rsid w:val="00107BF7"/>
    <w:rsid w:val="001135DE"/>
    <w:rsid w:val="001171E5"/>
    <w:rsid w:val="00121287"/>
    <w:rsid w:val="00121E9F"/>
    <w:rsid w:val="0012295C"/>
    <w:rsid w:val="0012504C"/>
    <w:rsid w:val="00125E75"/>
    <w:rsid w:val="00127090"/>
    <w:rsid w:val="001336EB"/>
    <w:rsid w:val="00142836"/>
    <w:rsid w:val="001473B1"/>
    <w:rsid w:val="00151EC0"/>
    <w:rsid w:val="001660FF"/>
    <w:rsid w:val="00166718"/>
    <w:rsid w:val="00171486"/>
    <w:rsid w:val="00175D1B"/>
    <w:rsid w:val="00176A16"/>
    <w:rsid w:val="00190067"/>
    <w:rsid w:val="00193456"/>
    <w:rsid w:val="00193F0B"/>
    <w:rsid w:val="00194741"/>
    <w:rsid w:val="00195E89"/>
    <w:rsid w:val="0019653E"/>
    <w:rsid w:val="001A1660"/>
    <w:rsid w:val="001A2EA3"/>
    <w:rsid w:val="001A41E4"/>
    <w:rsid w:val="001B7BCA"/>
    <w:rsid w:val="001C1476"/>
    <w:rsid w:val="001C1B80"/>
    <w:rsid w:val="001C1D96"/>
    <w:rsid w:val="001C7EB8"/>
    <w:rsid w:val="001D2EEE"/>
    <w:rsid w:val="001D4036"/>
    <w:rsid w:val="001E07E7"/>
    <w:rsid w:val="001E1D9F"/>
    <w:rsid w:val="001E2BF7"/>
    <w:rsid w:val="001E5D6B"/>
    <w:rsid w:val="001E7B63"/>
    <w:rsid w:val="001F262B"/>
    <w:rsid w:val="001F2BD2"/>
    <w:rsid w:val="001F3EA1"/>
    <w:rsid w:val="00210E95"/>
    <w:rsid w:val="002203C9"/>
    <w:rsid w:val="00221F32"/>
    <w:rsid w:val="00227BBF"/>
    <w:rsid w:val="002313B9"/>
    <w:rsid w:val="00233172"/>
    <w:rsid w:val="00234676"/>
    <w:rsid w:val="0024161E"/>
    <w:rsid w:val="00243EBF"/>
    <w:rsid w:val="00246379"/>
    <w:rsid w:val="0025006E"/>
    <w:rsid w:val="0025658D"/>
    <w:rsid w:val="00256900"/>
    <w:rsid w:val="00262F5B"/>
    <w:rsid w:val="00264F56"/>
    <w:rsid w:val="00265EBB"/>
    <w:rsid w:val="002677CD"/>
    <w:rsid w:val="002727DB"/>
    <w:rsid w:val="002747C8"/>
    <w:rsid w:val="00275544"/>
    <w:rsid w:val="00280B54"/>
    <w:rsid w:val="002816F4"/>
    <w:rsid w:val="0028458C"/>
    <w:rsid w:val="00290172"/>
    <w:rsid w:val="00290C00"/>
    <w:rsid w:val="00293FC1"/>
    <w:rsid w:val="002A1361"/>
    <w:rsid w:val="002A26CB"/>
    <w:rsid w:val="002A6025"/>
    <w:rsid w:val="002A7DDF"/>
    <w:rsid w:val="002B16FA"/>
    <w:rsid w:val="002B6816"/>
    <w:rsid w:val="002B6C14"/>
    <w:rsid w:val="002C51D2"/>
    <w:rsid w:val="002D0780"/>
    <w:rsid w:val="002D3521"/>
    <w:rsid w:val="002E2BAB"/>
    <w:rsid w:val="002E423E"/>
    <w:rsid w:val="002E4A88"/>
    <w:rsid w:val="002E5B5D"/>
    <w:rsid w:val="002F1E91"/>
    <w:rsid w:val="002F25B5"/>
    <w:rsid w:val="00301CCA"/>
    <w:rsid w:val="00304735"/>
    <w:rsid w:val="00305B9B"/>
    <w:rsid w:val="00307519"/>
    <w:rsid w:val="00316B13"/>
    <w:rsid w:val="0032156C"/>
    <w:rsid w:val="00326B58"/>
    <w:rsid w:val="0033525C"/>
    <w:rsid w:val="0033688D"/>
    <w:rsid w:val="0033740A"/>
    <w:rsid w:val="00342F69"/>
    <w:rsid w:val="00343A8E"/>
    <w:rsid w:val="00346C5C"/>
    <w:rsid w:val="00347E0B"/>
    <w:rsid w:val="00352E96"/>
    <w:rsid w:val="003541C5"/>
    <w:rsid w:val="00356267"/>
    <w:rsid w:val="003605DC"/>
    <w:rsid w:val="00360610"/>
    <w:rsid w:val="0036073A"/>
    <w:rsid w:val="0037568E"/>
    <w:rsid w:val="00376BBC"/>
    <w:rsid w:val="00377597"/>
    <w:rsid w:val="003856F3"/>
    <w:rsid w:val="00386799"/>
    <w:rsid w:val="00390DD6"/>
    <w:rsid w:val="003A0757"/>
    <w:rsid w:val="003A270B"/>
    <w:rsid w:val="003A4318"/>
    <w:rsid w:val="003A6011"/>
    <w:rsid w:val="003B1CDE"/>
    <w:rsid w:val="003B2EDE"/>
    <w:rsid w:val="003B3FCF"/>
    <w:rsid w:val="003C0F4A"/>
    <w:rsid w:val="003D0B37"/>
    <w:rsid w:val="003D2817"/>
    <w:rsid w:val="003D4020"/>
    <w:rsid w:val="003D7307"/>
    <w:rsid w:val="003E19C6"/>
    <w:rsid w:val="003E3448"/>
    <w:rsid w:val="003E61C0"/>
    <w:rsid w:val="003E7358"/>
    <w:rsid w:val="003E7D91"/>
    <w:rsid w:val="003F2A58"/>
    <w:rsid w:val="003F4234"/>
    <w:rsid w:val="003F60B4"/>
    <w:rsid w:val="004023D3"/>
    <w:rsid w:val="004107D4"/>
    <w:rsid w:val="00415E55"/>
    <w:rsid w:val="00424A1C"/>
    <w:rsid w:val="00426ED2"/>
    <w:rsid w:val="00430C42"/>
    <w:rsid w:val="00432846"/>
    <w:rsid w:val="00434B43"/>
    <w:rsid w:val="00437589"/>
    <w:rsid w:val="004431F7"/>
    <w:rsid w:val="00444206"/>
    <w:rsid w:val="00445E96"/>
    <w:rsid w:val="00445F6D"/>
    <w:rsid w:val="004476FE"/>
    <w:rsid w:val="00457B6C"/>
    <w:rsid w:val="0046003E"/>
    <w:rsid w:val="00471F46"/>
    <w:rsid w:val="00472D83"/>
    <w:rsid w:val="004740C0"/>
    <w:rsid w:val="0047751D"/>
    <w:rsid w:val="00482137"/>
    <w:rsid w:val="0049160B"/>
    <w:rsid w:val="00495C73"/>
    <w:rsid w:val="004965A1"/>
    <w:rsid w:val="004A74B5"/>
    <w:rsid w:val="004B65B7"/>
    <w:rsid w:val="004C2C58"/>
    <w:rsid w:val="004C60FE"/>
    <w:rsid w:val="004D17BE"/>
    <w:rsid w:val="004D215C"/>
    <w:rsid w:val="004D419F"/>
    <w:rsid w:val="004E33CB"/>
    <w:rsid w:val="004E38CE"/>
    <w:rsid w:val="004E76B2"/>
    <w:rsid w:val="004E7CE5"/>
    <w:rsid w:val="004F2485"/>
    <w:rsid w:val="004F47E1"/>
    <w:rsid w:val="004F524B"/>
    <w:rsid w:val="004F6D10"/>
    <w:rsid w:val="0050312A"/>
    <w:rsid w:val="00506D02"/>
    <w:rsid w:val="005115D1"/>
    <w:rsid w:val="00514810"/>
    <w:rsid w:val="00523289"/>
    <w:rsid w:val="005325DB"/>
    <w:rsid w:val="005328D7"/>
    <w:rsid w:val="00533B51"/>
    <w:rsid w:val="00535506"/>
    <w:rsid w:val="0053644F"/>
    <w:rsid w:val="00536CFE"/>
    <w:rsid w:val="005470DD"/>
    <w:rsid w:val="005502AA"/>
    <w:rsid w:val="00550EBC"/>
    <w:rsid w:val="0056684A"/>
    <w:rsid w:val="00567FC0"/>
    <w:rsid w:val="005725D8"/>
    <w:rsid w:val="00582C94"/>
    <w:rsid w:val="00583C07"/>
    <w:rsid w:val="00583EC9"/>
    <w:rsid w:val="005860E0"/>
    <w:rsid w:val="00595BB8"/>
    <w:rsid w:val="005B2FCF"/>
    <w:rsid w:val="005B39F0"/>
    <w:rsid w:val="005B76C1"/>
    <w:rsid w:val="005C0EFE"/>
    <w:rsid w:val="005C32B5"/>
    <w:rsid w:val="005D02E2"/>
    <w:rsid w:val="005D5FAD"/>
    <w:rsid w:val="005D6B34"/>
    <w:rsid w:val="005E10F5"/>
    <w:rsid w:val="005E17C8"/>
    <w:rsid w:val="005E35B0"/>
    <w:rsid w:val="005E4B7D"/>
    <w:rsid w:val="005E4B80"/>
    <w:rsid w:val="005E561B"/>
    <w:rsid w:val="005E69FE"/>
    <w:rsid w:val="005F0BE5"/>
    <w:rsid w:val="005F2D6D"/>
    <w:rsid w:val="005F3FED"/>
    <w:rsid w:val="005F4D15"/>
    <w:rsid w:val="005F5093"/>
    <w:rsid w:val="005F516B"/>
    <w:rsid w:val="0060115D"/>
    <w:rsid w:val="0060310E"/>
    <w:rsid w:val="00605A89"/>
    <w:rsid w:val="006067C5"/>
    <w:rsid w:val="006075C1"/>
    <w:rsid w:val="00615700"/>
    <w:rsid w:val="0062454A"/>
    <w:rsid w:val="00625B99"/>
    <w:rsid w:val="00632900"/>
    <w:rsid w:val="006335F3"/>
    <w:rsid w:val="00640979"/>
    <w:rsid w:val="00641ECD"/>
    <w:rsid w:val="0065116A"/>
    <w:rsid w:val="006534B1"/>
    <w:rsid w:val="00655903"/>
    <w:rsid w:val="00656926"/>
    <w:rsid w:val="00661BCD"/>
    <w:rsid w:val="00666DCB"/>
    <w:rsid w:val="00667AE8"/>
    <w:rsid w:val="00672F64"/>
    <w:rsid w:val="006731A0"/>
    <w:rsid w:val="00683EAF"/>
    <w:rsid w:val="006869A1"/>
    <w:rsid w:val="00690317"/>
    <w:rsid w:val="00692415"/>
    <w:rsid w:val="006A01FC"/>
    <w:rsid w:val="006A5C6A"/>
    <w:rsid w:val="006B33BE"/>
    <w:rsid w:val="006C6A73"/>
    <w:rsid w:val="006D08ED"/>
    <w:rsid w:val="006D4CC0"/>
    <w:rsid w:val="006E2F99"/>
    <w:rsid w:val="006F15D8"/>
    <w:rsid w:val="006F78CA"/>
    <w:rsid w:val="00700419"/>
    <w:rsid w:val="00700D57"/>
    <w:rsid w:val="0070780E"/>
    <w:rsid w:val="00707D72"/>
    <w:rsid w:val="00711BBE"/>
    <w:rsid w:val="007165C0"/>
    <w:rsid w:val="00722788"/>
    <w:rsid w:val="00724A84"/>
    <w:rsid w:val="00730F9E"/>
    <w:rsid w:val="00737E89"/>
    <w:rsid w:val="00742338"/>
    <w:rsid w:val="007508E5"/>
    <w:rsid w:val="007573DC"/>
    <w:rsid w:val="007607D7"/>
    <w:rsid w:val="0076389F"/>
    <w:rsid w:val="00771CC3"/>
    <w:rsid w:val="00781208"/>
    <w:rsid w:val="007819D9"/>
    <w:rsid w:val="007823AC"/>
    <w:rsid w:val="00783E0C"/>
    <w:rsid w:val="00786CB6"/>
    <w:rsid w:val="007911BF"/>
    <w:rsid w:val="00791F4C"/>
    <w:rsid w:val="00792F1F"/>
    <w:rsid w:val="007953B2"/>
    <w:rsid w:val="007A01EE"/>
    <w:rsid w:val="007A3955"/>
    <w:rsid w:val="007D00BD"/>
    <w:rsid w:val="007D1D96"/>
    <w:rsid w:val="007D5C9B"/>
    <w:rsid w:val="007D6F83"/>
    <w:rsid w:val="007E0967"/>
    <w:rsid w:val="007E2E80"/>
    <w:rsid w:val="007E3A29"/>
    <w:rsid w:val="007E4E4C"/>
    <w:rsid w:val="007E58AF"/>
    <w:rsid w:val="007E7A08"/>
    <w:rsid w:val="007E7E61"/>
    <w:rsid w:val="007F1896"/>
    <w:rsid w:val="008015CA"/>
    <w:rsid w:val="00801B12"/>
    <w:rsid w:val="00802D4C"/>
    <w:rsid w:val="008042C6"/>
    <w:rsid w:val="00807CA1"/>
    <w:rsid w:val="0081118A"/>
    <w:rsid w:val="00812E6D"/>
    <w:rsid w:val="008202D9"/>
    <w:rsid w:val="00820AD7"/>
    <w:rsid w:val="00822C54"/>
    <w:rsid w:val="008234E7"/>
    <w:rsid w:val="008255B7"/>
    <w:rsid w:val="0082655D"/>
    <w:rsid w:val="00831846"/>
    <w:rsid w:val="00831D1B"/>
    <w:rsid w:val="00833A0C"/>
    <w:rsid w:val="00834AEB"/>
    <w:rsid w:val="008364BE"/>
    <w:rsid w:val="00836AD9"/>
    <w:rsid w:val="008371F8"/>
    <w:rsid w:val="00840F0D"/>
    <w:rsid w:val="008431D2"/>
    <w:rsid w:val="00843ECC"/>
    <w:rsid w:val="00853FC5"/>
    <w:rsid w:val="0085485B"/>
    <w:rsid w:val="008637B8"/>
    <w:rsid w:val="00863C4B"/>
    <w:rsid w:val="0086653C"/>
    <w:rsid w:val="008679AF"/>
    <w:rsid w:val="00875F00"/>
    <w:rsid w:val="00877A60"/>
    <w:rsid w:val="0089024E"/>
    <w:rsid w:val="00892D2A"/>
    <w:rsid w:val="00893420"/>
    <w:rsid w:val="008A521E"/>
    <w:rsid w:val="008A6988"/>
    <w:rsid w:val="008A7379"/>
    <w:rsid w:val="008B5573"/>
    <w:rsid w:val="008C1506"/>
    <w:rsid w:val="008C3AE0"/>
    <w:rsid w:val="008C7610"/>
    <w:rsid w:val="008E1745"/>
    <w:rsid w:val="008E2EA2"/>
    <w:rsid w:val="008E46B5"/>
    <w:rsid w:val="008E5750"/>
    <w:rsid w:val="008E7A3A"/>
    <w:rsid w:val="008F1EA3"/>
    <w:rsid w:val="008F55C1"/>
    <w:rsid w:val="008F5977"/>
    <w:rsid w:val="008F62FB"/>
    <w:rsid w:val="009040AD"/>
    <w:rsid w:val="009212EE"/>
    <w:rsid w:val="00921C5B"/>
    <w:rsid w:val="009320AC"/>
    <w:rsid w:val="009340E3"/>
    <w:rsid w:val="00934F29"/>
    <w:rsid w:val="009352B2"/>
    <w:rsid w:val="009450DE"/>
    <w:rsid w:val="00957657"/>
    <w:rsid w:val="009667C9"/>
    <w:rsid w:val="0097098B"/>
    <w:rsid w:val="00971BAC"/>
    <w:rsid w:val="00973FA3"/>
    <w:rsid w:val="009904F6"/>
    <w:rsid w:val="009A0CCB"/>
    <w:rsid w:val="009A3C74"/>
    <w:rsid w:val="009A7196"/>
    <w:rsid w:val="009B4B1D"/>
    <w:rsid w:val="009C77AE"/>
    <w:rsid w:val="009C78C5"/>
    <w:rsid w:val="009D25AA"/>
    <w:rsid w:val="009D2953"/>
    <w:rsid w:val="009D2AF6"/>
    <w:rsid w:val="009D3428"/>
    <w:rsid w:val="009D3F77"/>
    <w:rsid w:val="009D7CF1"/>
    <w:rsid w:val="009F11B4"/>
    <w:rsid w:val="009F4335"/>
    <w:rsid w:val="009F7A7E"/>
    <w:rsid w:val="00A01BE6"/>
    <w:rsid w:val="00A04ED1"/>
    <w:rsid w:val="00A14EBF"/>
    <w:rsid w:val="00A1601F"/>
    <w:rsid w:val="00A20902"/>
    <w:rsid w:val="00A20C5A"/>
    <w:rsid w:val="00A267A1"/>
    <w:rsid w:val="00A31CE4"/>
    <w:rsid w:val="00A3376C"/>
    <w:rsid w:val="00A405F9"/>
    <w:rsid w:val="00A43ED4"/>
    <w:rsid w:val="00A51233"/>
    <w:rsid w:val="00A55A07"/>
    <w:rsid w:val="00A57A62"/>
    <w:rsid w:val="00A613AB"/>
    <w:rsid w:val="00A6246A"/>
    <w:rsid w:val="00A6435C"/>
    <w:rsid w:val="00A648E6"/>
    <w:rsid w:val="00A65EC3"/>
    <w:rsid w:val="00A675C4"/>
    <w:rsid w:val="00A74252"/>
    <w:rsid w:val="00A871DB"/>
    <w:rsid w:val="00A9105B"/>
    <w:rsid w:val="00A92396"/>
    <w:rsid w:val="00A9262F"/>
    <w:rsid w:val="00A93E3D"/>
    <w:rsid w:val="00A94281"/>
    <w:rsid w:val="00A94B2A"/>
    <w:rsid w:val="00AA42FE"/>
    <w:rsid w:val="00AA676E"/>
    <w:rsid w:val="00AA6A2C"/>
    <w:rsid w:val="00AB2DF7"/>
    <w:rsid w:val="00AC29CE"/>
    <w:rsid w:val="00AC35D4"/>
    <w:rsid w:val="00AC431D"/>
    <w:rsid w:val="00AD0223"/>
    <w:rsid w:val="00AD28F7"/>
    <w:rsid w:val="00AD2A65"/>
    <w:rsid w:val="00AD5BC6"/>
    <w:rsid w:val="00AD7C8F"/>
    <w:rsid w:val="00AE2632"/>
    <w:rsid w:val="00AF108B"/>
    <w:rsid w:val="00AF28B3"/>
    <w:rsid w:val="00AF67ED"/>
    <w:rsid w:val="00B027F6"/>
    <w:rsid w:val="00B0334E"/>
    <w:rsid w:val="00B049AA"/>
    <w:rsid w:val="00B049E3"/>
    <w:rsid w:val="00B059BD"/>
    <w:rsid w:val="00B05F29"/>
    <w:rsid w:val="00B1498D"/>
    <w:rsid w:val="00B151FF"/>
    <w:rsid w:val="00B22EF1"/>
    <w:rsid w:val="00B2478B"/>
    <w:rsid w:val="00B311B5"/>
    <w:rsid w:val="00B325EB"/>
    <w:rsid w:val="00B3407D"/>
    <w:rsid w:val="00B36A5F"/>
    <w:rsid w:val="00B37A3E"/>
    <w:rsid w:val="00B37A66"/>
    <w:rsid w:val="00B4765F"/>
    <w:rsid w:val="00B50A2B"/>
    <w:rsid w:val="00B617E2"/>
    <w:rsid w:val="00B66A1B"/>
    <w:rsid w:val="00B7035B"/>
    <w:rsid w:val="00B757B0"/>
    <w:rsid w:val="00B8107F"/>
    <w:rsid w:val="00B82D52"/>
    <w:rsid w:val="00B86772"/>
    <w:rsid w:val="00BA1285"/>
    <w:rsid w:val="00BA230C"/>
    <w:rsid w:val="00BA71B0"/>
    <w:rsid w:val="00BB2433"/>
    <w:rsid w:val="00BB2565"/>
    <w:rsid w:val="00BB5390"/>
    <w:rsid w:val="00BB7CC9"/>
    <w:rsid w:val="00BD01B4"/>
    <w:rsid w:val="00BD51F1"/>
    <w:rsid w:val="00BD63BE"/>
    <w:rsid w:val="00BE0908"/>
    <w:rsid w:val="00BE1A31"/>
    <w:rsid w:val="00BE26CA"/>
    <w:rsid w:val="00BE3E15"/>
    <w:rsid w:val="00BE5D04"/>
    <w:rsid w:val="00BE6D1A"/>
    <w:rsid w:val="00BF1166"/>
    <w:rsid w:val="00C00141"/>
    <w:rsid w:val="00C03CFF"/>
    <w:rsid w:val="00C0429D"/>
    <w:rsid w:val="00C0468C"/>
    <w:rsid w:val="00C04B90"/>
    <w:rsid w:val="00C05801"/>
    <w:rsid w:val="00C11A9B"/>
    <w:rsid w:val="00C13F3A"/>
    <w:rsid w:val="00C20569"/>
    <w:rsid w:val="00C21A0E"/>
    <w:rsid w:val="00C24D00"/>
    <w:rsid w:val="00C2533C"/>
    <w:rsid w:val="00C36741"/>
    <w:rsid w:val="00C44366"/>
    <w:rsid w:val="00C45917"/>
    <w:rsid w:val="00C4686F"/>
    <w:rsid w:val="00C51996"/>
    <w:rsid w:val="00C52E7B"/>
    <w:rsid w:val="00C5447C"/>
    <w:rsid w:val="00C63BC2"/>
    <w:rsid w:val="00C660AB"/>
    <w:rsid w:val="00C709D9"/>
    <w:rsid w:val="00C72194"/>
    <w:rsid w:val="00C76338"/>
    <w:rsid w:val="00C77DAD"/>
    <w:rsid w:val="00C9013C"/>
    <w:rsid w:val="00C907A7"/>
    <w:rsid w:val="00C91277"/>
    <w:rsid w:val="00C92407"/>
    <w:rsid w:val="00C95089"/>
    <w:rsid w:val="00C964CF"/>
    <w:rsid w:val="00CA1C67"/>
    <w:rsid w:val="00CA2275"/>
    <w:rsid w:val="00CA41EF"/>
    <w:rsid w:val="00CA70CA"/>
    <w:rsid w:val="00CB63D2"/>
    <w:rsid w:val="00CB78C3"/>
    <w:rsid w:val="00CC4812"/>
    <w:rsid w:val="00CC72DD"/>
    <w:rsid w:val="00CD2E60"/>
    <w:rsid w:val="00CD4511"/>
    <w:rsid w:val="00CD70E4"/>
    <w:rsid w:val="00CD72EB"/>
    <w:rsid w:val="00CE14FF"/>
    <w:rsid w:val="00CE296F"/>
    <w:rsid w:val="00CE4318"/>
    <w:rsid w:val="00CE5B17"/>
    <w:rsid w:val="00CE6575"/>
    <w:rsid w:val="00CF39AB"/>
    <w:rsid w:val="00CF7A06"/>
    <w:rsid w:val="00D01F4F"/>
    <w:rsid w:val="00D05014"/>
    <w:rsid w:val="00D17A7F"/>
    <w:rsid w:val="00D3074D"/>
    <w:rsid w:val="00D4197E"/>
    <w:rsid w:val="00D41AE3"/>
    <w:rsid w:val="00D42BAC"/>
    <w:rsid w:val="00D46EF3"/>
    <w:rsid w:val="00D478D5"/>
    <w:rsid w:val="00D51DF4"/>
    <w:rsid w:val="00D60CE9"/>
    <w:rsid w:val="00D63D67"/>
    <w:rsid w:val="00D67C82"/>
    <w:rsid w:val="00D72DBF"/>
    <w:rsid w:val="00D77EC3"/>
    <w:rsid w:val="00D83E20"/>
    <w:rsid w:val="00D84960"/>
    <w:rsid w:val="00D867BC"/>
    <w:rsid w:val="00D932FB"/>
    <w:rsid w:val="00D93664"/>
    <w:rsid w:val="00DA7132"/>
    <w:rsid w:val="00DB2F78"/>
    <w:rsid w:val="00DB3477"/>
    <w:rsid w:val="00DC0560"/>
    <w:rsid w:val="00DC0E02"/>
    <w:rsid w:val="00DC1210"/>
    <w:rsid w:val="00DD1E9C"/>
    <w:rsid w:val="00DD1FCA"/>
    <w:rsid w:val="00DE27DD"/>
    <w:rsid w:val="00DE3E2E"/>
    <w:rsid w:val="00DE4075"/>
    <w:rsid w:val="00DE5294"/>
    <w:rsid w:val="00DF1C49"/>
    <w:rsid w:val="00DF2469"/>
    <w:rsid w:val="00DF4426"/>
    <w:rsid w:val="00DF7792"/>
    <w:rsid w:val="00DF7E21"/>
    <w:rsid w:val="00E01644"/>
    <w:rsid w:val="00E02791"/>
    <w:rsid w:val="00E069DA"/>
    <w:rsid w:val="00E121F1"/>
    <w:rsid w:val="00E14895"/>
    <w:rsid w:val="00E17A40"/>
    <w:rsid w:val="00E259B0"/>
    <w:rsid w:val="00E30BCB"/>
    <w:rsid w:val="00E32B3D"/>
    <w:rsid w:val="00E35F0D"/>
    <w:rsid w:val="00E42879"/>
    <w:rsid w:val="00E44CD3"/>
    <w:rsid w:val="00E5014D"/>
    <w:rsid w:val="00E5674E"/>
    <w:rsid w:val="00E62835"/>
    <w:rsid w:val="00E6723F"/>
    <w:rsid w:val="00E705ED"/>
    <w:rsid w:val="00E71498"/>
    <w:rsid w:val="00E75145"/>
    <w:rsid w:val="00E75193"/>
    <w:rsid w:val="00E75871"/>
    <w:rsid w:val="00E77200"/>
    <w:rsid w:val="00E83000"/>
    <w:rsid w:val="00E8429F"/>
    <w:rsid w:val="00E91E78"/>
    <w:rsid w:val="00E92335"/>
    <w:rsid w:val="00EA074F"/>
    <w:rsid w:val="00EB16E5"/>
    <w:rsid w:val="00EB4407"/>
    <w:rsid w:val="00EC03A9"/>
    <w:rsid w:val="00ED2DEB"/>
    <w:rsid w:val="00ED5E97"/>
    <w:rsid w:val="00ED67C8"/>
    <w:rsid w:val="00ED68A7"/>
    <w:rsid w:val="00EE08FB"/>
    <w:rsid w:val="00EE0C84"/>
    <w:rsid w:val="00EE66EB"/>
    <w:rsid w:val="00EF0766"/>
    <w:rsid w:val="00EF1B40"/>
    <w:rsid w:val="00EF4B46"/>
    <w:rsid w:val="00EF5029"/>
    <w:rsid w:val="00F015DE"/>
    <w:rsid w:val="00F11352"/>
    <w:rsid w:val="00F11B17"/>
    <w:rsid w:val="00F13BFC"/>
    <w:rsid w:val="00F2118E"/>
    <w:rsid w:val="00F22CE3"/>
    <w:rsid w:val="00F2595B"/>
    <w:rsid w:val="00F26290"/>
    <w:rsid w:val="00F26A3E"/>
    <w:rsid w:val="00F30AB1"/>
    <w:rsid w:val="00F32484"/>
    <w:rsid w:val="00F33250"/>
    <w:rsid w:val="00F43694"/>
    <w:rsid w:val="00F47754"/>
    <w:rsid w:val="00F520CC"/>
    <w:rsid w:val="00F5327C"/>
    <w:rsid w:val="00F560FD"/>
    <w:rsid w:val="00F62291"/>
    <w:rsid w:val="00F65564"/>
    <w:rsid w:val="00F7265F"/>
    <w:rsid w:val="00F80474"/>
    <w:rsid w:val="00F816DD"/>
    <w:rsid w:val="00F875B7"/>
    <w:rsid w:val="00F94755"/>
    <w:rsid w:val="00F94BFA"/>
    <w:rsid w:val="00F95C3F"/>
    <w:rsid w:val="00FA0A6B"/>
    <w:rsid w:val="00FA4081"/>
    <w:rsid w:val="00FA4A0A"/>
    <w:rsid w:val="00FB1B90"/>
    <w:rsid w:val="00FB3488"/>
    <w:rsid w:val="00FB3A77"/>
    <w:rsid w:val="00FB6DD3"/>
    <w:rsid w:val="00FB78F0"/>
    <w:rsid w:val="00FC29D7"/>
    <w:rsid w:val="00FC3F10"/>
    <w:rsid w:val="00FC7C1D"/>
    <w:rsid w:val="00FD2EC4"/>
    <w:rsid w:val="00FD36F9"/>
    <w:rsid w:val="00FD699E"/>
    <w:rsid w:val="00FE58E3"/>
    <w:rsid w:val="00FE6F07"/>
    <w:rsid w:val="00FF1ADA"/>
    <w:rsid w:val="00FF7D30"/>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18BD0"/>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Portadas y Preliminares"/>
    <w:uiPriority w:val="1"/>
    <w:qFormat/>
    <w:rsid w:val="00E705ED"/>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Revisin">
    <w:name w:val="Revision"/>
    <w:hidden/>
    <w:uiPriority w:val="99"/>
    <w:semiHidden/>
    <w:rsid w:val="008A6988"/>
    <w:pPr>
      <w:spacing w:after="0" w:line="240" w:lineRule="auto"/>
    </w:pPr>
    <w:rPr>
      <w:lang w:val="en-US"/>
    </w:rPr>
  </w:style>
  <w:style w:type="paragraph" w:styleId="Bibliografa">
    <w:name w:val="Bibliography"/>
    <w:basedOn w:val="Normal"/>
    <w:next w:val="Normal"/>
    <w:uiPriority w:val="37"/>
    <w:unhideWhenUsed/>
    <w:rsid w:val="00A267A1"/>
  </w:style>
  <w:style w:type="character" w:customStyle="1" w:styleId="Mencinsinresolver1">
    <w:name w:val="Mención sin resolver1"/>
    <w:basedOn w:val="Fuentedeprrafopredeter"/>
    <w:uiPriority w:val="99"/>
    <w:semiHidden/>
    <w:unhideWhenUsed/>
    <w:rsid w:val="00CE296F"/>
    <w:rPr>
      <w:color w:val="605E5C"/>
      <w:shd w:val="clear" w:color="auto" w:fill="E1DFDD"/>
    </w:rPr>
  </w:style>
  <w:style w:type="paragraph" w:styleId="NormalWeb">
    <w:name w:val="Normal (Web)"/>
    <w:basedOn w:val="Normal"/>
    <w:uiPriority w:val="99"/>
    <w:semiHidden/>
    <w:unhideWhenUsed/>
    <w:rsid w:val="002A1361"/>
    <w:rPr>
      <w:rFonts w:ascii="Times New Roman" w:hAnsi="Times New Roman" w:cs="Times New Roman"/>
      <w:sz w:val="24"/>
      <w:szCs w:val="24"/>
    </w:rPr>
  </w:style>
  <w:style w:type="character" w:styleId="Textodelmarcadordeposicin">
    <w:name w:val="Placeholder Text"/>
    <w:basedOn w:val="Fuentedeprrafopredeter"/>
    <w:uiPriority w:val="99"/>
    <w:semiHidden/>
    <w:rsid w:val="00CA1C67"/>
    <w:rPr>
      <w:color w:val="666666"/>
    </w:rPr>
  </w:style>
  <w:style w:type="paragraph" w:styleId="TDC5">
    <w:name w:val="toc 5"/>
    <w:basedOn w:val="Normal"/>
    <w:next w:val="Normal"/>
    <w:autoRedefine/>
    <w:uiPriority w:val="39"/>
    <w:unhideWhenUsed/>
    <w:rsid w:val="00125E75"/>
    <w:pPr>
      <w:widowControl/>
      <w:spacing w:after="100" w:line="259" w:lineRule="auto"/>
      <w:ind w:left="880"/>
    </w:pPr>
    <w:rPr>
      <w:rFonts w:eastAsiaTheme="minorEastAsia"/>
      <w:kern w:val="2"/>
      <w:lang w:eastAsia="es-HN"/>
      <w14:ligatures w14:val="standardContextual"/>
    </w:rPr>
  </w:style>
  <w:style w:type="paragraph" w:styleId="TDC6">
    <w:name w:val="toc 6"/>
    <w:basedOn w:val="Normal"/>
    <w:next w:val="Normal"/>
    <w:autoRedefine/>
    <w:uiPriority w:val="39"/>
    <w:unhideWhenUsed/>
    <w:rsid w:val="00125E75"/>
    <w:pPr>
      <w:widowControl/>
      <w:spacing w:after="100" w:line="259" w:lineRule="auto"/>
      <w:ind w:left="1100"/>
    </w:pPr>
    <w:rPr>
      <w:rFonts w:eastAsiaTheme="minorEastAsia"/>
      <w:kern w:val="2"/>
      <w:lang w:eastAsia="es-HN"/>
      <w14:ligatures w14:val="standardContextual"/>
    </w:rPr>
  </w:style>
  <w:style w:type="paragraph" w:styleId="TDC7">
    <w:name w:val="toc 7"/>
    <w:basedOn w:val="Normal"/>
    <w:next w:val="Normal"/>
    <w:autoRedefine/>
    <w:uiPriority w:val="39"/>
    <w:unhideWhenUsed/>
    <w:rsid w:val="00125E75"/>
    <w:pPr>
      <w:widowControl/>
      <w:spacing w:after="100" w:line="259" w:lineRule="auto"/>
      <w:ind w:left="1320"/>
    </w:pPr>
    <w:rPr>
      <w:rFonts w:eastAsiaTheme="minorEastAsia"/>
      <w:kern w:val="2"/>
      <w:lang w:eastAsia="es-HN"/>
      <w14:ligatures w14:val="standardContextual"/>
    </w:rPr>
  </w:style>
  <w:style w:type="paragraph" w:styleId="TDC8">
    <w:name w:val="toc 8"/>
    <w:basedOn w:val="Normal"/>
    <w:next w:val="Normal"/>
    <w:autoRedefine/>
    <w:uiPriority w:val="39"/>
    <w:unhideWhenUsed/>
    <w:rsid w:val="00125E75"/>
    <w:pPr>
      <w:widowControl/>
      <w:spacing w:after="100" w:line="259" w:lineRule="auto"/>
      <w:ind w:left="1540"/>
    </w:pPr>
    <w:rPr>
      <w:rFonts w:eastAsiaTheme="minorEastAsia"/>
      <w:kern w:val="2"/>
      <w:lang w:eastAsia="es-HN"/>
      <w14:ligatures w14:val="standardContextual"/>
    </w:rPr>
  </w:style>
  <w:style w:type="paragraph" w:styleId="TDC9">
    <w:name w:val="toc 9"/>
    <w:basedOn w:val="Normal"/>
    <w:next w:val="Normal"/>
    <w:autoRedefine/>
    <w:uiPriority w:val="39"/>
    <w:unhideWhenUsed/>
    <w:rsid w:val="00125E75"/>
    <w:pPr>
      <w:widowControl/>
      <w:spacing w:after="100" w:line="259" w:lineRule="auto"/>
      <w:ind w:left="1760"/>
    </w:pPr>
    <w:rPr>
      <w:rFonts w:eastAsiaTheme="minorEastAsia"/>
      <w:kern w:val="2"/>
      <w:lang w:eastAsia="es-HN"/>
      <w14:ligatures w14:val="standardContextual"/>
    </w:rPr>
  </w:style>
  <w:style w:type="character" w:customStyle="1" w:styleId="Mencinsinresolver2">
    <w:name w:val="Mención sin resolver2"/>
    <w:basedOn w:val="Fuentedeprrafopredeter"/>
    <w:uiPriority w:val="99"/>
    <w:semiHidden/>
    <w:unhideWhenUsed/>
    <w:rsid w:val="00125E75"/>
    <w:rPr>
      <w:color w:val="605E5C"/>
      <w:shd w:val="clear" w:color="auto" w:fill="E1DFDD"/>
    </w:rPr>
  </w:style>
  <w:style w:type="character" w:customStyle="1" w:styleId="Mencinsinresolver3">
    <w:name w:val="Mención sin resolver3"/>
    <w:basedOn w:val="Fuentedeprrafopredeter"/>
    <w:uiPriority w:val="99"/>
    <w:semiHidden/>
    <w:unhideWhenUsed/>
    <w:rsid w:val="00A648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758207">
      <w:bodyDiv w:val="1"/>
      <w:marLeft w:val="0"/>
      <w:marRight w:val="0"/>
      <w:marTop w:val="0"/>
      <w:marBottom w:val="0"/>
      <w:divBdr>
        <w:top w:val="none" w:sz="0" w:space="0" w:color="auto"/>
        <w:left w:val="none" w:sz="0" w:space="0" w:color="auto"/>
        <w:bottom w:val="none" w:sz="0" w:space="0" w:color="auto"/>
        <w:right w:val="none" w:sz="0" w:space="0" w:color="auto"/>
      </w:divBdr>
    </w:div>
    <w:div w:id="210382553">
      <w:bodyDiv w:val="1"/>
      <w:marLeft w:val="0"/>
      <w:marRight w:val="0"/>
      <w:marTop w:val="0"/>
      <w:marBottom w:val="0"/>
      <w:divBdr>
        <w:top w:val="none" w:sz="0" w:space="0" w:color="auto"/>
        <w:left w:val="none" w:sz="0" w:space="0" w:color="auto"/>
        <w:bottom w:val="none" w:sz="0" w:space="0" w:color="auto"/>
        <w:right w:val="none" w:sz="0" w:space="0" w:color="auto"/>
      </w:divBdr>
    </w:div>
    <w:div w:id="213662643">
      <w:bodyDiv w:val="1"/>
      <w:marLeft w:val="0"/>
      <w:marRight w:val="0"/>
      <w:marTop w:val="0"/>
      <w:marBottom w:val="0"/>
      <w:divBdr>
        <w:top w:val="none" w:sz="0" w:space="0" w:color="auto"/>
        <w:left w:val="none" w:sz="0" w:space="0" w:color="auto"/>
        <w:bottom w:val="none" w:sz="0" w:space="0" w:color="auto"/>
        <w:right w:val="none" w:sz="0" w:space="0" w:color="auto"/>
      </w:divBdr>
    </w:div>
    <w:div w:id="217397405">
      <w:bodyDiv w:val="1"/>
      <w:marLeft w:val="0"/>
      <w:marRight w:val="0"/>
      <w:marTop w:val="0"/>
      <w:marBottom w:val="0"/>
      <w:divBdr>
        <w:top w:val="none" w:sz="0" w:space="0" w:color="auto"/>
        <w:left w:val="none" w:sz="0" w:space="0" w:color="auto"/>
        <w:bottom w:val="none" w:sz="0" w:space="0" w:color="auto"/>
        <w:right w:val="none" w:sz="0" w:space="0" w:color="auto"/>
      </w:divBdr>
    </w:div>
    <w:div w:id="303236212">
      <w:bodyDiv w:val="1"/>
      <w:marLeft w:val="0"/>
      <w:marRight w:val="0"/>
      <w:marTop w:val="0"/>
      <w:marBottom w:val="0"/>
      <w:divBdr>
        <w:top w:val="none" w:sz="0" w:space="0" w:color="auto"/>
        <w:left w:val="none" w:sz="0" w:space="0" w:color="auto"/>
        <w:bottom w:val="none" w:sz="0" w:space="0" w:color="auto"/>
        <w:right w:val="none" w:sz="0" w:space="0" w:color="auto"/>
      </w:divBdr>
    </w:div>
    <w:div w:id="303585448">
      <w:bodyDiv w:val="1"/>
      <w:marLeft w:val="0"/>
      <w:marRight w:val="0"/>
      <w:marTop w:val="0"/>
      <w:marBottom w:val="0"/>
      <w:divBdr>
        <w:top w:val="none" w:sz="0" w:space="0" w:color="auto"/>
        <w:left w:val="none" w:sz="0" w:space="0" w:color="auto"/>
        <w:bottom w:val="none" w:sz="0" w:space="0" w:color="auto"/>
        <w:right w:val="none" w:sz="0" w:space="0" w:color="auto"/>
      </w:divBdr>
    </w:div>
    <w:div w:id="311373278">
      <w:bodyDiv w:val="1"/>
      <w:marLeft w:val="0"/>
      <w:marRight w:val="0"/>
      <w:marTop w:val="0"/>
      <w:marBottom w:val="0"/>
      <w:divBdr>
        <w:top w:val="none" w:sz="0" w:space="0" w:color="auto"/>
        <w:left w:val="none" w:sz="0" w:space="0" w:color="auto"/>
        <w:bottom w:val="none" w:sz="0" w:space="0" w:color="auto"/>
        <w:right w:val="none" w:sz="0" w:space="0" w:color="auto"/>
      </w:divBdr>
    </w:div>
    <w:div w:id="351149556">
      <w:bodyDiv w:val="1"/>
      <w:marLeft w:val="0"/>
      <w:marRight w:val="0"/>
      <w:marTop w:val="0"/>
      <w:marBottom w:val="0"/>
      <w:divBdr>
        <w:top w:val="none" w:sz="0" w:space="0" w:color="auto"/>
        <w:left w:val="none" w:sz="0" w:space="0" w:color="auto"/>
        <w:bottom w:val="none" w:sz="0" w:space="0" w:color="auto"/>
        <w:right w:val="none" w:sz="0" w:space="0" w:color="auto"/>
      </w:divBdr>
    </w:div>
    <w:div w:id="528102381">
      <w:bodyDiv w:val="1"/>
      <w:marLeft w:val="0"/>
      <w:marRight w:val="0"/>
      <w:marTop w:val="0"/>
      <w:marBottom w:val="0"/>
      <w:divBdr>
        <w:top w:val="none" w:sz="0" w:space="0" w:color="auto"/>
        <w:left w:val="none" w:sz="0" w:space="0" w:color="auto"/>
        <w:bottom w:val="none" w:sz="0" w:space="0" w:color="auto"/>
        <w:right w:val="none" w:sz="0" w:space="0" w:color="auto"/>
      </w:divBdr>
    </w:div>
    <w:div w:id="576793535">
      <w:bodyDiv w:val="1"/>
      <w:marLeft w:val="0"/>
      <w:marRight w:val="0"/>
      <w:marTop w:val="0"/>
      <w:marBottom w:val="0"/>
      <w:divBdr>
        <w:top w:val="none" w:sz="0" w:space="0" w:color="auto"/>
        <w:left w:val="none" w:sz="0" w:space="0" w:color="auto"/>
        <w:bottom w:val="none" w:sz="0" w:space="0" w:color="auto"/>
        <w:right w:val="none" w:sz="0" w:space="0" w:color="auto"/>
      </w:divBdr>
    </w:div>
    <w:div w:id="640310174">
      <w:bodyDiv w:val="1"/>
      <w:marLeft w:val="0"/>
      <w:marRight w:val="0"/>
      <w:marTop w:val="0"/>
      <w:marBottom w:val="0"/>
      <w:divBdr>
        <w:top w:val="none" w:sz="0" w:space="0" w:color="auto"/>
        <w:left w:val="none" w:sz="0" w:space="0" w:color="auto"/>
        <w:bottom w:val="none" w:sz="0" w:space="0" w:color="auto"/>
        <w:right w:val="none" w:sz="0" w:space="0" w:color="auto"/>
      </w:divBdr>
    </w:div>
    <w:div w:id="655769271">
      <w:bodyDiv w:val="1"/>
      <w:marLeft w:val="0"/>
      <w:marRight w:val="0"/>
      <w:marTop w:val="0"/>
      <w:marBottom w:val="0"/>
      <w:divBdr>
        <w:top w:val="none" w:sz="0" w:space="0" w:color="auto"/>
        <w:left w:val="none" w:sz="0" w:space="0" w:color="auto"/>
        <w:bottom w:val="none" w:sz="0" w:space="0" w:color="auto"/>
        <w:right w:val="none" w:sz="0" w:space="0" w:color="auto"/>
      </w:divBdr>
    </w:div>
    <w:div w:id="832378037">
      <w:bodyDiv w:val="1"/>
      <w:marLeft w:val="0"/>
      <w:marRight w:val="0"/>
      <w:marTop w:val="0"/>
      <w:marBottom w:val="0"/>
      <w:divBdr>
        <w:top w:val="none" w:sz="0" w:space="0" w:color="auto"/>
        <w:left w:val="none" w:sz="0" w:space="0" w:color="auto"/>
        <w:bottom w:val="none" w:sz="0" w:space="0" w:color="auto"/>
        <w:right w:val="none" w:sz="0" w:space="0" w:color="auto"/>
      </w:divBdr>
    </w:div>
    <w:div w:id="862481227">
      <w:bodyDiv w:val="1"/>
      <w:marLeft w:val="0"/>
      <w:marRight w:val="0"/>
      <w:marTop w:val="0"/>
      <w:marBottom w:val="0"/>
      <w:divBdr>
        <w:top w:val="none" w:sz="0" w:space="0" w:color="auto"/>
        <w:left w:val="none" w:sz="0" w:space="0" w:color="auto"/>
        <w:bottom w:val="none" w:sz="0" w:space="0" w:color="auto"/>
        <w:right w:val="none" w:sz="0" w:space="0" w:color="auto"/>
      </w:divBdr>
    </w:div>
    <w:div w:id="1001616645">
      <w:bodyDiv w:val="1"/>
      <w:marLeft w:val="0"/>
      <w:marRight w:val="0"/>
      <w:marTop w:val="0"/>
      <w:marBottom w:val="0"/>
      <w:divBdr>
        <w:top w:val="none" w:sz="0" w:space="0" w:color="auto"/>
        <w:left w:val="none" w:sz="0" w:space="0" w:color="auto"/>
        <w:bottom w:val="none" w:sz="0" w:space="0" w:color="auto"/>
        <w:right w:val="none" w:sz="0" w:space="0" w:color="auto"/>
      </w:divBdr>
    </w:div>
    <w:div w:id="1056195865">
      <w:bodyDiv w:val="1"/>
      <w:marLeft w:val="0"/>
      <w:marRight w:val="0"/>
      <w:marTop w:val="0"/>
      <w:marBottom w:val="0"/>
      <w:divBdr>
        <w:top w:val="none" w:sz="0" w:space="0" w:color="auto"/>
        <w:left w:val="none" w:sz="0" w:space="0" w:color="auto"/>
        <w:bottom w:val="none" w:sz="0" w:space="0" w:color="auto"/>
        <w:right w:val="none" w:sz="0" w:space="0" w:color="auto"/>
      </w:divBdr>
    </w:div>
    <w:div w:id="1058629219">
      <w:bodyDiv w:val="1"/>
      <w:marLeft w:val="0"/>
      <w:marRight w:val="0"/>
      <w:marTop w:val="0"/>
      <w:marBottom w:val="0"/>
      <w:divBdr>
        <w:top w:val="none" w:sz="0" w:space="0" w:color="auto"/>
        <w:left w:val="none" w:sz="0" w:space="0" w:color="auto"/>
        <w:bottom w:val="none" w:sz="0" w:space="0" w:color="auto"/>
        <w:right w:val="none" w:sz="0" w:space="0" w:color="auto"/>
      </w:divBdr>
    </w:div>
    <w:div w:id="1062287909">
      <w:bodyDiv w:val="1"/>
      <w:marLeft w:val="0"/>
      <w:marRight w:val="0"/>
      <w:marTop w:val="0"/>
      <w:marBottom w:val="0"/>
      <w:divBdr>
        <w:top w:val="none" w:sz="0" w:space="0" w:color="auto"/>
        <w:left w:val="none" w:sz="0" w:space="0" w:color="auto"/>
        <w:bottom w:val="none" w:sz="0" w:space="0" w:color="auto"/>
        <w:right w:val="none" w:sz="0" w:space="0" w:color="auto"/>
      </w:divBdr>
    </w:div>
    <w:div w:id="1065685932">
      <w:bodyDiv w:val="1"/>
      <w:marLeft w:val="0"/>
      <w:marRight w:val="0"/>
      <w:marTop w:val="0"/>
      <w:marBottom w:val="0"/>
      <w:divBdr>
        <w:top w:val="none" w:sz="0" w:space="0" w:color="auto"/>
        <w:left w:val="none" w:sz="0" w:space="0" w:color="auto"/>
        <w:bottom w:val="none" w:sz="0" w:space="0" w:color="auto"/>
        <w:right w:val="none" w:sz="0" w:space="0" w:color="auto"/>
      </w:divBdr>
    </w:div>
    <w:div w:id="1108432027">
      <w:bodyDiv w:val="1"/>
      <w:marLeft w:val="0"/>
      <w:marRight w:val="0"/>
      <w:marTop w:val="0"/>
      <w:marBottom w:val="0"/>
      <w:divBdr>
        <w:top w:val="none" w:sz="0" w:space="0" w:color="auto"/>
        <w:left w:val="none" w:sz="0" w:space="0" w:color="auto"/>
        <w:bottom w:val="none" w:sz="0" w:space="0" w:color="auto"/>
        <w:right w:val="none" w:sz="0" w:space="0" w:color="auto"/>
      </w:divBdr>
    </w:div>
    <w:div w:id="1136872022">
      <w:bodyDiv w:val="1"/>
      <w:marLeft w:val="0"/>
      <w:marRight w:val="0"/>
      <w:marTop w:val="0"/>
      <w:marBottom w:val="0"/>
      <w:divBdr>
        <w:top w:val="none" w:sz="0" w:space="0" w:color="auto"/>
        <w:left w:val="none" w:sz="0" w:space="0" w:color="auto"/>
        <w:bottom w:val="none" w:sz="0" w:space="0" w:color="auto"/>
        <w:right w:val="none" w:sz="0" w:space="0" w:color="auto"/>
      </w:divBdr>
    </w:div>
    <w:div w:id="1146700497">
      <w:bodyDiv w:val="1"/>
      <w:marLeft w:val="0"/>
      <w:marRight w:val="0"/>
      <w:marTop w:val="0"/>
      <w:marBottom w:val="0"/>
      <w:divBdr>
        <w:top w:val="none" w:sz="0" w:space="0" w:color="auto"/>
        <w:left w:val="none" w:sz="0" w:space="0" w:color="auto"/>
        <w:bottom w:val="none" w:sz="0" w:space="0" w:color="auto"/>
        <w:right w:val="none" w:sz="0" w:space="0" w:color="auto"/>
      </w:divBdr>
    </w:div>
    <w:div w:id="1164249145">
      <w:bodyDiv w:val="1"/>
      <w:marLeft w:val="0"/>
      <w:marRight w:val="0"/>
      <w:marTop w:val="0"/>
      <w:marBottom w:val="0"/>
      <w:divBdr>
        <w:top w:val="none" w:sz="0" w:space="0" w:color="auto"/>
        <w:left w:val="none" w:sz="0" w:space="0" w:color="auto"/>
        <w:bottom w:val="none" w:sz="0" w:space="0" w:color="auto"/>
        <w:right w:val="none" w:sz="0" w:space="0" w:color="auto"/>
      </w:divBdr>
    </w:div>
    <w:div w:id="1220172905">
      <w:bodyDiv w:val="1"/>
      <w:marLeft w:val="0"/>
      <w:marRight w:val="0"/>
      <w:marTop w:val="0"/>
      <w:marBottom w:val="0"/>
      <w:divBdr>
        <w:top w:val="none" w:sz="0" w:space="0" w:color="auto"/>
        <w:left w:val="none" w:sz="0" w:space="0" w:color="auto"/>
        <w:bottom w:val="none" w:sz="0" w:space="0" w:color="auto"/>
        <w:right w:val="none" w:sz="0" w:space="0" w:color="auto"/>
      </w:divBdr>
    </w:div>
    <w:div w:id="1397389912">
      <w:bodyDiv w:val="1"/>
      <w:marLeft w:val="0"/>
      <w:marRight w:val="0"/>
      <w:marTop w:val="0"/>
      <w:marBottom w:val="0"/>
      <w:divBdr>
        <w:top w:val="none" w:sz="0" w:space="0" w:color="auto"/>
        <w:left w:val="none" w:sz="0" w:space="0" w:color="auto"/>
        <w:bottom w:val="none" w:sz="0" w:space="0" w:color="auto"/>
        <w:right w:val="none" w:sz="0" w:space="0" w:color="auto"/>
      </w:divBdr>
    </w:div>
    <w:div w:id="1454130851">
      <w:bodyDiv w:val="1"/>
      <w:marLeft w:val="0"/>
      <w:marRight w:val="0"/>
      <w:marTop w:val="0"/>
      <w:marBottom w:val="0"/>
      <w:divBdr>
        <w:top w:val="none" w:sz="0" w:space="0" w:color="auto"/>
        <w:left w:val="none" w:sz="0" w:space="0" w:color="auto"/>
        <w:bottom w:val="none" w:sz="0" w:space="0" w:color="auto"/>
        <w:right w:val="none" w:sz="0" w:space="0" w:color="auto"/>
      </w:divBdr>
    </w:div>
    <w:div w:id="1460033450">
      <w:bodyDiv w:val="1"/>
      <w:marLeft w:val="0"/>
      <w:marRight w:val="0"/>
      <w:marTop w:val="0"/>
      <w:marBottom w:val="0"/>
      <w:divBdr>
        <w:top w:val="none" w:sz="0" w:space="0" w:color="auto"/>
        <w:left w:val="none" w:sz="0" w:space="0" w:color="auto"/>
        <w:bottom w:val="none" w:sz="0" w:space="0" w:color="auto"/>
        <w:right w:val="none" w:sz="0" w:space="0" w:color="auto"/>
      </w:divBdr>
    </w:div>
    <w:div w:id="1613899741">
      <w:bodyDiv w:val="1"/>
      <w:marLeft w:val="0"/>
      <w:marRight w:val="0"/>
      <w:marTop w:val="0"/>
      <w:marBottom w:val="0"/>
      <w:divBdr>
        <w:top w:val="none" w:sz="0" w:space="0" w:color="auto"/>
        <w:left w:val="none" w:sz="0" w:space="0" w:color="auto"/>
        <w:bottom w:val="none" w:sz="0" w:space="0" w:color="auto"/>
        <w:right w:val="none" w:sz="0" w:space="0" w:color="auto"/>
      </w:divBdr>
    </w:div>
    <w:div w:id="1776554768">
      <w:bodyDiv w:val="1"/>
      <w:marLeft w:val="0"/>
      <w:marRight w:val="0"/>
      <w:marTop w:val="0"/>
      <w:marBottom w:val="0"/>
      <w:divBdr>
        <w:top w:val="none" w:sz="0" w:space="0" w:color="auto"/>
        <w:left w:val="none" w:sz="0" w:space="0" w:color="auto"/>
        <w:bottom w:val="none" w:sz="0" w:space="0" w:color="auto"/>
        <w:right w:val="none" w:sz="0" w:space="0" w:color="auto"/>
      </w:divBdr>
      <w:divsChild>
        <w:div w:id="821585090">
          <w:marLeft w:val="0"/>
          <w:marRight w:val="0"/>
          <w:marTop w:val="0"/>
          <w:marBottom w:val="0"/>
          <w:divBdr>
            <w:top w:val="none" w:sz="0" w:space="0" w:color="auto"/>
            <w:left w:val="none" w:sz="0" w:space="0" w:color="auto"/>
            <w:bottom w:val="none" w:sz="0" w:space="0" w:color="auto"/>
            <w:right w:val="none" w:sz="0" w:space="0" w:color="auto"/>
          </w:divBdr>
          <w:divsChild>
            <w:div w:id="1115445619">
              <w:marLeft w:val="0"/>
              <w:marRight w:val="0"/>
              <w:marTop w:val="100"/>
              <w:marBottom w:val="100"/>
              <w:divBdr>
                <w:top w:val="single" w:sz="2" w:space="0" w:color="D9D9E3"/>
                <w:left w:val="single" w:sz="2" w:space="0" w:color="D9D9E3"/>
                <w:bottom w:val="single" w:sz="2" w:space="0" w:color="D9D9E3"/>
                <w:right w:val="single" w:sz="2" w:space="0" w:color="D9D9E3"/>
              </w:divBdr>
              <w:divsChild>
                <w:div w:id="406273193">
                  <w:marLeft w:val="0"/>
                  <w:marRight w:val="0"/>
                  <w:marTop w:val="0"/>
                  <w:marBottom w:val="0"/>
                  <w:divBdr>
                    <w:top w:val="single" w:sz="2" w:space="0" w:color="D9D9E3"/>
                    <w:left w:val="single" w:sz="2" w:space="0" w:color="D9D9E3"/>
                    <w:bottom w:val="single" w:sz="2" w:space="0" w:color="D9D9E3"/>
                    <w:right w:val="single" w:sz="2" w:space="0" w:color="D9D9E3"/>
                  </w:divBdr>
                  <w:divsChild>
                    <w:div w:id="632711593">
                      <w:marLeft w:val="0"/>
                      <w:marRight w:val="0"/>
                      <w:marTop w:val="0"/>
                      <w:marBottom w:val="0"/>
                      <w:divBdr>
                        <w:top w:val="single" w:sz="2" w:space="0" w:color="D9D9E3"/>
                        <w:left w:val="single" w:sz="2" w:space="0" w:color="D9D9E3"/>
                        <w:bottom w:val="single" w:sz="2" w:space="0" w:color="D9D9E3"/>
                        <w:right w:val="single" w:sz="2" w:space="0" w:color="D9D9E3"/>
                      </w:divBdr>
                      <w:divsChild>
                        <w:div w:id="255014787">
                          <w:marLeft w:val="0"/>
                          <w:marRight w:val="0"/>
                          <w:marTop w:val="0"/>
                          <w:marBottom w:val="0"/>
                          <w:divBdr>
                            <w:top w:val="single" w:sz="2" w:space="0" w:color="D9D9E3"/>
                            <w:left w:val="single" w:sz="2" w:space="0" w:color="D9D9E3"/>
                            <w:bottom w:val="single" w:sz="2" w:space="0" w:color="D9D9E3"/>
                            <w:right w:val="single" w:sz="2" w:space="0" w:color="D9D9E3"/>
                          </w:divBdr>
                          <w:divsChild>
                            <w:div w:id="1017267492">
                              <w:marLeft w:val="0"/>
                              <w:marRight w:val="0"/>
                              <w:marTop w:val="0"/>
                              <w:marBottom w:val="0"/>
                              <w:divBdr>
                                <w:top w:val="single" w:sz="2" w:space="0" w:color="D9D9E3"/>
                                <w:left w:val="single" w:sz="2" w:space="0" w:color="D9D9E3"/>
                                <w:bottom w:val="single" w:sz="2" w:space="0" w:color="D9D9E3"/>
                                <w:right w:val="single" w:sz="2" w:space="0" w:color="D9D9E3"/>
                              </w:divBdr>
                              <w:divsChild>
                                <w:div w:id="1394238919">
                                  <w:marLeft w:val="0"/>
                                  <w:marRight w:val="0"/>
                                  <w:marTop w:val="0"/>
                                  <w:marBottom w:val="0"/>
                                  <w:divBdr>
                                    <w:top w:val="single" w:sz="2" w:space="0" w:color="D9D9E3"/>
                                    <w:left w:val="single" w:sz="2" w:space="0" w:color="D9D9E3"/>
                                    <w:bottom w:val="single" w:sz="2" w:space="0" w:color="D9D9E3"/>
                                    <w:right w:val="single" w:sz="2" w:space="0" w:color="D9D9E3"/>
                                  </w:divBdr>
                                  <w:divsChild>
                                    <w:div w:id="19281472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810703879">
      <w:bodyDiv w:val="1"/>
      <w:marLeft w:val="0"/>
      <w:marRight w:val="0"/>
      <w:marTop w:val="0"/>
      <w:marBottom w:val="0"/>
      <w:divBdr>
        <w:top w:val="none" w:sz="0" w:space="0" w:color="auto"/>
        <w:left w:val="none" w:sz="0" w:space="0" w:color="auto"/>
        <w:bottom w:val="none" w:sz="0" w:space="0" w:color="auto"/>
        <w:right w:val="none" w:sz="0" w:space="0" w:color="auto"/>
      </w:divBdr>
    </w:div>
    <w:div w:id="1929652349">
      <w:bodyDiv w:val="1"/>
      <w:marLeft w:val="0"/>
      <w:marRight w:val="0"/>
      <w:marTop w:val="0"/>
      <w:marBottom w:val="0"/>
      <w:divBdr>
        <w:top w:val="none" w:sz="0" w:space="0" w:color="auto"/>
        <w:left w:val="none" w:sz="0" w:space="0" w:color="auto"/>
        <w:bottom w:val="none" w:sz="0" w:space="0" w:color="auto"/>
        <w:right w:val="none" w:sz="0" w:space="0" w:color="auto"/>
      </w:divBdr>
    </w:div>
    <w:div w:id="1949314411">
      <w:bodyDiv w:val="1"/>
      <w:marLeft w:val="0"/>
      <w:marRight w:val="0"/>
      <w:marTop w:val="0"/>
      <w:marBottom w:val="0"/>
      <w:divBdr>
        <w:top w:val="none" w:sz="0" w:space="0" w:color="auto"/>
        <w:left w:val="none" w:sz="0" w:space="0" w:color="auto"/>
        <w:bottom w:val="none" w:sz="0" w:space="0" w:color="auto"/>
        <w:right w:val="none" w:sz="0" w:space="0" w:color="auto"/>
      </w:divBdr>
    </w:div>
    <w:div w:id="2030794406">
      <w:bodyDiv w:val="1"/>
      <w:marLeft w:val="0"/>
      <w:marRight w:val="0"/>
      <w:marTop w:val="0"/>
      <w:marBottom w:val="0"/>
      <w:divBdr>
        <w:top w:val="none" w:sz="0" w:space="0" w:color="auto"/>
        <w:left w:val="none" w:sz="0" w:space="0" w:color="auto"/>
        <w:bottom w:val="none" w:sz="0" w:space="0" w:color="auto"/>
        <w:right w:val="none" w:sz="0" w:space="0" w:color="auto"/>
      </w:divBdr>
    </w:div>
    <w:div w:id="2051760159">
      <w:bodyDiv w:val="1"/>
      <w:marLeft w:val="0"/>
      <w:marRight w:val="0"/>
      <w:marTop w:val="0"/>
      <w:marBottom w:val="0"/>
      <w:divBdr>
        <w:top w:val="none" w:sz="0" w:space="0" w:color="auto"/>
        <w:left w:val="none" w:sz="0" w:space="0" w:color="auto"/>
        <w:bottom w:val="none" w:sz="0" w:space="0" w:color="auto"/>
        <w:right w:val="none" w:sz="0" w:space="0" w:color="auto"/>
      </w:divBdr>
    </w:div>
    <w:div w:id="2052604336">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Data" Target="diagrams/data1.xml"/><Relationship Id="rId18" Type="http://schemas.openxmlformats.org/officeDocument/2006/relationships/hyperlink" Target="https://analitica.cnbs.gob.hn/" TargetMode="External"/><Relationship Id="rId26" Type="http://schemas.openxmlformats.org/officeDocument/2006/relationships/image" Target="media/image4.png"/><Relationship Id="rId39" Type="http://schemas.openxmlformats.org/officeDocument/2006/relationships/hyperlink" Target="https://analitica.cnbs.gob.hn/" TargetMode="External"/><Relationship Id="rId3" Type="http://schemas.openxmlformats.org/officeDocument/2006/relationships/styles" Target="styles.xml"/><Relationship Id="rId21" Type="http://schemas.openxmlformats.org/officeDocument/2006/relationships/diagramData" Target="diagrams/data2.xml"/><Relationship Id="rId34" Type="http://schemas.openxmlformats.org/officeDocument/2006/relationships/chart" Target="charts/chart1.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diagramDrawing" Target="diagrams/drawing1.xml"/><Relationship Id="rId25" Type="http://schemas.microsoft.com/office/2007/relationships/diagramDrawing" Target="diagrams/drawing2.xml"/><Relationship Id="rId33" Type="http://schemas.openxmlformats.org/officeDocument/2006/relationships/image" Target="media/image11.png"/><Relationship Id="rId38" Type="http://schemas.openxmlformats.org/officeDocument/2006/relationships/hyperlink" Target="https://assets.kpmg.com/content/dam/kpmg/pdf/2011/11/KPMG-Tasa-de-interes-activa.pdf" TargetMode="Externa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hyperlink" Target="https://www.bch.hn/politica-institucional/politica-monetaria/estadisticas-operaciones-monetarias" TargetMode="External"/><Relationship Id="rId29" Type="http://schemas.openxmlformats.org/officeDocument/2006/relationships/image" Target="media/image7.png"/><Relationship Id="rId41" Type="http://schemas.openxmlformats.org/officeDocument/2006/relationships/hyperlink" Target="https://www.bch.hn/politica-institucional/politica-monetaria/estadisticas-operaciones-monetaria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diagramColors" Target="diagrams/colors2.xml"/><Relationship Id="rId32" Type="http://schemas.openxmlformats.org/officeDocument/2006/relationships/image" Target="media/image10.png"/><Relationship Id="rId37" Type="http://schemas.openxmlformats.org/officeDocument/2006/relationships/hyperlink" Target="https://repositorio.cepal.org/bitstream/handle/11362/47192/72/EE2021_Honduras_es.pdf" TargetMode="External"/><Relationship Id="rId40" Type="http://schemas.openxmlformats.org/officeDocument/2006/relationships/hyperlink" Target="https://www.bch.hn/estadisticas-y-publicaciones-economicas/sector-monetario" TargetMode="Externa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diagramQuickStyle" Target="diagrams/quickStyle2.xml"/><Relationship Id="rId28" Type="http://schemas.openxmlformats.org/officeDocument/2006/relationships/image" Target="media/image6.png"/><Relationship Id="rId36" Type="http://schemas.openxmlformats.org/officeDocument/2006/relationships/hyperlink" Target="https://cepr.net/documents/publications/Honduras-2013-11-ESPANOL.pdf" TargetMode="External"/><Relationship Id="rId10" Type="http://schemas.openxmlformats.org/officeDocument/2006/relationships/image" Target="media/image2.png"/><Relationship Id="rId19" Type="http://schemas.openxmlformats.org/officeDocument/2006/relationships/hyperlink" Target="https://www.bch.hn/estadisticas-y-publicaciones-economicas/sector-monetario" TargetMode="External"/><Relationship Id="rId31"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openxmlformats.org/officeDocument/2006/relationships/diagramLayout" Target="diagrams/layout2.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2.png"/><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 (3)'!$D$5</c:f>
              <c:strCache>
                <c:ptCount val="1"/>
                <c:pt idx="0">
                  <c:v>TPM</c:v>
                </c:pt>
              </c:strCache>
            </c:strRef>
          </c:tx>
          <c:spPr>
            <a:solidFill>
              <a:schemeClr val="accent1"/>
            </a:solidFill>
            <a:ln>
              <a:noFill/>
            </a:ln>
            <a:effectLst/>
          </c:spPr>
          <c:invertIfNegative val="0"/>
          <c:dLbls>
            <c:dLbl>
              <c:idx val="0"/>
              <c:layout>
                <c:manualLayout>
                  <c:x val="-2.5462668816039986E-17"/>
                  <c:y val="8.325313502478856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71E-4B8E-B673-7D4229351DF8}"/>
                </c:ext>
              </c:extLst>
            </c:dLbl>
            <c:dLbl>
              <c:idx val="1"/>
              <c:layout>
                <c:manualLayout>
                  <c:x val="-5.0925337632079971E-17"/>
                  <c:y val="6.227034120734993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71E-4B8E-B673-7D4229351DF8}"/>
                </c:ext>
              </c:extLst>
            </c:dLbl>
            <c:dLbl>
              <c:idx val="2"/>
              <c:layout>
                <c:manualLayout>
                  <c:x val="0"/>
                  <c:y val="1.5974044911052786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71E-4B8E-B673-7D4229351DF8}"/>
                </c:ext>
              </c:extLst>
            </c:dLbl>
            <c:dLbl>
              <c:idx val="3"/>
              <c:layout>
                <c:manualLayout>
                  <c:x val="0"/>
                  <c:y val="1.147674249052197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71E-4B8E-B673-7D4229351DF8}"/>
                </c:ext>
              </c:extLst>
            </c:dLbl>
            <c:spPr>
              <a:solidFill>
                <a:schemeClr val="accent5">
                  <a:lumMod val="20000"/>
                  <a:lumOff val="80000"/>
                </a:schemeClr>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 (3)'!$C$6:$C$9</c:f>
              <c:numCache>
                <c:formatCode>General</c:formatCode>
                <c:ptCount val="4"/>
                <c:pt idx="0">
                  <c:v>2019</c:v>
                </c:pt>
                <c:pt idx="1">
                  <c:v>2020</c:v>
                </c:pt>
                <c:pt idx="2">
                  <c:v>2021</c:v>
                </c:pt>
                <c:pt idx="3">
                  <c:v>2022</c:v>
                </c:pt>
              </c:numCache>
            </c:numRef>
          </c:cat>
          <c:val>
            <c:numRef>
              <c:f>'Hoja1 (3)'!$D$6:$D$9</c:f>
              <c:numCache>
                <c:formatCode>0.00</c:formatCode>
                <c:ptCount val="4"/>
                <c:pt idx="0">
                  <c:v>5.5</c:v>
                </c:pt>
                <c:pt idx="1">
                  <c:v>3</c:v>
                </c:pt>
                <c:pt idx="2">
                  <c:v>3</c:v>
                </c:pt>
                <c:pt idx="3">
                  <c:v>3</c:v>
                </c:pt>
              </c:numCache>
            </c:numRef>
          </c:val>
          <c:extLst>
            <c:ext xmlns:c16="http://schemas.microsoft.com/office/drawing/2014/chart" uri="{C3380CC4-5D6E-409C-BE32-E72D297353CC}">
              <c16:uniqueId val="{00000004-C71E-4B8E-B673-7D4229351DF8}"/>
            </c:ext>
          </c:extLst>
        </c:ser>
        <c:dLbls>
          <c:showLegendKey val="0"/>
          <c:showVal val="0"/>
          <c:showCatName val="0"/>
          <c:showSerName val="0"/>
          <c:showPercent val="0"/>
          <c:showBubbleSize val="0"/>
        </c:dLbls>
        <c:gapWidth val="150"/>
        <c:axId val="11903280"/>
        <c:axId val="11904368"/>
      </c:barChart>
      <c:lineChart>
        <c:grouping val="standard"/>
        <c:varyColors val="0"/>
        <c:ser>
          <c:idx val="3"/>
          <c:order val="3"/>
          <c:tx>
            <c:strRef>
              <c:f>'Hoja1 (3)'!#REF!</c:f>
              <c:strCache>
                <c:ptCount val="1"/>
                <c:pt idx="0">
                  <c:v>#REF!</c:v>
                </c:pt>
              </c:strCache>
            </c:strRef>
          </c:tx>
          <c:spPr>
            <a:ln w="28575" cap="rnd">
              <a:solidFill>
                <a:schemeClr val="accent4"/>
              </a:solidFill>
              <a:round/>
            </a:ln>
            <a:effectLst/>
          </c:spPr>
          <c:marker>
            <c:symbol val="none"/>
          </c:marker>
          <c:cat>
            <c:numRef>
              <c:f>'Hoja1 (3)'!$C$6:$C$9</c:f>
              <c:numCache>
                <c:formatCode>General</c:formatCode>
                <c:ptCount val="4"/>
                <c:pt idx="0">
                  <c:v>2019</c:v>
                </c:pt>
                <c:pt idx="1">
                  <c:v>2020</c:v>
                </c:pt>
                <c:pt idx="2">
                  <c:v>2021</c:v>
                </c:pt>
                <c:pt idx="3">
                  <c:v>2022</c:v>
                </c:pt>
              </c:numCache>
            </c:numRef>
          </c:cat>
          <c:val>
            <c:numRef>
              <c:f>'Hoja1 (3)'!#REF!</c:f>
              <c:numCache>
                <c:formatCode>General</c:formatCode>
                <c:ptCount val="1"/>
                <c:pt idx="0">
                  <c:v>1</c:v>
                </c:pt>
              </c:numCache>
            </c:numRef>
          </c:val>
          <c:smooth val="0"/>
          <c:extLst>
            <c:ext xmlns:c16="http://schemas.microsoft.com/office/drawing/2014/chart" uri="{C3380CC4-5D6E-409C-BE32-E72D297353CC}">
              <c16:uniqueId val="{00000005-C71E-4B8E-B673-7D4229351DF8}"/>
            </c:ext>
          </c:extLst>
        </c:ser>
        <c:dLbls>
          <c:showLegendKey val="0"/>
          <c:showVal val="0"/>
          <c:showCatName val="0"/>
          <c:showSerName val="0"/>
          <c:showPercent val="0"/>
          <c:showBubbleSize val="0"/>
        </c:dLbls>
        <c:marker val="1"/>
        <c:smooth val="0"/>
        <c:axId val="11903280"/>
        <c:axId val="11904368"/>
      </c:lineChart>
      <c:lineChart>
        <c:grouping val="standard"/>
        <c:varyColors val="0"/>
        <c:ser>
          <c:idx val="1"/>
          <c:order val="1"/>
          <c:tx>
            <c:strRef>
              <c:f>'Hoja1 (3)'!$E$5</c:f>
              <c:strCache>
                <c:ptCount val="1"/>
                <c:pt idx="0">
                  <c:v>Tasa de Interés Activa Propiedad Raíz (eje derecho)</c:v>
                </c:pt>
              </c:strCache>
            </c:strRef>
          </c:tx>
          <c:spPr>
            <a:ln w="28575" cap="rnd">
              <a:solidFill>
                <a:schemeClr val="accent2"/>
              </a:solidFill>
              <a:round/>
            </a:ln>
            <a:effectLst/>
          </c:spPr>
          <c:marker>
            <c:symbol val="none"/>
          </c:marker>
          <c:dLbls>
            <c:spPr>
              <a:solidFill>
                <a:schemeClr val="accent2">
                  <a:lumMod val="20000"/>
                  <a:lumOff val="80000"/>
                </a:schemeClr>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 (3)'!$C$6:$C$9</c:f>
              <c:numCache>
                <c:formatCode>General</c:formatCode>
                <c:ptCount val="4"/>
                <c:pt idx="0">
                  <c:v>2019</c:v>
                </c:pt>
                <c:pt idx="1">
                  <c:v>2020</c:v>
                </c:pt>
                <c:pt idx="2">
                  <c:v>2021</c:v>
                </c:pt>
                <c:pt idx="3">
                  <c:v>2022</c:v>
                </c:pt>
              </c:numCache>
            </c:numRef>
          </c:cat>
          <c:val>
            <c:numRef>
              <c:f>'Hoja1 (3)'!$E$6:$E$9</c:f>
              <c:numCache>
                <c:formatCode>0.00</c:formatCode>
                <c:ptCount val="4"/>
                <c:pt idx="0">
                  <c:v>12.29</c:v>
                </c:pt>
                <c:pt idx="1">
                  <c:v>11.88</c:v>
                </c:pt>
                <c:pt idx="2">
                  <c:v>10.36</c:v>
                </c:pt>
                <c:pt idx="3">
                  <c:v>9.48</c:v>
                </c:pt>
              </c:numCache>
            </c:numRef>
          </c:val>
          <c:smooth val="1"/>
          <c:extLst>
            <c:ext xmlns:c16="http://schemas.microsoft.com/office/drawing/2014/chart" uri="{C3380CC4-5D6E-409C-BE32-E72D297353CC}">
              <c16:uniqueId val="{00000006-C71E-4B8E-B673-7D4229351DF8}"/>
            </c:ext>
          </c:extLst>
        </c:ser>
        <c:ser>
          <c:idx val="2"/>
          <c:order val="2"/>
          <c:tx>
            <c:strRef>
              <c:f>'Hoja1 (3)'!$F$5</c:f>
              <c:strCache>
                <c:ptCount val="1"/>
                <c:pt idx="0">
                  <c:v>Tasa de Interés Activa Consumo (eje derecho)</c:v>
                </c:pt>
              </c:strCache>
            </c:strRef>
          </c:tx>
          <c:spPr>
            <a:ln w="28575" cap="rnd">
              <a:solidFill>
                <a:schemeClr val="accent3"/>
              </a:solidFill>
              <a:round/>
            </a:ln>
            <a:effectLst/>
          </c:spPr>
          <c:marker>
            <c:symbol val="none"/>
          </c:marker>
          <c:dLbls>
            <c:spPr>
              <a:solidFill>
                <a:schemeClr val="bg2"/>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 (3)'!$C$6:$C$9</c:f>
              <c:numCache>
                <c:formatCode>General</c:formatCode>
                <c:ptCount val="4"/>
                <c:pt idx="0">
                  <c:v>2019</c:v>
                </c:pt>
                <c:pt idx="1">
                  <c:v>2020</c:v>
                </c:pt>
                <c:pt idx="2">
                  <c:v>2021</c:v>
                </c:pt>
                <c:pt idx="3">
                  <c:v>2022</c:v>
                </c:pt>
              </c:numCache>
            </c:numRef>
          </c:cat>
          <c:val>
            <c:numRef>
              <c:f>'Hoja1 (3)'!$F$6:$F$9</c:f>
              <c:numCache>
                <c:formatCode>0.00</c:formatCode>
                <c:ptCount val="4"/>
                <c:pt idx="0">
                  <c:v>16.46</c:v>
                </c:pt>
                <c:pt idx="1">
                  <c:v>15.94</c:v>
                </c:pt>
                <c:pt idx="2">
                  <c:v>15.52</c:v>
                </c:pt>
                <c:pt idx="3">
                  <c:v>14.52</c:v>
                </c:pt>
              </c:numCache>
            </c:numRef>
          </c:val>
          <c:smooth val="1"/>
          <c:extLst>
            <c:ext xmlns:c16="http://schemas.microsoft.com/office/drawing/2014/chart" uri="{C3380CC4-5D6E-409C-BE32-E72D297353CC}">
              <c16:uniqueId val="{00000007-C71E-4B8E-B673-7D4229351DF8}"/>
            </c:ext>
          </c:extLst>
        </c:ser>
        <c:dLbls>
          <c:showLegendKey val="0"/>
          <c:showVal val="0"/>
          <c:showCatName val="0"/>
          <c:showSerName val="0"/>
          <c:showPercent val="0"/>
          <c:showBubbleSize val="0"/>
        </c:dLbls>
        <c:marker val="1"/>
        <c:smooth val="0"/>
        <c:axId val="11927216"/>
        <c:axId val="11921232"/>
      </c:lineChart>
      <c:catAx>
        <c:axId val="11903280"/>
        <c:scaling>
          <c:orientation val="minMax"/>
        </c:scaling>
        <c:delete val="0"/>
        <c:axPos val="b"/>
        <c:numFmt formatCode="General" sourceLinked="1"/>
        <c:majorTickMark val="out"/>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1904368"/>
        <c:crosses val="autoZero"/>
        <c:auto val="1"/>
        <c:lblAlgn val="ctr"/>
        <c:lblOffset val="100"/>
        <c:noMultiLvlLbl val="0"/>
      </c:catAx>
      <c:valAx>
        <c:axId val="11904368"/>
        <c:scaling>
          <c:orientation val="minMax"/>
          <c:max val="8"/>
        </c:scaling>
        <c:delete val="0"/>
        <c:axPos val="l"/>
        <c:numFmt formatCode="0.0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1903280"/>
        <c:crosses val="autoZero"/>
        <c:crossBetween val="between"/>
        <c:majorUnit val="2"/>
      </c:valAx>
      <c:valAx>
        <c:axId val="11921232"/>
        <c:scaling>
          <c:orientation val="minMax"/>
          <c:max val="18"/>
          <c:min val="8"/>
        </c:scaling>
        <c:delete val="0"/>
        <c:axPos val="r"/>
        <c:numFmt formatCode="0.0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1927216"/>
        <c:crosses val="max"/>
        <c:crossBetween val="between"/>
        <c:majorUnit val="2"/>
      </c:valAx>
      <c:catAx>
        <c:axId val="11927216"/>
        <c:scaling>
          <c:orientation val="minMax"/>
        </c:scaling>
        <c:delete val="1"/>
        <c:axPos val="b"/>
        <c:numFmt formatCode="General" sourceLinked="1"/>
        <c:majorTickMark val="out"/>
        <c:minorTickMark val="none"/>
        <c:tickLblPos val="nextTo"/>
        <c:crossAx val="11921232"/>
        <c:crosses val="autoZero"/>
        <c:auto val="1"/>
        <c:lblAlgn val="ctr"/>
        <c:lblOffset val="100"/>
        <c:noMultiLvlLbl val="0"/>
      </c:catAx>
      <c:spPr>
        <a:noFill/>
        <a:ln>
          <a:noFill/>
        </a:ln>
        <a:effectLst/>
      </c:spPr>
    </c:plotArea>
    <c:legend>
      <c:legendPos val="b"/>
      <c:legendEntry>
        <c:idx val="1"/>
        <c:delete val="1"/>
      </c:legendEntry>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900" b="1">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34BA073-9993-4BFA-B6DE-5647E39F8B3B}" type="doc">
      <dgm:prSet loTypeId="urn:microsoft.com/office/officeart/2005/8/layout/radial1" loCatId="relationship" qsTypeId="urn:microsoft.com/office/officeart/2005/8/quickstyle/simple1" qsCatId="simple" csTypeId="urn:microsoft.com/office/officeart/2005/8/colors/accent0_1" csCatId="mainScheme" phldr="1"/>
      <dgm:spPr/>
      <dgm:t>
        <a:bodyPr/>
        <a:lstStyle/>
        <a:p>
          <a:endParaRPr lang="es-HN"/>
        </a:p>
      </dgm:t>
    </dgm:pt>
    <dgm:pt modelId="{335DF2DF-D9E2-4B37-91D6-204F894C99C8}">
      <dgm:prSet phldrT="[Texto]" custT="1"/>
      <dgm:spPr>
        <a:xfrm>
          <a:off x="2177256" y="-2477"/>
          <a:ext cx="1132042" cy="89620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HN"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Macroeconómicos</a:t>
          </a:r>
        </a:p>
      </dgm:t>
    </dgm:pt>
    <dgm:pt modelId="{C89A1F99-EB3A-4152-8D79-A1F1E72863C6}" type="parTrans" cxnId="{F5B672FD-28F1-4A09-959F-F556456C0F81}">
      <dgm:prSet custT="1"/>
      <dgm:spPr>
        <a:xfrm rot="16200000">
          <a:off x="2614089" y="1008343"/>
          <a:ext cx="258375" cy="29135"/>
        </a:xfr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s-HN"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43D0A61-B4DA-486F-A061-AC99D3F4CDC3}" type="sibTrans" cxnId="{F5B672FD-28F1-4A09-959F-F556456C0F81}">
      <dgm:prSet/>
      <dgm:spPr/>
      <dgm:t>
        <a:bodyPr/>
        <a:lstStyle/>
        <a:p>
          <a:endParaRPr lang="es-HN" sz="900">
            <a:latin typeface="Times New Roman" panose="02020603050405020304" pitchFamily="18" charset="0"/>
            <a:cs typeface="Times New Roman" panose="02020603050405020304" pitchFamily="18" charset="0"/>
          </a:endParaRPr>
        </a:p>
      </dgm:t>
    </dgm:pt>
    <dgm:pt modelId="{9BE2520D-6F44-4C87-A9C8-4124DA6AF67E}">
      <dgm:prSet phldrT="[Texto]" custT="1"/>
      <dgm:spPr>
        <a:xfrm>
          <a:off x="3447076" y="1152197"/>
          <a:ext cx="1131731" cy="896005"/>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HN"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Políticas Gubernamentales</a:t>
          </a:r>
        </a:p>
      </dgm:t>
    </dgm:pt>
    <dgm:pt modelId="{E87FD6FC-12AC-4D32-B045-A318CB7907B4}" type="parTrans" cxnId="{0BD06A9A-8771-428B-A45B-2E7CCD710F55}">
      <dgm:prSet custT="1"/>
      <dgm:spPr>
        <a:xfrm>
          <a:off x="3309298" y="1585632"/>
          <a:ext cx="137778" cy="29135"/>
        </a:xfr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s-HN"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AE9FEDA-311B-43CF-B68B-B3B80A7404EF}" type="sibTrans" cxnId="{0BD06A9A-8771-428B-A45B-2E7CCD710F55}">
      <dgm:prSet/>
      <dgm:spPr/>
      <dgm:t>
        <a:bodyPr/>
        <a:lstStyle/>
        <a:p>
          <a:endParaRPr lang="es-HN" sz="900">
            <a:latin typeface="Times New Roman" panose="02020603050405020304" pitchFamily="18" charset="0"/>
            <a:cs typeface="Times New Roman" panose="02020603050405020304" pitchFamily="18" charset="0"/>
          </a:endParaRPr>
        </a:p>
      </dgm:t>
    </dgm:pt>
    <dgm:pt modelId="{449876A9-BE18-413D-A2D3-49291A1AA6AA}">
      <dgm:prSet phldrT="[Texto]" custT="1"/>
      <dgm:spPr>
        <a:xfrm>
          <a:off x="2177256" y="1152099"/>
          <a:ext cx="1132042" cy="89620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HN"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Tasa de interés activa nominal </a:t>
          </a:r>
        </a:p>
      </dgm:t>
    </dgm:pt>
    <dgm:pt modelId="{C48330CF-D335-4229-8E43-BD709C938158}" type="sibTrans" cxnId="{C22FE0A5-C7F7-4AF2-9493-E5BAA6DFC752}">
      <dgm:prSet/>
      <dgm:spPr/>
      <dgm:t>
        <a:bodyPr/>
        <a:lstStyle/>
        <a:p>
          <a:endParaRPr lang="es-HN" sz="900">
            <a:latin typeface="Times New Roman" panose="02020603050405020304" pitchFamily="18" charset="0"/>
            <a:cs typeface="Times New Roman" panose="02020603050405020304" pitchFamily="18" charset="0"/>
          </a:endParaRPr>
        </a:p>
      </dgm:t>
    </dgm:pt>
    <dgm:pt modelId="{19141C2D-6B3C-4224-90FC-0020D7997EA7}" type="parTrans" cxnId="{C22FE0A5-C7F7-4AF2-9493-E5BAA6DFC752}">
      <dgm:prSet/>
      <dgm:spPr/>
      <dgm:t>
        <a:bodyPr/>
        <a:lstStyle/>
        <a:p>
          <a:endParaRPr lang="es-HN" sz="900">
            <a:latin typeface="Times New Roman" panose="02020603050405020304" pitchFamily="18" charset="0"/>
            <a:cs typeface="Times New Roman" panose="02020603050405020304" pitchFamily="18" charset="0"/>
          </a:endParaRPr>
        </a:p>
      </dgm:t>
    </dgm:pt>
    <dgm:pt modelId="{C24DF859-D02B-430A-B27D-1D828F7F42A0}">
      <dgm:prSet phldrT="[Texto]" custT="1"/>
      <dgm:spPr>
        <a:xfrm>
          <a:off x="926776" y="1139311"/>
          <a:ext cx="1132042" cy="89620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HN"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Componentes </a:t>
          </a:r>
        </a:p>
        <a:p>
          <a:pPr>
            <a:buNone/>
          </a:pPr>
          <a:r>
            <a:rPr lang="es-HN"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Financieros</a:t>
          </a:r>
        </a:p>
      </dgm:t>
    </dgm:pt>
    <dgm:pt modelId="{8CCDCF58-9B0E-47C2-81E2-55FF8BDEE96F}" type="sibTrans" cxnId="{DAD914CA-07FB-4502-B1AA-202E90322EEF}">
      <dgm:prSet/>
      <dgm:spPr/>
      <dgm:t>
        <a:bodyPr/>
        <a:lstStyle/>
        <a:p>
          <a:endParaRPr lang="es-HN" sz="900">
            <a:latin typeface="Times New Roman" panose="02020603050405020304" pitchFamily="18" charset="0"/>
            <a:cs typeface="Times New Roman" panose="02020603050405020304" pitchFamily="18" charset="0"/>
          </a:endParaRPr>
        </a:p>
      </dgm:t>
    </dgm:pt>
    <dgm:pt modelId="{D24AE37E-3321-4354-8D08-C59C8975F861}" type="parTrans" cxnId="{DAD914CA-07FB-4502-B1AA-202E90322EEF}">
      <dgm:prSet custT="1"/>
      <dgm:spPr>
        <a:xfrm rot="10835154">
          <a:off x="2058768" y="1579238"/>
          <a:ext cx="118538" cy="29135"/>
        </a:xfr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s-HN"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F8AB28AB-C893-4640-9466-DC2E98F42E6A}" type="pres">
      <dgm:prSet presAssocID="{D34BA073-9993-4BFA-B6DE-5647E39F8B3B}" presName="cycle" presStyleCnt="0">
        <dgm:presLayoutVars>
          <dgm:chMax val="1"/>
          <dgm:dir/>
          <dgm:animLvl val="ctr"/>
          <dgm:resizeHandles val="exact"/>
        </dgm:presLayoutVars>
      </dgm:prSet>
      <dgm:spPr/>
    </dgm:pt>
    <dgm:pt modelId="{033AD6A6-E861-44F0-A3F6-7A91EC82B78B}" type="pres">
      <dgm:prSet presAssocID="{449876A9-BE18-413D-A2D3-49291A1AA6AA}" presName="centerShape" presStyleLbl="node0" presStyleIdx="0" presStyleCnt="1" custScaleX="127474" custScaleY="100917"/>
      <dgm:spPr>
        <a:prstGeom prst="ellipse">
          <a:avLst/>
        </a:prstGeom>
      </dgm:spPr>
    </dgm:pt>
    <dgm:pt modelId="{A86CEB64-7428-449D-8FFB-A365F363CFA4}" type="pres">
      <dgm:prSet presAssocID="{C89A1F99-EB3A-4152-8D79-A1F1E72863C6}" presName="Name9" presStyleLbl="parChTrans1D2" presStyleIdx="0" presStyleCnt="3"/>
      <dgm:spPr>
        <a:custGeom>
          <a:avLst/>
          <a:gdLst/>
          <a:ahLst/>
          <a:cxnLst/>
          <a:rect l="0" t="0" r="0" b="0"/>
          <a:pathLst>
            <a:path>
              <a:moveTo>
                <a:pt x="0" y="14567"/>
              </a:moveTo>
              <a:lnTo>
                <a:pt x="258375" y="14567"/>
              </a:lnTo>
            </a:path>
          </a:pathLst>
        </a:custGeom>
      </dgm:spPr>
    </dgm:pt>
    <dgm:pt modelId="{42C65C53-4DDF-4EAB-8E34-CA6DA8ADA2FC}" type="pres">
      <dgm:prSet presAssocID="{C89A1F99-EB3A-4152-8D79-A1F1E72863C6}" presName="connTx" presStyleLbl="parChTrans1D2" presStyleIdx="0" presStyleCnt="3"/>
      <dgm:spPr/>
    </dgm:pt>
    <dgm:pt modelId="{5246FE92-2F0A-44DF-8626-E46E05DCBEA5}" type="pres">
      <dgm:prSet presAssocID="{335DF2DF-D9E2-4B37-91D6-204F894C99C8}" presName="node" presStyleLbl="node1" presStyleIdx="0" presStyleCnt="3" custScaleX="161713" custScaleY="100917" custRadScaleRad="90473">
        <dgm:presLayoutVars>
          <dgm:bulletEnabled val="1"/>
        </dgm:presLayoutVars>
      </dgm:prSet>
      <dgm:spPr>
        <a:prstGeom prst="ellipse">
          <a:avLst/>
        </a:prstGeom>
      </dgm:spPr>
    </dgm:pt>
    <dgm:pt modelId="{1A5FD829-7DCC-4452-AEEF-DE4F03518767}" type="pres">
      <dgm:prSet presAssocID="{E87FD6FC-12AC-4D32-B045-A318CB7907B4}" presName="Name9" presStyleLbl="parChTrans1D2" presStyleIdx="1" presStyleCnt="3"/>
      <dgm:spPr>
        <a:custGeom>
          <a:avLst/>
          <a:gdLst/>
          <a:ahLst/>
          <a:cxnLst/>
          <a:rect l="0" t="0" r="0" b="0"/>
          <a:pathLst>
            <a:path>
              <a:moveTo>
                <a:pt x="0" y="14567"/>
              </a:moveTo>
              <a:lnTo>
                <a:pt x="137778" y="14567"/>
              </a:lnTo>
            </a:path>
          </a:pathLst>
        </a:custGeom>
      </dgm:spPr>
    </dgm:pt>
    <dgm:pt modelId="{3D561413-5891-4666-89B8-8B5A89058757}" type="pres">
      <dgm:prSet presAssocID="{E87FD6FC-12AC-4D32-B045-A318CB7907B4}" presName="connTx" presStyleLbl="parChTrans1D2" presStyleIdx="1" presStyleCnt="3"/>
      <dgm:spPr/>
    </dgm:pt>
    <dgm:pt modelId="{F1E7A3C2-69F8-4D04-9DA9-86B3BEBB6CC4}" type="pres">
      <dgm:prSet presAssocID="{9BE2520D-6F44-4C87-A9C8-4124DA6AF67E}" presName="node" presStyleLbl="node1" presStyleIdx="1" presStyleCnt="3" custScaleX="127439" custScaleY="100895" custRadScaleRad="102325" custRadScaleInc="-4959">
        <dgm:presLayoutVars>
          <dgm:bulletEnabled val="1"/>
        </dgm:presLayoutVars>
      </dgm:prSet>
      <dgm:spPr>
        <a:prstGeom prst="ellipse">
          <a:avLst/>
        </a:prstGeom>
      </dgm:spPr>
    </dgm:pt>
    <dgm:pt modelId="{FFFF8E4B-6A28-46B8-9B11-091BB743448A}" type="pres">
      <dgm:prSet presAssocID="{D24AE37E-3321-4354-8D08-C59C8975F861}" presName="Name9" presStyleLbl="parChTrans1D2" presStyleIdx="2" presStyleCnt="3"/>
      <dgm:spPr>
        <a:custGeom>
          <a:avLst/>
          <a:gdLst/>
          <a:ahLst/>
          <a:cxnLst/>
          <a:rect l="0" t="0" r="0" b="0"/>
          <a:pathLst>
            <a:path>
              <a:moveTo>
                <a:pt x="0" y="14567"/>
              </a:moveTo>
              <a:lnTo>
                <a:pt x="118538" y="14567"/>
              </a:lnTo>
            </a:path>
          </a:pathLst>
        </a:custGeom>
      </dgm:spPr>
    </dgm:pt>
    <dgm:pt modelId="{85B78765-9600-45F7-B057-2A6673FAEA65}" type="pres">
      <dgm:prSet presAssocID="{D24AE37E-3321-4354-8D08-C59C8975F861}" presName="connTx" presStyleLbl="parChTrans1D2" presStyleIdx="2" presStyleCnt="3"/>
      <dgm:spPr/>
    </dgm:pt>
    <dgm:pt modelId="{C189058A-EE3E-45A9-AB89-3EB226E7CF6F}" type="pres">
      <dgm:prSet presAssocID="{C24DF859-D02B-430A-B27D-1D828F7F42A0}" presName="node" presStyleLbl="node1" presStyleIdx="2" presStyleCnt="3" custScaleX="127474" custScaleY="100917" custRadScaleRad="99882" custRadScaleInc="3773">
        <dgm:presLayoutVars>
          <dgm:bulletEnabled val="1"/>
        </dgm:presLayoutVars>
      </dgm:prSet>
      <dgm:spPr>
        <a:prstGeom prst="ellipse">
          <a:avLst/>
        </a:prstGeom>
      </dgm:spPr>
    </dgm:pt>
  </dgm:ptLst>
  <dgm:cxnLst>
    <dgm:cxn modelId="{1953810F-049C-4E0B-97C5-A3AF3CCFDB4B}" type="presOf" srcId="{449876A9-BE18-413D-A2D3-49291A1AA6AA}" destId="{033AD6A6-E861-44F0-A3F6-7A91EC82B78B}" srcOrd="0" destOrd="0" presId="urn:microsoft.com/office/officeart/2005/8/layout/radial1"/>
    <dgm:cxn modelId="{02A2E733-58C5-4DF3-94E7-9AD717AC97DC}" type="presOf" srcId="{C89A1F99-EB3A-4152-8D79-A1F1E72863C6}" destId="{A86CEB64-7428-449D-8FFB-A365F363CFA4}" srcOrd="0" destOrd="0" presId="urn:microsoft.com/office/officeart/2005/8/layout/radial1"/>
    <dgm:cxn modelId="{19E5795D-165D-452B-BFD9-5B22946FCDE5}" type="presOf" srcId="{9BE2520D-6F44-4C87-A9C8-4124DA6AF67E}" destId="{F1E7A3C2-69F8-4D04-9DA9-86B3BEBB6CC4}" srcOrd="0" destOrd="0" presId="urn:microsoft.com/office/officeart/2005/8/layout/radial1"/>
    <dgm:cxn modelId="{F56F6650-3B84-47C7-9823-CC023B620DB7}" type="presOf" srcId="{E87FD6FC-12AC-4D32-B045-A318CB7907B4}" destId="{3D561413-5891-4666-89B8-8B5A89058757}" srcOrd="1" destOrd="0" presId="urn:microsoft.com/office/officeart/2005/8/layout/radial1"/>
    <dgm:cxn modelId="{BC457170-94E7-4D4A-BAAD-A98AC3ADF48F}" type="presOf" srcId="{D24AE37E-3321-4354-8D08-C59C8975F861}" destId="{FFFF8E4B-6A28-46B8-9B11-091BB743448A}" srcOrd="0" destOrd="0" presId="urn:microsoft.com/office/officeart/2005/8/layout/radial1"/>
    <dgm:cxn modelId="{0BD06A9A-8771-428B-A45B-2E7CCD710F55}" srcId="{449876A9-BE18-413D-A2D3-49291A1AA6AA}" destId="{9BE2520D-6F44-4C87-A9C8-4124DA6AF67E}" srcOrd="1" destOrd="0" parTransId="{E87FD6FC-12AC-4D32-B045-A318CB7907B4}" sibTransId="{1AE9FEDA-311B-43CF-B68B-B3B80A7404EF}"/>
    <dgm:cxn modelId="{C22FE0A5-C7F7-4AF2-9493-E5BAA6DFC752}" srcId="{D34BA073-9993-4BFA-B6DE-5647E39F8B3B}" destId="{449876A9-BE18-413D-A2D3-49291A1AA6AA}" srcOrd="0" destOrd="0" parTransId="{19141C2D-6B3C-4224-90FC-0020D7997EA7}" sibTransId="{C48330CF-D335-4229-8E43-BD709C938158}"/>
    <dgm:cxn modelId="{BD4E56B4-1AAD-4CD6-A3EC-EA43424B2EE4}" type="presOf" srcId="{335DF2DF-D9E2-4B37-91D6-204F894C99C8}" destId="{5246FE92-2F0A-44DF-8626-E46E05DCBEA5}" srcOrd="0" destOrd="0" presId="urn:microsoft.com/office/officeart/2005/8/layout/radial1"/>
    <dgm:cxn modelId="{CDBB14C2-D83A-4D6B-8E34-7064E3B79669}" type="presOf" srcId="{C24DF859-D02B-430A-B27D-1D828F7F42A0}" destId="{C189058A-EE3E-45A9-AB89-3EB226E7CF6F}" srcOrd="0" destOrd="0" presId="urn:microsoft.com/office/officeart/2005/8/layout/radial1"/>
    <dgm:cxn modelId="{DAD914CA-07FB-4502-B1AA-202E90322EEF}" srcId="{449876A9-BE18-413D-A2D3-49291A1AA6AA}" destId="{C24DF859-D02B-430A-B27D-1D828F7F42A0}" srcOrd="2" destOrd="0" parTransId="{D24AE37E-3321-4354-8D08-C59C8975F861}" sibTransId="{8CCDCF58-9B0E-47C2-81E2-55FF8BDEE96F}"/>
    <dgm:cxn modelId="{F791F7D0-8F09-4C0A-AFEF-C73CA5373D7F}" type="presOf" srcId="{D34BA073-9993-4BFA-B6DE-5647E39F8B3B}" destId="{F8AB28AB-C893-4640-9466-DC2E98F42E6A}" srcOrd="0" destOrd="0" presId="urn:microsoft.com/office/officeart/2005/8/layout/radial1"/>
    <dgm:cxn modelId="{E2717AD2-5257-4023-A16D-B21577E44021}" type="presOf" srcId="{E87FD6FC-12AC-4D32-B045-A318CB7907B4}" destId="{1A5FD829-7DCC-4452-AEEF-DE4F03518767}" srcOrd="0" destOrd="0" presId="urn:microsoft.com/office/officeart/2005/8/layout/radial1"/>
    <dgm:cxn modelId="{1FC803E6-8F93-4CF5-884B-AEF74385D8EB}" type="presOf" srcId="{C89A1F99-EB3A-4152-8D79-A1F1E72863C6}" destId="{42C65C53-4DDF-4EAB-8E34-CA6DA8ADA2FC}" srcOrd="1" destOrd="0" presId="urn:microsoft.com/office/officeart/2005/8/layout/radial1"/>
    <dgm:cxn modelId="{29EC6EF9-3B76-4653-BB75-7F41F8AC02CD}" type="presOf" srcId="{D24AE37E-3321-4354-8D08-C59C8975F861}" destId="{85B78765-9600-45F7-B057-2A6673FAEA65}" srcOrd="1" destOrd="0" presId="urn:microsoft.com/office/officeart/2005/8/layout/radial1"/>
    <dgm:cxn modelId="{F5B672FD-28F1-4A09-959F-F556456C0F81}" srcId="{449876A9-BE18-413D-A2D3-49291A1AA6AA}" destId="{335DF2DF-D9E2-4B37-91D6-204F894C99C8}" srcOrd="0" destOrd="0" parTransId="{C89A1F99-EB3A-4152-8D79-A1F1E72863C6}" sibTransId="{843D0A61-B4DA-486F-A061-AC99D3F4CDC3}"/>
    <dgm:cxn modelId="{F15ECB4C-6A87-49AF-9D88-C57B6B345FCF}" type="presParOf" srcId="{F8AB28AB-C893-4640-9466-DC2E98F42E6A}" destId="{033AD6A6-E861-44F0-A3F6-7A91EC82B78B}" srcOrd="0" destOrd="0" presId="urn:microsoft.com/office/officeart/2005/8/layout/radial1"/>
    <dgm:cxn modelId="{2E48B954-5419-40BA-B8E7-6BB50F165DDB}" type="presParOf" srcId="{F8AB28AB-C893-4640-9466-DC2E98F42E6A}" destId="{A86CEB64-7428-449D-8FFB-A365F363CFA4}" srcOrd="1" destOrd="0" presId="urn:microsoft.com/office/officeart/2005/8/layout/radial1"/>
    <dgm:cxn modelId="{2E018DA4-B00C-4059-8D52-2E1A5E1E2F4B}" type="presParOf" srcId="{A86CEB64-7428-449D-8FFB-A365F363CFA4}" destId="{42C65C53-4DDF-4EAB-8E34-CA6DA8ADA2FC}" srcOrd="0" destOrd="0" presId="urn:microsoft.com/office/officeart/2005/8/layout/radial1"/>
    <dgm:cxn modelId="{A4ED785C-75C3-4DDC-8E95-7E92AEB2E01D}" type="presParOf" srcId="{F8AB28AB-C893-4640-9466-DC2E98F42E6A}" destId="{5246FE92-2F0A-44DF-8626-E46E05DCBEA5}" srcOrd="2" destOrd="0" presId="urn:microsoft.com/office/officeart/2005/8/layout/radial1"/>
    <dgm:cxn modelId="{926BE1EC-FE3F-4BDC-837C-1F3F2D72F2D1}" type="presParOf" srcId="{F8AB28AB-C893-4640-9466-DC2E98F42E6A}" destId="{1A5FD829-7DCC-4452-AEEF-DE4F03518767}" srcOrd="3" destOrd="0" presId="urn:microsoft.com/office/officeart/2005/8/layout/radial1"/>
    <dgm:cxn modelId="{5E09ECBE-E196-4B59-A00D-8167441D9EC7}" type="presParOf" srcId="{1A5FD829-7DCC-4452-AEEF-DE4F03518767}" destId="{3D561413-5891-4666-89B8-8B5A89058757}" srcOrd="0" destOrd="0" presId="urn:microsoft.com/office/officeart/2005/8/layout/radial1"/>
    <dgm:cxn modelId="{9418FEEF-94FF-40AC-9973-8B67CFF24253}" type="presParOf" srcId="{F8AB28AB-C893-4640-9466-DC2E98F42E6A}" destId="{F1E7A3C2-69F8-4D04-9DA9-86B3BEBB6CC4}" srcOrd="4" destOrd="0" presId="urn:microsoft.com/office/officeart/2005/8/layout/radial1"/>
    <dgm:cxn modelId="{A21219A1-BF36-4D29-AE2D-9DE36C35CDB4}" type="presParOf" srcId="{F8AB28AB-C893-4640-9466-DC2E98F42E6A}" destId="{FFFF8E4B-6A28-46B8-9B11-091BB743448A}" srcOrd="5" destOrd="0" presId="urn:microsoft.com/office/officeart/2005/8/layout/radial1"/>
    <dgm:cxn modelId="{ADB1E382-EF8F-408D-B99D-7F5B3130C623}" type="presParOf" srcId="{FFFF8E4B-6A28-46B8-9B11-091BB743448A}" destId="{85B78765-9600-45F7-B057-2A6673FAEA65}" srcOrd="0" destOrd="0" presId="urn:microsoft.com/office/officeart/2005/8/layout/radial1"/>
    <dgm:cxn modelId="{6209A1B2-E074-40EA-86EF-2AF5E4800450}" type="presParOf" srcId="{F8AB28AB-C893-4640-9466-DC2E98F42E6A}" destId="{C189058A-EE3E-45A9-AB89-3EB226E7CF6F}" srcOrd="6" destOrd="0" presId="urn:microsoft.com/office/officeart/2005/8/layout/radial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C16EA86-24A0-463F-8829-F850DDE132AE}" type="doc">
      <dgm:prSet loTypeId="urn:microsoft.com/office/officeart/2005/8/layout/chevron2" loCatId="process" qsTypeId="urn:microsoft.com/office/officeart/2005/8/quickstyle/simple3" qsCatId="simple" csTypeId="urn:microsoft.com/office/officeart/2005/8/colors/accent0_2" csCatId="mainScheme" phldr="1"/>
      <dgm:spPr/>
      <dgm:t>
        <a:bodyPr/>
        <a:lstStyle/>
        <a:p>
          <a:endParaRPr lang="es-HN"/>
        </a:p>
      </dgm:t>
    </dgm:pt>
    <dgm:pt modelId="{C82C0CBE-BB52-4D48-B1D3-3613721B47C7}">
      <dgm:prSet phldrT="[Texto]" custT="1"/>
      <dgm:spPr>
        <a:xfrm rot="5400000">
          <a:off x="2533228" y="-1866873"/>
          <a:ext cx="608174" cy="4364717"/>
        </a:xfr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gm:spPr>
      <dgm:t>
        <a:bodyPr/>
        <a:lstStyle/>
        <a:p>
          <a:pPr algn="ctr">
            <a:buChar char="•"/>
          </a:pPr>
          <a:r>
            <a:rPr lang="es-HN" sz="900" b="1">
              <a:solidFill>
                <a:sysClr val="windowText" lastClr="000000"/>
              </a:solidFill>
              <a:latin typeface="Times New Roman" panose="02020603050405020304" pitchFamily="18" charset="0"/>
              <a:ea typeface="+mn-ea"/>
              <a:cs typeface="Times New Roman" panose="02020603050405020304" pitchFamily="18" charset="0"/>
            </a:rPr>
            <a:t>Mixto:</a:t>
          </a:r>
          <a:r>
            <a:rPr lang="es-HN" sz="900">
              <a:solidFill>
                <a:sysClr val="windowText" lastClr="000000"/>
              </a:solidFill>
              <a:latin typeface="Times New Roman" panose="02020603050405020304" pitchFamily="18" charset="0"/>
              <a:ea typeface="+mn-ea"/>
              <a:cs typeface="Times New Roman" panose="02020603050405020304" pitchFamily="18" charset="0"/>
            </a:rPr>
            <a:t> se desarrolla un </a:t>
          </a:r>
          <a:r>
            <a:rPr lang="es-HN" sz="900" b="0" i="0">
              <a:solidFill>
                <a:sysClr val="windowText" lastClr="000000"/>
              </a:solidFill>
              <a:latin typeface="Times New Roman" panose="02020603050405020304" pitchFamily="18" charset="0"/>
              <a:ea typeface="+mn-ea"/>
              <a:cs typeface="Times New Roman" panose="02020603050405020304" pitchFamily="18" charset="0"/>
            </a:rPr>
            <a:t>proceso que recolecta, analiza y vierte datos cuantitativos y cualitativos, en un mismo estudio.</a:t>
          </a:r>
          <a:endParaRPr lang="es-HN" sz="900">
            <a:solidFill>
              <a:sysClr val="windowText" lastClr="000000"/>
            </a:solidFill>
            <a:latin typeface="Times New Roman" panose="02020603050405020304" pitchFamily="18" charset="0"/>
            <a:ea typeface="+mn-ea"/>
            <a:cs typeface="Times New Roman" panose="02020603050405020304" pitchFamily="18" charset="0"/>
          </a:endParaRPr>
        </a:p>
      </dgm:t>
    </dgm:pt>
    <dgm:pt modelId="{5816C785-1C02-41F4-B2F9-A34A82B25D95}" type="parTrans" cxnId="{768007C0-6966-433F-9FBB-B011DAFE1478}">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31B30E30-76B9-447D-9F9C-2BF61DFF4D1B}" type="sibTrans" cxnId="{768007C0-6966-433F-9FBB-B011DAFE1478}">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83993AFC-8059-4B38-8019-0E1A593BD4C9}">
      <dgm:prSet phldrT="[Texto]" custT="1"/>
      <dgm:spPr>
        <a:xfrm rot="5400000">
          <a:off x="-140348" y="975057"/>
          <a:ext cx="935653" cy="654957"/>
        </a:xfr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w="6350" cap="flat" cmpd="sng" algn="ctr">
          <a:solidFill>
            <a:srgbClr val="44546A">
              <a:shade val="80000"/>
              <a:hueOff val="0"/>
              <a:satOff val="0"/>
              <a:lumOff val="0"/>
              <a:alphaOff val="0"/>
            </a:srgbClr>
          </a:solidFill>
          <a:prstDash val="solid"/>
          <a:miter lim="800000"/>
        </a:ln>
        <a:effectLst/>
      </dgm:spPr>
      <dgm:t>
        <a:bodyPr/>
        <a:lstStyle/>
        <a:p>
          <a:pPr algn="ctr">
            <a:buNone/>
          </a:pPr>
          <a:r>
            <a:rPr lang="es-HN" sz="900">
              <a:solidFill>
                <a:sysClr val="windowText" lastClr="000000"/>
              </a:solidFill>
              <a:latin typeface="Times New Roman" panose="02020603050405020304" pitchFamily="18" charset="0"/>
              <a:ea typeface="+mn-ea"/>
              <a:cs typeface="Times New Roman" panose="02020603050405020304" pitchFamily="18" charset="0"/>
            </a:rPr>
            <a:t>Alcance</a:t>
          </a:r>
        </a:p>
      </dgm:t>
    </dgm:pt>
    <dgm:pt modelId="{A9255202-5E45-44AA-8207-ABB596ABC56A}" type="parTrans" cxnId="{DD877BA8-8BF3-4D05-ADD7-6551055856D2}">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532CFBAA-8039-43E6-A23C-FD29C7D7C712}" type="sibTrans" cxnId="{DD877BA8-8BF3-4D05-ADD7-6551055856D2}">
      <dgm:prSet custT="1"/>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B60DA7FB-7096-4647-B224-076D81BEDE5D}">
      <dgm:prSet phldrT="[Texto]" custT="1"/>
      <dgm:spPr>
        <a:xfrm rot="5400000">
          <a:off x="2533228" y="-1043561"/>
          <a:ext cx="608174" cy="4364717"/>
        </a:xfr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gm:spPr>
      <dgm:t>
        <a:bodyPr/>
        <a:lstStyle/>
        <a:p>
          <a:pPr algn="ctr">
            <a:buChar char="•"/>
          </a:pPr>
          <a:r>
            <a:rPr lang="es-ES" sz="900" b="1">
              <a:solidFill>
                <a:sysClr val="windowText" lastClr="000000"/>
              </a:solidFill>
              <a:latin typeface="Times New Roman" panose="02020603050405020304" pitchFamily="18" charset="0"/>
              <a:ea typeface="+mn-ea"/>
              <a:cs typeface="Times New Roman" panose="02020603050405020304" pitchFamily="18" charset="0"/>
            </a:rPr>
            <a:t>Descriptivo:</a:t>
          </a:r>
          <a:r>
            <a:rPr lang="es-ES" sz="900">
              <a:solidFill>
                <a:sysClr val="windowText" lastClr="000000"/>
              </a:solidFill>
              <a:latin typeface="Times New Roman" panose="02020603050405020304" pitchFamily="18" charset="0"/>
              <a:ea typeface="+mn-ea"/>
              <a:cs typeface="Times New Roman" panose="02020603050405020304" pitchFamily="18" charset="0"/>
            </a:rPr>
            <a:t> </a:t>
          </a:r>
          <a:r>
            <a:rPr lang="es-HN" sz="900">
              <a:solidFill>
                <a:sysClr val="windowText" lastClr="000000"/>
              </a:solidFill>
              <a:latin typeface="Times New Roman" panose="02020603050405020304" pitchFamily="18" charset="0"/>
              <a:ea typeface="+mn-ea"/>
              <a:cs typeface="Times New Roman" panose="02020603050405020304" pitchFamily="18" charset="0"/>
            </a:rPr>
            <a:t>se enfocara en describir y caracterizar el fenómeno de estudio tal como es en un período específico, a fin de proporcionar una representación precisa y detallada de los hechos, características o elementos del fenómeno.</a:t>
          </a:r>
        </a:p>
      </dgm:t>
    </dgm:pt>
    <dgm:pt modelId="{652052D2-81A1-4DB8-A734-8C2DF909734E}" type="parTrans" cxnId="{F3CF9B57-C693-452A-B8FC-8255B421B5C8}">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A5AED103-9023-4EAF-9DCF-59D7FC43788C}" type="sibTrans" cxnId="{F3CF9B57-C693-452A-B8FC-8255B421B5C8}">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9515660E-461B-4AA3-B09E-5DD331E6101D}">
      <dgm:prSet phldrT="[Texto]" custT="1"/>
      <dgm:spPr>
        <a:xfrm rot="5400000">
          <a:off x="-140348" y="3497196"/>
          <a:ext cx="935653" cy="654957"/>
        </a:xfr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w="6350" cap="flat" cmpd="sng" algn="ctr">
          <a:solidFill>
            <a:srgbClr val="44546A">
              <a:shade val="80000"/>
              <a:hueOff val="0"/>
              <a:satOff val="0"/>
              <a:lumOff val="0"/>
              <a:alphaOff val="0"/>
            </a:srgbClr>
          </a:solidFill>
          <a:prstDash val="solid"/>
          <a:miter lim="800000"/>
        </a:ln>
        <a:effectLst/>
      </dgm:spPr>
      <dgm:t>
        <a:bodyPr/>
        <a:lstStyle/>
        <a:p>
          <a:pPr algn="ctr">
            <a:buNone/>
          </a:pPr>
          <a:r>
            <a:rPr lang="es-HN" sz="900">
              <a:solidFill>
                <a:sysClr val="windowText" lastClr="000000"/>
              </a:solidFill>
              <a:latin typeface="Times New Roman" panose="02020603050405020304" pitchFamily="18" charset="0"/>
              <a:ea typeface="+mn-ea"/>
              <a:cs typeface="Times New Roman" panose="02020603050405020304" pitchFamily="18" charset="0"/>
            </a:rPr>
            <a:t>Técnica</a:t>
          </a:r>
        </a:p>
      </dgm:t>
    </dgm:pt>
    <dgm:pt modelId="{6B0D15B5-F89B-4845-8106-098A32EAA5AB}" type="parTrans" cxnId="{0118D7D8-7FDC-4937-87E4-7115223D836B}">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639151A8-BBE4-4250-9BA3-4B224A3829EC}" type="sibTrans" cxnId="{0118D7D8-7FDC-4937-87E4-7115223D836B}">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351D956D-4A6A-4CF3-91B6-C2DF8F882EE0}">
      <dgm:prSet phldrT="[Texto]" custT="1"/>
      <dgm:spPr>
        <a:xfrm rot="5400000">
          <a:off x="2533228" y="1478579"/>
          <a:ext cx="608174" cy="4364717"/>
        </a:xfr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gm:spPr>
      <dgm:t>
        <a:bodyPr/>
        <a:lstStyle/>
        <a:p>
          <a:pPr algn="ctr">
            <a:buChar char="•"/>
          </a:pPr>
          <a:r>
            <a:rPr lang="es-HN" sz="900" b="1">
              <a:solidFill>
                <a:sysClr val="windowText" lastClr="000000"/>
              </a:solidFill>
              <a:latin typeface="Times New Roman" panose="02020603050405020304" pitchFamily="18" charset="0"/>
              <a:ea typeface="+mn-ea"/>
              <a:cs typeface="Times New Roman" panose="02020603050405020304" pitchFamily="18" charset="0"/>
            </a:rPr>
            <a:t>Muestra de Expertos.</a:t>
          </a:r>
        </a:p>
      </dgm:t>
    </dgm:pt>
    <dgm:pt modelId="{239B0E58-B3AA-41CC-A07E-60E39BF1EA4E}" type="parTrans" cxnId="{C646F242-3EFF-42FE-A7DD-4C7B8BA44E98}">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3C6F76D6-B12E-4D53-8E26-6B27730D7211}" type="sibTrans" cxnId="{C646F242-3EFF-42FE-A7DD-4C7B8BA44E98}">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70F3141E-CFE3-4CAD-98F2-C0A919175F64}">
      <dgm:prSet phldrT="[Texto]" custT="1"/>
      <dgm:spPr>
        <a:xfrm rot="5400000">
          <a:off x="-140348" y="1798370"/>
          <a:ext cx="935653" cy="654957"/>
        </a:xfr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w="6350" cap="flat" cmpd="sng" algn="ctr">
          <a:solidFill>
            <a:srgbClr val="44546A">
              <a:shade val="80000"/>
              <a:hueOff val="0"/>
              <a:satOff val="0"/>
              <a:lumOff val="0"/>
              <a:alphaOff val="0"/>
            </a:srgbClr>
          </a:solidFill>
          <a:prstDash val="solid"/>
          <a:miter lim="800000"/>
        </a:ln>
        <a:effectLst/>
      </dgm:spPr>
      <dgm:t>
        <a:bodyPr/>
        <a:lstStyle/>
        <a:p>
          <a:pPr algn="ctr">
            <a:buNone/>
          </a:pPr>
          <a:r>
            <a:rPr lang="es-HN" sz="900">
              <a:solidFill>
                <a:sysClr val="windowText" lastClr="000000"/>
              </a:solidFill>
              <a:latin typeface="Times New Roman" panose="02020603050405020304" pitchFamily="18" charset="0"/>
              <a:ea typeface="+mn-ea"/>
              <a:cs typeface="Times New Roman" panose="02020603050405020304" pitchFamily="18" charset="0"/>
            </a:rPr>
            <a:t>Diseño</a:t>
          </a:r>
        </a:p>
      </dgm:t>
    </dgm:pt>
    <dgm:pt modelId="{C06025B2-D0C9-4DC5-8D4A-6DEE9069460F}" type="parTrans" cxnId="{621721BB-E6D5-4472-912D-5281621A17D2}">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F32CAE0F-409A-44BD-8F06-F90032DB5A5D}" type="sibTrans" cxnId="{621721BB-E6D5-4472-912D-5281621A17D2}">
      <dgm:prSet custT="1"/>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C644C7F9-99B9-4FE9-A7A4-B147EAFF26CA}">
      <dgm:prSet phldrT="[Texto]" custT="1"/>
      <dgm:spPr>
        <a:xfrm rot="5400000">
          <a:off x="-140348" y="151745"/>
          <a:ext cx="935653" cy="654957"/>
        </a:xfr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w="6350" cap="flat" cmpd="sng" algn="ctr">
          <a:solidFill>
            <a:srgbClr val="44546A">
              <a:shade val="80000"/>
              <a:hueOff val="0"/>
              <a:satOff val="0"/>
              <a:lumOff val="0"/>
              <a:alphaOff val="0"/>
            </a:srgbClr>
          </a:solidFill>
          <a:prstDash val="solid"/>
          <a:miter lim="800000"/>
        </a:ln>
        <a:effectLst/>
      </dgm:spPr>
      <dgm:t>
        <a:bodyPr/>
        <a:lstStyle/>
        <a:p>
          <a:pPr algn="ctr">
            <a:buNone/>
          </a:pPr>
          <a:r>
            <a:rPr lang="es-HN" sz="900">
              <a:solidFill>
                <a:sysClr val="windowText" lastClr="000000"/>
              </a:solidFill>
              <a:latin typeface="Times New Roman" panose="02020603050405020304" pitchFamily="18" charset="0"/>
              <a:ea typeface="+mn-ea"/>
              <a:cs typeface="Times New Roman" panose="02020603050405020304" pitchFamily="18" charset="0"/>
            </a:rPr>
            <a:t>Enfoque</a:t>
          </a:r>
        </a:p>
      </dgm:t>
    </dgm:pt>
    <dgm:pt modelId="{31549F1C-5C35-43E3-99D8-25BACAA6EBB7}" type="sibTrans" cxnId="{B85B8EC8-E680-4A16-A0DE-B6522F27E645}">
      <dgm:prSet custT="1"/>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932F4C37-0EA7-41C3-81DF-E6B8B2A66EC1}" type="parTrans" cxnId="{B85B8EC8-E680-4A16-A0DE-B6522F27E645}">
      <dgm:prSet/>
      <dgm:spPr/>
      <dgm:t>
        <a:bodyPr/>
        <a:lstStyle/>
        <a:p>
          <a:pPr algn="ctr"/>
          <a:endParaRPr lang="es-HN" sz="900">
            <a:solidFill>
              <a:sysClr val="windowText" lastClr="000000"/>
            </a:solidFill>
            <a:latin typeface="Times New Roman" panose="02020603050405020304" pitchFamily="18" charset="0"/>
            <a:cs typeface="Times New Roman" panose="02020603050405020304" pitchFamily="18" charset="0"/>
          </a:endParaRPr>
        </a:p>
      </dgm:t>
    </dgm:pt>
    <dgm:pt modelId="{32C94621-45AC-417E-BC05-8C017186A90E}">
      <dgm:prSet phldrT="[Texto]" custT="1"/>
      <dgm:spPr>
        <a:xfrm rot="5400000">
          <a:off x="-244425" y="2689392"/>
          <a:ext cx="1143808" cy="654957"/>
        </a:xfr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w="6350" cap="flat" cmpd="sng" algn="ctr">
          <a:solidFill>
            <a:srgbClr val="44546A">
              <a:shade val="80000"/>
              <a:hueOff val="0"/>
              <a:satOff val="0"/>
              <a:lumOff val="0"/>
              <a:alphaOff val="0"/>
            </a:srgbClr>
          </a:solidFill>
          <a:prstDash val="solid"/>
          <a:miter lim="800000"/>
        </a:ln>
        <a:effectLst/>
      </dgm:spPr>
      <dgm:t>
        <a:bodyPr/>
        <a:lstStyle/>
        <a:p>
          <a:pPr algn="ctr">
            <a:buNone/>
          </a:pPr>
          <a:r>
            <a:rPr lang="es-HN" sz="900">
              <a:solidFill>
                <a:sysClr val="windowText" lastClr="000000"/>
              </a:solidFill>
              <a:latin typeface="Times New Roman" panose="02020603050405020304" pitchFamily="18" charset="0"/>
              <a:ea typeface="+mn-ea"/>
              <a:cs typeface="Times New Roman" panose="02020603050405020304" pitchFamily="18" charset="0"/>
            </a:rPr>
            <a:t>Método</a:t>
          </a:r>
        </a:p>
      </dgm:t>
    </dgm:pt>
    <dgm:pt modelId="{91DA8602-4331-4C34-9CE9-7EFF731F4D26}" type="parTrans" cxnId="{487A73CE-514F-4C00-BA9B-2D21A6FFE7BA}">
      <dgm:prSet/>
      <dgm:spPr/>
      <dgm:t>
        <a:bodyPr/>
        <a:lstStyle/>
        <a:p>
          <a:pPr algn="ctr"/>
          <a:endParaRPr lang="es-ES" sz="900">
            <a:solidFill>
              <a:sysClr val="windowText" lastClr="000000"/>
            </a:solidFill>
          </a:endParaRPr>
        </a:p>
      </dgm:t>
    </dgm:pt>
    <dgm:pt modelId="{3B4DF668-3034-48C6-AA4A-797661AFD400}" type="sibTrans" cxnId="{487A73CE-514F-4C00-BA9B-2D21A6FFE7BA}">
      <dgm:prSet/>
      <dgm:spPr/>
      <dgm:t>
        <a:bodyPr/>
        <a:lstStyle/>
        <a:p>
          <a:pPr algn="ctr"/>
          <a:endParaRPr lang="es-ES" sz="900">
            <a:solidFill>
              <a:sysClr val="windowText" lastClr="000000"/>
            </a:solidFill>
          </a:endParaRPr>
        </a:p>
      </dgm:t>
    </dgm:pt>
    <dgm:pt modelId="{1EA3450E-865E-4A5C-9490-C477B7F7BA67}">
      <dgm:prSet phldrT="[Texto]" custT="1"/>
      <dgm:spPr>
        <a:xfrm rot="5400000">
          <a:off x="2427494" y="675913"/>
          <a:ext cx="819643" cy="4364717"/>
        </a:xfr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gm:spPr>
      <dgm:t>
        <a:bodyPr/>
        <a:lstStyle/>
        <a:p>
          <a:pPr algn="ctr">
            <a:buChar char="•"/>
          </a:pPr>
          <a:r>
            <a:rPr lang="es-ES" sz="900" b="1">
              <a:solidFill>
                <a:sysClr val="windowText" lastClr="000000"/>
              </a:solidFill>
              <a:latin typeface="Times New Roman" panose="02020603050405020304" pitchFamily="18" charset="0"/>
              <a:ea typeface="+mn-ea"/>
              <a:cs typeface="Times New Roman" panose="02020603050405020304" pitchFamily="18" charset="0"/>
            </a:rPr>
            <a:t>Deductivo: </a:t>
          </a:r>
          <a:r>
            <a:rPr lang="es-ES" sz="900">
              <a:solidFill>
                <a:sysClr val="windowText" lastClr="000000"/>
              </a:solidFill>
              <a:latin typeface="Times New Roman" panose="02020603050405020304" pitchFamily="18" charset="0"/>
              <a:ea typeface="+mn-ea"/>
              <a:cs typeface="Times New Roman" panose="02020603050405020304" pitchFamily="18" charset="0"/>
            </a:rPr>
            <a:t>Mediante el análisis de la información financiera y las valoraciones de las entrevistas realizadas, con el propósito de axtraer conclusiones a partir de lo estudiado. </a:t>
          </a:r>
          <a:endParaRPr lang="es-HN" sz="900">
            <a:solidFill>
              <a:sysClr val="windowText" lastClr="000000"/>
            </a:solidFill>
            <a:latin typeface="Times New Roman" panose="02020603050405020304" pitchFamily="18" charset="0"/>
            <a:ea typeface="+mn-ea"/>
            <a:cs typeface="Times New Roman" panose="02020603050405020304" pitchFamily="18" charset="0"/>
          </a:endParaRPr>
        </a:p>
      </dgm:t>
    </dgm:pt>
    <dgm:pt modelId="{02D4163A-69F3-40FD-9DF7-3F603A72DA67}" type="parTrans" cxnId="{709FA07B-2488-4C6A-96F8-9825AE71FEEF}">
      <dgm:prSet/>
      <dgm:spPr/>
      <dgm:t>
        <a:bodyPr/>
        <a:lstStyle/>
        <a:p>
          <a:pPr algn="ctr"/>
          <a:endParaRPr lang="es-ES" sz="900">
            <a:solidFill>
              <a:sysClr val="windowText" lastClr="000000"/>
            </a:solidFill>
          </a:endParaRPr>
        </a:p>
      </dgm:t>
    </dgm:pt>
    <dgm:pt modelId="{999EC66A-3B69-46CF-A64B-FEBEAE3E357F}" type="sibTrans" cxnId="{709FA07B-2488-4C6A-96F8-9825AE71FEEF}">
      <dgm:prSet/>
      <dgm:spPr/>
      <dgm:t>
        <a:bodyPr/>
        <a:lstStyle/>
        <a:p>
          <a:pPr algn="ctr"/>
          <a:endParaRPr lang="es-ES" sz="900">
            <a:solidFill>
              <a:sysClr val="windowText" lastClr="000000"/>
            </a:solidFill>
          </a:endParaRPr>
        </a:p>
      </dgm:t>
    </dgm:pt>
    <dgm:pt modelId="{5F7419EA-63BC-4922-86D8-A2DBA9250B46}">
      <dgm:prSet phldrT="[Texto]" custT="1"/>
      <dgm:spPr>
        <a:xfrm rot="5400000">
          <a:off x="2533228" y="-220248"/>
          <a:ext cx="608174" cy="4364717"/>
        </a:xfr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gm:spPr>
      <dgm:t>
        <a:bodyPr/>
        <a:lstStyle/>
        <a:p>
          <a:pPr algn="ctr">
            <a:buChar char="•"/>
          </a:pPr>
          <a:r>
            <a:rPr lang="es-HN" sz="900" b="1">
              <a:solidFill>
                <a:sysClr val="windowText" lastClr="000000"/>
              </a:solidFill>
              <a:latin typeface="Times New Roman" panose="02020603050405020304" pitchFamily="18" charset="0"/>
              <a:ea typeface="+mn-ea"/>
              <a:cs typeface="Times New Roman" panose="02020603050405020304" pitchFamily="18" charset="0"/>
            </a:rPr>
            <a:t>No experimental</a:t>
          </a:r>
          <a:r>
            <a:rPr lang="es-HN" sz="900">
              <a:solidFill>
                <a:sysClr val="windowText" lastClr="000000"/>
              </a:solidFill>
              <a:latin typeface="Times New Roman" panose="02020603050405020304" pitchFamily="18" charset="0"/>
              <a:ea typeface="+mn-ea"/>
              <a:cs typeface="Times New Roman" panose="02020603050405020304" pitchFamily="18" charset="0"/>
            </a:rPr>
            <a:t>: al no manipular las variables ni influir sobre ellas, se busca caracterizar y describir el comportamiento de las variables mediante la optención de datos financieros y económicos. </a:t>
          </a:r>
        </a:p>
      </dgm:t>
    </dgm:pt>
    <dgm:pt modelId="{C10A2282-1DA6-4615-BB94-00E975AB20B2}" type="parTrans" cxnId="{35A99B6C-E9E0-4265-97BC-E99E12E03708}">
      <dgm:prSet/>
      <dgm:spPr/>
      <dgm:t>
        <a:bodyPr/>
        <a:lstStyle/>
        <a:p>
          <a:endParaRPr lang="es-HN"/>
        </a:p>
      </dgm:t>
    </dgm:pt>
    <dgm:pt modelId="{56648315-3B79-475C-BA25-7850833282DA}" type="sibTrans" cxnId="{35A99B6C-E9E0-4265-97BC-E99E12E03708}">
      <dgm:prSet/>
      <dgm:spPr/>
      <dgm:t>
        <a:bodyPr/>
        <a:lstStyle/>
        <a:p>
          <a:endParaRPr lang="es-HN"/>
        </a:p>
      </dgm:t>
    </dgm:pt>
    <dgm:pt modelId="{7AB15AC2-0A4C-40B6-B4F5-2B68564D8D27}">
      <dgm:prSet phldrT="[Texto]" custT="1"/>
      <dgm:spPr>
        <a:xfrm rot="5400000">
          <a:off x="2533228" y="1478579"/>
          <a:ext cx="608174" cy="4364717"/>
        </a:xfr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gm:spPr>
      <dgm:t>
        <a:bodyPr/>
        <a:lstStyle/>
        <a:p>
          <a:pPr algn="ctr">
            <a:buChar char="•"/>
          </a:pPr>
          <a:r>
            <a:rPr lang="es-HN" sz="900" b="1">
              <a:solidFill>
                <a:sysClr val="windowText" lastClr="000000"/>
              </a:solidFill>
              <a:latin typeface="Times New Roman" panose="02020603050405020304" pitchFamily="18" charset="0"/>
              <a:ea typeface="+mn-ea"/>
              <a:cs typeface="Times New Roman" panose="02020603050405020304" pitchFamily="18" charset="0"/>
            </a:rPr>
            <a:t>Muestreo por convenencia. </a:t>
          </a:r>
        </a:p>
      </dgm:t>
    </dgm:pt>
    <dgm:pt modelId="{CA1A4170-A309-42D1-B668-5CDE8BDE2065}" type="parTrans" cxnId="{0C323DBE-63E7-4491-AE80-E22CC75AFB15}">
      <dgm:prSet/>
      <dgm:spPr/>
      <dgm:t>
        <a:bodyPr/>
        <a:lstStyle/>
        <a:p>
          <a:endParaRPr lang="es-HN"/>
        </a:p>
      </dgm:t>
    </dgm:pt>
    <dgm:pt modelId="{9AE1FE61-D8B1-4885-A2A8-73C648D9F6BF}" type="sibTrans" cxnId="{0C323DBE-63E7-4491-AE80-E22CC75AFB15}">
      <dgm:prSet/>
      <dgm:spPr/>
      <dgm:t>
        <a:bodyPr/>
        <a:lstStyle/>
        <a:p>
          <a:endParaRPr lang="es-HN"/>
        </a:p>
      </dgm:t>
    </dgm:pt>
    <dgm:pt modelId="{6A299C16-1609-4EE5-97AF-F83080760E81}">
      <dgm:prSet phldrT="[Texto]" custT="1"/>
      <dgm:spPr>
        <a:xfrm rot="5400000">
          <a:off x="2533228" y="-220248"/>
          <a:ext cx="608174" cy="4364717"/>
        </a:xfr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gm:spPr>
      <dgm:t>
        <a:bodyPr/>
        <a:lstStyle/>
        <a:p>
          <a:pPr algn="ctr">
            <a:buChar char="•"/>
          </a:pPr>
          <a:r>
            <a:rPr lang="es-HN" sz="900" b="1">
              <a:solidFill>
                <a:sysClr val="windowText" lastClr="000000"/>
              </a:solidFill>
              <a:latin typeface="Times New Roman" panose="02020603050405020304" pitchFamily="18" charset="0"/>
              <a:ea typeface="+mn-ea"/>
              <a:cs typeface="Times New Roman" panose="02020603050405020304" pitchFamily="18" charset="0"/>
            </a:rPr>
            <a:t>Fenomenológico: </a:t>
          </a:r>
          <a:r>
            <a:rPr lang="es-HN" sz="900">
              <a:solidFill>
                <a:sysClr val="windowText" lastClr="000000"/>
              </a:solidFill>
              <a:latin typeface="Times New Roman" panose="02020603050405020304" pitchFamily="18" charset="0"/>
              <a:ea typeface="+mn-ea"/>
              <a:cs typeface="Times New Roman" panose="02020603050405020304" pitchFamily="18" charset="0"/>
            </a:rPr>
            <a:t>se buscara explorar y comprender en profundidad las experiencias subjetivas de las personas en relación con el fenómeno de estudio.</a:t>
          </a:r>
        </a:p>
      </dgm:t>
    </dgm:pt>
    <dgm:pt modelId="{517C413C-C720-48BC-A3EC-8F360B0FC685}" type="parTrans" cxnId="{1A14128B-A2AC-4749-B6AC-A606EB462584}">
      <dgm:prSet/>
      <dgm:spPr/>
      <dgm:t>
        <a:bodyPr/>
        <a:lstStyle/>
        <a:p>
          <a:endParaRPr lang="es-HN"/>
        </a:p>
      </dgm:t>
    </dgm:pt>
    <dgm:pt modelId="{1DF3DD1F-0F15-40A0-A73A-E4D4509DEE8E}" type="sibTrans" cxnId="{1A14128B-A2AC-4749-B6AC-A606EB462584}">
      <dgm:prSet/>
      <dgm:spPr/>
      <dgm:t>
        <a:bodyPr/>
        <a:lstStyle/>
        <a:p>
          <a:endParaRPr lang="es-HN"/>
        </a:p>
      </dgm:t>
    </dgm:pt>
    <dgm:pt modelId="{72EBBAED-A319-44ED-91D3-B20882F5B560}" type="pres">
      <dgm:prSet presAssocID="{1C16EA86-24A0-463F-8829-F850DDE132AE}" presName="linearFlow" presStyleCnt="0">
        <dgm:presLayoutVars>
          <dgm:dir/>
          <dgm:animLvl val="lvl"/>
          <dgm:resizeHandles val="exact"/>
        </dgm:presLayoutVars>
      </dgm:prSet>
      <dgm:spPr/>
    </dgm:pt>
    <dgm:pt modelId="{DFE6E069-7673-4CFF-A0F6-11B8013A7099}" type="pres">
      <dgm:prSet presAssocID="{C644C7F9-99B9-4FE9-A7A4-B147EAFF26CA}" presName="composite" presStyleCnt="0"/>
      <dgm:spPr/>
    </dgm:pt>
    <dgm:pt modelId="{1FC5CD41-D82A-43AA-B06D-9DBE85CB0DE5}" type="pres">
      <dgm:prSet presAssocID="{C644C7F9-99B9-4FE9-A7A4-B147EAFF26CA}" presName="parentText" presStyleLbl="alignNode1" presStyleIdx="0" presStyleCnt="5">
        <dgm:presLayoutVars>
          <dgm:chMax val="1"/>
          <dgm:bulletEnabled val="1"/>
        </dgm:presLayoutVars>
      </dgm:prSet>
      <dgm:spPr>
        <a:prstGeom prst="chevron">
          <a:avLst/>
        </a:prstGeom>
      </dgm:spPr>
    </dgm:pt>
    <dgm:pt modelId="{176E6A3B-D410-472C-A4E4-981A46AD0C6F}" type="pres">
      <dgm:prSet presAssocID="{C644C7F9-99B9-4FE9-A7A4-B147EAFF26CA}" presName="descendantText" presStyleLbl="alignAcc1" presStyleIdx="0" presStyleCnt="5">
        <dgm:presLayoutVars>
          <dgm:bulletEnabled val="1"/>
        </dgm:presLayoutVars>
      </dgm:prSet>
      <dgm:spPr>
        <a:prstGeom prst="round2SameRect">
          <a:avLst/>
        </a:prstGeom>
      </dgm:spPr>
    </dgm:pt>
    <dgm:pt modelId="{16173AF6-20F6-4E1B-B03C-260C74558B57}" type="pres">
      <dgm:prSet presAssocID="{31549F1C-5C35-43E3-99D8-25BACAA6EBB7}" presName="sp" presStyleCnt="0"/>
      <dgm:spPr/>
    </dgm:pt>
    <dgm:pt modelId="{4C48F263-9EC2-4E36-A428-CB7666E86870}" type="pres">
      <dgm:prSet presAssocID="{83993AFC-8059-4B38-8019-0E1A593BD4C9}" presName="composite" presStyleCnt="0"/>
      <dgm:spPr/>
    </dgm:pt>
    <dgm:pt modelId="{3162AD10-1118-475E-9BB5-CCF845F6A982}" type="pres">
      <dgm:prSet presAssocID="{83993AFC-8059-4B38-8019-0E1A593BD4C9}" presName="parentText" presStyleLbl="alignNode1" presStyleIdx="1" presStyleCnt="5">
        <dgm:presLayoutVars>
          <dgm:chMax val="1"/>
          <dgm:bulletEnabled val="1"/>
        </dgm:presLayoutVars>
      </dgm:prSet>
      <dgm:spPr>
        <a:prstGeom prst="chevron">
          <a:avLst/>
        </a:prstGeom>
      </dgm:spPr>
    </dgm:pt>
    <dgm:pt modelId="{95DD86A2-D1E9-4D48-98BA-FEB97F3994B6}" type="pres">
      <dgm:prSet presAssocID="{83993AFC-8059-4B38-8019-0E1A593BD4C9}" presName="descendantText" presStyleLbl="alignAcc1" presStyleIdx="1" presStyleCnt="5">
        <dgm:presLayoutVars>
          <dgm:bulletEnabled val="1"/>
        </dgm:presLayoutVars>
      </dgm:prSet>
      <dgm:spPr>
        <a:prstGeom prst="round2SameRect">
          <a:avLst/>
        </a:prstGeom>
      </dgm:spPr>
    </dgm:pt>
    <dgm:pt modelId="{CBFF6CE6-4FB9-4098-9DD6-A2E6857964DE}" type="pres">
      <dgm:prSet presAssocID="{532CFBAA-8039-43E6-A23C-FD29C7D7C712}" presName="sp" presStyleCnt="0"/>
      <dgm:spPr/>
    </dgm:pt>
    <dgm:pt modelId="{7AF7E796-0B5E-42BF-BB82-CD935604C51E}" type="pres">
      <dgm:prSet presAssocID="{70F3141E-CFE3-4CAD-98F2-C0A919175F64}" presName="composite" presStyleCnt="0"/>
      <dgm:spPr/>
    </dgm:pt>
    <dgm:pt modelId="{039548B0-7563-46B3-995E-03AAD0B2D6DB}" type="pres">
      <dgm:prSet presAssocID="{70F3141E-CFE3-4CAD-98F2-C0A919175F64}" presName="parentText" presStyleLbl="alignNode1" presStyleIdx="2" presStyleCnt="5" custScaleY="119730">
        <dgm:presLayoutVars>
          <dgm:chMax val="1"/>
          <dgm:bulletEnabled val="1"/>
        </dgm:presLayoutVars>
      </dgm:prSet>
      <dgm:spPr>
        <a:prstGeom prst="chevron">
          <a:avLst/>
        </a:prstGeom>
      </dgm:spPr>
    </dgm:pt>
    <dgm:pt modelId="{5007D1DC-F4E4-4FF6-A912-586CB300D57B}" type="pres">
      <dgm:prSet presAssocID="{70F3141E-CFE3-4CAD-98F2-C0A919175F64}" presName="descendantText" presStyleLbl="alignAcc1" presStyleIdx="2" presStyleCnt="5" custScaleY="130549" custLinFactNeighborX="0" custLinFactNeighborY="0">
        <dgm:presLayoutVars>
          <dgm:bulletEnabled val="1"/>
        </dgm:presLayoutVars>
      </dgm:prSet>
      <dgm:spPr>
        <a:prstGeom prst="round2SameRect">
          <a:avLst/>
        </a:prstGeom>
      </dgm:spPr>
    </dgm:pt>
    <dgm:pt modelId="{1606BDF9-558E-4E80-9F4A-4F18A0E9330D}" type="pres">
      <dgm:prSet presAssocID="{F32CAE0F-409A-44BD-8F06-F90032DB5A5D}" presName="sp" presStyleCnt="0"/>
      <dgm:spPr/>
    </dgm:pt>
    <dgm:pt modelId="{803F0ABF-8E0E-40D0-861F-8E410C78236B}" type="pres">
      <dgm:prSet presAssocID="{32C94621-45AC-417E-BC05-8C017186A90E}" presName="composite" presStyleCnt="0"/>
      <dgm:spPr/>
    </dgm:pt>
    <dgm:pt modelId="{9AA2271D-F44E-44DB-9A00-462F7028C88D}" type="pres">
      <dgm:prSet presAssocID="{32C94621-45AC-417E-BC05-8C017186A90E}" presName="parentText" presStyleLbl="alignNode1" presStyleIdx="3" presStyleCnt="5" custScaleY="87470" custLinFactNeighborY="-4064">
        <dgm:presLayoutVars>
          <dgm:chMax val="1"/>
          <dgm:bulletEnabled val="1"/>
        </dgm:presLayoutVars>
      </dgm:prSet>
      <dgm:spPr>
        <a:prstGeom prst="chevron">
          <a:avLst/>
        </a:prstGeom>
      </dgm:spPr>
    </dgm:pt>
    <dgm:pt modelId="{17A70F10-7AB9-4473-8A7A-B2954C071255}" type="pres">
      <dgm:prSet presAssocID="{32C94621-45AC-417E-BC05-8C017186A90E}" presName="descendantText" presStyleLbl="alignAcc1" presStyleIdx="3" presStyleCnt="5" custScaleY="79372" custLinFactNeighborX="379" custLinFactNeighborY="-5407">
        <dgm:presLayoutVars>
          <dgm:bulletEnabled val="1"/>
        </dgm:presLayoutVars>
      </dgm:prSet>
      <dgm:spPr>
        <a:prstGeom prst="round2SameRect">
          <a:avLst/>
        </a:prstGeom>
      </dgm:spPr>
    </dgm:pt>
    <dgm:pt modelId="{2429DBCC-FC52-4E89-B557-34E69FF5D1CF}" type="pres">
      <dgm:prSet presAssocID="{3B4DF668-3034-48C6-AA4A-797661AFD400}" presName="sp" presStyleCnt="0"/>
      <dgm:spPr/>
    </dgm:pt>
    <dgm:pt modelId="{71D0482A-6BFE-4E1E-A316-88925A06DEF2}" type="pres">
      <dgm:prSet presAssocID="{9515660E-461B-4AA3-B09E-5DD331E6101D}" presName="composite" presStyleCnt="0"/>
      <dgm:spPr/>
    </dgm:pt>
    <dgm:pt modelId="{EF001624-2B0F-42D0-BB39-8A4BAE5AC29C}" type="pres">
      <dgm:prSet presAssocID="{9515660E-461B-4AA3-B09E-5DD331E6101D}" presName="parentText" presStyleLbl="alignNode1" presStyleIdx="4" presStyleCnt="5" custLinFactNeighborX="0" custLinFactNeighborY="-16845">
        <dgm:presLayoutVars>
          <dgm:chMax val="1"/>
          <dgm:bulletEnabled val="1"/>
        </dgm:presLayoutVars>
      </dgm:prSet>
      <dgm:spPr>
        <a:prstGeom prst="chevron">
          <a:avLst/>
        </a:prstGeom>
      </dgm:spPr>
    </dgm:pt>
    <dgm:pt modelId="{6873B18E-E40D-492D-9EC3-3EC45DBCAE25}" type="pres">
      <dgm:prSet presAssocID="{9515660E-461B-4AA3-B09E-5DD331E6101D}" presName="descendantText" presStyleLbl="alignAcc1" presStyleIdx="4" presStyleCnt="5" custScaleY="93418" custLinFactNeighborX="6" custLinFactNeighborY="-25915">
        <dgm:presLayoutVars>
          <dgm:bulletEnabled val="1"/>
        </dgm:presLayoutVars>
      </dgm:prSet>
      <dgm:spPr>
        <a:prstGeom prst="round2SameRect">
          <a:avLst/>
        </a:prstGeom>
      </dgm:spPr>
    </dgm:pt>
  </dgm:ptLst>
  <dgm:cxnLst>
    <dgm:cxn modelId="{28981001-B48A-45C6-B562-8138A17118A5}" type="presOf" srcId="{32C94621-45AC-417E-BC05-8C017186A90E}" destId="{9AA2271D-F44E-44DB-9A00-462F7028C88D}" srcOrd="0" destOrd="0" presId="urn:microsoft.com/office/officeart/2005/8/layout/chevron2"/>
    <dgm:cxn modelId="{E6BA6402-7D94-444A-A016-68A9B66F5AD7}" type="presOf" srcId="{70F3141E-CFE3-4CAD-98F2-C0A919175F64}" destId="{039548B0-7563-46B3-995E-03AAD0B2D6DB}" srcOrd="0" destOrd="0" presId="urn:microsoft.com/office/officeart/2005/8/layout/chevron2"/>
    <dgm:cxn modelId="{6ADBED0A-5335-4461-9DBC-5CCCF0972D8B}" type="presOf" srcId="{B60DA7FB-7096-4647-B224-076D81BEDE5D}" destId="{95DD86A2-D1E9-4D48-98BA-FEB97F3994B6}" srcOrd="0" destOrd="0" presId="urn:microsoft.com/office/officeart/2005/8/layout/chevron2"/>
    <dgm:cxn modelId="{9C0C0E14-B0DC-4A9B-A7E6-53D14C347F3B}" type="presOf" srcId="{7AB15AC2-0A4C-40B6-B4F5-2B68564D8D27}" destId="{6873B18E-E40D-492D-9EC3-3EC45DBCAE25}" srcOrd="0" destOrd="0" presId="urn:microsoft.com/office/officeart/2005/8/layout/chevron2"/>
    <dgm:cxn modelId="{E6447217-20E1-4FB2-A32E-A442AC73F277}" type="presOf" srcId="{C82C0CBE-BB52-4D48-B1D3-3613721B47C7}" destId="{176E6A3B-D410-472C-A4E4-981A46AD0C6F}" srcOrd="0" destOrd="0" presId="urn:microsoft.com/office/officeart/2005/8/layout/chevron2"/>
    <dgm:cxn modelId="{5C7E0623-E4A6-485C-B85F-15B078F9585A}" type="presOf" srcId="{1C16EA86-24A0-463F-8829-F850DDE132AE}" destId="{72EBBAED-A319-44ED-91D3-B20882F5B560}" srcOrd="0" destOrd="0" presId="urn:microsoft.com/office/officeart/2005/8/layout/chevron2"/>
    <dgm:cxn modelId="{C7D47A34-96F1-4414-9251-1661955489C2}" type="presOf" srcId="{5F7419EA-63BC-4922-86D8-A2DBA9250B46}" destId="{5007D1DC-F4E4-4FF6-A912-586CB300D57B}" srcOrd="0" destOrd="0" presId="urn:microsoft.com/office/officeart/2005/8/layout/chevron2"/>
    <dgm:cxn modelId="{3A63EF5E-CDEC-4004-9809-2B0296DAC75A}" type="presOf" srcId="{C644C7F9-99B9-4FE9-A7A4-B147EAFF26CA}" destId="{1FC5CD41-D82A-43AA-B06D-9DBE85CB0DE5}" srcOrd="0" destOrd="0" presId="urn:microsoft.com/office/officeart/2005/8/layout/chevron2"/>
    <dgm:cxn modelId="{6484AC61-41B6-4F6B-BE62-2C6EBC6FB952}" type="presOf" srcId="{6A299C16-1609-4EE5-97AF-F83080760E81}" destId="{5007D1DC-F4E4-4FF6-A912-586CB300D57B}" srcOrd="0" destOrd="1" presId="urn:microsoft.com/office/officeart/2005/8/layout/chevron2"/>
    <dgm:cxn modelId="{C646F242-3EFF-42FE-A7DD-4C7B8BA44E98}" srcId="{9515660E-461B-4AA3-B09E-5DD331E6101D}" destId="{351D956D-4A6A-4CF3-91B6-C2DF8F882EE0}" srcOrd="1" destOrd="0" parTransId="{239B0E58-B3AA-41CC-A07E-60E39BF1EA4E}" sibTransId="{3C6F76D6-B12E-4D53-8E26-6B27730D7211}"/>
    <dgm:cxn modelId="{0AE9216B-A83B-457B-A485-9C6E90134A05}" type="presOf" srcId="{351D956D-4A6A-4CF3-91B6-C2DF8F882EE0}" destId="{6873B18E-E40D-492D-9EC3-3EC45DBCAE25}" srcOrd="0" destOrd="1" presId="urn:microsoft.com/office/officeart/2005/8/layout/chevron2"/>
    <dgm:cxn modelId="{35A99B6C-E9E0-4265-97BC-E99E12E03708}" srcId="{70F3141E-CFE3-4CAD-98F2-C0A919175F64}" destId="{5F7419EA-63BC-4922-86D8-A2DBA9250B46}" srcOrd="0" destOrd="0" parTransId="{C10A2282-1DA6-4615-BB94-00E975AB20B2}" sibTransId="{56648315-3B79-475C-BA25-7850833282DA}"/>
    <dgm:cxn modelId="{F3CF9B57-C693-452A-B8FC-8255B421B5C8}" srcId="{83993AFC-8059-4B38-8019-0E1A593BD4C9}" destId="{B60DA7FB-7096-4647-B224-076D81BEDE5D}" srcOrd="0" destOrd="0" parTransId="{652052D2-81A1-4DB8-A734-8C2DF909734E}" sibTransId="{A5AED103-9023-4EAF-9DCF-59D7FC43788C}"/>
    <dgm:cxn modelId="{709FA07B-2488-4C6A-96F8-9825AE71FEEF}" srcId="{32C94621-45AC-417E-BC05-8C017186A90E}" destId="{1EA3450E-865E-4A5C-9490-C477B7F7BA67}" srcOrd="0" destOrd="0" parTransId="{02D4163A-69F3-40FD-9DF7-3F603A72DA67}" sibTransId="{999EC66A-3B69-46CF-A64B-FEBEAE3E357F}"/>
    <dgm:cxn modelId="{1A14128B-A2AC-4749-B6AC-A606EB462584}" srcId="{70F3141E-CFE3-4CAD-98F2-C0A919175F64}" destId="{6A299C16-1609-4EE5-97AF-F83080760E81}" srcOrd="1" destOrd="0" parTransId="{517C413C-C720-48BC-A3EC-8F360B0FC685}" sibTransId="{1DF3DD1F-0F15-40A0-A73A-E4D4509DEE8E}"/>
    <dgm:cxn modelId="{EA9ADBA0-5EC7-49E2-BFC8-3979B5053DB4}" type="presOf" srcId="{83993AFC-8059-4B38-8019-0E1A593BD4C9}" destId="{3162AD10-1118-475E-9BB5-CCF845F6A982}" srcOrd="0" destOrd="0" presId="urn:microsoft.com/office/officeart/2005/8/layout/chevron2"/>
    <dgm:cxn modelId="{DD877BA8-8BF3-4D05-ADD7-6551055856D2}" srcId="{1C16EA86-24A0-463F-8829-F850DDE132AE}" destId="{83993AFC-8059-4B38-8019-0E1A593BD4C9}" srcOrd="1" destOrd="0" parTransId="{A9255202-5E45-44AA-8207-ABB596ABC56A}" sibTransId="{532CFBAA-8039-43E6-A23C-FD29C7D7C712}"/>
    <dgm:cxn modelId="{5BE0D5B6-B7DE-4038-9748-7BACF2BE8DB8}" type="presOf" srcId="{1EA3450E-865E-4A5C-9490-C477B7F7BA67}" destId="{17A70F10-7AB9-4473-8A7A-B2954C071255}" srcOrd="0" destOrd="0" presId="urn:microsoft.com/office/officeart/2005/8/layout/chevron2"/>
    <dgm:cxn modelId="{621721BB-E6D5-4472-912D-5281621A17D2}" srcId="{1C16EA86-24A0-463F-8829-F850DDE132AE}" destId="{70F3141E-CFE3-4CAD-98F2-C0A919175F64}" srcOrd="2" destOrd="0" parTransId="{C06025B2-D0C9-4DC5-8D4A-6DEE9069460F}" sibTransId="{F32CAE0F-409A-44BD-8F06-F90032DB5A5D}"/>
    <dgm:cxn modelId="{F2C390BD-347E-4255-953D-775A4DAF29C1}" type="presOf" srcId="{9515660E-461B-4AA3-B09E-5DD331E6101D}" destId="{EF001624-2B0F-42D0-BB39-8A4BAE5AC29C}" srcOrd="0" destOrd="0" presId="urn:microsoft.com/office/officeart/2005/8/layout/chevron2"/>
    <dgm:cxn modelId="{0C323DBE-63E7-4491-AE80-E22CC75AFB15}" srcId="{9515660E-461B-4AA3-B09E-5DD331E6101D}" destId="{7AB15AC2-0A4C-40B6-B4F5-2B68564D8D27}" srcOrd="0" destOrd="0" parTransId="{CA1A4170-A309-42D1-B668-5CDE8BDE2065}" sibTransId="{9AE1FE61-D8B1-4885-A2A8-73C648D9F6BF}"/>
    <dgm:cxn modelId="{768007C0-6966-433F-9FBB-B011DAFE1478}" srcId="{C644C7F9-99B9-4FE9-A7A4-B147EAFF26CA}" destId="{C82C0CBE-BB52-4D48-B1D3-3613721B47C7}" srcOrd="0" destOrd="0" parTransId="{5816C785-1C02-41F4-B2F9-A34A82B25D95}" sibTransId="{31B30E30-76B9-447D-9F9C-2BF61DFF4D1B}"/>
    <dgm:cxn modelId="{B85B8EC8-E680-4A16-A0DE-B6522F27E645}" srcId="{1C16EA86-24A0-463F-8829-F850DDE132AE}" destId="{C644C7F9-99B9-4FE9-A7A4-B147EAFF26CA}" srcOrd="0" destOrd="0" parTransId="{932F4C37-0EA7-41C3-81DF-E6B8B2A66EC1}" sibTransId="{31549F1C-5C35-43E3-99D8-25BACAA6EBB7}"/>
    <dgm:cxn modelId="{487A73CE-514F-4C00-BA9B-2D21A6FFE7BA}" srcId="{1C16EA86-24A0-463F-8829-F850DDE132AE}" destId="{32C94621-45AC-417E-BC05-8C017186A90E}" srcOrd="3" destOrd="0" parTransId="{91DA8602-4331-4C34-9CE9-7EFF731F4D26}" sibTransId="{3B4DF668-3034-48C6-AA4A-797661AFD400}"/>
    <dgm:cxn modelId="{0118D7D8-7FDC-4937-87E4-7115223D836B}" srcId="{1C16EA86-24A0-463F-8829-F850DDE132AE}" destId="{9515660E-461B-4AA3-B09E-5DD331E6101D}" srcOrd="4" destOrd="0" parTransId="{6B0D15B5-F89B-4845-8106-098A32EAA5AB}" sibTransId="{639151A8-BBE4-4250-9BA3-4B224A3829EC}"/>
    <dgm:cxn modelId="{6D11748E-A7AA-44EB-BCBF-FF295CDDF3E5}" type="presParOf" srcId="{72EBBAED-A319-44ED-91D3-B20882F5B560}" destId="{DFE6E069-7673-4CFF-A0F6-11B8013A7099}" srcOrd="0" destOrd="0" presId="urn:microsoft.com/office/officeart/2005/8/layout/chevron2"/>
    <dgm:cxn modelId="{8686243D-5295-47F4-9CE1-02F575A28772}" type="presParOf" srcId="{DFE6E069-7673-4CFF-A0F6-11B8013A7099}" destId="{1FC5CD41-D82A-43AA-B06D-9DBE85CB0DE5}" srcOrd="0" destOrd="0" presId="urn:microsoft.com/office/officeart/2005/8/layout/chevron2"/>
    <dgm:cxn modelId="{BE96F712-A712-4CE0-A378-4246574927BC}" type="presParOf" srcId="{DFE6E069-7673-4CFF-A0F6-11B8013A7099}" destId="{176E6A3B-D410-472C-A4E4-981A46AD0C6F}" srcOrd="1" destOrd="0" presId="urn:microsoft.com/office/officeart/2005/8/layout/chevron2"/>
    <dgm:cxn modelId="{D843BE25-77C1-4587-8D11-4955EDF15F9A}" type="presParOf" srcId="{72EBBAED-A319-44ED-91D3-B20882F5B560}" destId="{16173AF6-20F6-4E1B-B03C-260C74558B57}" srcOrd="1" destOrd="0" presId="urn:microsoft.com/office/officeart/2005/8/layout/chevron2"/>
    <dgm:cxn modelId="{5C9265D7-C8D5-4846-9A3D-0409A67C5E1A}" type="presParOf" srcId="{72EBBAED-A319-44ED-91D3-B20882F5B560}" destId="{4C48F263-9EC2-4E36-A428-CB7666E86870}" srcOrd="2" destOrd="0" presId="urn:microsoft.com/office/officeart/2005/8/layout/chevron2"/>
    <dgm:cxn modelId="{12754CF2-A4C7-4DF8-88A7-E7C907A42DA0}" type="presParOf" srcId="{4C48F263-9EC2-4E36-A428-CB7666E86870}" destId="{3162AD10-1118-475E-9BB5-CCF845F6A982}" srcOrd="0" destOrd="0" presId="urn:microsoft.com/office/officeart/2005/8/layout/chevron2"/>
    <dgm:cxn modelId="{68ACE791-915E-44BD-B957-0C342A9F6F6A}" type="presParOf" srcId="{4C48F263-9EC2-4E36-A428-CB7666E86870}" destId="{95DD86A2-D1E9-4D48-98BA-FEB97F3994B6}" srcOrd="1" destOrd="0" presId="urn:microsoft.com/office/officeart/2005/8/layout/chevron2"/>
    <dgm:cxn modelId="{36D39D75-2CA4-4DBD-87BD-B7BD89958CE5}" type="presParOf" srcId="{72EBBAED-A319-44ED-91D3-B20882F5B560}" destId="{CBFF6CE6-4FB9-4098-9DD6-A2E6857964DE}" srcOrd="3" destOrd="0" presId="urn:microsoft.com/office/officeart/2005/8/layout/chevron2"/>
    <dgm:cxn modelId="{9F8A926C-B28B-40F7-B587-2A5498F187E9}" type="presParOf" srcId="{72EBBAED-A319-44ED-91D3-B20882F5B560}" destId="{7AF7E796-0B5E-42BF-BB82-CD935604C51E}" srcOrd="4" destOrd="0" presId="urn:microsoft.com/office/officeart/2005/8/layout/chevron2"/>
    <dgm:cxn modelId="{D83EF728-B1DA-4850-A3F1-E2D12DD1E1A8}" type="presParOf" srcId="{7AF7E796-0B5E-42BF-BB82-CD935604C51E}" destId="{039548B0-7563-46B3-995E-03AAD0B2D6DB}" srcOrd="0" destOrd="0" presId="urn:microsoft.com/office/officeart/2005/8/layout/chevron2"/>
    <dgm:cxn modelId="{ACBDE7B9-2CCA-467F-8D7A-223B45F56581}" type="presParOf" srcId="{7AF7E796-0B5E-42BF-BB82-CD935604C51E}" destId="{5007D1DC-F4E4-4FF6-A912-586CB300D57B}" srcOrd="1" destOrd="0" presId="urn:microsoft.com/office/officeart/2005/8/layout/chevron2"/>
    <dgm:cxn modelId="{72965319-8384-48EB-8AC5-95F3267A8B66}" type="presParOf" srcId="{72EBBAED-A319-44ED-91D3-B20882F5B560}" destId="{1606BDF9-558E-4E80-9F4A-4F18A0E9330D}" srcOrd="5" destOrd="0" presId="urn:microsoft.com/office/officeart/2005/8/layout/chevron2"/>
    <dgm:cxn modelId="{27AF55E2-D39C-455E-8B57-27A89B881F9A}" type="presParOf" srcId="{72EBBAED-A319-44ED-91D3-B20882F5B560}" destId="{803F0ABF-8E0E-40D0-861F-8E410C78236B}" srcOrd="6" destOrd="0" presId="urn:microsoft.com/office/officeart/2005/8/layout/chevron2"/>
    <dgm:cxn modelId="{2A5A4FA2-4C99-4A5E-8C9E-68CC0198682C}" type="presParOf" srcId="{803F0ABF-8E0E-40D0-861F-8E410C78236B}" destId="{9AA2271D-F44E-44DB-9A00-462F7028C88D}" srcOrd="0" destOrd="0" presId="urn:microsoft.com/office/officeart/2005/8/layout/chevron2"/>
    <dgm:cxn modelId="{A3FE796C-EA18-419D-85B2-82AC3E1E7F25}" type="presParOf" srcId="{803F0ABF-8E0E-40D0-861F-8E410C78236B}" destId="{17A70F10-7AB9-4473-8A7A-B2954C071255}" srcOrd="1" destOrd="0" presId="urn:microsoft.com/office/officeart/2005/8/layout/chevron2"/>
    <dgm:cxn modelId="{81AFBFDD-9C24-48B8-B760-6DFDE2EEB001}" type="presParOf" srcId="{72EBBAED-A319-44ED-91D3-B20882F5B560}" destId="{2429DBCC-FC52-4E89-B557-34E69FF5D1CF}" srcOrd="7" destOrd="0" presId="urn:microsoft.com/office/officeart/2005/8/layout/chevron2"/>
    <dgm:cxn modelId="{85CEFFF2-2302-4146-863C-57D7089825E5}" type="presParOf" srcId="{72EBBAED-A319-44ED-91D3-B20882F5B560}" destId="{71D0482A-6BFE-4E1E-A316-88925A06DEF2}" srcOrd="8" destOrd="0" presId="urn:microsoft.com/office/officeart/2005/8/layout/chevron2"/>
    <dgm:cxn modelId="{78280506-E76B-4E10-908B-FE16466F783E}" type="presParOf" srcId="{71D0482A-6BFE-4E1E-A316-88925A06DEF2}" destId="{EF001624-2B0F-42D0-BB39-8A4BAE5AC29C}" srcOrd="0" destOrd="0" presId="urn:microsoft.com/office/officeart/2005/8/layout/chevron2"/>
    <dgm:cxn modelId="{42632974-8972-4E2B-8543-D9587F71673E}" type="presParOf" srcId="{71D0482A-6BFE-4E1E-A316-88925A06DEF2}" destId="{6873B18E-E40D-492D-9EC3-3EC45DBCAE25}" srcOrd="1" destOrd="0" presId="urn:microsoft.com/office/officeart/2005/8/layout/chevron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3AD6A6-E861-44F0-A3F6-7A91EC82B78B}">
      <dsp:nvSpPr>
        <dsp:cNvPr id="0" name=""/>
        <dsp:cNvSpPr/>
      </dsp:nvSpPr>
      <dsp:spPr>
        <a:xfrm>
          <a:off x="2058024" y="1407606"/>
          <a:ext cx="1370539" cy="1085010"/>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Tasa de interés activa nominal </a:t>
          </a:r>
        </a:p>
      </dsp:txBody>
      <dsp:txXfrm>
        <a:off x="2258735" y="1566502"/>
        <a:ext cx="969117" cy="767218"/>
      </dsp:txXfrm>
    </dsp:sp>
    <dsp:sp modelId="{A86CEB64-7428-449D-8FFB-A365F363CFA4}">
      <dsp:nvSpPr>
        <dsp:cNvPr id="0" name=""/>
        <dsp:cNvSpPr/>
      </dsp:nvSpPr>
      <dsp:spPr>
        <a:xfrm rot="16200000">
          <a:off x="2652647" y="1299323"/>
          <a:ext cx="181292" cy="35274"/>
        </a:xfrm>
        <a:custGeom>
          <a:avLst/>
          <a:gdLst/>
          <a:ahLst/>
          <a:cxnLst/>
          <a:rect l="0" t="0" r="0" b="0"/>
          <a:pathLst>
            <a:path>
              <a:moveTo>
                <a:pt x="0" y="14567"/>
              </a:moveTo>
              <a:lnTo>
                <a:pt x="258375" y="1456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HN"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738761" y="1312427"/>
        <a:ext cx="9064" cy="9064"/>
      </dsp:txXfrm>
    </dsp:sp>
    <dsp:sp modelId="{5246FE92-2F0A-44DF-8626-E46E05DCBEA5}">
      <dsp:nvSpPr>
        <dsp:cNvPr id="0" name=""/>
        <dsp:cNvSpPr/>
      </dsp:nvSpPr>
      <dsp:spPr>
        <a:xfrm>
          <a:off x="1873963" y="141303"/>
          <a:ext cx="1738660" cy="1085010"/>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Macroeconómicos</a:t>
          </a:r>
        </a:p>
      </dsp:txBody>
      <dsp:txXfrm>
        <a:off x="2128584" y="300199"/>
        <a:ext cx="1229418" cy="767218"/>
      </dsp:txXfrm>
    </dsp:sp>
    <dsp:sp modelId="{1A5FD829-7DCC-4452-AEEF-DE4F03518767}">
      <dsp:nvSpPr>
        <dsp:cNvPr id="0" name=""/>
        <dsp:cNvSpPr/>
      </dsp:nvSpPr>
      <dsp:spPr>
        <a:xfrm rot="1621476">
          <a:off x="3311761" y="2257887"/>
          <a:ext cx="139025" cy="35274"/>
        </a:xfrm>
        <a:custGeom>
          <a:avLst/>
          <a:gdLst/>
          <a:ahLst/>
          <a:cxnLst/>
          <a:rect l="0" t="0" r="0" b="0"/>
          <a:pathLst>
            <a:path>
              <a:moveTo>
                <a:pt x="0" y="14567"/>
              </a:moveTo>
              <a:lnTo>
                <a:pt x="137778" y="1456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HN"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377798" y="2272048"/>
        <a:ext cx="6951" cy="6951"/>
      </dsp:txXfrm>
    </dsp:sp>
    <dsp:sp modelId="{F1E7A3C2-69F8-4D04-9DA9-86B3BEBB6CC4}">
      <dsp:nvSpPr>
        <dsp:cNvPr id="0" name=""/>
        <dsp:cNvSpPr/>
      </dsp:nvSpPr>
      <dsp:spPr>
        <a:xfrm>
          <a:off x="3334023" y="2058473"/>
          <a:ext cx="1370162" cy="1084774"/>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Políticas Gubernamentales</a:t>
          </a:r>
        </a:p>
      </dsp:txBody>
      <dsp:txXfrm>
        <a:off x="3534679" y="2217334"/>
        <a:ext cx="968850" cy="767052"/>
      </dsp:txXfrm>
    </dsp:sp>
    <dsp:sp modelId="{FFFF8E4B-6A28-46B8-9B11-091BB743448A}">
      <dsp:nvSpPr>
        <dsp:cNvPr id="0" name=""/>
        <dsp:cNvSpPr/>
      </dsp:nvSpPr>
      <dsp:spPr>
        <a:xfrm rot="9135828">
          <a:off x="2070546" y="2257789"/>
          <a:ext cx="108129" cy="35274"/>
        </a:xfrm>
        <a:custGeom>
          <a:avLst/>
          <a:gdLst/>
          <a:ahLst/>
          <a:cxnLst/>
          <a:rect l="0" t="0" r="0" b="0"/>
          <a:pathLst>
            <a:path>
              <a:moveTo>
                <a:pt x="0" y="14567"/>
              </a:moveTo>
              <a:lnTo>
                <a:pt x="118538" y="1456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HN"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10800000">
        <a:off x="2121907" y="2272723"/>
        <a:ext cx="5406" cy="5406"/>
      </dsp:txXfrm>
    </dsp:sp>
    <dsp:sp modelId="{C189058A-EE3E-45A9-AB89-3EB226E7CF6F}">
      <dsp:nvSpPr>
        <dsp:cNvPr id="0" name=""/>
        <dsp:cNvSpPr/>
      </dsp:nvSpPr>
      <dsp:spPr>
        <a:xfrm>
          <a:off x="820658" y="2058235"/>
          <a:ext cx="1370539" cy="1085010"/>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Componentes </a:t>
          </a:r>
        </a:p>
        <a:p>
          <a:pPr marL="0" lvl="0" indent="0" algn="ctr" defTabSz="400050">
            <a:lnSpc>
              <a:spcPct val="90000"/>
            </a:lnSpc>
            <a:spcBef>
              <a:spcPct val="0"/>
            </a:spcBef>
            <a:spcAft>
              <a:spcPct val="35000"/>
            </a:spcAft>
            <a:buNone/>
          </a:pPr>
          <a:r>
            <a:rPr lang="es-HN"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Financieros</a:t>
          </a:r>
        </a:p>
      </dsp:txBody>
      <dsp:txXfrm>
        <a:off x="1021369" y="2217131"/>
        <a:ext cx="969117" cy="76721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C5CD41-D82A-43AA-B06D-9DBE85CB0DE5}">
      <dsp:nvSpPr>
        <dsp:cNvPr id="0" name=""/>
        <dsp:cNvSpPr/>
      </dsp:nvSpPr>
      <dsp:spPr>
        <a:xfrm rot="5400000">
          <a:off x="-123680" y="434058"/>
          <a:ext cx="824537" cy="577176"/>
        </a:xfrm>
        <a:prstGeom prst="chevron">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w="6350" cap="flat" cmpd="sng" algn="ctr">
          <a:solidFill>
            <a:srgbClr val="44546A">
              <a:shade val="80000"/>
              <a:hueOff val="0"/>
              <a:satOff val="0"/>
              <a:lumOff val="0"/>
              <a:alphaOff val="0"/>
            </a:srgb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solidFill>
                <a:sysClr val="windowText" lastClr="000000"/>
              </a:solidFill>
              <a:latin typeface="Times New Roman" panose="02020603050405020304" pitchFamily="18" charset="0"/>
              <a:ea typeface="+mn-ea"/>
              <a:cs typeface="Times New Roman" panose="02020603050405020304" pitchFamily="18" charset="0"/>
            </a:rPr>
            <a:t>Enfoque</a:t>
          </a:r>
        </a:p>
      </dsp:txBody>
      <dsp:txXfrm rot="-5400000">
        <a:off x="1" y="598965"/>
        <a:ext cx="577176" cy="247361"/>
      </dsp:txXfrm>
    </dsp:sp>
    <dsp:sp modelId="{176E6A3B-D410-472C-A4E4-981A46AD0C6F}">
      <dsp:nvSpPr>
        <dsp:cNvPr id="0" name=""/>
        <dsp:cNvSpPr/>
      </dsp:nvSpPr>
      <dsp:spPr>
        <a:xfrm rot="5400000">
          <a:off x="2530450" y="-1642896"/>
          <a:ext cx="535949" cy="4442498"/>
        </a:xfrm>
        <a:prstGeom prst="round2SameRect">
          <a:avLst/>
        </a:prstGeo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ctr" defTabSz="400050">
            <a:lnSpc>
              <a:spcPct val="90000"/>
            </a:lnSpc>
            <a:spcBef>
              <a:spcPct val="0"/>
            </a:spcBef>
            <a:spcAft>
              <a:spcPct val="15000"/>
            </a:spcAft>
            <a:buChar char="•"/>
          </a:pPr>
          <a:r>
            <a:rPr lang="es-HN" sz="900" b="1" kern="1200">
              <a:solidFill>
                <a:sysClr val="windowText" lastClr="000000"/>
              </a:solidFill>
              <a:latin typeface="Times New Roman" panose="02020603050405020304" pitchFamily="18" charset="0"/>
              <a:ea typeface="+mn-ea"/>
              <a:cs typeface="Times New Roman" panose="02020603050405020304" pitchFamily="18" charset="0"/>
            </a:rPr>
            <a:t>Mixto:</a:t>
          </a:r>
          <a:r>
            <a:rPr lang="es-HN" sz="900" kern="1200">
              <a:solidFill>
                <a:sysClr val="windowText" lastClr="000000"/>
              </a:solidFill>
              <a:latin typeface="Times New Roman" panose="02020603050405020304" pitchFamily="18" charset="0"/>
              <a:ea typeface="+mn-ea"/>
              <a:cs typeface="Times New Roman" panose="02020603050405020304" pitchFamily="18" charset="0"/>
            </a:rPr>
            <a:t> se desarrolla un </a:t>
          </a:r>
          <a:r>
            <a:rPr lang="es-HN" sz="900" b="0" i="0" kern="1200">
              <a:solidFill>
                <a:sysClr val="windowText" lastClr="000000"/>
              </a:solidFill>
              <a:latin typeface="Times New Roman" panose="02020603050405020304" pitchFamily="18" charset="0"/>
              <a:ea typeface="+mn-ea"/>
              <a:cs typeface="Times New Roman" panose="02020603050405020304" pitchFamily="18" charset="0"/>
            </a:rPr>
            <a:t>proceso que recolecta, analiza y vierte datos cuantitativos y cualitativos, en un mismo estudio.</a:t>
          </a:r>
          <a:endParaRPr lang="es-HN" sz="9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rot="-5400000">
        <a:off x="577176" y="336541"/>
        <a:ext cx="4416335" cy="483623"/>
      </dsp:txXfrm>
    </dsp:sp>
    <dsp:sp modelId="{3162AD10-1118-475E-9BB5-CCF845F6A982}">
      <dsp:nvSpPr>
        <dsp:cNvPr id="0" name=""/>
        <dsp:cNvSpPr/>
      </dsp:nvSpPr>
      <dsp:spPr>
        <a:xfrm rot="5400000">
          <a:off x="-123680" y="1142183"/>
          <a:ext cx="824537" cy="577176"/>
        </a:xfrm>
        <a:prstGeom prst="chevron">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w="6350" cap="flat" cmpd="sng" algn="ctr">
          <a:solidFill>
            <a:srgbClr val="44546A">
              <a:shade val="80000"/>
              <a:hueOff val="0"/>
              <a:satOff val="0"/>
              <a:lumOff val="0"/>
              <a:alphaOff val="0"/>
            </a:srgb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solidFill>
                <a:sysClr val="windowText" lastClr="000000"/>
              </a:solidFill>
              <a:latin typeface="Times New Roman" panose="02020603050405020304" pitchFamily="18" charset="0"/>
              <a:ea typeface="+mn-ea"/>
              <a:cs typeface="Times New Roman" panose="02020603050405020304" pitchFamily="18" charset="0"/>
            </a:rPr>
            <a:t>Alcance</a:t>
          </a:r>
        </a:p>
      </dsp:txBody>
      <dsp:txXfrm rot="-5400000">
        <a:off x="1" y="1307090"/>
        <a:ext cx="577176" cy="247361"/>
      </dsp:txXfrm>
    </dsp:sp>
    <dsp:sp modelId="{95DD86A2-D1E9-4D48-98BA-FEB97F3994B6}">
      <dsp:nvSpPr>
        <dsp:cNvPr id="0" name=""/>
        <dsp:cNvSpPr/>
      </dsp:nvSpPr>
      <dsp:spPr>
        <a:xfrm rot="5400000">
          <a:off x="2530450" y="-934771"/>
          <a:ext cx="535949" cy="4442498"/>
        </a:xfrm>
        <a:prstGeom prst="round2SameRect">
          <a:avLst/>
        </a:prstGeo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ctr" defTabSz="400050">
            <a:lnSpc>
              <a:spcPct val="90000"/>
            </a:lnSpc>
            <a:spcBef>
              <a:spcPct val="0"/>
            </a:spcBef>
            <a:spcAft>
              <a:spcPct val="15000"/>
            </a:spcAft>
            <a:buChar char="•"/>
          </a:pPr>
          <a:r>
            <a:rPr lang="es-ES" sz="900" b="1" kern="1200">
              <a:solidFill>
                <a:sysClr val="windowText" lastClr="000000"/>
              </a:solidFill>
              <a:latin typeface="Times New Roman" panose="02020603050405020304" pitchFamily="18" charset="0"/>
              <a:ea typeface="+mn-ea"/>
              <a:cs typeface="Times New Roman" panose="02020603050405020304" pitchFamily="18" charset="0"/>
            </a:rPr>
            <a:t>Descriptivo:</a:t>
          </a:r>
          <a:r>
            <a:rPr lang="es-ES" sz="900" kern="1200">
              <a:solidFill>
                <a:sysClr val="windowText" lastClr="000000"/>
              </a:solidFill>
              <a:latin typeface="Times New Roman" panose="02020603050405020304" pitchFamily="18" charset="0"/>
              <a:ea typeface="+mn-ea"/>
              <a:cs typeface="Times New Roman" panose="02020603050405020304" pitchFamily="18" charset="0"/>
            </a:rPr>
            <a:t> </a:t>
          </a:r>
          <a:r>
            <a:rPr lang="es-HN" sz="900" kern="1200">
              <a:solidFill>
                <a:sysClr val="windowText" lastClr="000000"/>
              </a:solidFill>
              <a:latin typeface="Times New Roman" panose="02020603050405020304" pitchFamily="18" charset="0"/>
              <a:ea typeface="+mn-ea"/>
              <a:cs typeface="Times New Roman" panose="02020603050405020304" pitchFamily="18" charset="0"/>
            </a:rPr>
            <a:t>se enfocara en describir y caracterizar el fenómeno de estudio tal como es en un período específico, a fin de proporcionar una representación precisa y detallada de los hechos, características o elementos del fenómeno.</a:t>
          </a:r>
        </a:p>
      </dsp:txBody>
      <dsp:txXfrm rot="-5400000">
        <a:off x="577176" y="1044666"/>
        <a:ext cx="4416335" cy="483623"/>
      </dsp:txXfrm>
    </dsp:sp>
    <dsp:sp modelId="{039548B0-7563-46B3-995E-03AAD0B2D6DB}">
      <dsp:nvSpPr>
        <dsp:cNvPr id="0" name=""/>
        <dsp:cNvSpPr/>
      </dsp:nvSpPr>
      <dsp:spPr>
        <a:xfrm rot="5400000">
          <a:off x="-205021" y="1932173"/>
          <a:ext cx="987219" cy="577176"/>
        </a:xfrm>
        <a:prstGeom prst="chevron">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w="6350" cap="flat" cmpd="sng" algn="ctr">
          <a:solidFill>
            <a:srgbClr val="44546A">
              <a:shade val="80000"/>
              <a:hueOff val="0"/>
              <a:satOff val="0"/>
              <a:lumOff val="0"/>
              <a:alphaOff val="0"/>
            </a:srgb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solidFill>
                <a:sysClr val="windowText" lastClr="000000"/>
              </a:solidFill>
              <a:latin typeface="Times New Roman" panose="02020603050405020304" pitchFamily="18" charset="0"/>
              <a:ea typeface="+mn-ea"/>
              <a:cs typeface="Times New Roman" panose="02020603050405020304" pitchFamily="18" charset="0"/>
            </a:rPr>
            <a:t>Diseño</a:t>
          </a:r>
        </a:p>
      </dsp:txBody>
      <dsp:txXfrm rot="-5400000">
        <a:off x="1" y="2015739"/>
        <a:ext cx="577176" cy="410043"/>
      </dsp:txXfrm>
    </dsp:sp>
    <dsp:sp modelId="{5007D1DC-F4E4-4FF6-A912-586CB300D57B}">
      <dsp:nvSpPr>
        <dsp:cNvPr id="0" name=""/>
        <dsp:cNvSpPr/>
      </dsp:nvSpPr>
      <dsp:spPr>
        <a:xfrm rot="5400000">
          <a:off x="2448587" y="-144782"/>
          <a:ext cx="699676" cy="4442498"/>
        </a:xfrm>
        <a:prstGeom prst="round2SameRect">
          <a:avLst/>
        </a:prstGeo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ctr" defTabSz="400050">
            <a:lnSpc>
              <a:spcPct val="90000"/>
            </a:lnSpc>
            <a:spcBef>
              <a:spcPct val="0"/>
            </a:spcBef>
            <a:spcAft>
              <a:spcPct val="15000"/>
            </a:spcAft>
            <a:buChar char="•"/>
          </a:pPr>
          <a:r>
            <a:rPr lang="es-HN" sz="900" b="1" kern="1200">
              <a:solidFill>
                <a:sysClr val="windowText" lastClr="000000"/>
              </a:solidFill>
              <a:latin typeface="Times New Roman" panose="02020603050405020304" pitchFamily="18" charset="0"/>
              <a:ea typeface="+mn-ea"/>
              <a:cs typeface="Times New Roman" panose="02020603050405020304" pitchFamily="18" charset="0"/>
            </a:rPr>
            <a:t>No experimental</a:t>
          </a:r>
          <a:r>
            <a:rPr lang="es-HN" sz="900" kern="1200">
              <a:solidFill>
                <a:sysClr val="windowText" lastClr="000000"/>
              </a:solidFill>
              <a:latin typeface="Times New Roman" panose="02020603050405020304" pitchFamily="18" charset="0"/>
              <a:ea typeface="+mn-ea"/>
              <a:cs typeface="Times New Roman" panose="02020603050405020304" pitchFamily="18" charset="0"/>
            </a:rPr>
            <a:t>: al no manipular las variables ni influir sobre ellas, se busca caracterizar y describir el comportamiento de las variables mediante la optención de datos financieros y económicos. </a:t>
          </a:r>
        </a:p>
        <a:p>
          <a:pPr marL="57150" lvl="1" indent="-57150" algn="ctr" defTabSz="400050">
            <a:lnSpc>
              <a:spcPct val="90000"/>
            </a:lnSpc>
            <a:spcBef>
              <a:spcPct val="0"/>
            </a:spcBef>
            <a:spcAft>
              <a:spcPct val="15000"/>
            </a:spcAft>
            <a:buChar char="•"/>
          </a:pPr>
          <a:r>
            <a:rPr lang="es-HN" sz="900" b="1" kern="1200">
              <a:solidFill>
                <a:sysClr val="windowText" lastClr="000000"/>
              </a:solidFill>
              <a:latin typeface="Times New Roman" panose="02020603050405020304" pitchFamily="18" charset="0"/>
              <a:ea typeface="+mn-ea"/>
              <a:cs typeface="Times New Roman" panose="02020603050405020304" pitchFamily="18" charset="0"/>
            </a:rPr>
            <a:t>Fenomenológico: </a:t>
          </a:r>
          <a:r>
            <a:rPr lang="es-HN" sz="900" kern="1200">
              <a:solidFill>
                <a:sysClr val="windowText" lastClr="000000"/>
              </a:solidFill>
              <a:latin typeface="Times New Roman" panose="02020603050405020304" pitchFamily="18" charset="0"/>
              <a:ea typeface="+mn-ea"/>
              <a:cs typeface="Times New Roman" panose="02020603050405020304" pitchFamily="18" charset="0"/>
            </a:rPr>
            <a:t>se buscara explorar y comprender en profundidad las experiencias subjetivas de las personas en relación con el fenómeno de estudio.</a:t>
          </a:r>
        </a:p>
      </dsp:txBody>
      <dsp:txXfrm rot="-5400000">
        <a:off x="577177" y="1760783"/>
        <a:ext cx="4408343" cy="631366"/>
      </dsp:txXfrm>
    </dsp:sp>
    <dsp:sp modelId="{9AA2271D-F44E-44DB-9A00-462F7028C88D}">
      <dsp:nvSpPr>
        <dsp:cNvPr id="0" name=""/>
        <dsp:cNvSpPr/>
      </dsp:nvSpPr>
      <dsp:spPr>
        <a:xfrm rot="5400000">
          <a:off x="-72023" y="2636472"/>
          <a:ext cx="721223" cy="577176"/>
        </a:xfrm>
        <a:prstGeom prst="chevron">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w="6350" cap="flat" cmpd="sng" algn="ctr">
          <a:solidFill>
            <a:srgbClr val="44546A">
              <a:shade val="80000"/>
              <a:hueOff val="0"/>
              <a:satOff val="0"/>
              <a:lumOff val="0"/>
              <a:alphaOff val="0"/>
            </a:srgb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solidFill>
                <a:sysClr val="windowText" lastClr="000000"/>
              </a:solidFill>
              <a:latin typeface="Times New Roman" panose="02020603050405020304" pitchFamily="18" charset="0"/>
              <a:ea typeface="+mn-ea"/>
              <a:cs typeface="Times New Roman" panose="02020603050405020304" pitchFamily="18" charset="0"/>
            </a:rPr>
            <a:t>Método</a:t>
          </a:r>
        </a:p>
      </dsp:txBody>
      <dsp:txXfrm rot="-5400000">
        <a:off x="1" y="2853036"/>
        <a:ext cx="577176" cy="144047"/>
      </dsp:txXfrm>
    </dsp:sp>
    <dsp:sp modelId="{17A70F10-7AB9-4473-8A7A-B2954C071255}">
      <dsp:nvSpPr>
        <dsp:cNvPr id="0" name=""/>
        <dsp:cNvSpPr/>
      </dsp:nvSpPr>
      <dsp:spPr>
        <a:xfrm rot="5400000">
          <a:off x="2585728" y="564047"/>
          <a:ext cx="425393" cy="4442498"/>
        </a:xfrm>
        <a:prstGeom prst="round2SameRect">
          <a:avLst/>
        </a:prstGeo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ctr" defTabSz="400050">
            <a:lnSpc>
              <a:spcPct val="90000"/>
            </a:lnSpc>
            <a:spcBef>
              <a:spcPct val="0"/>
            </a:spcBef>
            <a:spcAft>
              <a:spcPct val="15000"/>
            </a:spcAft>
            <a:buChar char="•"/>
          </a:pPr>
          <a:r>
            <a:rPr lang="es-ES" sz="900" b="1" kern="1200">
              <a:solidFill>
                <a:sysClr val="windowText" lastClr="000000"/>
              </a:solidFill>
              <a:latin typeface="Times New Roman" panose="02020603050405020304" pitchFamily="18" charset="0"/>
              <a:ea typeface="+mn-ea"/>
              <a:cs typeface="Times New Roman" panose="02020603050405020304" pitchFamily="18" charset="0"/>
            </a:rPr>
            <a:t>Deductivo: </a:t>
          </a:r>
          <a:r>
            <a:rPr lang="es-ES" sz="900" kern="1200">
              <a:solidFill>
                <a:sysClr val="windowText" lastClr="000000"/>
              </a:solidFill>
              <a:latin typeface="Times New Roman" panose="02020603050405020304" pitchFamily="18" charset="0"/>
              <a:ea typeface="+mn-ea"/>
              <a:cs typeface="Times New Roman" panose="02020603050405020304" pitchFamily="18" charset="0"/>
            </a:rPr>
            <a:t>Mediante el análisis de la información financiera y las valoraciones de las entrevistas realizadas, con el propósito de axtraer conclusiones a partir de lo estudiado. </a:t>
          </a:r>
          <a:endParaRPr lang="es-HN" sz="9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rot="-5400000">
        <a:off x="577176" y="2593365"/>
        <a:ext cx="4421732" cy="383861"/>
      </dsp:txXfrm>
    </dsp:sp>
    <dsp:sp modelId="{EF001624-2B0F-42D0-BB39-8A4BAE5AC29C}">
      <dsp:nvSpPr>
        <dsp:cNvPr id="0" name=""/>
        <dsp:cNvSpPr/>
      </dsp:nvSpPr>
      <dsp:spPr>
        <a:xfrm rot="5400000">
          <a:off x="-123680" y="3187556"/>
          <a:ext cx="824537" cy="577176"/>
        </a:xfrm>
        <a:prstGeom prst="chevron">
          <a:avLst/>
        </a:prstGeom>
        <a:gradFill rotWithShape="0">
          <a:gsLst>
            <a:gs pos="0">
              <a:sysClr val="window" lastClr="FFFFFF">
                <a:hueOff val="0"/>
                <a:satOff val="0"/>
                <a:lumOff val="0"/>
                <a:alphaOff val="0"/>
                <a:lumMod val="110000"/>
                <a:satMod val="105000"/>
                <a:tint val="67000"/>
              </a:sysClr>
            </a:gs>
            <a:gs pos="50000">
              <a:sysClr val="window" lastClr="FFFFFF">
                <a:hueOff val="0"/>
                <a:satOff val="0"/>
                <a:lumOff val="0"/>
                <a:alphaOff val="0"/>
                <a:lumMod val="105000"/>
                <a:satMod val="103000"/>
                <a:tint val="73000"/>
              </a:sysClr>
            </a:gs>
            <a:gs pos="100000">
              <a:sysClr val="window" lastClr="FFFFFF">
                <a:hueOff val="0"/>
                <a:satOff val="0"/>
                <a:lumOff val="0"/>
                <a:alphaOff val="0"/>
                <a:lumMod val="105000"/>
                <a:satMod val="109000"/>
                <a:tint val="81000"/>
              </a:sysClr>
            </a:gs>
          </a:gsLst>
          <a:lin ang="5400000" scaled="0"/>
        </a:gradFill>
        <a:ln w="6350" cap="flat" cmpd="sng" algn="ctr">
          <a:solidFill>
            <a:srgbClr val="44546A">
              <a:shade val="80000"/>
              <a:hueOff val="0"/>
              <a:satOff val="0"/>
              <a:lumOff val="0"/>
              <a:alphaOff val="0"/>
            </a:srgb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solidFill>
                <a:sysClr val="windowText" lastClr="000000"/>
              </a:solidFill>
              <a:latin typeface="Times New Roman" panose="02020603050405020304" pitchFamily="18" charset="0"/>
              <a:ea typeface="+mn-ea"/>
              <a:cs typeface="Times New Roman" panose="02020603050405020304" pitchFamily="18" charset="0"/>
            </a:rPr>
            <a:t>Técnica</a:t>
          </a:r>
        </a:p>
      </dsp:txBody>
      <dsp:txXfrm rot="-5400000">
        <a:off x="1" y="3352463"/>
        <a:ext cx="577176" cy="247361"/>
      </dsp:txXfrm>
    </dsp:sp>
    <dsp:sp modelId="{6873B18E-E40D-492D-9EC3-3EC45DBCAE25}">
      <dsp:nvSpPr>
        <dsp:cNvPr id="0" name=""/>
        <dsp:cNvSpPr/>
      </dsp:nvSpPr>
      <dsp:spPr>
        <a:xfrm rot="5400000">
          <a:off x="2548089" y="1110603"/>
          <a:ext cx="500673" cy="4442498"/>
        </a:xfrm>
        <a:prstGeom prst="round2SameRect">
          <a:avLst/>
        </a:prstGeom>
        <a:solidFill>
          <a:srgbClr val="44546A">
            <a:alpha val="90000"/>
            <a:tint val="40000"/>
            <a:hueOff val="0"/>
            <a:satOff val="0"/>
            <a:lumOff val="0"/>
            <a:alphaOff val="0"/>
          </a:srgbClr>
        </a:solidFill>
        <a:ln w="6350" cap="flat" cmpd="sng" algn="ctr">
          <a:solidFill>
            <a:srgbClr val="44546A">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ctr" defTabSz="400050">
            <a:lnSpc>
              <a:spcPct val="90000"/>
            </a:lnSpc>
            <a:spcBef>
              <a:spcPct val="0"/>
            </a:spcBef>
            <a:spcAft>
              <a:spcPct val="15000"/>
            </a:spcAft>
            <a:buChar char="•"/>
          </a:pPr>
          <a:r>
            <a:rPr lang="es-HN" sz="900" b="1" kern="1200">
              <a:solidFill>
                <a:sysClr val="windowText" lastClr="000000"/>
              </a:solidFill>
              <a:latin typeface="Times New Roman" panose="02020603050405020304" pitchFamily="18" charset="0"/>
              <a:ea typeface="+mn-ea"/>
              <a:cs typeface="Times New Roman" panose="02020603050405020304" pitchFamily="18" charset="0"/>
            </a:rPr>
            <a:t>Muestreo por convenencia. </a:t>
          </a:r>
        </a:p>
        <a:p>
          <a:pPr marL="57150" lvl="1" indent="-57150" algn="ctr" defTabSz="400050">
            <a:lnSpc>
              <a:spcPct val="90000"/>
            </a:lnSpc>
            <a:spcBef>
              <a:spcPct val="0"/>
            </a:spcBef>
            <a:spcAft>
              <a:spcPct val="15000"/>
            </a:spcAft>
            <a:buChar char="•"/>
          </a:pPr>
          <a:r>
            <a:rPr lang="es-HN" sz="900" b="1" kern="1200">
              <a:solidFill>
                <a:sysClr val="windowText" lastClr="000000"/>
              </a:solidFill>
              <a:latin typeface="Times New Roman" panose="02020603050405020304" pitchFamily="18" charset="0"/>
              <a:ea typeface="+mn-ea"/>
              <a:cs typeface="Times New Roman" panose="02020603050405020304" pitchFamily="18" charset="0"/>
            </a:rPr>
            <a:t>Muestra de Expertos.</a:t>
          </a:r>
        </a:p>
      </dsp:txBody>
      <dsp:txXfrm rot="-5400000">
        <a:off x="577177" y="3105957"/>
        <a:ext cx="4418057" cy="451791"/>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Gab20</b:Tag>
    <b:SourceType>ArticleInAPeriodical</b:SourceType>
    <b:Guid>{E9E855B0-B42F-443B-A880-75A5CCE13E25}</b:Guid>
    <b:Title>Variables de investigación: tipos, características y ejemplos. </b:Title>
    <b:Year>2020</b:Year>
    <b:Author>
      <b:Author>
        <b:NameList>
          <b:Person>
            <b:Last>González</b:Last>
            <b:First>Gabriela</b:First>
          </b:Person>
        </b:NameList>
      </b:Author>
    </b:Author>
    <b:PeriodicalTitle>Lifeder</b:PeriodicalTitle>
    <b:Month>Mayo</b:Month>
    <b:Day>12</b:Day>
    <b:RefOrder>2</b:RefOrder>
  </b:Source>
  <b:Source>
    <b:Tag>Ped01</b:Tag>
    <b:SourceType>JournalArticle</b:SourceType>
    <b:Guid>{37742B32-64EE-4BF5-931F-E9653BC84272}</b:Guid>
    <b:Title>La Matriz de Congruencia: Una Herramienta para Realizar Investigaciones Sociales</b:Title>
    <b:JournalName>Economía y Sociedad</b:JournalName>
    <b:Year>2001</b:Year>
    <b:Pages>311-316</b:Pages>
    <b:Author>
      <b:Author>
        <b:NameList>
          <b:Person>
            <b:Last>Pedraza Rendón</b:Last>
            <b:Middle>Hugo</b:Middle>
            <b:First>Óscar</b:First>
          </b:Person>
        </b:NameList>
      </b:Author>
    </b:Author>
    <b:Volume>6</b:Volume>
    <b:Issue>10</b:Issue>
    <b:RefOrder>1</b:RefOrder>
  </b:Source>
  <b:Source>
    <b:Tag>Ber16</b:Tag>
    <b:SourceType>Book</b:SourceType>
    <b:Guid>{BEE61563-9E40-4075-86D1-CC7FBB1A2359}</b:Guid>
    <b:Author>
      <b:Author>
        <b:NameList>
          <b:Person>
            <b:Last>Bernal</b:Last>
            <b:First>Cesar</b:First>
          </b:Person>
        </b:NameList>
      </b:Author>
    </b:Author>
    <b:Title>Metodología de la Investigación</b:Title>
    <b:Year>2016</b:Year>
    <b:City>Colombia</b:City>
    <b:Publisher>Pearson</b:Publisher>
    <b:RefOrder>29</b:RefOrder>
  </b:Source>
</b:Sources>
</file>

<file path=customXml/itemProps1.xml><?xml version="1.0" encoding="utf-8"?>
<ds:datastoreItem xmlns:ds="http://schemas.openxmlformats.org/officeDocument/2006/customXml" ds:itemID="{C8608249-950A-46EC-B709-BF2357D6C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125</Pages>
  <Words>33810</Words>
  <Characters>185961</Characters>
  <Application>Microsoft Office Word</Application>
  <DocSecurity>0</DocSecurity>
  <Lines>1549</Lines>
  <Paragraphs>438</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219333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Usuario</cp:lastModifiedBy>
  <cp:revision>2</cp:revision>
  <dcterms:created xsi:type="dcterms:W3CDTF">2024-03-03T11:43:00Z</dcterms:created>
  <dcterms:modified xsi:type="dcterms:W3CDTF">2024-03-03T11:43:00Z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ca54ca72270f20bf405e35ea4f96610db9e6754686fd9c3450ad205732756015</vt:lpwstr>
  </property>
</Properties>
</file>