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12570C" w14:textId="2EF38F32" w:rsidR="00F25A0E" w:rsidRPr="006A2DC8" w:rsidRDefault="00F25A0E" w:rsidP="00396AB3">
      <w:pPr>
        <w:jc w:val="center"/>
        <w:rPr>
          <w:rFonts w:eastAsia="Times New Roman" w:cs="Times New Roman"/>
          <w:sz w:val="20"/>
          <w:szCs w:val="20"/>
        </w:rPr>
      </w:pPr>
      <w:r>
        <w:rPr>
          <w:noProof/>
          <w:lang w:eastAsia="es-HN"/>
        </w:rPr>
        <w:drawing>
          <wp:inline distT="0" distB="0" distL="0" distR="0" wp14:anchorId="05AD3612" wp14:editId="156E31C2">
            <wp:extent cx="2823882" cy="640080"/>
            <wp:effectExtent l="0" t="0" r="0" b="7620"/>
            <wp:docPr id="1" name="Picture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8">
                      <a:extLst>
                        <a:ext uri="{28A0092B-C50C-407E-A947-70E740481C1C}">
                          <a14:useLocalDpi xmlns:a14="http://schemas.microsoft.com/office/drawing/2010/main" val="0"/>
                        </a:ext>
                      </a:extLst>
                    </a:blip>
                    <a:stretch>
                      <a:fillRect/>
                    </a:stretch>
                  </pic:blipFill>
                  <pic:spPr>
                    <a:xfrm>
                      <a:off x="0" y="0"/>
                      <a:ext cx="2823882" cy="640080"/>
                    </a:xfrm>
                    <a:prstGeom prst="rect">
                      <a:avLst/>
                    </a:prstGeom>
                  </pic:spPr>
                </pic:pic>
              </a:graphicData>
            </a:graphic>
          </wp:inline>
        </w:drawing>
      </w:r>
    </w:p>
    <w:p w14:paraId="64A21D4E" w14:textId="77777777" w:rsidR="00F25A0E" w:rsidRPr="006A2DC8" w:rsidRDefault="00F25A0E" w:rsidP="00396AB3">
      <w:pPr>
        <w:spacing w:before="1"/>
        <w:jc w:val="center"/>
        <w:rPr>
          <w:rFonts w:eastAsia="Times New Roman" w:cs="Times New Roman"/>
          <w:sz w:val="18"/>
          <w:szCs w:val="18"/>
        </w:rPr>
      </w:pPr>
    </w:p>
    <w:p w14:paraId="3A4B3126" w14:textId="77777777" w:rsidR="00F25A0E" w:rsidRPr="006A2DC8" w:rsidRDefault="00F25A0E" w:rsidP="00396AB3">
      <w:pPr>
        <w:spacing w:line="240" w:lineRule="auto"/>
        <w:jc w:val="center"/>
        <w:rPr>
          <w:rFonts w:cs="Times New Roman"/>
          <w:b/>
          <w:bCs/>
          <w:sz w:val="32"/>
          <w:szCs w:val="32"/>
        </w:rPr>
      </w:pPr>
      <w:r w:rsidRPr="006A2DC8">
        <w:rPr>
          <w:rFonts w:cs="Times New Roman"/>
          <w:b/>
          <w:bCs/>
          <w:sz w:val="32"/>
          <w:szCs w:val="32"/>
        </w:rPr>
        <w:t>FACULTAD DE</w:t>
      </w:r>
      <w:r w:rsidRPr="006A2DC8">
        <w:rPr>
          <w:rFonts w:cs="Times New Roman"/>
          <w:b/>
          <w:bCs/>
          <w:spacing w:val="-6"/>
          <w:sz w:val="32"/>
          <w:szCs w:val="32"/>
        </w:rPr>
        <w:t xml:space="preserve"> </w:t>
      </w:r>
      <w:r w:rsidRPr="006A2DC8">
        <w:rPr>
          <w:rFonts w:cs="Times New Roman"/>
          <w:b/>
          <w:bCs/>
          <w:sz w:val="32"/>
          <w:szCs w:val="32"/>
        </w:rPr>
        <w:t>POSTGRADO</w:t>
      </w:r>
    </w:p>
    <w:p w14:paraId="71A94349" w14:textId="77777777" w:rsidR="00F25A0E" w:rsidRPr="006A2DC8" w:rsidRDefault="1C8D6E3A" w:rsidP="00396AB3">
      <w:pPr>
        <w:spacing w:line="240" w:lineRule="auto"/>
        <w:jc w:val="center"/>
        <w:rPr>
          <w:rFonts w:cs="Times New Roman"/>
          <w:b/>
          <w:bCs/>
          <w:sz w:val="32"/>
          <w:szCs w:val="32"/>
        </w:rPr>
      </w:pPr>
      <w:r w:rsidRPr="1C8D6E3A">
        <w:rPr>
          <w:rFonts w:cs="Times New Roman"/>
          <w:b/>
          <w:bCs/>
          <w:sz w:val="32"/>
          <w:szCs w:val="32"/>
        </w:rPr>
        <w:t>TRABAJO FINAL DE GRADUACIÓN</w:t>
      </w:r>
    </w:p>
    <w:p w14:paraId="0587487A" w14:textId="77777777" w:rsidR="00F25A0E" w:rsidRPr="006A2DC8" w:rsidRDefault="00F25A0E" w:rsidP="00F25A0E">
      <w:pPr>
        <w:spacing w:line="240" w:lineRule="auto"/>
        <w:jc w:val="center"/>
        <w:rPr>
          <w:rFonts w:cs="Times New Roman"/>
          <w:b/>
          <w:bCs/>
          <w:sz w:val="32"/>
          <w:szCs w:val="32"/>
        </w:rPr>
      </w:pPr>
    </w:p>
    <w:p w14:paraId="4B110EA7" w14:textId="77777777" w:rsidR="00F25A0E" w:rsidRPr="006A2DC8" w:rsidRDefault="00F25A0E" w:rsidP="72A91A42">
      <w:pPr>
        <w:spacing w:line="240" w:lineRule="auto"/>
        <w:rPr>
          <w:rFonts w:cs="Times New Roman"/>
          <w:b/>
          <w:bCs/>
          <w:sz w:val="32"/>
          <w:szCs w:val="32"/>
        </w:rPr>
      </w:pPr>
    </w:p>
    <w:p w14:paraId="7BC974E7" w14:textId="736A463A" w:rsidR="00F25A0E" w:rsidRPr="006A2DC8" w:rsidRDefault="1C8D6E3A" w:rsidP="00F25A0E">
      <w:pPr>
        <w:spacing w:line="240" w:lineRule="auto"/>
        <w:jc w:val="center"/>
        <w:rPr>
          <w:rFonts w:eastAsia="Times New Roman" w:cs="Times New Roman"/>
          <w:sz w:val="32"/>
          <w:szCs w:val="32"/>
        </w:rPr>
      </w:pPr>
      <w:r w:rsidRPr="1C8D6E3A">
        <w:rPr>
          <w:rFonts w:cs="Times New Roman"/>
          <w:b/>
          <w:bCs/>
          <w:sz w:val="32"/>
          <w:szCs w:val="32"/>
        </w:rPr>
        <w:t>“</w:t>
      </w:r>
      <w:bookmarkStart w:id="0" w:name="_Hlk153032885"/>
      <w:r w:rsidRPr="1C8D6E3A">
        <w:rPr>
          <w:rFonts w:cs="Times New Roman"/>
          <w:b/>
          <w:bCs/>
          <w:sz w:val="32"/>
          <w:szCs w:val="32"/>
        </w:rPr>
        <w:t>ANÁLISIS DE LA GESTIÓN DE CR</w:t>
      </w:r>
      <w:r w:rsidR="001D7722">
        <w:rPr>
          <w:rFonts w:cs="Times New Roman"/>
          <w:b/>
          <w:bCs/>
          <w:sz w:val="32"/>
          <w:szCs w:val="32"/>
        </w:rPr>
        <w:t>É</w:t>
      </w:r>
      <w:r w:rsidRPr="1C8D6E3A">
        <w:rPr>
          <w:rFonts w:cs="Times New Roman"/>
          <w:b/>
          <w:bCs/>
          <w:sz w:val="32"/>
          <w:szCs w:val="32"/>
        </w:rPr>
        <w:t>D</w:t>
      </w:r>
      <w:r w:rsidR="001D7722">
        <w:rPr>
          <w:rFonts w:cs="Times New Roman"/>
          <w:b/>
          <w:bCs/>
          <w:sz w:val="32"/>
          <w:szCs w:val="32"/>
        </w:rPr>
        <w:t>I</w:t>
      </w:r>
      <w:r w:rsidRPr="1C8D6E3A">
        <w:rPr>
          <w:rFonts w:cs="Times New Roman"/>
          <w:b/>
          <w:bCs/>
          <w:sz w:val="32"/>
          <w:szCs w:val="32"/>
        </w:rPr>
        <w:t>TO Y LAS CUENTAS POR COBRAR DE LA INDUSTRIA PROCESADORA DE ALIMENTOS (IPRA), TEGUCIGALPA, HONDURAS DURANTE EL PERIODO 2019-2022</w:t>
      </w:r>
      <w:bookmarkEnd w:id="0"/>
      <w:r w:rsidRPr="1C8D6E3A">
        <w:rPr>
          <w:rFonts w:cs="Times New Roman"/>
          <w:b/>
          <w:bCs/>
          <w:sz w:val="32"/>
          <w:szCs w:val="32"/>
        </w:rPr>
        <w:t>”</w:t>
      </w:r>
    </w:p>
    <w:p w14:paraId="7A96B621" w14:textId="77777777" w:rsidR="00F25A0E" w:rsidRPr="006A2DC8" w:rsidRDefault="00F25A0E" w:rsidP="00F25A0E">
      <w:pPr>
        <w:spacing w:before="8" w:line="240" w:lineRule="auto"/>
        <w:rPr>
          <w:rFonts w:eastAsia="Times New Roman" w:cs="Times New Roman"/>
          <w:sz w:val="32"/>
          <w:szCs w:val="32"/>
        </w:rPr>
      </w:pPr>
    </w:p>
    <w:p w14:paraId="02D605B4" w14:textId="77777777" w:rsidR="00F25A0E" w:rsidRPr="006A2DC8" w:rsidRDefault="1C8D6E3A" w:rsidP="72A91A42">
      <w:pPr>
        <w:spacing w:line="240" w:lineRule="auto"/>
        <w:jc w:val="center"/>
        <w:rPr>
          <w:rFonts w:cs="Times New Roman"/>
          <w:b/>
          <w:bCs/>
          <w:sz w:val="32"/>
          <w:szCs w:val="32"/>
        </w:rPr>
      </w:pPr>
      <w:r w:rsidRPr="1C8D6E3A">
        <w:rPr>
          <w:rFonts w:cs="Times New Roman"/>
          <w:b/>
          <w:bCs/>
          <w:sz w:val="32"/>
          <w:szCs w:val="32"/>
        </w:rPr>
        <w:t>SUSTENTADO POR:</w:t>
      </w:r>
    </w:p>
    <w:p w14:paraId="67A58BA7" w14:textId="77777777" w:rsidR="00F25A0E" w:rsidRPr="006A2DC8" w:rsidRDefault="00F25A0E" w:rsidP="00F25A0E">
      <w:pPr>
        <w:spacing w:before="1" w:line="240" w:lineRule="auto"/>
        <w:rPr>
          <w:rFonts w:eastAsia="Times New Roman" w:cs="Times New Roman"/>
          <w:b/>
          <w:bCs/>
          <w:sz w:val="32"/>
          <w:szCs w:val="32"/>
        </w:rPr>
      </w:pPr>
    </w:p>
    <w:p w14:paraId="4C1EEA48" w14:textId="77777777" w:rsidR="0059155A" w:rsidRPr="006A2DC8" w:rsidRDefault="1C8D6E3A" w:rsidP="72A91A42">
      <w:pPr>
        <w:widowControl w:val="0"/>
        <w:spacing w:after="0" w:line="240" w:lineRule="auto"/>
        <w:ind w:left="557" w:right="393"/>
        <w:jc w:val="center"/>
        <w:rPr>
          <w:b/>
          <w:bCs/>
          <w:sz w:val="32"/>
          <w:szCs w:val="32"/>
        </w:rPr>
      </w:pPr>
      <w:r w:rsidRPr="1C8D6E3A">
        <w:rPr>
          <w:b/>
          <w:bCs/>
          <w:sz w:val="32"/>
          <w:szCs w:val="32"/>
        </w:rPr>
        <w:t>LARISSA NICOLL ACEITUNO CERRATO</w:t>
      </w:r>
    </w:p>
    <w:p w14:paraId="590EB8CD" w14:textId="77777777" w:rsidR="0059155A" w:rsidRPr="006A2DC8" w:rsidRDefault="1C8D6E3A" w:rsidP="72A91A42">
      <w:pPr>
        <w:widowControl w:val="0"/>
        <w:spacing w:after="0" w:line="240" w:lineRule="auto"/>
        <w:ind w:left="557" w:right="393"/>
        <w:jc w:val="center"/>
        <w:rPr>
          <w:rFonts w:eastAsia="Times New Roman" w:cs="Times New Roman"/>
          <w:b/>
          <w:bCs/>
          <w:sz w:val="32"/>
          <w:szCs w:val="32"/>
        </w:rPr>
      </w:pPr>
      <w:r w:rsidRPr="1C8D6E3A">
        <w:rPr>
          <w:b/>
          <w:bCs/>
          <w:sz w:val="32"/>
          <w:szCs w:val="32"/>
        </w:rPr>
        <w:t>MARYORI GRACIELA ZAPATA MONTOYA</w:t>
      </w:r>
    </w:p>
    <w:p w14:paraId="2F043E8B" w14:textId="77777777" w:rsidR="00F25A0E" w:rsidRPr="006A2DC8" w:rsidRDefault="00F25A0E" w:rsidP="00F25A0E">
      <w:pPr>
        <w:spacing w:line="240" w:lineRule="auto"/>
        <w:rPr>
          <w:rFonts w:eastAsia="Times New Roman" w:cs="Times New Roman"/>
          <w:sz w:val="32"/>
          <w:szCs w:val="32"/>
        </w:rPr>
      </w:pPr>
    </w:p>
    <w:p w14:paraId="50E02B45" w14:textId="77777777" w:rsidR="00F25A0E" w:rsidRPr="006A2DC8" w:rsidRDefault="00F25A0E" w:rsidP="72A91A42">
      <w:pPr>
        <w:spacing w:line="240" w:lineRule="auto"/>
        <w:jc w:val="center"/>
        <w:rPr>
          <w:rFonts w:cs="Times New Roman"/>
          <w:b/>
          <w:bCs/>
          <w:sz w:val="32"/>
          <w:szCs w:val="32"/>
        </w:rPr>
      </w:pPr>
    </w:p>
    <w:p w14:paraId="42E8C890" w14:textId="77777777" w:rsidR="00F25A0E" w:rsidRPr="006A2DC8" w:rsidRDefault="1C8D6E3A" w:rsidP="72A91A42">
      <w:pPr>
        <w:spacing w:line="240" w:lineRule="auto"/>
        <w:jc w:val="center"/>
        <w:rPr>
          <w:rFonts w:cs="Times New Roman"/>
          <w:b/>
          <w:bCs/>
          <w:sz w:val="32"/>
          <w:szCs w:val="32"/>
        </w:rPr>
      </w:pPr>
      <w:r w:rsidRPr="1C8D6E3A">
        <w:rPr>
          <w:rFonts w:cs="Times New Roman"/>
          <w:b/>
          <w:bCs/>
          <w:sz w:val="32"/>
          <w:szCs w:val="32"/>
        </w:rPr>
        <w:t>PREVIA INVESTIDURA AL TÍTULO DE</w:t>
      </w:r>
    </w:p>
    <w:p w14:paraId="776315A0" w14:textId="77777777" w:rsidR="00F25A0E" w:rsidRPr="006A2DC8" w:rsidRDefault="00F25A0E" w:rsidP="00F25A0E">
      <w:pPr>
        <w:spacing w:before="4" w:line="240" w:lineRule="auto"/>
        <w:rPr>
          <w:rFonts w:eastAsia="Times New Roman" w:cs="Times New Roman"/>
          <w:b/>
          <w:bCs/>
          <w:sz w:val="32"/>
          <w:szCs w:val="32"/>
        </w:rPr>
      </w:pPr>
    </w:p>
    <w:p w14:paraId="2F4188BF" w14:textId="77777777" w:rsidR="00F25A0E" w:rsidRPr="006A2DC8" w:rsidRDefault="1C8D6E3A" w:rsidP="72A91A42">
      <w:pPr>
        <w:spacing w:line="240" w:lineRule="auto"/>
        <w:ind w:left="557" w:right="388"/>
        <w:jc w:val="center"/>
        <w:rPr>
          <w:b/>
          <w:bCs/>
          <w:sz w:val="32"/>
          <w:szCs w:val="32"/>
        </w:rPr>
      </w:pPr>
      <w:r w:rsidRPr="1C8D6E3A">
        <w:rPr>
          <w:rFonts w:cs="Times New Roman"/>
          <w:b/>
          <w:bCs/>
          <w:sz w:val="32"/>
          <w:szCs w:val="32"/>
        </w:rPr>
        <w:t>MÁSTER EN</w:t>
      </w:r>
      <w:r w:rsidRPr="1C8D6E3A">
        <w:rPr>
          <w:b/>
          <w:bCs/>
          <w:sz w:val="32"/>
          <w:szCs w:val="32"/>
        </w:rPr>
        <w:t xml:space="preserve"> </w:t>
      </w:r>
    </w:p>
    <w:p w14:paraId="137CD0D1" w14:textId="6A4E1AF5" w:rsidR="00F25A0E" w:rsidRPr="006A2DC8" w:rsidRDefault="1C8D6E3A" w:rsidP="0059155A">
      <w:pPr>
        <w:spacing w:line="240" w:lineRule="auto"/>
        <w:jc w:val="center"/>
        <w:rPr>
          <w:rFonts w:eastAsia="Times New Roman" w:cs="Times New Roman"/>
          <w:sz w:val="32"/>
          <w:szCs w:val="32"/>
        </w:rPr>
      </w:pPr>
      <w:r w:rsidRPr="1C8D6E3A">
        <w:rPr>
          <w:b/>
          <w:bCs/>
          <w:sz w:val="32"/>
          <w:szCs w:val="32"/>
        </w:rPr>
        <w:t>FINANZAS</w:t>
      </w:r>
    </w:p>
    <w:p w14:paraId="36639BD9" w14:textId="77777777" w:rsidR="00F25A0E" w:rsidRPr="006A2DC8" w:rsidRDefault="00F25A0E" w:rsidP="00F25A0E">
      <w:pPr>
        <w:spacing w:line="240" w:lineRule="auto"/>
        <w:rPr>
          <w:rFonts w:eastAsia="Times New Roman" w:cs="Times New Roman"/>
          <w:sz w:val="32"/>
          <w:szCs w:val="32"/>
        </w:rPr>
      </w:pPr>
    </w:p>
    <w:p w14:paraId="265EA556" w14:textId="77777777" w:rsidR="00F25A0E" w:rsidRPr="006A2DC8" w:rsidRDefault="00F25A0E" w:rsidP="00F25A0E">
      <w:pPr>
        <w:spacing w:line="240" w:lineRule="auto"/>
        <w:rPr>
          <w:rFonts w:eastAsia="Times New Roman" w:cs="Times New Roman"/>
          <w:sz w:val="32"/>
          <w:szCs w:val="32"/>
        </w:rPr>
      </w:pPr>
    </w:p>
    <w:p w14:paraId="2A1DDD8D" w14:textId="77777777" w:rsidR="00140763" w:rsidRPr="006A2DC8" w:rsidRDefault="00140763" w:rsidP="00140763">
      <w:pPr>
        <w:widowControl w:val="0"/>
        <w:spacing w:before="7" w:after="0" w:line="240" w:lineRule="auto"/>
        <w:ind w:left="0"/>
        <w:rPr>
          <w:rFonts w:eastAsia="Times New Roman" w:cs="Times New Roman"/>
          <w:sz w:val="30"/>
          <w:szCs w:val="30"/>
        </w:rPr>
      </w:pPr>
    </w:p>
    <w:p w14:paraId="56C926FD" w14:textId="78B48EB6" w:rsidR="00140763" w:rsidRPr="006A2DC8" w:rsidRDefault="1C8D6E3A" w:rsidP="72A91A42">
      <w:pPr>
        <w:widowControl w:val="0"/>
        <w:spacing w:after="0" w:line="240" w:lineRule="auto"/>
        <w:ind w:left="0"/>
        <w:jc w:val="center"/>
        <w:rPr>
          <w:rFonts w:cs="Times New Roman"/>
          <w:b/>
          <w:bCs/>
          <w:sz w:val="32"/>
          <w:szCs w:val="32"/>
        </w:rPr>
      </w:pPr>
      <w:r w:rsidRPr="1C8D6E3A">
        <w:rPr>
          <w:rFonts w:cs="Times New Roman"/>
          <w:b/>
          <w:bCs/>
          <w:sz w:val="32"/>
          <w:szCs w:val="32"/>
        </w:rPr>
        <w:t xml:space="preserve">TEGUCIGALPA, FRANCISCO MORAZÁN, HONDURAS, C.A. </w:t>
      </w:r>
    </w:p>
    <w:p w14:paraId="7DE99DA9" w14:textId="77777777" w:rsidR="00140763" w:rsidRPr="006A2DC8" w:rsidRDefault="00140763" w:rsidP="72A91A42">
      <w:pPr>
        <w:widowControl w:val="0"/>
        <w:spacing w:before="4" w:after="0" w:line="240" w:lineRule="auto"/>
        <w:ind w:left="0"/>
        <w:rPr>
          <w:rFonts w:cs="Times New Roman"/>
          <w:b/>
          <w:bCs/>
          <w:sz w:val="32"/>
          <w:szCs w:val="32"/>
        </w:rPr>
      </w:pPr>
    </w:p>
    <w:p w14:paraId="06524FDD" w14:textId="1D2A8E58" w:rsidR="00140763" w:rsidRPr="006A2DC8" w:rsidRDefault="00315144" w:rsidP="72A91A42">
      <w:pPr>
        <w:widowControl w:val="0"/>
        <w:spacing w:after="0" w:line="240" w:lineRule="auto"/>
        <w:ind w:left="2074" w:right="1908"/>
        <w:jc w:val="center"/>
        <w:rPr>
          <w:rFonts w:cs="Times New Roman"/>
          <w:b/>
          <w:bCs/>
          <w:sz w:val="32"/>
          <w:szCs w:val="32"/>
        </w:rPr>
      </w:pPr>
      <w:r>
        <w:rPr>
          <w:rFonts w:cs="Times New Roman"/>
          <w:b/>
          <w:bCs/>
          <w:sz w:val="32"/>
          <w:szCs w:val="32"/>
        </w:rPr>
        <w:t>ENERO</w:t>
      </w:r>
      <w:r w:rsidR="1C8D6E3A" w:rsidRPr="1C8D6E3A">
        <w:rPr>
          <w:rFonts w:cs="Times New Roman"/>
          <w:b/>
          <w:bCs/>
          <w:sz w:val="32"/>
          <w:szCs w:val="32"/>
        </w:rPr>
        <w:t>, 202</w:t>
      </w:r>
      <w:r>
        <w:rPr>
          <w:rFonts w:cs="Times New Roman"/>
          <w:b/>
          <w:bCs/>
          <w:sz w:val="32"/>
          <w:szCs w:val="32"/>
        </w:rPr>
        <w:t>4</w:t>
      </w:r>
    </w:p>
    <w:p w14:paraId="1ECE8151" w14:textId="77777777" w:rsidR="00140763" w:rsidRPr="006A2DC8" w:rsidRDefault="1C8D6E3A" w:rsidP="00140763">
      <w:pPr>
        <w:widowControl w:val="0"/>
        <w:spacing w:after="0" w:line="240" w:lineRule="auto"/>
        <w:ind w:left="2074" w:right="1908"/>
        <w:jc w:val="center"/>
        <w:rPr>
          <w:sz w:val="20"/>
          <w:szCs w:val="20"/>
        </w:rPr>
      </w:pPr>
      <w:r w:rsidRPr="1C8D6E3A">
        <w:rPr>
          <w:b/>
          <w:bCs/>
          <w:sz w:val="32"/>
          <w:szCs w:val="32"/>
        </w:rPr>
        <w:t xml:space="preserve"> </w:t>
      </w:r>
    </w:p>
    <w:p w14:paraId="5227A2A6" w14:textId="77777777" w:rsidR="00AB1DCF" w:rsidRPr="006A2DC8" w:rsidRDefault="00AB1DCF" w:rsidP="72A91A42">
      <w:pPr>
        <w:spacing w:line="240" w:lineRule="auto"/>
        <w:ind w:left="0"/>
        <w:rPr>
          <w:rFonts w:cs="Times New Roman"/>
          <w:b/>
          <w:bCs/>
          <w:sz w:val="32"/>
          <w:szCs w:val="32"/>
        </w:rPr>
      </w:pPr>
    </w:p>
    <w:p w14:paraId="77DECD95" w14:textId="765C786F" w:rsidR="00F25A0E" w:rsidRPr="006A2DC8" w:rsidRDefault="1C8D6E3A" w:rsidP="72A91A42">
      <w:pPr>
        <w:spacing w:line="240" w:lineRule="auto"/>
        <w:jc w:val="center"/>
        <w:rPr>
          <w:rFonts w:cs="Times New Roman"/>
          <w:b/>
          <w:bCs/>
          <w:sz w:val="32"/>
          <w:szCs w:val="32"/>
        </w:rPr>
      </w:pPr>
      <w:r w:rsidRPr="1C8D6E3A">
        <w:rPr>
          <w:rFonts w:cs="Times New Roman"/>
          <w:b/>
          <w:bCs/>
          <w:sz w:val="32"/>
          <w:szCs w:val="32"/>
        </w:rPr>
        <w:lastRenderedPageBreak/>
        <w:t>UNIVERSIDAD TECNOLÓGICA CENTROAMERICANA</w:t>
      </w:r>
    </w:p>
    <w:p w14:paraId="3981CADC" w14:textId="77777777" w:rsidR="00F25A0E" w:rsidRPr="006A2DC8" w:rsidRDefault="1C8D6E3A" w:rsidP="72A91A42">
      <w:pPr>
        <w:spacing w:line="240" w:lineRule="auto"/>
        <w:jc w:val="center"/>
        <w:rPr>
          <w:rFonts w:cs="Times New Roman"/>
          <w:b/>
          <w:bCs/>
          <w:sz w:val="32"/>
          <w:szCs w:val="32"/>
        </w:rPr>
      </w:pPr>
      <w:r w:rsidRPr="1C8D6E3A">
        <w:rPr>
          <w:rFonts w:cs="Times New Roman"/>
          <w:b/>
          <w:bCs/>
          <w:sz w:val="32"/>
          <w:szCs w:val="32"/>
        </w:rPr>
        <w:t>UNITEC</w:t>
      </w:r>
    </w:p>
    <w:p w14:paraId="43502BF8" w14:textId="77777777" w:rsidR="00F25A0E" w:rsidRPr="006A2DC8" w:rsidRDefault="00F25A0E" w:rsidP="72A91A42">
      <w:pPr>
        <w:spacing w:before="19" w:line="240" w:lineRule="auto"/>
        <w:ind w:left="2074" w:right="1908"/>
        <w:jc w:val="center"/>
        <w:rPr>
          <w:b/>
          <w:bCs/>
          <w:sz w:val="32"/>
          <w:szCs w:val="32"/>
        </w:rPr>
      </w:pPr>
    </w:p>
    <w:p w14:paraId="75B39EF5" w14:textId="77777777" w:rsidR="00F25A0E" w:rsidRPr="006A2DC8" w:rsidRDefault="1C8D6E3A" w:rsidP="72A91A42">
      <w:pPr>
        <w:spacing w:before="19" w:line="240" w:lineRule="auto"/>
        <w:ind w:left="2074" w:right="1908"/>
        <w:jc w:val="center"/>
        <w:rPr>
          <w:b/>
          <w:bCs/>
          <w:sz w:val="32"/>
          <w:szCs w:val="32"/>
        </w:rPr>
      </w:pPr>
      <w:r w:rsidRPr="1C8D6E3A">
        <w:rPr>
          <w:b/>
          <w:bCs/>
          <w:sz w:val="32"/>
          <w:szCs w:val="32"/>
        </w:rPr>
        <w:t>FACULTAD DE POSTGRADO</w:t>
      </w:r>
    </w:p>
    <w:p w14:paraId="06E6235B" w14:textId="77777777" w:rsidR="00F25A0E" w:rsidRPr="006A2DC8" w:rsidRDefault="00F25A0E" w:rsidP="72A91A42">
      <w:pPr>
        <w:spacing w:before="19" w:line="240" w:lineRule="auto"/>
        <w:ind w:left="2074" w:right="1908"/>
        <w:jc w:val="center"/>
        <w:rPr>
          <w:b/>
          <w:bCs/>
          <w:sz w:val="32"/>
          <w:szCs w:val="32"/>
        </w:rPr>
      </w:pPr>
    </w:p>
    <w:p w14:paraId="45E70165" w14:textId="77777777" w:rsidR="00F25A0E" w:rsidRPr="006A2DC8" w:rsidRDefault="00F25A0E" w:rsidP="00F25A0E">
      <w:pPr>
        <w:spacing w:before="19" w:line="240" w:lineRule="auto"/>
        <w:ind w:left="2074" w:right="1908"/>
        <w:jc w:val="center"/>
        <w:rPr>
          <w:rFonts w:eastAsia="Times New Roman" w:cs="Times New Roman"/>
          <w:sz w:val="32"/>
          <w:szCs w:val="32"/>
        </w:rPr>
      </w:pPr>
      <w:r w:rsidRPr="006A2DC8">
        <w:rPr>
          <w:b/>
          <w:bCs/>
          <w:sz w:val="32"/>
          <w:szCs w:val="32"/>
        </w:rPr>
        <w:t>AUTORIDADES</w:t>
      </w:r>
      <w:r w:rsidRPr="006A2DC8">
        <w:rPr>
          <w:b/>
          <w:bCs/>
          <w:spacing w:val="-9"/>
          <w:sz w:val="32"/>
          <w:szCs w:val="32"/>
        </w:rPr>
        <w:t xml:space="preserve"> </w:t>
      </w:r>
      <w:r w:rsidRPr="006A2DC8">
        <w:rPr>
          <w:b/>
          <w:bCs/>
          <w:sz w:val="32"/>
          <w:szCs w:val="32"/>
        </w:rPr>
        <w:t>UNIVERSITARIAS</w:t>
      </w:r>
    </w:p>
    <w:p w14:paraId="4A2D6764" w14:textId="77777777" w:rsidR="00F25A0E" w:rsidRPr="006A2DC8" w:rsidRDefault="00F25A0E" w:rsidP="00F25A0E">
      <w:pPr>
        <w:spacing w:line="240" w:lineRule="auto"/>
        <w:rPr>
          <w:rFonts w:eastAsia="Times New Roman" w:cs="Times New Roman"/>
          <w:b/>
          <w:bCs/>
          <w:sz w:val="32"/>
          <w:szCs w:val="32"/>
        </w:rPr>
      </w:pPr>
    </w:p>
    <w:p w14:paraId="4AE45027" w14:textId="77777777" w:rsidR="00F25A0E" w:rsidRPr="006A2DC8" w:rsidRDefault="1C8D6E3A" w:rsidP="00F25A0E">
      <w:pPr>
        <w:spacing w:before="187" w:line="240" w:lineRule="auto"/>
        <w:ind w:left="2073" w:right="1908"/>
        <w:jc w:val="center"/>
        <w:rPr>
          <w:rFonts w:eastAsia="Times New Roman" w:cs="Times New Roman"/>
          <w:sz w:val="32"/>
          <w:szCs w:val="32"/>
        </w:rPr>
      </w:pPr>
      <w:r w:rsidRPr="1C8D6E3A">
        <w:rPr>
          <w:b/>
          <w:bCs/>
          <w:sz w:val="32"/>
          <w:szCs w:val="32"/>
        </w:rPr>
        <w:t>RECTORA</w:t>
      </w:r>
    </w:p>
    <w:p w14:paraId="33E3C66E" w14:textId="77777777" w:rsidR="00F25A0E" w:rsidRPr="006A2DC8" w:rsidRDefault="1C8D6E3A" w:rsidP="00F25A0E">
      <w:pPr>
        <w:spacing w:line="240" w:lineRule="auto"/>
        <w:jc w:val="center"/>
        <w:rPr>
          <w:rFonts w:eastAsia="Times New Roman" w:cs="Times New Roman"/>
          <w:b/>
          <w:bCs/>
          <w:sz w:val="32"/>
          <w:szCs w:val="32"/>
        </w:rPr>
      </w:pPr>
      <w:r w:rsidRPr="1C8D6E3A">
        <w:rPr>
          <w:b/>
          <w:bCs/>
          <w:sz w:val="32"/>
          <w:szCs w:val="32"/>
        </w:rPr>
        <w:t>ROSALPINA RODRÍGUEZ</w:t>
      </w:r>
    </w:p>
    <w:p w14:paraId="444030C5" w14:textId="77777777" w:rsidR="00F25A0E" w:rsidRPr="006A2DC8" w:rsidRDefault="00F25A0E" w:rsidP="00F25A0E">
      <w:pPr>
        <w:spacing w:line="240" w:lineRule="auto"/>
        <w:jc w:val="center"/>
        <w:rPr>
          <w:rFonts w:eastAsia="Times New Roman" w:cs="Times New Roman"/>
          <w:b/>
          <w:bCs/>
          <w:sz w:val="32"/>
          <w:szCs w:val="32"/>
        </w:rPr>
      </w:pPr>
    </w:p>
    <w:p w14:paraId="6D9BC1FE" w14:textId="77777777" w:rsidR="00F25A0E" w:rsidRPr="006A2DC8" w:rsidRDefault="00F25A0E" w:rsidP="00F25A0E">
      <w:pPr>
        <w:spacing w:line="240" w:lineRule="auto"/>
        <w:jc w:val="center"/>
        <w:rPr>
          <w:rFonts w:eastAsia="Times New Roman" w:cs="Times New Roman"/>
          <w:b/>
          <w:bCs/>
          <w:sz w:val="32"/>
          <w:szCs w:val="32"/>
        </w:rPr>
      </w:pPr>
    </w:p>
    <w:p w14:paraId="0B6E119B" w14:textId="77777777" w:rsidR="00F25A0E" w:rsidRPr="006A2DC8" w:rsidRDefault="1C8D6E3A" w:rsidP="00F25A0E">
      <w:pPr>
        <w:spacing w:line="240" w:lineRule="auto"/>
        <w:jc w:val="center"/>
        <w:rPr>
          <w:rFonts w:eastAsia="Times New Roman" w:cs="Times New Roman"/>
          <w:b/>
          <w:bCs/>
          <w:sz w:val="32"/>
          <w:szCs w:val="32"/>
        </w:rPr>
      </w:pPr>
      <w:r w:rsidRPr="1C8D6E3A">
        <w:rPr>
          <w:rFonts w:eastAsia="Times New Roman" w:cs="Times New Roman"/>
          <w:b/>
          <w:bCs/>
          <w:sz w:val="32"/>
          <w:szCs w:val="32"/>
        </w:rPr>
        <w:t>VICERRECTOR ACADÉMICO NACIONAL</w:t>
      </w:r>
    </w:p>
    <w:p w14:paraId="18A6232E" w14:textId="77777777" w:rsidR="00F25A0E" w:rsidRPr="006A2DC8" w:rsidRDefault="1C8D6E3A" w:rsidP="00F25A0E">
      <w:pPr>
        <w:spacing w:line="240" w:lineRule="auto"/>
        <w:jc w:val="center"/>
        <w:rPr>
          <w:rFonts w:eastAsia="Times New Roman" w:cs="Times New Roman"/>
          <w:b/>
          <w:bCs/>
          <w:sz w:val="32"/>
          <w:szCs w:val="32"/>
        </w:rPr>
      </w:pPr>
      <w:r w:rsidRPr="1C8D6E3A">
        <w:rPr>
          <w:rFonts w:eastAsia="Times New Roman" w:cs="Times New Roman"/>
          <w:b/>
          <w:bCs/>
          <w:sz w:val="32"/>
          <w:szCs w:val="32"/>
        </w:rPr>
        <w:t>JAVIER ABRAHAM SALGADO LEZAMA</w:t>
      </w:r>
    </w:p>
    <w:p w14:paraId="38A05435" w14:textId="77777777" w:rsidR="00F25A0E" w:rsidRPr="006A2DC8" w:rsidRDefault="00F25A0E" w:rsidP="72A91A42">
      <w:pPr>
        <w:spacing w:line="240" w:lineRule="auto"/>
        <w:ind w:left="2420" w:right="2254" w:hanging="3"/>
        <w:jc w:val="center"/>
        <w:rPr>
          <w:b/>
          <w:bCs/>
          <w:sz w:val="32"/>
          <w:szCs w:val="32"/>
        </w:rPr>
      </w:pPr>
    </w:p>
    <w:p w14:paraId="79CB4D71" w14:textId="77777777" w:rsidR="00F25A0E" w:rsidRPr="006A2DC8" w:rsidRDefault="00F25A0E" w:rsidP="72A91A42">
      <w:pPr>
        <w:spacing w:line="240" w:lineRule="auto"/>
        <w:ind w:left="2420" w:right="2254" w:hanging="3"/>
        <w:jc w:val="center"/>
        <w:rPr>
          <w:b/>
          <w:bCs/>
          <w:sz w:val="32"/>
          <w:szCs w:val="32"/>
        </w:rPr>
      </w:pPr>
    </w:p>
    <w:p w14:paraId="0766E03D" w14:textId="77777777" w:rsidR="00F25A0E" w:rsidRPr="006A2DC8" w:rsidRDefault="1C8D6E3A" w:rsidP="72A91A42">
      <w:pPr>
        <w:spacing w:line="240" w:lineRule="auto"/>
        <w:ind w:left="2420" w:right="2254" w:hanging="3"/>
        <w:jc w:val="center"/>
        <w:rPr>
          <w:b/>
          <w:bCs/>
          <w:sz w:val="32"/>
          <w:szCs w:val="32"/>
        </w:rPr>
      </w:pPr>
      <w:r w:rsidRPr="1C8D6E3A">
        <w:rPr>
          <w:b/>
          <w:bCs/>
          <w:sz w:val="32"/>
          <w:szCs w:val="32"/>
        </w:rPr>
        <w:t>SECRETARIO GENERAL ROGER MARTÍNEZ MIRALDA</w:t>
      </w:r>
    </w:p>
    <w:p w14:paraId="10B54520" w14:textId="77777777" w:rsidR="00F25A0E" w:rsidRPr="006A2DC8" w:rsidRDefault="00F25A0E" w:rsidP="72A91A42">
      <w:pPr>
        <w:spacing w:line="240" w:lineRule="auto"/>
        <w:ind w:left="557" w:right="395"/>
        <w:jc w:val="center"/>
        <w:rPr>
          <w:b/>
          <w:bCs/>
          <w:sz w:val="32"/>
          <w:szCs w:val="32"/>
        </w:rPr>
      </w:pPr>
    </w:p>
    <w:p w14:paraId="1529A29C" w14:textId="77777777" w:rsidR="00F25A0E" w:rsidRPr="006A2DC8" w:rsidRDefault="00F25A0E" w:rsidP="72A91A42">
      <w:pPr>
        <w:spacing w:line="240" w:lineRule="auto"/>
        <w:ind w:left="557" w:right="395"/>
        <w:jc w:val="center"/>
        <w:rPr>
          <w:b/>
          <w:bCs/>
          <w:sz w:val="32"/>
          <w:szCs w:val="32"/>
        </w:rPr>
      </w:pPr>
    </w:p>
    <w:p w14:paraId="7950072C" w14:textId="77777777" w:rsidR="00F25A0E" w:rsidRPr="006A2DC8" w:rsidRDefault="00F25A0E" w:rsidP="00F25A0E">
      <w:pPr>
        <w:spacing w:line="240" w:lineRule="auto"/>
        <w:ind w:left="557" w:right="395"/>
        <w:jc w:val="center"/>
        <w:rPr>
          <w:rFonts w:eastAsia="Times New Roman" w:cs="Times New Roman"/>
          <w:sz w:val="32"/>
          <w:szCs w:val="32"/>
        </w:rPr>
      </w:pPr>
      <w:r w:rsidRPr="006A2DC8">
        <w:rPr>
          <w:b/>
          <w:bCs/>
          <w:sz w:val="32"/>
          <w:szCs w:val="32"/>
        </w:rPr>
        <w:t>DIRECTORA NACIONAL DE</w:t>
      </w:r>
      <w:r w:rsidRPr="006A2DC8">
        <w:rPr>
          <w:b/>
          <w:bCs/>
          <w:spacing w:val="-11"/>
          <w:sz w:val="32"/>
          <w:szCs w:val="32"/>
        </w:rPr>
        <w:t xml:space="preserve"> </w:t>
      </w:r>
      <w:r w:rsidRPr="006A2DC8">
        <w:rPr>
          <w:b/>
          <w:bCs/>
          <w:sz w:val="32"/>
          <w:szCs w:val="32"/>
        </w:rPr>
        <w:t>POSTGRADO</w:t>
      </w:r>
    </w:p>
    <w:p w14:paraId="0E300E49" w14:textId="77777777" w:rsidR="00F25A0E" w:rsidRPr="006A2DC8" w:rsidRDefault="1C8D6E3A" w:rsidP="00F25A0E">
      <w:pPr>
        <w:spacing w:after="160" w:line="240" w:lineRule="auto"/>
        <w:jc w:val="center"/>
        <w:rPr>
          <w:rFonts w:cs="Times New Roman"/>
          <w:sz w:val="20"/>
          <w:szCs w:val="20"/>
        </w:rPr>
      </w:pPr>
      <w:r w:rsidRPr="1C8D6E3A">
        <w:rPr>
          <w:b/>
          <w:bCs/>
          <w:sz w:val="32"/>
          <w:szCs w:val="32"/>
        </w:rPr>
        <w:t>ANA DEL CARMEN RETTALLY VARGAS</w:t>
      </w:r>
    </w:p>
    <w:p w14:paraId="5199AABA" w14:textId="6E43AB7C" w:rsidR="00A260E7" w:rsidRDefault="00F25A0E" w:rsidP="004213F8">
      <w:pPr>
        <w:spacing w:after="160" w:line="259" w:lineRule="auto"/>
        <w:rPr>
          <w:rFonts w:cs="Times New Roman"/>
          <w:sz w:val="20"/>
          <w:szCs w:val="20"/>
        </w:rPr>
      </w:pPr>
      <w:r w:rsidRPr="1C8D6E3A">
        <w:rPr>
          <w:rFonts w:cs="Times New Roman"/>
          <w:sz w:val="20"/>
          <w:szCs w:val="20"/>
        </w:rPr>
        <w:br w:type="page"/>
      </w:r>
    </w:p>
    <w:p w14:paraId="01ADAC7E" w14:textId="4EE0C24E" w:rsidR="00C92FC1" w:rsidRDefault="00C92FC1" w:rsidP="00C92FC1">
      <w:pPr>
        <w:spacing w:before="177"/>
        <w:ind w:left="557" w:right="393"/>
        <w:jc w:val="center"/>
        <w:rPr>
          <w:rFonts w:cs="Times New Roman"/>
          <w:b/>
          <w:bCs/>
          <w:sz w:val="32"/>
          <w:szCs w:val="32"/>
        </w:rPr>
      </w:pPr>
      <w:r w:rsidRPr="1C8D6E3A">
        <w:rPr>
          <w:rFonts w:cs="Times New Roman"/>
          <w:b/>
          <w:bCs/>
          <w:sz w:val="32"/>
          <w:szCs w:val="32"/>
        </w:rPr>
        <w:lastRenderedPageBreak/>
        <w:t>ANÁLISIS DE LA GESTIÓN DE CR</w:t>
      </w:r>
      <w:r w:rsidR="001D7722">
        <w:rPr>
          <w:rFonts w:cs="Times New Roman"/>
          <w:b/>
          <w:bCs/>
          <w:sz w:val="32"/>
          <w:szCs w:val="32"/>
        </w:rPr>
        <w:t>É</w:t>
      </w:r>
      <w:r w:rsidRPr="1C8D6E3A">
        <w:rPr>
          <w:rFonts w:cs="Times New Roman"/>
          <w:b/>
          <w:bCs/>
          <w:sz w:val="32"/>
          <w:szCs w:val="32"/>
        </w:rPr>
        <w:t>D</w:t>
      </w:r>
      <w:r w:rsidR="001D7722">
        <w:rPr>
          <w:rFonts w:cs="Times New Roman"/>
          <w:b/>
          <w:bCs/>
          <w:sz w:val="32"/>
          <w:szCs w:val="32"/>
        </w:rPr>
        <w:t>I</w:t>
      </w:r>
      <w:r w:rsidRPr="1C8D6E3A">
        <w:rPr>
          <w:rFonts w:cs="Times New Roman"/>
          <w:b/>
          <w:bCs/>
          <w:sz w:val="32"/>
          <w:szCs w:val="32"/>
        </w:rPr>
        <w:t>TO Y LAS CUENTAS POR COBRAR DE LA INDUSTRIA PROCESADORA DE ALIMENTOS (IPRA), TEGUCIGALPA, HONDURAS DURANTE EL PERIODO 2019-2022</w:t>
      </w:r>
    </w:p>
    <w:p w14:paraId="735E1C0A" w14:textId="77777777" w:rsidR="00C92FC1" w:rsidRPr="00F67E0B" w:rsidRDefault="00C92FC1" w:rsidP="00C92FC1">
      <w:pPr>
        <w:spacing w:before="177"/>
        <w:ind w:left="557" w:right="393"/>
        <w:jc w:val="center"/>
        <w:rPr>
          <w:rFonts w:cs="Times New Roman"/>
          <w:b/>
          <w:sz w:val="32"/>
        </w:rPr>
      </w:pPr>
    </w:p>
    <w:p w14:paraId="2835BDC9" w14:textId="77777777" w:rsidR="00C92FC1" w:rsidRPr="00F67E0B" w:rsidRDefault="00C92FC1" w:rsidP="00C92FC1">
      <w:pPr>
        <w:spacing w:before="177"/>
        <w:ind w:left="557" w:right="393"/>
        <w:jc w:val="center"/>
        <w:rPr>
          <w:rFonts w:cs="Times New Roman"/>
          <w:b/>
          <w:sz w:val="32"/>
        </w:rPr>
      </w:pPr>
      <w:r w:rsidRPr="00F67E0B">
        <w:rPr>
          <w:rFonts w:cs="Times New Roman"/>
          <w:b/>
          <w:sz w:val="32"/>
        </w:rPr>
        <w:t>TRABAJO PRESENTADO EN CUMPLIMIENTO DE LOS REQUISITOS EXIGIDOS PARA OPTAR AL TÍTULO DE</w:t>
      </w:r>
    </w:p>
    <w:p w14:paraId="30BEA109" w14:textId="77777777" w:rsidR="00C92FC1" w:rsidRPr="00F67E0B" w:rsidRDefault="00C92FC1" w:rsidP="00C92FC1">
      <w:pPr>
        <w:spacing w:before="177"/>
        <w:ind w:left="557" w:right="393"/>
        <w:jc w:val="center"/>
        <w:rPr>
          <w:rFonts w:cs="Times New Roman"/>
          <w:b/>
          <w:sz w:val="32"/>
        </w:rPr>
      </w:pPr>
      <w:r w:rsidRPr="00F67E0B">
        <w:rPr>
          <w:rFonts w:cs="Times New Roman"/>
          <w:b/>
          <w:sz w:val="32"/>
        </w:rPr>
        <w:t>MÁSTER EN</w:t>
      </w:r>
    </w:p>
    <w:p w14:paraId="1C34A805" w14:textId="77777777" w:rsidR="00C92FC1" w:rsidRPr="00F67E0B" w:rsidRDefault="00C92FC1" w:rsidP="00C92FC1">
      <w:pPr>
        <w:spacing w:before="7"/>
        <w:rPr>
          <w:rFonts w:eastAsia="Times New Roman" w:cs="Times New Roman"/>
          <w:b/>
          <w:bCs/>
          <w:sz w:val="26"/>
          <w:szCs w:val="26"/>
        </w:rPr>
      </w:pPr>
    </w:p>
    <w:p w14:paraId="2B1E81D0" w14:textId="6D5B3331" w:rsidR="00C92FC1" w:rsidRPr="00F67E0B" w:rsidRDefault="00C92FC1" w:rsidP="00C92FC1">
      <w:pPr>
        <w:ind w:left="557" w:right="388"/>
        <w:jc w:val="center"/>
        <w:rPr>
          <w:rFonts w:eastAsia="Times New Roman" w:cs="Times New Roman"/>
          <w:b/>
          <w:sz w:val="32"/>
          <w:szCs w:val="32"/>
        </w:rPr>
      </w:pPr>
      <w:r>
        <w:rPr>
          <w:b/>
          <w:sz w:val="32"/>
          <w:szCs w:val="32"/>
        </w:rPr>
        <w:t>FINANZAS</w:t>
      </w:r>
    </w:p>
    <w:p w14:paraId="4C66D2AB" w14:textId="77777777" w:rsidR="00C92FC1" w:rsidRPr="00F67E0B" w:rsidRDefault="00C92FC1" w:rsidP="00C92FC1">
      <w:pPr>
        <w:rPr>
          <w:rFonts w:eastAsia="Times New Roman" w:cs="Times New Roman"/>
          <w:b/>
          <w:bCs/>
          <w:sz w:val="20"/>
          <w:szCs w:val="20"/>
        </w:rPr>
      </w:pPr>
    </w:p>
    <w:p w14:paraId="1FACB640" w14:textId="77777777" w:rsidR="00C92FC1" w:rsidRPr="00F67E0B" w:rsidRDefault="00C92FC1" w:rsidP="00C92FC1">
      <w:pPr>
        <w:rPr>
          <w:rFonts w:eastAsia="Times New Roman" w:cs="Times New Roman"/>
          <w:b/>
          <w:bCs/>
          <w:sz w:val="20"/>
          <w:szCs w:val="20"/>
        </w:rPr>
      </w:pPr>
    </w:p>
    <w:p w14:paraId="3FD87DB5" w14:textId="77777777" w:rsidR="00C92FC1" w:rsidRPr="00F67E0B" w:rsidRDefault="00C92FC1" w:rsidP="00C92FC1">
      <w:pPr>
        <w:rPr>
          <w:rFonts w:eastAsia="Times New Roman" w:cs="Times New Roman"/>
          <w:b/>
          <w:bCs/>
          <w:sz w:val="20"/>
          <w:szCs w:val="20"/>
        </w:rPr>
      </w:pPr>
    </w:p>
    <w:p w14:paraId="6F5B5507" w14:textId="77777777" w:rsidR="00C92FC1" w:rsidRPr="00F67E0B" w:rsidRDefault="00C92FC1" w:rsidP="00C92FC1">
      <w:pPr>
        <w:spacing w:before="10"/>
        <w:rPr>
          <w:rFonts w:eastAsia="Times New Roman" w:cs="Times New Roman"/>
          <w:b/>
          <w:bCs/>
          <w:sz w:val="18"/>
          <w:szCs w:val="18"/>
        </w:rPr>
      </w:pPr>
    </w:p>
    <w:p w14:paraId="4BFE5015" w14:textId="77777777" w:rsidR="00C92FC1" w:rsidRPr="00F67E0B" w:rsidRDefault="00C92FC1" w:rsidP="00C92FC1">
      <w:pPr>
        <w:ind w:left="0"/>
        <w:rPr>
          <w:rFonts w:eastAsia="Times New Roman" w:cs="Times New Roman"/>
          <w:b/>
          <w:bCs/>
          <w:sz w:val="20"/>
          <w:szCs w:val="20"/>
        </w:rPr>
      </w:pPr>
    </w:p>
    <w:p w14:paraId="765313BC" w14:textId="77777777" w:rsidR="00C92FC1" w:rsidRPr="00F67E0B" w:rsidRDefault="00C92FC1" w:rsidP="00C92FC1">
      <w:pPr>
        <w:spacing w:before="9"/>
        <w:rPr>
          <w:rFonts w:eastAsia="Times New Roman" w:cs="Times New Roman"/>
          <w:b/>
          <w:bCs/>
          <w:sz w:val="18"/>
          <w:szCs w:val="18"/>
        </w:rPr>
      </w:pPr>
    </w:p>
    <w:p w14:paraId="6C2918E4" w14:textId="77777777" w:rsidR="00C92FC1" w:rsidRPr="00F67E0B" w:rsidRDefault="00C92FC1" w:rsidP="00C92FC1">
      <w:pPr>
        <w:spacing w:before="177"/>
        <w:ind w:left="557" w:right="393"/>
        <w:jc w:val="center"/>
        <w:rPr>
          <w:rFonts w:cs="Times New Roman"/>
          <w:b/>
          <w:sz w:val="32"/>
        </w:rPr>
      </w:pPr>
      <w:r w:rsidRPr="00F67E0B">
        <w:rPr>
          <w:rFonts w:cs="Times New Roman"/>
          <w:b/>
          <w:sz w:val="32"/>
        </w:rPr>
        <w:t xml:space="preserve">ASESOR </w:t>
      </w:r>
    </w:p>
    <w:p w14:paraId="7FACDDEF" w14:textId="77777777" w:rsidR="00C92FC1" w:rsidRPr="00F67E0B" w:rsidRDefault="00C92FC1" w:rsidP="00C92FC1">
      <w:pPr>
        <w:spacing w:before="7"/>
        <w:rPr>
          <w:rFonts w:eastAsia="Times New Roman" w:cs="Times New Roman"/>
          <w:b/>
          <w:bCs/>
          <w:sz w:val="26"/>
          <w:szCs w:val="26"/>
        </w:rPr>
      </w:pPr>
    </w:p>
    <w:p w14:paraId="25CB0473" w14:textId="17A088AC" w:rsidR="00C92FC1" w:rsidRPr="00F67E0B" w:rsidRDefault="00C92FC1" w:rsidP="00C92FC1">
      <w:pPr>
        <w:ind w:left="1586" w:right="1405"/>
        <w:jc w:val="center"/>
        <w:rPr>
          <w:rFonts w:eastAsia="Times New Roman" w:cs="Times New Roman"/>
          <w:sz w:val="32"/>
          <w:szCs w:val="32"/>
        </w:rPr>
      </w:pPr>
      <w:r>
        <w:rPr>
          <w:b/>
          <w:sz w:val="32"/>
          <w:szCs w:val="32"/>
        </w:rPr>
        <w:t xml:space="preserve">JOSÉ MIGUEL VELASQUEZ SANCHEZ </w:t>
      </w:r>
    </w:p>
    <w:p w14:paraId="78767588" w14:textId="77777777" w:rsidR="00C92FC1" w:rsidRPr="00F67E0B" w:rsidRDefault="00C92FC1" w:rsidP="00C92FC1">
      <w:pPr>
        <w:rPr>
          <w:rFonts w:eastAsia="Times New Roman" w:cs="Times New Roman"/>
          <w:b/>
          <w:bCs/>
        </w:rPr>
      </w:pPr>
    </w:p>
    <w:p w14:paraId="7387E6BA" w14:textId="77777777" w:rsidR="00C92FC1" w:rsidRPr="00F67E0B" w:rsidRDefault="00C92FC1" w:rsidP="00C92FC1">
      <w:pPr>
        <w:rPr>
          <w:rFonts w:eastAsia="Times New Roman" w:cs="Times New Roman"/>
          <w:b/>
          <w:bCs/>
        </w:rPr>
      </w:pPr>
    </w:p>
    <w:p w14:paraId="3FAB6562" w14:textId="77777777" w:rsidR="00C92FC1" w:rsidRPr="00F67E0B" w:rsidRDefault="00C92FC1" w:rsidP="00C92FC1">
      <w:pPr>
        <w:rPr>
          <w:rFonts w:eastAsia="Times New Roman" w:cs="Times New Roman"/>
          <w:b/>
          <w:bCs/>
        </w:rPr>
      </w:pPr>
    </w:p>
    <w:p w14:paraId="2D5D252A" w14:textId="77777777" w:rsidR="00C92FC1" w:rsidRPr="00F67E0B" w:rsidRDefault="00C92FC1" w:rsidP="00C92FC1">
      <w:pPr>
        <w:spacing w:before="157" w:line="439" w:lineRule="auto"/>
        <w:ind w:left="1592" w:right="1405"/>
        <w:jc w:val="center"/>
        <w:rPr>
          <w:b/>
          <w:sz w:val="32"/>
        </w:rPr>
      </w:pPr>
      <w:r w:rsidRPr="00F67E0B">
        <w:rPr>
          <w:b/>
          <w:sz w:val="32"/>
        </w:rPr>
        <w:t xml:space="preserve">MIEMBROS DE LA TERNA: </w:t>
      </w:r>
    </w:p>
    <w:p w14:paraId="69677773" w14:textId="04A05841" w:rsidR="00C92FC1" w:rsidRDefault="00BD3AA4" w:rsidP="00C92FC1">
      <w:pPr>
        <w:ind w:left="1586" w:right="1405"/>
        <w:jc w:val="center"/>
        <w:rPr>
          <w:b/>
          <w:sz w:val="32"/>
          <w:szCs w:val="32"/>
        </w:rPr>
      </w:pPr>
      <w:r>
        <w:rPr>
          <w:b/>
          <w:sz w:val="32"/>
          <w:szCs w:val="32"/>
        </w:rPr>
        <w:t>MARLON MEJÍA</w:t>
      </w:r>
    </w:p>
    <w:p w14:paraId="71A98B39" w14:textId="0ADA581A" w:rsidR="00BD3AA4" w:rsidRDefault="00BD3AA4" w:rsidP="00C92FC1">
      <w:pPr>
        <w:ind w:left="1586" w:right="1405"/>
        <w:jc w:val="center"/>
        <w:rPr>
          <w:b/>
          <w:sz w:val="32"/>
          <w:szCs w:val="32"/>
        </w:rPr>
      </w:pPr>
      <w:r>
        <w:rPr>
          <w:b/>
          <w:sz w:val="32"/>
          <w:szCs w:val="32"/>
        </w:rPr>
        <w:t>CARLA CARDONDA</w:t>
      </w:r>
    </w:p>
    <w:p w14:paraId="471D402F" w14:textId="7E6FB6D5" w:rsidR="00BD3AA4" w:rsidRPr="00F67E0B" w:rsidRDefault="00BD3AA4" w:rsidP="00C92FC1">
      <w:pPr>
        <w:ind w:left="1586" w:right="1405"/>
        <w:jc w:val="center"/>
        <w:rPr>
          <w:b/>
          <w:sz w:val="32"/>
          <w:szCs w:val="32"/>
        </w:rPr>
      </w:pPr>
      <w:r>
        <w:rPr>
          <w:b/>
          <w:sz w:val="32"/>
          <w:szCs w:val="32"/>
        </w:rPr>
        <w:t>CID CANALES</w:t>
      </w:r>
    </w:p>
    <w:p w14:paraId="70258F28" w14:textId="77777777" w:rsidR="00C92FC1" w:rsidRPr="00F67E0B" w:rsidRDefault="00C92FC1" w:rsidP="00BD3AA4">
      <w:pPr>
        <w:ind w:right="1405"/>
        <w:rPr>
          <w:rFonts w:eastAsia="Times New Roman" w:cs="Times New Roman"/>
          <w:sz w:val="32"/>
          <w:szCs w:val="32"/>
        </w:rPr>
      </w:pPr>
    </w:p>
    <w:p w14:paraId="2FABC5E2" w14:textId="0B962E5E" w:rsidR="00A84B9C" w:rsidRPr="00F67E0B" w:rsidRDefault="00A84B9C" w:rsidP="00274A8B">
      <w:pPr>
        <w:rPr>
          <w:rFonts w:eastAsia="Times New Roman" w:cs="Times New Roman"/>
          <w:sz w:val="32"/>
          <w:szCs w:val="32"/>
        </w:rPr>
      </w:pPr>
      <w:r>
        <w:rPr>
          <w:rFonts w:eastAsia="Times New Roman" w:cs="Times New Roman"/>
          <w:sz w:val="32"/>
          <w:szCs w:val="32"/>
        </w:rPr>
        <w:br w:type="page"/>
      </w:r>
    </w:p>
    <w:p w14:paraId="6BD34677" w14:textId="77777777" w:rsidR="00A84B9C" w:rsidRPr="00F67E0B" w:rsidRDefault="00A84B9C" w:rsidP="00C131B0">
      <w:pPr>
        <w:ind w:left="0"/>
        <w:jc w:val="center"/>
        <w:rPr>
          <w:rFonts w:cs="Times New Roman"/>
          <w:b/>
          <w:bCs/>
          <w:sz w:val="32"/>
          <w:szCs w:val="32"/>
        </w:rPr>
      </w:pPr>
      <w:r w:rsidRPr="00F67E0B">
        <w:rPr>
          <w:rFonts w:cs="Times New Roman"/>
          <w:b/>
          <w:sz w:val="32"/>
          <w:szCs w:val="32"/>
        </w:rPr>
        <w:lastRenderedPageBreak/>
        <w:t>DERECHOS DE</w:t>
      </w:r>
      <w:r w:rsidRPr="00F67E0B">
        <w:rPr>
          <w:rFonts w:cs="Times New Roman"/>
          <w:b/>
          <w:spacing w:val="-5"/>
          <w:sz w:val="32"/>
          <w:szCs w:val="32"/>
        </w:rPr>
        <w:t xml:space="preserve"> </w:t>
      </w:r>
      <w:r w:rsidRPr="00F67E0B">
        <w:rPr>
          <w:rFonts w:cs="Times New Roman"/>
          <w:b/>
          <w:sz w:val="32"/>
          <w:szCs w:val="32"/>
        </w:rPr>
        <w:t>AUTOR</w:t>
      </w:r>
    </w:p>
    <w:p w14:paraId="23433B7E" w14:textId="77777777" w:rsidR="00A84B9C" w:rsidRPr="00F67E0B" w:rsidRDefault="00A84B9C" w:rsidP="00A84B9C">
      <w:pPr>
        <w:rPr>
          <w:rFonts w:eastAsia="Times New Roman" w:cs="Times New Roman"/>
          <w:b/>
          <w:bCs/>
          <w:sz w:val="28"/>
          <w:szCs w:val="28"/>
        </w:rPr>
      </w:pPr>
    </w:p>
    <w:p w14:paraId="654E18C7" w14:textId="77777777" w:rsidR="00A84B9C" w:rsidRPr="00F67E0B" w:rsidRDefault="00A84B9C" w:rsidP="00A84B9C">
      <w:pPr>
        <w:rPr>
          <w:rFonts w:eastAsia="Times New Roman" w:cs="Times New Roman"/>
          <w:b/>
          <w:bCs/>
          <w:sz w:val="28"/>
          <w:szCs w:val="28"/>
        </w:rPr>
      </w:pPr>
    </w:p>
    <w:p w14:paraId="0019797E" w14:textId="77777777" w:rsidR="00A84B9C" w:rsidRPr="00F67E0B" w:rsidRDefault="00A84B9C" w:rsidP="00A84B9C">
      <w:pPr>
        <w:rPr>
          <w:rFonts w:eastAsia="Times New Roman" w:cs="Times New Roman"/>
          <w:b/>
          <w:bCs/>
          <w:sz w:val="28"/>
          <w:szCs w:val="28"/>
        </w:rPr>
      </w:pPr>
    </w:p>
    <w:p w14:paraId="6C56792A" w14:textId="77777777" w:rsidR="00A84B9C" w:rsidRPr="00F67E0B" w:rsidRDefault="00A84B9C" w:rsidP="00A84B9C">
      <w:pPr>
        <w:rPr>
          <w:rFonts w:eastAsia="Times New Roman" w:cs="Times New Roman"/>
          <w:b/>
          <w:bCs/>
          <w:sz w:val="28"/>
          <w:szCs w:val="28"/>
        </w:rPr>
      </w:pPr>
    </w:p>
    <w:p w14:paraId="4C732869" w14:textId="77777777" w:rsidR="00A84B9C" w:rsidRPr="00F67E0B" w:rsidRDefault="00A84B9C" w:rsidP="00A84B9C">
      <w:pPr>
        <w:rPr>
          <w:rFonts w:eastAsia="Times New Roman" w:cs="Times New Roman"/>
          <w:b/>
          <w:bCs/>
          <w:sz w:val="28"/>
          <w:szCs w:val="28"/>
        </w:rPr>
      </w:pPr>
    </w:p>
    <w:p w14:paraId="78E217D6" w14:textId="77777777" w:rsidR="00A84B9C" w:rsidRPr="00F67E0B" w:rsidRDefault="00A84B9C" w:rsidP="00A84B9C">
      <w:pPr>
        <w:rPr>
          <w:rFonts w:eastAsia="Times New Roman" w:cs="Times New Roman"/>
          <w:b/>
          <w:bCs/>
          <w:sz w:val="28"/>
          <w:szCs w:val="28"/>
        </w:rPr>
      </w:pPr>
    </w:p>
    <w:p w14:paraId="14B968D4" w14:textId="77777777" w:rsidR="00A84B9C" w:rsidRPr="00F67E0B" w:rsidRDefault="00A84B9C" w:rsidP="00A84B9C">
      <w:pPr>
        <w:rPr>
          <w:rFonts w:eastAsia="Times New Roman" w:cs="Times New Roman"/>
          <w:b/>
          <w:bCs/>
          <w:sz w:val="28"/>
          <w:szCs w:val="28"/>
        </w:rPr>
      </w:pPr>
    </w:p>
    <w:p w14:paraId="27F738B3" w14:textId="77777777" w:rsidR="00A84B9C" w:rsidRPr="00F67E0B" w:rsidRDefault="00A84B9C" w:rsidP="00A84B9C">
      <w:pPr>
        <w:rPr>
          <w:rFonts w:eastAsia="Times New Roman" w:cs="Times New Roman"/>
          <w:b/>
          <w:bCs/>
          <w:sz w:val="28"/>
          <w:szCs w:val="28"/>
        </w:rPr>
      </w:pPr>
    </w:p>
    <w:p w14:paraId="524700E5" w14:textId="77777777" w:rsidR="00A84B9C" w:rsidRPr="00F67E0B" w:rsidRDefault="00A84B9C" w:rsidP="00A84B9C">
      <w:pPr>
        <w:rPr>
          <w:rFonts w:eastAsia="Times New Roman" w:cs="Times New Roman"/>
          <w:b/>
          <w:bCs/>
          <w:sz w:val="28"/>
          <w:szCs w:val="28"/>
        </w:rPr>
      </w:pPr>
    </w:p>
    <w:p w14:paraId="08FA312E" w14:textId="77777777" w:rsidR="00A84B9C" w:rsidRPr="00F67E0B" w:rsidRDefault="00A84B9C" w:rsidP="00A84B9C">
      <w:pPr>
        <w:rPr>
          <w:rFonts w:eastAsia="Times New Roman" w:cs="Times New Roman"/>
          <w:b/>
          <w:bCs/>
          <w:sz w:val="28"/>
          <w:szCs w:val="28"/>
        </w:rPr>
      </w:pPr>
    </w:p>
    <w:p w14:paraId="013D58FA" w14:textId="77777777" w:rsidR="00A84B9C" w:rsidRPr="00F67E0B" w:rsidRDefault="00A84B9C" w:rsidP="00A84B9C">
      <w:pPr>
        <w:rPr>
          <w:rFonts w:eastAsia="Times New Roman" w:cs="Times New Roman"/>
          <w:b/>
          <w:bCs/>
          <w:sz w:val="28"/>
          <w:szCs w:val="28"/>
        </w:rPr>
      </w:pPr>
    </w:p>
    <w:p w14:paraId="298B2931" w14:textId="77777777" w:rsidR="00A84B9C" w:rsidRPr="00F67E0B" w:rsidRDefault="00A84B9C" w:rsidP="00A84B9C">
      <w:pPr>
        <w:rPr>
          <w:rFonts w:eastAsia="Times New Roman" w:cs="Times New Roman"/>
          <w:b/>
          <w:bCs/>
          <w:sz w:val="28"/>
          <w:szCs w:val="28"/>
        </w:rPr>
      </w:pPr>
    </w:p>
    <w:p w14:paraId="5AB80362" w14:textId="77777777" w:rsidR="00A84B9C" w:rsidRPr="00F67E0B" w:rsidRDefault="00A84B9C" w:rsidP="00A84B9C">
      <w:pPr>
        <w:rPr>
          <w:rFonts w:eastAsia="Times New Roman" w:cs="Times New Roman"/>
          <w:b/>
          <w:bCs/>
          <w:sz w:val="28"/>
          <w:szCs w:val="28"/>
        </w:rPr>
      </w:pPr>
    </w:p>
    <w:p w14:paraId="6066AFFD" w14:textId="77777777" w:rsidR="00A84B9C" w:rsidRPr="00F67E0B" w:rsidRDefault="00A84B9C" w:rsidP="00A84B9C">
      <w:pPr>
        <w:rPr>
          <w:rFonts w:eastAsia="Times New Roman" w:cs="Times New Roman"/>
          <w:b/>
          <w:bCs/>
          <w:sz w:val="28"/>
          <w:szCs w:val="28"/>
        </w:rPr>
      </w:pPr>
    </w:p>
    <w:p w14:paraId="5E7A55EC" w14:textId="77777777" w:rsidR="00A84B9C" w:rsidRPr="00F67E0B" w:rsidRDefault="00A84B9C" w:rsidP="00A84B9C">
      <w:pPr>
        <w:spacing w:before="3"/>
        <w:rPr>
          <w:rFonts w:eastAsia="Times New Roman" w:cs="Times New Roman"/>
          <w:b/>
          <w:bCs/>
          <w:sz w:val="37"/>
          <w:szCs w:val="37"/>
        </w:rPr>
      </w:pPr>
    </w:p>
    <w:p w14:paraId="163F36D9" w14:textId="11651A56" w:rsidR="00A84B9C" w:rsidRPr="00F67E0B" w:rsidRDefault="00A84B9C" w:rsidP="00C131B0">
      <w:pPr>
        <w:pStyle w:val="Textoindependiente"/>
        <w:ind w:left="2160" w:right="2473" w:firstLine="0"/>
        <w:jc w:val="center"/>
      </w:pPr>
      <w:r w:rsidRPr="00F67E0B">
        <w:t>© Copyright</w:t>
      </w:r>
      <w:r w:rsidRPr="00F67E0B">
        <w:rPr>
          <w:spacing w:val="-4"/>
        </w:rPr>
        <w:t xml:space="preserve"> </w:t>
      </w:r>
      <w:r w:rsidRPr="00F67E0B">
        <w:t>202</w:t>
      </w:r>
      <w:r w:rsidR="00315144">
        <w:t>4</w:t>
      </w:r>
    </w:p>
    <w:p w14:paraId="1227DCD4" w14:textId="2F608EF5" w:rsidR="00A84B9C" w:rsidRPr="00F67E0B" w:rsidRDefault="00274A8B" w:rsidP="00C131B0">
      <w:pPr>
        <w:pStyle w:val="Textoindependiente"/>
        <w:spacing w:before="5"/>
        <w:ind w:left="2160" w:right="2470" w:firstLine="0"/>
        <w:jc w:val="center"/>
      </w:pPr>
      <w:bookmarkStart w:id="1" w:name="_Hlk153034231"/>
      <w:r>
        <w:t>Larissa Nicoll Aceituno Cerrato</w:t>
      </w:r>
    </w:p>
    <w:bookmarkEnd w:id="1"/>
    <w:p w14:paraId="1E4F7B1F" w14:textId="5E9258AB" w:rsidR="00A84B9C" w:rsidRPr="00F67E0B" w:rsidRDefault="00274A8B" w:rsidP="00C131B0">
      <w:pPr>
        <w:pStyle w:val="Textoindependiente"/>
        <w:spacing w:before="5"/>
        <w:ind w:left="2160" w:right="2470" w:firstLine="0"/>
        <w:jc w:val="center"/>
      </w:pPr>
      <w:r>
        <w:t>Maryori Graciela Zapata Montoya</w:t>
      </w:r>
    </w:p>
    <w:p w14:paraId="6A332063" w14:textId="77777777" w:rsidR="00A84B9C" w:rsidRPr="00F67E0B" w:rsidRDefault="00A84B9C" w:rsidP="00A84B9C">
      <w:pPr>
        <w:rPr>
          <w:rFonts w:eastAsia="Times New Roman" w:cs="Times New Roman"/>
          <w:szCs w:val="24"/>
        </w:rPr>
      </w:pPr>
    </w:p>
    <w:p w14:paraId="466E64C9" w14:textId="77777777" w:rsidR="00A84B9C" w:rsidRPr="00F67E0B" w:rsidRDefault="00A84B9C" w:rsidP="00A84B9C">
      <w:pPr>
        <w:rPr>
          <w:rFonts w:eastAsia="Times New Roman" w:cs="Times New Roman"/>
          <w:szCs w:val="24"/>
        </w:rPr>
      </w:pPr>
    </w:p>
    <w:p w14:paraId="141D3F4D" w14:textId="77777777" w:rsidR="00A84B9C" w:rsidRPr="00F67E0B" w:rsidRDefault="00A84B9C" w:rsidP="00A84B9C">
      <w:pPr>
        <w:rPr>
          <w:rFonts w:eastAsia="Times New Roman" w:cs="Times New Roman"/>
          <w:szCs w:val="24"/>
        </w:rPr>
      </w:pPr>
    </w:p>
    <w:p w14:paraId="41121D01" w14:textId="77777777" w:rsidR="00A84B9C" w:rsidRPr="00F67E0B" w:rsidRDefault="00A84B9C" w:rsidP="00A84B9C">
      <w:pPr>
        <w:rPr>
          <w:rFonts w:eastAsia="Times New Roman" w:cs="Times New Roman"/>
          <w:szCs w:val="24"/>
        </w:rPr>
      </w:pPr>
    </w:p>
    <w:p w14:paraId="6EEF7365" w14:textId="77777777" w:rsidR="00A84B9C" w:rsidRPr="00F67E0B" w:rsidRDefault="00A84B9C" w:rsidP="00274A8B">
      <w:pPr>
        <w:ind w:left="0"/>
        <w:rPr>
          <w:rFonts w:eastAsia="Times New Roman" w:cs="Times New Roman"/>
          <w:szCs w:val="24"/>
        </w:rPr>
      </w:pPr>
    </w:p>
    <w:p w14:paraId="732AE732" w14:textId="77777777" w:rsidR="00A84B9C" w:rsidRPr="00F67E0B" w:rsidRDefault="00A84B9C" w:rsidP="00A84B9C">
      <w:pPr>
        <w:rPr>
          <w:rFonts w:eastAsia="Times New Roman" w:cs="Times New Roman"/>
          <w:szCs w:val="24"/>
        </w:rPr>
      </w:pPr>
    </w:p>
    <w:p w14:paraId="4FF44C98" w14:textId="77777777" w:rsidR="00A84B9C" w:rsidRPr="00F67E0B" w:rsidRDefault="00A84B9C" w:rsidP="00A84B9C">
      <w:pPr>
        <w:rPr>
          <w:rFonts w:eastAsia="Times New Roman" w:cs="Times New Roman"/>
          <w:szCs w:val="24"/>
        </w:rPr>
      </w:pPr>
    </w:p>
    <w:p w14:paraId="6A2B3E8E" w14:textId="77777777" w:rsidR="00A84B9C" w:rsidRPr="00F67E0B" w:rsidRDefault="00A84B9C" w:rsidP="00A84B9C">
      <w:pPr>
        <w:rPr>
          <w:rFonts w:eastAsia="Times New Roman" w:cs="Times New Roman"/>
          <w:szCs w:val="24"/>
        </w:rPr>
      </w:pPr>
    </w:p>
    <w:p w14:paraId="180BB78A" w14:textId="77777777" w:rsidR="00A84B9C" w:rsidRPr="00F67E0B" w:rsidRDefault="00A84B9C" w:rsidP="00A84B9C">
      <w:pPr>
        <w:rPr>
          <w:rFonts w:eastAsia="Times New Roman" w:cs="Times New Roman"/>
          <w:szCs w:val="24"/>
        </w:rPr>
      </w:pPr>
    </w:p>
    <w:p w14:paraId="148CD678" w14:textId="77777777" w:rsidR="00A84B9C" w:rsidRPr="00F67E0B" w:rsidRDefault="00A84B9C" w:rsidP="00A84B9C">
      <w:pPr>
        <w:rPr>
          <w:rFonts w:eastAsia="Times New Roman" w:cs="Times New Roman"/>
          <w:szCs w:val="24"/>
        </w:rPr>
      </w:pPr>
    </w:p>
    <w:p w14:paraId="7A0C68F2" w14:textId="77777777" w:rsidR="00A84B9C" w:rsidRPr="00F67E0B" w:rsidRDefault="00A84B9C" w:rsidP="00A84B9C">
      <w:pPr>
        <w:rPr>
          <w:rFonts w:eastAsia="Times New Roman" w:cs="Times New Roman"/>
          <w:szCs w:val="24"/>
        </w:rPr>
      </w:pPr>
    </w:p>
    <w:p w14:paraId="49230453" w14:textId="77777777" w:rsidR="00A84B9C" w:rsidRPr="00F67E0B" w:rsidRDefault="00A84B9C" w:rsidP="00A84B9C">
      <w:pPr>
        <w:rPr>
          <w:rFonts w:eastAsia="Times New Roman" w:cs="Times New Roman"/>
          <w:szCs w:val="24"/>
        </w:rPr>
      </w:pPr>
    </w:p>
    <w:p w14:paraId="5F69BA18" w14:textId="77777777" w:rsidR="00A84B9C" w:rsidRPr="00F67E0B" w:rsidRDefault="00A84B9C" w:rsidP="004213F8">
      <w:pPr>
        <w:pStyle w:val="Textoindependiente"/>
        <w:spacing w:before="147"/>
        <w:ind w:left="3029" w:right="2470" w:firstLine="0"/>
      </w:pPr>
      <w:r w:rsidRPr="00F67E0B">
        <w:t>Todos los derechos son</w:t>
      </w:r>
      <w:r w:rsidRPr="00F67E0B">
        <w:rPr>
          <w:spacing w:val="-8"/>
        </w:rPr>
        <w:t xml:space="preserve"> </w:t>
      </w:r>
      <w:r w:rsidRPr="00F67E0B">
        <w:t>reservados.</w:t>
      </w:r>
    </w:p>
    <w:p w14:paraId="74EDFFF0" w14:textId="641242F6" w:rsidR="00274A8B" w:rsidRDefault="00274A8B" w:rsidP="00BD0DAF">
      <w:pPr>
        <w:ind w:left="0"/>
        <w:rPr>
          <w:rFonts w:eastAsia="Times New Roman" w:cs="Times New Roman"/>
          <w:sz w:val="32"/>
          <w:szCs w:val="32"/>
        </w:rPr>
      </w:pPr>
    </w:p>
    <w:p w14:paraId="166D8012" w14:textId="77777777" w:rsidR="002E562C" w:rsidRPr="00F67E0B" w:rsidRDefault="002E562C" w:rsidP="002E562C">
      <w:pPr>
        <w:spacing w:after="120" w:line="360" w:lineRule="auto"/>
        <w:contextualSpacing/>
        <w:jc w:val="center"/>
        <w:rPr>
          <w:rFonts w:eastAsia="Times New Roman" w:cs="Times New Roman"/>
          <w:sz w:val="28"/>
          <w:szCs w:val="28"/>
        </w:rPr>
      </w:pPr>
      <w:r w:rsidRPr="00F67E0B">
        <w:rPr>
          <w:b/>
          <w:sz w:val="28"/>
        </w:rPr>
        <w:lastRenderedPageBreak/>
        <w:t>AUTORIZACIÓN DEL AUTOR(ES) PARA LA CONSULTA, REPRODUCCIÓN PARCIAL O TOTAL Y</w:t>
      </w:r>
      <w:r w:rsidRPr="00F67E0B">
        <w:rPr>
          <w:b/>
          <w:spacing w:val="-21"/>
          <w:sz w:val="28"/>
        </w:rPr>
        <w:t xml:space="preserve"> </w:t>
      </w:r>
      <w:r w:rsidRPr="00F67E0B">
        <w:rPr>
          <w:b/>
          <w:sz w:val="28"/>
        </w:rPr>
        <w:t>PUBLICACIÓN</w:t>
      </w:r>
    </w:p>
    <w:p w14:paraId="01D6E5B8" w14:textId="77777777" w:rsidR="002E562C" w:rsidRPr="00F67E0B" w:rsidRDefault="002E562C" w:rsidP="002E562C">
      <w:pPr>
        <w:spacing w:after="120" w:line="360" w:lineRule="auto"/>
        <w:contextualSpacing/>
        <w:jc w:val="center"/>
        <w:rPr>
          <w:rFonts w:eastAsia="Times New Roman" w:cs="Times New Roman"/>
          <w:sz w:val="28"/>
          <w:szCs w:val="28"/>
        </w:rPr>
      </w:pPr>
      <w:r w:rsidRPr="00F67E0B">
        <w:rPr>
          <w:b/>
          <w:sz w:val="28"/>
        </w:rPr>
        <w:t>ELECTRÓNICA DEL TEXTO COMPLETO DE TESIS DE</w:t>
      </w:r>
      <w:r w:rsidRPr="00F67E0B">
        <w:rPr>
          <w:b/>
          <w:spacing w:val="-12"/>
          <w:sz w:val="28"/>
        </w:rPr>
        <w:t xml:space="preserve"> </w:t>
      </w:r>
      <w:r w:rsidRPr="00F67E0B">
        <w:rPr>
          <w:b/>
          <w:sz w:val="28"/>
        </w:rPr>
        <w:t>POSTGRADO</w:t>
      </w:r>
    </w:p>
    <w:p w14:paraId="2C3779A5" w14:textId="77777777" w:rsidR="002E562C" w:rsidRPr="00F67E0B" w:rsidRDefault="002E562C" w:rsidP="002E562C">
      <w:pPr>
        <w:pStyle w:val="Textoindependiente"/>
        <w:spacing w:before="159" w:line="480" w:lineRule="auto"/>
        <w:ind w:firstLine="0"/>
        <w:jc w:val="both"/>
      </w:pPr>
    </w:p>
    <w:p w14:paraId="67427274" w14:textId="77777777" w:rsidR="002E562C" w:rsidRPr="00F67E0B" w:rsidRDefault="002E562C" w:rsidP="009220C3">
      <w:pPr>
        <w:spacing w:line="360" w:lineRule="auto"/>
        <w:ind w:left="0"/>
        <w:rPr>
          <w:rFonts w:cs="Times New Roman"/>
        </w:rPr>
      </w:pPr>
      <w:r w:rsidRPr="00F67E0B">
        <w:rPr>
          <w:rFonts w:cs="Times New Roman"/>
        </w:rPr>
        <w:t>Señores</w:t>
      </w:r>
      <w:bookmarkStart w:id="2" w:name="_Toc474331369"/>
    </w:p>
    <w:p w14:paraId="7B2DAFDE" w14:textId="77777777" w:rsidR="002E562C" w:rsidRPr="00F67E0B" w:rsidRDefault="002E562C" w:rsidP="009220C3">
      <w:pPr>
        <w:spacing w:line="360" w:lineRule="auto"/>
        <w:ind w:left="0"/>
        <w:rPr>
          <w:rFonts w:eastAsia="Times New Roman" w:cs="Times New Roman"/>
          <w:szCs w:val="24"/>
        </w:rPr>
      </w:pPr>
      <w:r w:rsidRPr="00F67E0B">
        <w:rPr>
          <w:rFonts w:cs="Times New Roman"/>
        </w:rPr>
        <w:t>CENTRO DE RECURSOS</w:t>
      </w:r>
      <w:r w:rsidRPr="00F67E0B">
        <w:rPr>
          <w:rFonts w:cs="Times New Roman"/>
          <w:spacing w:val="-6"/>
        </w:rPr>
        <w:t xml:space="preserve"> </w:t>
      </w:r>
      <w:r w:rsidRPr="00F67E0B">
        <w:rPr>
          <w:rFonts w:cs="Times New Roman"/>
        </w:rPr>
        <w:t>PARA</w:t>
      </w:r>
      <w:bookmarkEnd w:id="2"/>
      <w:r w:rsidRPr="00F67E0B">
        <w:rPr>
          <w:rFonts w:cs="Times New Roman"/>
        </w:rPr>
        <w:t xml:space="preserve"> </w:t>
      </w:r>
      <w:r w:rsidRPr="00F67E0B">
        <w:rPr>
          <w:rFonts w:cs="Times New Roman"/>
          <w:b/>
        </w:rPr>
        <w:t>EL APRENDIZAJE Y LA INVESTIGACIÓN</w:t>
      </w:r>
      <w:r w:rsidRPr="00F67E0B">
        <w:rPr>
          <w:rFonts w:cs="Times New Roman"/>
          <w:b/>
          <w:spacing w:val="-11"/>
        </w:rPr>
        <w:t xml:space="preserve"> </w:t>
      </w:r>
      <w:r w:rsidRPr="00F67E0B">
        <w:rPr>
          <w:rFonts w:cs="Times New Roman"/>
          <w:b/>
        </w:rPr>
        <w:t>(CRAI) UNIVERSIDAD TECNOLÓGICA CENTROAMERICANA</w:t>
      </w:r>
      <w:r w:rsidRPr="00F67E0B">
        <w:rPr>
          <w:rFonts w:cs="Times New Roman"/>
          <w:b/>
          <w:spacing w:val="-6"/>
        </w:rPr>
        <w:t xml:space="preserve"> </w:t>
      </w:r>
      <w:r w:rsidRPr="00F67E0B">
        <w:rPr>
          <w:rFonts w:cs="Times New Roman"/>
          <w:b/>
        </w:rPr>
        <w:t>(UNITEC)</w:t>
      </w:r>
    </w:p>
    <w:p w14:paraId="22C0CEC9" w14:textId="77777777" w:rsidR="002E562C" w:rsidRPr="00F67E0B" w:rsidRDefault="002E562C" w:rsidP="002E562C">
      <w:pPr>
        <w:rPr>
          <w:rFonts w:eastAsia="Times New Roman" w:cs="Times New Roman"/>
          <w:szCs w:val="24"/>
        </w:rPr>
      </w:pPr>
    </w:p>
    <w:p w14:paraId="59C9C7AA" w14:textId="77777777" w:rsidR="002E562C" w:rsidRPr="00F67E0B" w:rsidRDefault="002E562C" w:rsidP="002E562C">
      <w:pPr>
        <w:spacing w:before="5"/>
        <w:rPr>
          <w:rFonts w:eastAsia="Times New Roman" w:cs="Times New Roman"/>
          <w:sz w:val="19"/>
          <w:szCs w:val="19"/>
        </w:rPr>
      </w:pPr>
    </w:p>
    <w:p w14:paraId="2CFDAC03" w14:textId="77777777" w:rsidR="002E562C" w:rsidRPr="00F67E0B" w:rsidRDefault="002E562C" w:rsidP="002F15D5">
      <w:pPr>
        <w:pStyle w:val="Textoindependiente"/>
        <w:spacing w:line="360" w:lineRule="auto"/>
        <w:ind w:left="102" w:firstLine="0"/>
        <w:jc w:val="both"/>
      </w:pPr>
      <w:r w:rsidRPr="00F67E0B">
        <w:t>Estimados</w:t>
      </w:r>
      <w:r w:rsidRPr="00F67E0B">
        <w:rPr>
          <w:spacing w:val="-4"/>
        </w:rPr>
        <w:t xml:space="preserve"> </w:t>
      </w:r>
      <w:r w:rsidRPr="00F67E0B">
        <w:t>Señores:</w:t>
      </w:r>
    </w:p>
    <w:p w14:paraId="1ABCAE1B" w14:textId="77777777" w:rsidR="002E562C" w:rsidRPr="00F67E0B" w:rsidRDefault="002E562C" w:rsidP="009220C3">
      <w:pPr>
        <w:spacing w:line="480" w:lineRule="auto"/>
        <w:ind w:left="0"/>
        <w:rPr>
          <w:rFonts w:eastAsia="Times New Roman" w:cs="Times New Roman"/>
          <w:szCs w:val="24"/>
        </w:rPr>
      </w:pPr>
    </w:p>
    <w:p w14:paraId="5370126E" w14:textId="0B282882" w:rsidR="002E562C" w:rsidRPr="00F67E0B" w:rsidRDefault="00C363D1" w:rsidP="00365565">
      <w:pPr>
        <w:pStyle w:val="Textoindependiente"/>
        <w:tabs>
          <w:tab w:val="left" w:pos="1288"/>
          <w:tab w:val="left" w:pos="2642"/>
          <w:tab w:val="left" w:pos="6034"/>
          <w:tab w:val="left" w:pos="6418"/>
          <w:tab w:val="left" w:pos="9348"/>
        </w:tabs>
        <w:spacing w:line="360" w:lineRule="auto"/>
        <w:ind w:left="102" w:firstLine="0"/>
        <w:jc w:val="both"/>
      </w:pPr>
      <w:bookmarkStart w:id="3" w:name="_bookmark83"/>
      <w:bookmarkEnd w:id="3"/>
      <w:r>
        <w:t>Nosotros</w:t>
      </w:r>
      <w:r w:rsidR="002E562C" w:rsidRPr="00F67E0B">
        <w:t xml:space="preserve">, </w:t>
      </w:r>
      <w:r w:rsidR="00F70713">
        <w:t>Larissa Nicoll Aceituno Cerrato</w:t>
      </w:r>
      <w:r>
        <w:t xml:space="preserve"> y </w:t>
      </w:r>
      <w:r w:rsidR="00F70713">
        <w:t>Mar</w:t>
      </w:r>
      <w:r w:rsidR="007B2FDF">
        <w:t>yori Graciela Zapata Montoya</w:t>
      </w:r>
      <w:r w:rsidR="002E562C" w:rsidRPr="00F67E0B">
        <w:t xml:space="preserve"> de Tegucigalpa, autor</w:t>
      </w:r>
      <w:r w:rsidR="001D7722">
        <w:t>es</w:t>
      </w:r>
      <w:r w:rsidR="002E562C" w:rsidRPr="00F67E0B">
        <w:t xml:space="preserve"> del trabajo de postgrado titulado: </w:t>
      </w:r>
      <w:r w:rsidR="00F70713">
        <w:t>“</w:t>
      </w:r>
      <w:r w:rsidR="002C64C7">
        <w:t>A</w:t>
      </w:r>
      <w:r w:rsidR="002C64C7" w:rsidRPr="001D7722">
        <w:t xml:space="preserve">NÁLISIS DE LA GESTIÓN DE CRÉDITO Y LAS CUENTAS POR COBRAR DE LA </w:t>
      </w:r>
      <w:r w:rsidR="002C64C7">
        <w:t>I</w:t>
      </w:r>
      <w:r w:rsidR="002C64C7" w:rsidRPr="001D7722">
        <w:t xml:space="preserve">NDUSTRIA </w:t>
      </w:r>
      <w:r w:rsidR="002C64C7">
        <w:t>P</w:t>
      </w:r>
      <w:r w:rsidR="002C64C7" w:rsidRPr="001D7722">
        <w:t xml:space="preserve">ROCESADORA DE </w:t>
      </w:r>
      <w:r w:rsidR="002C64C7">
        <w:t>A</w:t>
      </w:r>
      <w:r w:rsidR="002C64C7" w:rsidRPr="001D7722">
        <w:t>LIMENTOS (</w:t>
      </w:r>
      <w:r w:rsidR="002C64C7">
        <w:t>IPRA</w:t>
      </w:r>
      <w:r w:rsidR="002C64C7" w:rsidRPr="001D7722">
        <w:t xml:space="preserve">), </w:t>
      </w:r>
      <w:r w:rsidR="002C64C7">
        <w:t>T</w:t>
      </w:r>
      <w:r w:rsidR="002C64C7" w:rsidRPr="001D7722">
        <w:t xml:space="preserve">EGUCIGALPA, </w:t>
      </w:r>
      <w:r w:rsidR="002C64C7">
        <w:t>H</w:t>
      </w:r>
      <w:r w:rsidR="002C64C7" w:rsidRPr="001D7722">
        <w:t>ONDURAS DURANTE EL PERIODO 2019-2022</w:t>
      </w:r>
      <w:r w:rsidR="00F70713">
        <w:t>”</w:t>
      </w:r>
      <w:r w:rsidR="002E562C" w:rsidRPr="00F67E0B">
        <w:t xml:space="preserve">, presentado y aprobado en </w:t>
      </w:r>
      <w:r w:rsidR="00995AB7">
        <w:t>diciembre 2023</w:t>
      </w:r>
      <w:r w:rsidR="002E562C" w:rsidRPr="00F67E0B">
        <w:t xml:space="preserve">, como requisito previo para optar al título de máster en </w:t>
      </w:r>
      <w:r w:rsidR="00995AB7">
        <w:t>Finanzas</w:t>
      </w:r>
      <w:r w:rsidR="002E562C" w:rsidRPr="00F67E0B">
        <w:t xml:space="preserve">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0D7FF0E3" w14:textId="77777777" w:rsidR="002E562C" w:rsidRPr="00F67E0B" w:rsidRDefault="002E562C" w:rsidP="002E562C">
      <w:pPr>
        <w:pStyle w:val="Textoindependiente"/>
        <w:tabs>
          <w:tab w:val="left" w:pos="1288"/>
          <w:tab w:val="left" w:pos="2642"/>
          <w:tab w:val="left" w:pos="6034"/>
          <w:tab w:val="left" w:pos="6418"/>
          <w:tab w:val="left" w:pos="9348"/>
        </w:tabs>
        <w:spacing w:line="360" w:lineRule="auto"/>
        <w:ind w:left="102" w:firstLine="0"/>
        <w:jc w:val="both"/>
      </w:pPr>
    </w:p>
    <w:p w14:paraId="0048EFAA" w14:textId="77777777" w:rsidR="002E562C" w:rsidRPr="00F67E0B" w:rsidRDefault="002E562C" w:rsidP="00D30ED2">
      <w:pPr>
        <w:pStyle w:val="Prrafodelista"/>
        <w:widowControl w:val="0"/>
        <w:numPr>
          <w:ilvl w:val="0"/>
          <w:numId w:val="62"/>
        </w:numPr>
        <w:tabs>
          <w:tab w:val="left" w:pos="362"/>
        </w:tabs>
        <w:spacing w:after="0" w:line="360" w:lineRule="auto"/>
        <w:ind w:left="385" w:right="108" w:hanging="283"/>
        <w:contextualSpacing w:val="0"/>
        <w:jc w:val="both"/>
        <w:rPr>
          <w:rFonts w:eastAsia="Times New Roman"/>
          <w:szCs w:val="24"/>
        </w:rPr>
      </w:pPr>
      <w:r w:rsidRPr="00F67E0B">
        <w:rPr>
          <w:rFonts w:eastAsia="Times New Roman"/>
          <w:szCs w:val="24"/>
        </w:rPr>
        <w:t>Los usuarios puedan consultar el contenido de este trabajo en las salas de estudio de la biblioteca y/o la página Web de la Universidad.</w:t>
      </w:r>
    </w:p>
    <w:p w14:paraId="027330D7" w14:textId="196E367E" w:rsidR="002E562C" w:rsidRPr="00777BA7" w:rsidRDefault="002E562C" w:rsidP="00777BA7">
      <w:pPr>
        <w:pStyle w:val="Prrafodelista"/>
        <w:widowControl w:val="0"/>
        <w:numPr>
          <w:ilvl w:val="0"/>
          <w:numId w:val="62"/>
        </w:numPr>
        <w:tabs>
          <w:tab w:val="left" w:pos="370"/>
        </w:tabs>
        <w:spacing w:after="0" w:line="360" w:lineRule="auto"/>
        <w:ind w:left="385" w:right="108" w:hanging="283"/>
        <w:contextualSpacing w:val="0"/>
        <w:jc w:val="both"/>
        <w:rPr>
          <w:rFonts w:eastAsia="Times New Roman"/>
          <w:szCs w:val="24"/>
        </w:rPr>
      </w:pPr>
      <w:r w:rsidRPr="00F67E0B">
        <w:rPr>
          <w:rFonts w:eastAsia="Times New Roman"/>
          <w:szCs w:val="24"/>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18255E92" w14:textId="77777777" w:rsidR="002E562C" w:rsidRPr="00F67E0B" w:rsidRDefault="002E562C" w:rsidP="00E62E0B">
      <w:pPr>
        <w:pStyle w:val="Textoindependiente"/>
        <w:spacing w:line="360" w:lineRule="auto"/>
        <w:ind w:left="102" w:right="102" w:firstLine="0"/>
        <w:jc w:val="both"/>
      </w:pPr>
      <w:r w:rsidRPr="00F67E0B">
        <w:lastRenderedPageBreak/>
        <w:t>De conformidad con lo establecido en los artículos 9.2, 18, 19, 35 y 62 de la Ley de Derechos de</w:t>
      </w:r>
      <w:r w:rsidRPr="00F67E0B">
        <w:rPr>
          <w:spacing w:val="-17"/>
        </w:rPr>
        <w:t xml:space="preserve"> </w:t>
      </w:r>
      <w:r w:rsidRPr="00F67E0B">
        <w:t>Autor</w:t>
      </w:r>
      <w:r w:rsidRPr="00F67E0B">
        <w:rPr>
          <w:spacing w:val="-12"/>
        </w:rPr>
        <w:t xml:space="preserve"> </w:t>
      </w:r>
      <w:r w:rsidRPr="00F67E0B">
        <w:t>y</w:t>
      </w:r>
      <w:r w:rsidRPr="00F67E0B">
        <w:rPr>
          <w:spacing w:val="-18"/>
        </w:rPr>
        <w:t xml:space="preserve"> </w:t>
      </w:r>
      <w:r w:rsidRPr="00F67E0B">
        <w:t>de</w:t>
      </w:r>
      <w:r w:rsidRPr="00F67E0B">
        <w:rPr>
          <w:spacing w:val="-17"/>
        </w:rPr>
        <w:t xml:space="preserve"> </w:t>
      </w:r>
      <w:r w:rsidRPr="00F67E0B">
        <w:t>los</w:t>
      </w:r>
      <w:r w:rsidRPr="00F67E0B">
        <w:rPr>
          <w:spacing w:val="-13"/>
        </w:rPr>
        <w:t xml:space="preserve"> </w:t>
      </w:r>
      <w:r w:rsidRPr="00F67E0B">
        <w:t>Derechos</w:t>
      </w:r>
      <w:r w:rsidRPr="00F67E0B">
        <w:rPr>
          <w:spacing w:val="-16"/>
        </w:rPr>
        <w:t xml:space="preserve"> </w:t>
      </w:r>
      <w:r w:rsidRPr="00F67E0B">
        <w:t>Conexos;</w:t>
      </w:r>
      <w:r w:rsidRPr="00F67E0B">
        <w:rPr>
          <w:spacing w:val="-15"/>
        </w:rPr>
        <w:t xml:space="preserve"> </w:t>
      </w:r>
      <w:r w:rsidRPr="00F67E0B">
        <w:t>los</w:t>
      </w:r>
      <w:r w:rsidRPr="00F67E0B">
        <w:rPr>
          <w:spacing w:val="-15"/>
        </w:rPr>
        <w:t xml:space="preserve"> </w:t>
      </w:r>
      <w:r w:rsidRPr="00F67E0B">
        <w:t>derechos</w:t>
      </w:r>
      <w:r w:rsidRPr="00F67E0B">
        <w:rPr>
          <w:spacing w:val="-13"/>
        </w:rPr>
        <w:t xml:space="preserve"> </w:t>
      </w:r>
      <w:r w:rsidRPr="00F67E0B">
        <w:t>morales</w:t>
      </w:r>
      <w:r w:rsidRPr="00F67E0B">
        <w:rPr>
          <w:spacing w:val="-16"/>
        </w:rPr>
        <w:t xml:space="preserve"> </w:t>
      </w:r>
      <w:r w:rsidRPr="00F67E0B">
        <w:t>pertenecen</w:t>
      </w:r>
      <w:r w:rsidRPr="00F67E0B">
        <w:rPr>
          <w:spacing w:val="-13"/>
        </w:rPr>
        <w:t xml:space="preserve"> </w:t>
      </w:r>
      <w:r w:rsidRPr="00F67E0B">
        <w:t>al</w:t>
      </w:r>
      <w:r w:rsidRPr="00F67E0B">
        <w:rPr>
          <w:spacing w:val="-15"/>
        </w:rPr>
        <w:t xml:space="preserve"> </w:t>
      </w:r>
      <w:r w:rsidRPr="00F67E0B">
        <w:t>autor</w:t>
      </w:r>
      <w:r w:rsidRPr="00F67E0B">
        <w:rPr>
          <w:spacing w:val="-12"/>
        </w:rPr>
        <w:t xml:space="preserve"> </w:t>
      </w:r>
      <w:r w:rsidRPr="00F67E0B">
        <w:t>y</w:t>
      </w:r>
      <w:r w:rsidRPr="00F67E0B">
        <w:rPr>
          <w:spacing w:val="-21"/>
        </w:rPr>
        <w:t xml:space="preserve"> </w:t>
      </w:r>
      <w:r w:rsidRPr="00F67E0B">
        <w:t>son</w:t>
      </w:r>
      <w:r w:rsidRPr="00F67E0B">
        <w:rPr>
          <w:spacing w:val="-16"/>
        </w:rPr>
        <w:t xml:space="preserve"> </w:t>
      </w:r>
      <w:r w:rsidRPr="00F67E0B">
        <w:t>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w:t>
      </w:r>
      <w:r w:rsidRPr="00F67E0B">
        <w:rPr>
          <w:spacing w:val="-14"/>
        </w:rPr>
        <w:t xml:space="preserve"> </w:t>
      </w:r>
      <w:r w:rsidRPr="00F67E0B">
        <w:t>UNITEC.</w:t>
      </w:r>
    </w:p>
    <w:p w14:paraId="6CA9D3A5" w14:textId="77777777" w:rsidR="002E562C" w:rsidRPr="00F67E0B" w:rsidRDefault="002E562C" w:rsidP="002E562C">
      <w:pPr>
        <w:spacing w:line="360" w:lineRule="auto"/>
        <w:jc w:val="both"/>
        <w:sectPr w:rsidR="002E562C" w:rsidRPr="00F67E0B" w:rsidSect="008C6BD1">
          <w:pgSz w:w="12240" w:h="15840"/>
          <w:pgMar w:top="1440" w:right="1440" w:bottom="1440" w:left="1440" w:header="0" w:footer="1047" w:gutter="0"/>
          <w:cols w:space="720"/>
          <w:docGrid w:linePitch="326"/>
        </w:sectPr>
      </w:pPr>
    </w:p>
    <w:p w14:paraId="2D3887EE" w14:textId="455305E4" w:rsidR="002E562C" w:rsidRPr="00F67E0B" w:rsidRDefault="1913FAD0" w:rsidP="1913FAD0">
      <w:pPr>
        <w:pStyle w:val="Textoindependiente"/>
        <w:tabs>
          <w:tab w:val="left" w:pos="2226"/>
          <w:tab w:val="left" w:pos="3239"/>
          <w:tab w:val="left" w:pos="8439"/>
        </w:tabs>
        <w:spacing w:line="360" w:lineRule="auto"/>
        <w:ind w:left="102"/>
        <w:jc w:val="both"/>
        <w:rPr>
          <w:u w:val="single"/>
        </w:rPr>
        <w:sectPr w:rsidR="002E562C" w:rsidRPr="00F67E0B" w:rsidSect="008C6BD1">
          <w:type w:val="continuous"/>
          <w:pgSz w:w="12240" w:h="15840"/>
          <w:pgMar w:top="1500" w:right="1160" w:bottom="280" w:left="1340" w:header="720" w:footer="720" w:gutter="0"/>
          <w:cols w:num="2" w:space="720" w:equalWidth="0">
            <w:col w:w="8460" w:space="67"/>
            <w:col w:w="1213"/>
          </w:cols>
        </w:sectPr>
      </w:pPr>
      <w:r>
        <w:t>En fe de lo cual se suscribe el presente documento en la ciudad de    Tegucigalpa, a los 08 días del mes de febrero del año 2024.</w:t>
      </w:r>
      <w:r w:rsidR="002E562C">
        <w:tab/>
      </w:r>
    </w:p>
    <w:p w14:paraId="5107B771" w14:textId="6EA86656" w:rsidR="002E562C" w:rsidRPr="00F67E0B" w:rsidRDefault="00A049CA" w:rsidP="00332A25">
      <w:pPr>
        <w:spacing w:line="480" w:lineRule="auto"/>
        <w:ind w:left="0"/>
        <w:rPr>
          <w:rFonts w:eastAsia="Times New Roman" w:cs="Times New Roman"/>
          <w:sz w:val="20"/>
          <w:szCs w:val="20"/>
        </w:rPr>
      </w:pPr>
      <w:r w:rsidRPr="0081313E">
        <w:rPr>
          <w:rFonts w:cs="Times New Roman"/>
          <w:noProof/>
          <w:lang w:eastAsia="es-HN"/>
        </w:rPr>
        <w:drawing>
          <wp:anchor distT="0" distB="0" distL="114300" distR="114300" simplePos="0" relativeHeight="251660288" behindDoc="0" locked="0" layoutInCell="1" allowOverlap="1" wp14:anchorId="7755273D" wp14:editId="3298AF6D">
            <wp:simplePos x="0" y="0"/>
            <wp:positionH relativeFrom="margin">
              <wp:posOffset>2274234</wp:posOffset>
            </wp:positionH>
            <wp:positionV relativeFrom="paragraph">
              <wp:posOffset>3660</wp:posOffset>
            </wp:positionV>
            <wp:extent cx="2131142" cy="777921"/>
            <wp:effectExtent l="0" t="0" r="2540" b="3175"/>
            <wp:wrapNone/>
            <wp:docPr id="3412867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2867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31142" cy="777921"/>
                    </a:xfrm>
                    <a:prstGeom prst="rect">
                      <a:avLst/>
                    </a:prstGeom>
                  </pic:spPr>
                </pic:pic>
              </a:graphicData>
            </a:graphic>
            <wp14:sizeRelH relativeFrom="page">
              <wp14:pctWidth>0</wp14:pctWidth>
            </wp14:sizeRelH>
            <wp14:sizeRelV relativeFrom="page">
              <wp14:pctHeight>0</wp14:pctHeight>
            </wp14:sizeRelV>
          </wp:anchor>
        </w:drawing>
      </w:r>
    </w:p>
    <w:p w14:paraId="5B7EC0BF" w14:textId="77777777" w:rsidR="00C53EDB" w:rsidRPr="00F67E0B" w:rsidRDefault="00C53EDB" w:rsidP="00C53EDB">
      <w:pPr>
        <w:spacing w:before="6" w:line="480" w:lineRule="auto"/>
        <w:ind w:left="0"/>
        <w:rPr>
          <w:rFonts w:eastAsia="Times New Roman" w:cs="Times New Roman"/>
          <w:sz w:val="25"/>
          <w:szCs w:val="25"/>
        </w:rPr>
      </w:pPr>
    </w:p>
    <w:p w14:paraId="28B538B4" w14:textId="77777777" w:rsidR="00C53EDB" w:rsidRPr="00F67E0B" w:rsidRDefault="00C53EDB" w:rsidP="00C53EDB">
      <w:pPr>
        <w:tabs>
          <w:tab w:val="left" w:pos="6102"/>
        </w:tabs>
        <w:spacing w:line="480" w:lineRule="auto"/>
        <w:ind w:left="882"/>
        <w:jc w:val="center"/>
        <w:rPr>
          <w:rFonts w:eastAsia="Times New Roman" w:cs="Times New Roman"/>
          <w:sz w:val="2"/>
          <w:szCs w:val="2"/>
        </w:rPr>
      </w:pPr>
      <w:r w:rsidRPr="00F67E0B">
        <w:rPr>
          <w:noProof/>
          <w:sz w:val="2"/>
          <w:lang w:eastAsia="es-HN"/>
        </w:rPr>
        <mc:AlternateContent>
          <mc:Choice Requires="wpg">
            <w:drawing>
              <wp:inline distT="0" distB="0" distL="0" distR="0" wp14:anchorId="4C287977" wp14:editId="47C8B35B">
                <wp:extent cx="2296160" cy="10160"/>
                <wp:effectExtent l="1270" t="6350" r="7620" b="2540"/>
                <wp:docPr id="172" name="Group 1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173" name="Group 165"/>
                        <wpg:cNvGrpSpPr>
                          <a:grpSpLocks/>
                        </wpg:cNvGrpSpPr>
                        <wpg:grpSpPr bwMode="auto">
                          <a:xfrm>
                            <a:off x="8" y="8"/>
                            <a:ext cx="3600" cy="2"/>
                            <a:chOff x="8" y="8"/>
                            <a:chExt cx="3600" cy="2"/>
                          </a:xfrm>
                        </wpg:grpSpPr>
                        <wps:wsp>
                          <wps:cNvPr id="174"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xmlns:a="http://schemas.openxmlformats.org/drawingml/2006/main" xmlns:pic="http://schemas.openxmlformats.org/drawingml/2006/picture" xmlns:a14="http://schemas.microsoft.com/office/drawing/2010/main" xmlns:c="http://schemas.openxmlformats.org/drawingml/2006/chart" xmlns:a16="http://schemas.microsoft.com/office/drawing/2014/main" xmlns:arto="http://schemas.microsoft.com/office/word/2006/arto" xmlns:w16du="http://schemas.microsoft.com/office/word/2023/wordml/word16du">
            <w:pict>
              <v:group id="Grupo 172" style="width:180.8pt;height:.8pt;mso-position-horizontal-relative:char;mso-position-vertical-relative:line" coordsize="3616,16" o:spid="_x0000_s1026" w14:anchorId="23A012D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">
                <v:group id="Group 165" style="position:absolute;left:8;top:8;width:3600;height:2" coordsize="3600,2" coordorigin="8,8"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">
                  <v:shape id="Freeform 166" style="position:absolute;left:8;top:8;width:3600;height:2;visibility:visible;mso-wrap-style:square;v-text-anchor:top" coordsize="3600,2" o:spid="_x0000_s1028" filled="f" strokeweight=".26669mm" path="m,l3600,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">
                    <v:path arrowok="t" o:connecttype="custom" o:connectlocs="0,0;3600,0" o:connectangles="0,0"/>
                  </v:shape>
                </v:group>
                <w10:anchorlock/>
              </v:group>
            </w:pict>
          </mc:Fallback>
        </mc:AlternateContent>
      </w:r>
    </w:p>
    <w:p w14:paraId="4B4D18A6" w14:textId="77777777" w:rsidR="00C53EDB" w:rsidRPr="00F67E0B" w:rsidRDefault="00C53EDB" w:rsidP="00C53EDB">
      <w:pPr>
        <w:spacing w:before="8" w:line="480" w:lineRule="auto"/>
        <w:jc w:val="center"/>
        <w:rPr>
          <w:rFonts w:eastAsia="Times New Roman" w:cs="Times New Roman"/>
          <w:sz w:val="5"/>
          <w:szCs w:val="5"/>
        </w:rPr>
      </w:pPr>
    </w:p>
    <w:p w14:paraId="67B7682D" w14:textId="77777777" w:rsidR="00C53EDB" w:rsidRPr="00100E08" w:rsidRDefault="1913FAD0" w:rsidP="1913FAD0">
      <w:pPr>
        <w:spacing w:line="480" w:lineRule="auto"/>
        <w:ind w:left="666"/>
        <w:jc w:val="center"/>
        <w:rPr>
          <w:b/>
          <w:bCs/>
          <w:lang w:val="pt-PT"/>
        </w:rPr>
      </w:pPr>
      <w:r w:rsidRPr="00100E08">
        <w:rPr>
          <w:b/>
          <w:bCs/>
          <w:lang w:val="pt-PT"/>
        </w:rPr>
        <w:t>Larissa Nicoll Aceituno Cerrato</w:t>
      </w:r>
    </w:p>
    <w:p w14:paraId="02247851" w14:textId="77777777" w:rsidR="00C53EDB" w:rsidRPr="00100E08" w:rsidRDefault="1913FAD0" w:rsidP="1913FAD0">
      <w:pPr>
        <w:spacing w:line="480" w:lineRule="auto"/>
        <w:ind w:left="666"/>
        <w:jc w:val="center"/>
        <w:rPr>
          <w:b/>
          <w:bCs/>
          <w:lang w:val="pt-PT"/>
        </w:rPr>
      </w:pPr>
      <w:r w:rsidRPr="00100E08">
        <w:rPr>
          <w:b/>
          <w:bCs/>
          <w:lang w:val="pt-PT"/>
        </w:rPr>
        <w:t>12213223</w:t>
      </w:r>
    </w:p>
    <w:p w14:paraId="1C81550A" w14:textId="04357134" w:rsidR="002E562C" w:rsidRPr="00100E08" w:rsidRDefault="002E562C" w:rsidP="1913FAD0">
      <w:pPr>
        <w:spacing w:after="0" w:line="480" w:lineRule="auto"/>
        <w:ind w:left="0"/>
        <w:jc w:val="center"/>
        <w:rPr>
          <w:lang w:val="pt-PT"/>
        </w:rPr>
      </w:pPr>
      <w:r w:rsidRPr="00100E08">
        <w:rPr>
          <w:noProof/>
          <w:lang w:eastAsia="es-HN"/>
        </w:rPr>
        <w:drawing>
          <wp:inline distT="0" distB="0" distL="0" distR="0" wp14:anchorId="6AE6AE7E" wp14:editId="37843573">
            <wp:extent cx="1197816" cy="1318582"/>
            <wp:effectExtent l="0" t="0" r="0" b="0"/>
            <wp:docPr id="1808307376" name="Imagen 1808307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rcRect l="17218" t="7382"/>
                    <a:stretch>
                      <a:fillRect/>
                    </a:stretch>
                  </pic:blipFill>
                  <pic:spPr>
                    <a:xfrm>
                      <a:off x="0" y="0"/>
                      <a:ext cx="1197816" cy="1318582"/>
                    </a:xfrm>
                    <a:prstGeom prst="rect">
                      <a:avLst/>
                    </a:prstGeom>
                  </pic:spPr>
                </pic:pic>
              </a:graphicData>
            </a:graphic>
          </wp:inline>
        </w:drawing>
      </w:r>
    </w:p>
    <w:p w14:paraId="23F1D58B" w14:textId="77777777" w:rsidR="00D94EA7" w:rsidRPr="00100E08" w:rsidRDefault="00D94EA7" w:rsidP="1913FAD0">
      <w:pPr>
        <w:tabs>
          <w:tab w:val="left" w:pos="6102"/>
        </w:tabs>
        <w:spacing w:line="480" w:lineRule="auto"/>
        <w:ind w:left="882"/>
        <w:jc w:val="center"/>
        <w:rPr>
          <w:rFonts w:eastAsia="Times New Roman" w:cs="Times New Roman"/>
          <w:sz w:val="2"/>
          <w:szCs w:val="2"/>
        </w:rPr>
      </w:pPr>
      <w:r w:rsidRPr="00100E08">
        <w:rPr>
          <w:noProof/>
          <w:sz w:val="2"/>
          <w:lang w:eastAsia="es-HN"/>
        </w:rPr>
        <mc:AlternateContent>
          <mc:Choice Requires="wpg">
            <w:drawing>
              <wp:inline distT="0" distB="0" distL="0" distR="0" wp14:anchorId="06B00EE7" wp14:editId="2B38587C">
                <wp:extent cx="2296160" cy="10160"/>
                <wp:effectExtent l="1270" t="6350" r="7620" b="2540"/>
                <wp:docPr id="682986435" name="Group 6829864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239770573" name="Group 165"/>
                        <wpg:cNvGrpSpPr>
                          <a:grpSpLocks/>
                        </wpg:cNvGrpSpPr>
                        <wpg:grpSpPr bwMode="auto">
                          <a:xfrm>
                            <a:off x="8" y="8"/>
                            <a:ext cx="3600" cy="2"/>
                            <a:chOff x="8" y="8"/>
                            <a:chExt cx="3600" cy="2"/>
                          </a:xfrm>
                        </wpg:grpSpPr>
                        <wps:wsp>
                          <wps:cNvPr id="1156337346"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xmlns:a="http://schemas.openxmlformats.org/drawingml/2006/main" xmlns:pic="http://schemas.openxmlformats.org/drawingml/2006/picture" xmlns:a14="http://schemas.microsoft.com/office/drawing/2010/main" xmlns:c="http://schemas.openxmlformats.org/drawingml/2006/chart" xmlns:a16="http://schemas.microsoft.com/office/drawing/2014/main" xmlns:arto="http://schemas.microsoft.com/office/word/2006/arto" xmlns:w16du="http://schemas.microsoft.com/office/word/2023/wordml/word16du">
            <w:pict>
              <v:group id="Group 164" style="width:180.8pt;height:.8pt;mso-position-horizontal-relative:char;mso-position-vertical-relative:line" coordsize="3616,16" o:spid="_x0000_s1026" w14:anchorId="124E07C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">
                <v:group id="Group 165" style="position:absolute;left:8;top:8;width:3600;height:2" coordsize="3600,2" coordorigin="8,8"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">
                  <v:shape id="Freeform 166" style="position:absolute;left:8;top:8;width:3600;height:2;visibility:visible;mso-wrap-style:square;v-text-anchor:top" coordsize="3600,2" o:spid="_x0000_s1028" filled="f" strokeweight=".26669mm" path="m,l3600,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">
                    <v:path arrowok="t" o:connecttype="custom" o:connectlocs="0,0;3600,0" o:connectangles="0,0"/>
                  </v:shape>
                </v:group>
                <w10:anchorlock/>
              </v:group>
            </w:pict>
          </mc:Fallback>
        </mc:AlternateContent>
      </w:r>
    </w:p>
    <w:p w14:paraId="0F99FA22" w14:textId="77777777" w:rsidR="00D94EA7" w:rsidRPr="00100E08" w:rsidRDefault="00D94EA7" w:rsidP="1913FAD0">
      <w:pPr>
        <w:spacing w:before="8" w:line="480" w:lineRule="auto"/>
        <w:jc w:val="center"/>
        <w:rPr>
          <w:rFonts w:eastAsia="Times New Roman" w:cs="Times New Roman"/>
          <w:sz w:val="5"/>
          <w:szCs w:val="5"/>
        </w:rPr>
      </w:pPr>
    </w:p>
    <w:p w14:paraId="211DAC84" w14:textId="3B011213" w:rsidR="00D94EA7" w:rsidRPr="00100E08" w:rsidRDefault="1913FAD0" w:rsidP="1913FAD0">
      <w:pPr>
        <w:spacing w:line="480" w:lineRule="auto"/>
        <w:ind w:left="666"/>
        <w:jc w:val="center"/>
        <w:rPr>
          <w:b/>
          <w:bCs/>
        </w:rPr>
      </w:pPr>
      <w:r w:rsidRPr="00100E08">
        <w:rPr>
          <w:b/>
          <w:bCs/>
        </w:rPr>
        <w:t>Maryori Graciela Zapata Montoya</w:t>
      </w:r>
    </w:p>
    <w:p w14:paraId="0A700658" w14:textId="5F41A9B5" w:rsidR="00D94EA7" w:rsidRPr="00100E08" w:rsidRDefault="1913FAD0" w:rsidP="1913FAD0">
      <w:pPr>
        <w:spacing w:line="480" w:lineRule="auto"/>
        <w:ind w:left="666"/>
        <w:jc w:val="center"/>
        <w:rPr>
          <w:b/>
          <w:bCs/>
        </w:rPr>
      </w:pPr>
      <w:r w:rsidRPr="00100E08">
        <w:rPr>
          <w:b/>
          <w:bCs/>
        </w:rPr>
        <w:t>12213066</w:t>
      </w:r>
    </w:p>
    <w:p w14:paraId="5D1C39F2" w14:textId="7C6D2DBA" w:rsidR="002E562C" w:rsidRPr="00F67E0B" w:rsidRDefault="1913FAD0" w:rsidP="1913FAD0">
      <w:pPr>
        <w:spacing w:line="480" w:lineRule="auto"/>
        <w:ind w:left="666"/>
        <w:rPr>
          <w:rFonts w:eastAsia="Times New Roman" w:cs="Times New Roman"/>
        </w:rPr>
        <w:sectPr w:rsidR="002E562C" w:rsidRPr="00F67E0B" w:rsidSect="008C6BD1">
          <w:type w:val="continuous"/>
          <w:pgSz w:w="12240" w:h="15840"/>
          <w:pgMar w:top="1500" w:right="1160" w:bottom="280" w:left="1340" w:header="720" w:footer="720" w:gutter="0"/>
          <w:cols w:space="720"/>
        </w:sectPr>
      </w:pPr>
      <w:r w:rsidRPr="00100E08">
        <w:rPr>
          <w:b/>
          <w:bCs/>
        </w:rPr>
        <w:t>* La autorización firmada se encuentra adjunta a mí expediente</w:t>
      </w:r>
    </w:p>
    <w:p w14:paraId="1EE7CDCF" w14:textId="77777777" w:rsidR="002E562C" w:rsidRPr="00F67E0B" w:rsidRDefault="002E562C" w:rsidP="002F103F">
      <w:pPr>
        <w:spacing w:before="8"/>
        <w:ind w:left="0"/>
        <w:jc w:val="center"/>
        <w:rPr>
          <w:rFonts w:eastAsia="Times New Roman" w:cs="Times New Roman"/>
          <w:sz w:val="10"/>
          <w:szCs w:val="10"/>
        </w:rPr>
      </w:pPr>
      <w:r w:rsidRPr="00F67E0B">
        <w:rPr>
          <w:noProof/>
          <w:lang w:eastAsia="es-HN"/>
        </w:rPr>
        <w:lastRenderedPageBreak/>
        <w:drawing>
          <wp:inline distT="0" distB="0" distL="0" distR="0" wp14:anchorId="4E98E3C2" wp14:editId="5A666F14">
            <wp:extent cx="2017058" cy="457200"/>
            <wp:effectExtent l="0" t="0" r="2540" b="0"/>
            <wp:docPr id="2" name="Picture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3DCF5052" w14:textId="77777777" w:rsidR="002E562C" w:rsidRPr="00F67E0B" w:rsidRDefault="002E562C" w:rsidP="002E562C">
      <w:pPr>
        <w:rPr>
          <w:rFonts w:eastAsia="Times New Roman" w:cs="Times New Roman"/>
          <w:szCs w:val="24"/>
        </w:rPr>
      </w:pPr>
    </w:p>
    <w:p w14:paraId="554936A0" w14:textId="77777777" w:rsidR="002E562C" w:rsidRPr="00F67E0B" w:rsidRDefault="002E562C" w:rsidP="002E562C">
      <w:pPr>
        <w:spacing w:before="7"/>
        <w:rPr>
          <w:rFonts w:eastAsia="Times New Roman" w:cs="Times New Roman"/>
          <w:sz w:val="21"/>
          <w:szCs w:val="21"/>
        </w:rPr>
      </w:pPr>
    </w:p>
    <w:p w14:paraId="74C173FC" w14:textId="77777777" w:rsidR="002E562C" w:rsidRPr="00F67E0B" w:rsidRDefault="002E562C" w:rsidP="002E562C">
      <w:pPr>
        <w:ind w:left="100"/>
        <w:jc w:val="center"/>
        <w:rPr>
          <w:b/>
          <w:sz w:val="32"/>
          <w:szCs w:val="28"/>
        </w:rPr>
      </w:pPr>
      <w:bookmarkStart w:id="4" w:name="_Toc474331371"/>
      <w:r w:rsidRPr="00F67E0B">
        <w:rPr>
          <w:b/>
          <w:sz w:val="32"/>
          <w:szCs w:val="28"/>
        </w:rPr>
        <w:t>FACULTAD DE POSTGRADO</w:t>
      </w:r>
      <w:bookmarkEnd w:id="4"/>
    </w:p>
    <w:p w14:paraId="3C8B7EE9" w14:textId="77777777" w:rsidR="002E562C" w:rsidRPr="00F67E0B" w:rsidRDefault="002E562C" w:rsidP="002E562C">
      <w:pPr>
        <w:spacing w:before="7"/>
        <w:rPr>
          <w:rFonts w:eastAsia="Times New Roman" w:cs="Times New Roman"/>
          <w:b/>
          <w:bCs/>
        </w:rPr>
      </w:pPr>
    </w:p>
    <w:p w14:paraId="0817CBA0" w14:textId="283B540F" w:rsidR="00756A5F" w:rsidRPr="006A2DC8" w:rsidRDefault="00756A5F" w:rsidP="00756A5F">
      <w:pPr>
        <w:spacing w:line="240" w:lineRule="auto"/>
        <w:jc w:val="center"/>
        <w:rPr>
          <w:rFonts w:eastAsia="Times New Roman" w:cs="Times New Roman"/>
          <w:sz w:val="32"/>
          <w:szCs w:val="32"/>
        </w:rPr>
      </w:pPr>
      <w:r w:rsidRPr="1C8D6E3A">
        <w:rPr>
          <w:rFonts w:cs="Times New Roman"/>
          <w:b/>
          <w:bCs/>
          <w:sz w:val="32"/>
          <w:szCs w:val="32"/>
        </w:rPr>
        <w:t>ANÁLISIS DE LA GESTIÓN DE CREDÍTO Y LAS CUENTAS POR COBRAR DE LA INDUSTRIA PROCESADORA DE ALIMENTOS (IPRA), TEGUCIGALPA, HONDURAS DURANTE EL PERIODO 2019-2022</w:t>
      </w:r>
    </w:p>
    <w:p w14:paraId="1AA1C2C6" w14:textId="77777777" w:rsidR="002E562C" w:rsidRPr="00F67E0B" w:rsidRDefault="002E562C" w:rsidP="002E562C">
      <w:pPr>
        <w:rPr>
          <w:rFonts w:eastAsia="Times New Roman" w:cs="Times New Roman"/>
          <w:b/>
          <w:bCs/>
          <w:szCs w:val="24"/>
        </w:rPr>
      </w:pPr>
    </w:p>
    <w:p w14:paraId="3B8C1EA0" w14:textId="77777777" w:rsidR="00091577" w:rsidRPr="003005E6" w:rsidRDefault="00091577" w:rsidP="00A43D24">
      <w:pPr>
        <w:spacing w:before="120" w:after="120" w:line="240" w:lineRule="auto"/>
        <w:ind w:right="6"/>
        <w:jc w:val="center"/>
        <w:rPr>
          <w:rFonts w:cs="Times New Roman"/>
          <w:b/>
          <w:sz w:val="32"/>
          <w:szCs w:val="32"/>
        </w:rPr>
      </w:pPr>
      <w:r w:rsidRPr="003005E6">
        <w:rPr>
          <w:rFonts w:cs="Times New Roman"/>
          <w:b/>
          <w:sz w:val="32"/>
          <w:szCs w:val="32"/>
        </w:rPr>
        <w:t>Larissa Nicoll Aceituno Cerrato</w:t>
      </w:r>
    </w:p>
    <w:p w14:paraId="315845A6" w14:textId="52C885B0" w:rsidR="002E68FF" w:rsidRPr="00F67E0B" w:rsidRDefault="00091577" w:rsidP="00A43D24">
      <w:pPr>
        <w:spacing w:before="120" w:after="120" w:line="240" w:lineRule="auto"/>
        <w:ind w:right="6"/>
        <w:jc w:val="center"/>
        <w:rPr>
          <w:b/>
          <w:sz w:val="32"/>
          <w:szCs w:val="28"/>
        </w:rPr>
      </w:pPr>
      <w:r w:rsidRPr="003005E6">
        <w:rPr>
          <w:rFonts w:cs="Times New Roman"/>
          <w:b/>
          <w:sz w:val="32"/>
          <w:szCs w:val="32"/>
        </w:rPr>
        <w:t>Maryori Graciela Zapata Montoya</w:t>
      </w:r>
    </w:p>
    <w:p w14:paraId="59AA864C" w14:textId="77777777" w:rsidR="00CC5CFB" w:rsidRDefault="00CC5CFB" w:rsidP="002E562C">
      <w:pPr>
        <w:spacing w:after="120" w:line="360" w:lineRule="auto"/>
        <w:ind w:left="4360"/>
        <w:rPr>
          <w:b/>
        </w:rPr>
      </w:pPr>
    </w:p>
    <w:p w14:paraId="7D58E009" w14:textId="5B29478B" w:rsidR="002E562C" w:rsidRPr="00F67E0B" w:rsidRDefault="002E562C" w:rsidP="002E562C">
      <w:pPr>
        <w:spacing w:after="120" w:line="360" w:lineRule="auto"/>
        <w:ind w:left="4360"/>
        <w:rPr>
          <w:b/>
        </w:rPr>
      </w:pPr>
      <w:r w:rsidRPr="00F67E0B">
        <w:rPr>
          <w:b/>
        </w:rPr>
        <w:t>Resumen</w:t>
      </w:r>
    </w:p>
    <w:p w14:paraId="3ABE512B" w14:textId="3E6BBBE8" w:rsidR="002E562C" w:rsidRDefault="00CC5CFB" w:rsidP="00CC5CFB">
      <w:pPr>
        <w:spacing w:line="360" w:lineRule="auto"/>
        <w:jc w:val="both"/>
      </w:pPr>
      <w:r>
        <w:t>La presente</w:t>
      </w:r>
      <w:r w:rsidRPr="00CC5CFB">
        <w:t xml:space="preserve"> investigación se enfocó en analizar la gestión de crédito y las cuentas por cobrar en la Industria Procesadora de Alimentos (IPRA) de Tegucigalpa, Honduras, durante el período 2019-2022. El estudio se llevó a cabo con un enfoque</w:t>
      </w:r>
      <w:r>
        <w:t xml:space="preserve"> mixto, alcance descriptivo y con un diseño</w:t>
      </w:r>
      <w:r w:rsidRPr="00CC5CFB">
        <w:t xml:space="preserve"> </w:t>
      </w:r>
      <w:r>
        <w:t xml:space="preserve">no experimental, corte </w:t>
      </w:r>
      <w:r w:rsidRPr="00CC5CFB">
        <w:t>longitudinal</w:t>
      </w:r>
      <w:r>
        <w:t xml:space="preserve"> transversal</w:t>
      </w:r>
      <w:r w:rsidRPr="00CC5CFB">
        <w:t>, con el objetivo de evaluar cómo las prácticas de gestión de crédito impactan en la liquidez y estabilidad financiera de la empresa. A través del análisis de datos financieros y estadísticos, se determinó que la eficiencia en la gestión de cuentas por cobrar ha fluctuado significativamente, impactando directamente en la liquidez de IPRA. Las conclusiones revelan una necesidad crítica de mejorar las estrategias de cobranza y políticas de crédito para optimizar la rotación de cuentas y fortalecer la posición financiera de la empresa. Se recomienda la implementación de un sistema de gestión de crédito más riguroso y la adopción de tecnologías avanzadas para el seguimiento y análisis de cuentas por cobrar.</w:t>
      </w:r>
    </w:p>
    <w:p w14:paraId="5F305575" w14:textId="77777777" w:rsidR="00CC5CFB" w:rsidRPr="00CC5CFB" w:rsidRDefault="00CC5CFB" w:rsidP="00CC5CFB">
      <w:pPr>
        <w:jc w:val="both"/>
      </w:pPr>
    </w:p>
    <w:p w14:paraId="29E70115" w14:textId="470F4DA1" w:rsidR="002E562C" w:rsidRPr="007A5B4A" w:rsidRDefault="002E562C" w:rsidP="007A5B4A">
      <w:pPr>
        <w:spacing w:line="360" w:lineRule="auto"/>
        <w:rPr>
          <w:rFonts w:eastAsia="Times New Roman" w:cs="Times New Roman"/>
          <w:szCs w:val="24"/>
        </w:rPr>
      </w:pPr>
      <w:r w:rsidRPr="00F67E0B">
        <w:rPr>
          <w:b/>
        </w:rPr>
        <w:t>Palabras</w:t>
      </w:r>
      <w:r w:rsidRPr="00F67E0B">
        <w:rPr>
          <w:b/>
          <w:spacing w:val="-4"/>
        </w:rPr>
        <w:t xml:space="preserve"> </w:t>
      </w:r>
      <w:r w:rsidRPr="00F67E0B">
        <w:rPr>
          <w:b/>
        </w:rPr>
        <w:t>claves:</w:t>
      </w:r>
      <w:r w:rsidR="00572D95">
        <w:rPr>
          <w:b/>
        </w:rPr>
        <w:t xml:space="preserve"> </w:t>
      </w:r>
      <w:r w:rsidR="00572D95" w:rsidRPr="00CC5CFB">
        <w:t xml:space="preserve">Crédito, Cuentas por cobrar, </w:t>
      </w:r>
      <w:r w:rsidR="00FD19C2" w:rsidRPr="00CC5CFB">
        <w:t xml:space="preserve">Indicadores financieros, </w:t>
      </w:r>
      <w:r w:rsidR="00997386" w:rsidRPr="00CC5CFB">
        <w:t>Política</w:t>
      </w:r>
      <w:r w:rsidR="00C62D80" w:rsidRPr="00CC5CFB">
        <w:t xml:space="preserve"> </w:t>
      </w:r>
      <w:r w:rsidR="00FD19C2" w:rsidRPr="00CC5CFB">
        <w:t>crédito y cobranza</w:t>
      </w:r>
      <w:r w:rsidR="00997386" w:rsidRPr="00CC5CFB">
        <w:t xml:space="preserve">, </w:t>
      </w:r>
      <w:r w:rsidR="00EC32E2" w:rsidRPr="00CC5CFB">
        <w:t>Situación financiera</w:t>
      </w:r>
    </w:p>
    <w:p w14:paraId="1E214C10" w14:textId="77777777" w:rsidR="002E562C" w:rsidRPr="00F67E0B" w:rsidRDefault="002E562C" w:rsidP="00872A88">
      <w:pPr>
        <w:spacing w:before="8"/>
        <w:ind w:left="0"/>
        <w:jc w:val="center"/>
        <w:rPr>
          <w:rFonts w:eastAsia="Times New Roman" w:cs="Times New Roman"/>
          <w:sz w:val="10"/>
          <w:szCs w:val="10"/>
        </w:rPr>
      </w:pPr>
      <w:r w:rsidRPr="00F67E0B">
        <w:rPr>
          <w:noProof/>
          <w:lang w:eastAsia="es-HN"/>
        </w:rPr>
        <w:lastRenderedPageBreak/>
        <w:drawing>
          <wp:inline distT="0" distB="0" distL="0" distR="0" wp14:anchorId="26C037CC" wp14:editId="3729454E">
            <wp:extent cx="2017058" cy="457200"/>
            <wp:effectExtent l="0" t="0" r="2540" b="0"/>
            <wp:docPr id="4" name="Picture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7E6FB596" w14:textId="77777777" w:rsidR="002E562C" w:rsidRPr="00F67E0B" w:rsidRDefault="002E562C" w:rsidP="002E562C">
      <w:pPr>
        <w:rPr>
          <w:rFonts w:eastAsia="Times New Roman" w:cs="Times New Roman"/>
          <w:szCs w:val="24"/>
        </w:rPr>
      </w:pPr>
    </w:p>
    <w:p w14:paraId="1E96290A" w14:textId="77777777" w:rsidR="002E562C" w:rsidRPr="00F67E0B" w:rsidRDefault="002E562C" w:rsidP="002E562C">
      <w:pPr>
        <w:spacing w:before="7"/>
        <w:rPr>
          <w:rFonts w:eastAsia="Times New Roman" w:cs="Times New Roman"/>
          <w:sz w:val="21"/>
          <w:szCs w:val="21"/>
        </w:rPr>
      </w:pPr>
    </w:p>
    <w:p w14:paraId="01B12DB1" w14:textId="77777777" w:rsidR="002E562C" w:rsidRPr="003005E6" w:rsidRDefault="002E562C" w:rsidP="002E56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Times New Roman" w:cs="Times New Roman"/>
          <w:b/>
          <w:sz w:val="32"/>
          <w:szCs w:val="32"/>
          <w:lang w:val="en-US" w:eastAsia="es-HN"/>
        </w:rPr>
      </w:pPr>
      <w:r w:rsidRPr="003005E6">
        <w:rPr>
          <w:rFonts w:eastAsia="Times New Roman" w:cs="Times New Roman"/>
          <w:b/>
          <w:sz w:val="32"/>
          <w:szCs w:val="32"/>
          <w:lang w:val="en-US" w:eastAsia="es-HN"/>
        </w:rPr>
        <w:t>GRADUATE SCHOOL</w:t>
      </w:r>
    </w:p>
    <w:p w14:paraId="0532969A" w14:textId="77777777" w:rsidR="002E562C" w:rsidRPr="003005E6" w:rsidRDefault="002E562C" w:rsidP="002E562C">
      <w:pPr>
        <w:spacing w:before="7"/>
        <w:rPr>
          <w:rFonts w:eastAsia="Times New Roman" w:cs="Times New Roman"/>
          <w:b/>
          <w:bCs/>
          <w:lang w:val="en-US"/>
        </w:rPr>
      </w:pPr>
    </w:p>
    <w:p w14:paraId="1E66E58A" w14:textId="7602163E" w:rsidR="002E562C" w:rsidRPr="009C5F1A" w:rsidRDefault="00F2061F" w:rsidP="009C5F1A">
      <w:pPr>
        <w:ind w:left="100"/>
        <w:jc w:val="center"/>
        <w:rPr>
          <w:b/>
          <w:sz w:val="32"/>
          <w:szCs w:val="28"/>
          <w:lang w:val="en-US"/>
        </w:rPr>
      </w:pPr>
      <w:r w:rsidRPr="00B86B05">
        <w:rPr>
          <w:b/>
          <w:sz w:val="32"/>
          <w:szCs w:val="28"/>
          <w:lang w:val="en-US"/>
        </w:rPr>
        <w:t>ANALYSIS OF THE CREDIT</w:t>
      </w:r>
      <w:r w:rsidR="00B86B05" w:rsidRPr="00B86B05">
        <w:rPr>
          <w:b/>
          <w:sz w:val="32"/>
          <w:szCs w:val="28"/>
          <w:lang w:val="en-US"/>
        </w:rPr>
        <w:t xml:space="preserve"> A</w:t>
      </w:r>
      <w:r w:rsidR="00B86B05">
        <w:rPr>
          <w:b/>
          <w:sz w:val="32"/>
          <w:szCs w:val="28"/>
          <w:lang w:val="en-US"/>
        </w:rPr>
        <w:t xml:space="preserve">ND </w:t>
      </w:r>
      <w:r w:rsidR="00C91886" w:rsidRPr="00C91886">
        <w:rPr>
          <w:b/>
          <w:sz w:val="32"/>
          <w:szCs w:val="28"/>
          <w:lang w:val="en-US"/>
        </w:rPr>
        <w:t>ACCOUNTS RECEIVABLE</w:t>
      </w:r>
      <w:r w:rsidR="00C91886">
        <w:rPr>
          <w:b/>
          <w:sz w:val="32"/>
          <w:szCs w:val="28"/>
          <w:lang w:val="en-US"/>
        </w:rPr>
        <w:t xml:space="preserve"> </w:t>
      </w:r>
      <w:r w:rsidR="00B86B05">
        <w:rPr>
          <w:b/>
          <w:sz w:val="32"/>
          <w:szCs w:val="28"/>
          <w:lang w:val="en-US"/>
        </w:rPr>
        <w:t>MANAGEMEN</w:t>
      </w:r>
      <w:r w:rsidR="00C91886">
        <w:rPr>
          <w:b/>
          <w:sz w:val="32"/>
          <w:szCs w:val="28"/>
          <w:lang w:val="en-US"/>
        </w:rPr>
        <w:t>T</w:t>
      </w:r>
      <w:r w:rsidR="00B86B05">
        <w:rPr>
          <w:b/>
          <w:sz w:val="32"/>
          <w:szCs w:val="28"/>
          <w:lang w:val="en-US"/>
        </w:rPr>
        <w:t xml:space="preserve"> OF INDUSTRIA PROCESADORA DE ALIMENTOS (IPRA), TEGUCIGALPA, HONDURAS DURING THE PERIOD </w:t>
      </w:r>
      <w:r w:rsidR="00C64CE9">
        <w:rPr>
          <w:b/>
          <w:sz w:val="32"/>
          <w:szCs w:val="28"/>
          <w:lang w:val="en-US"/>
        </w:rPr>
        <w:t>2019-2022</w:t>
      </w:r>
    </w:p>
    <w:p w14:paraId="6C80A824" w14:textId="77777777" w:rsidR="002E562C" w:rsidRPr="003005E6" w:rsidRDefault="002E562C" w:rsidP="002E562C">
      <w:pPr>
        <w:spacing w:before="9"/>
        <w:rPr>
          <w:rFonts w:eastAsia="Times New Roman" w:cs="Times New Roman"/>
          <w:b/>
          <w:bCs/>
          <w:sz w:val="23"/>
          <w:szCs w:val="23"/>
          <w:lang w:val="en-US"/>
        </w:rPr>
      </w:pPr>
    </w:p>
    <w:p w14:paraId="65CF9CDB" w14:textId="77777777" w:rsidR="00A43D24" w:rsidRPr="0073133B" w:rsidRDefault="00A43D24" w:rsidP="00A43D24">
      <w:pPr>
        <w:spacing w:before="120" w:after="120" w:line="240" w:lineRule="auto"/>
        <w:ind w:right="6"/>
        <w:jc w:val="center"/>
        <w:rPr>
          <w:rFonts w:cs="Times New Roman"/>
          <w:b/>
          <w:sz w:val="32"/>
          <w:szCs w:val="32"/>
          <w:lang w:val="en-US"/>
        </w:rPr>
      </w:pPr>
      <w:bookmarkStart w:id="5" w:name="_Hlk153097268"/>
      <w:r w:rsidRPr="0073133B">
        <w:rPr>
          <w:rFonts w:cs="Times New Roman"/>
          <w:b/>
          <w:sz w:val="32"/>
          <w:szCs w:val="32"/>
          <w:lang w:val="en-US"/>
        </w:rPr>
        <w:t>Larissa Nicoll Aceituno Cerrato</w:t>
      </w:r>
    </w:p>
    <w:p w14:paraId="5E9B3C4E" w14:textId="68C17584" w:rsidR="002E562C" w:rsidRPr="0073133B" w:rsidRDefault="00A43D24" w:rsidP="00A43D24">
      <w:pPr>
        <w:jc w:val="center"/>
        <w:rPr>
          <w:rFonts w:cs="Times New Roman"/>
          <w:b/>
          <w:sz w:val="32"/>
          <w:szCs w:val="32"/>
          <w:lang w:val="en-US"/>
        </w:rPr>
      </w:pPr>
      <w:r w:rsidRPr="0073133B">
        <w:rPr>
          <w:rFonts w:cs="Times New Roman"/>
          <w:b/>
          <w:sz w:val="32"/>
          <w:szCs w:val="32"/>
          <w:lang w:val="en-US"/>
        </w:rPr>
        <w:t>Maryori Graciela Zapata Montoya</w:t>
      </w:r>
    </w:p>
    <w:bookmarkEnd w:id="5"/>
    <w:p w14:paraId="08A8E550" w14:textId="77777777" w:rsidR="00A43D24" w:rsidRPr="0073133B" w:rsidRDefault="00A43D24" w:rsidP="00A43D24">
      <w:pPr>
        <w:jc w:val="center"/>
        <w:rPr>
          <w:rFonts w:eastAsia="Times New Roman" w:cs="Times New Roman"/>
          <w:b/>
          <w:bCs/>
          <w:sz w:val="32"/>
          <w:szCs w:val="32"/>
          <w:lang w:val="en-US"/>
        </w:rPr>
      </w:pPr>
    </w:p>
    <w:p w14:paraId="04655DD2" w14:textId="77777777" w:rsidR="002E562C" w:rsidRPr="0073133B" w:rsidRDefault="002E562C" w:rsidP="002E562C">
      <w:pPr>
        <w:rPr>
          <w:rFonts w:eastAsia="Times New Roman" w:cs="Times New Roman"/>
          <w:b/>
          <w:bCs/>
          <w:szCs w:val="24"/>
          <w:lang w:val="en-US"/>
        </w:rPr>
      </w:pPr>
    </w:p>
    <w:p w14:paraId="3FCD00D4" w14:textId="77777777" w:rsidR="002E562C" w:rsidRPr="007A5B4A" w:rsidRDefault="002E562C" w:rsidP="002E562C">
      <w:pPr>
        <w:spacing w:after="120" w:line="360" w:lineRule="auto"/>
        <w:ind w:left="4360"/>
        <w:rPr>
          <w:rFonts w:eastAsia="Times New Roman" w:cs="Times New Roman"/>
          <w:b/>
          <w:szCs w:val="24"/>
          <w:lang w:val="en-US"/>
        </w:rPr>
      </w:pPr>
      <w:r w:rsidRPr="007A5B4A">
        <w:rPr>
          <w:b/>
          <w:lang w:val="en-US"/>
        </w:rPr>
        <w:t>Abstract</w:t>
      </w:r>
    </w:p>
    <w:p w14:paraId="0AFA072A" w14:textId="1E9C02BE" w:rsidR="002E562C" w:rsidRDefault="00CC5CFB" w:rsidP="00CC5CFB">
      <w:pPr>
        <w:spacing w:line="360" w:lineRule="auto"/>
        <w:jc w:val="both"/>
        <w:rPr>
          <w:lang w:val="en-US"/>
        </w:rPr>
      </w:pPr>
      <w:r w:rsidRPr="00CC5CFB">
        <w:rPr>
          <w:lang w:val="en-US"/>
        </w:rPr>
        <w:t xml:space="preserve">This research focused on analyzing credit management and accounts receivable in the Food Processing Industry (IPRA) in Tegucigalpa, Honduras, during the period 2019-2022. The study employed a mixed-methods approach, with a descriptive scope and a non-experimental design, using a longitudinal cross-sectional cut, aiming to assess how credit management practices </w:t>
      </w:r>
      <w:r w:rsidR="00C50F72" w:rsidRPr="00CC5CFB">
        <w:rPr>
          <w:lang w:val="en-US"/>
        </w:rPr>
        <w:t>affect</w:t>
      </w:r>
      <w:r w:rsidRPr="00CC5CFB">
        <w:rPr>
          <w:lang w:val="en-US"/>
        </w:rPr>
        <w:t xml:space="preserve"> the liquidity and financial stability of the company. Through financial</w:t>
      </w:r>
      <w:r w:rsidR="00617321">
        <w:rPr>
          <w:lang w:val="en-US"/>
        </w:rPr>
        <w:t xml:space="preserve"> and statistical</w:t>
      </w:r>
      <w:r w:rsidRPr="00CC5CFB">
        <w:rPr>
          <w:lang w:val="en-US"/>
        </w:rPr>
        <w:t xml:space="preserve"> data </w:t>
      </w:r>
      <w:r w:rsidR="00AE1AE9" w:rsidRPr="00CC5CFB">
        <w:rPr>
          <w:lang w:val="en-US"/>
        </w:rPr>
        <w:t>an</w:t>
      </w:r>
      <w:r w:rsidR="00AE1AE9">
        <w:rPr>
          <w:lang w:val="en-US"/>
        </w:rPr>
        <w:t>alysis</w:t>
      </w:r>
      <w:r w:rsidRPr="00CC5CFB">
        <w:rPr>
          <w:lang w:val="en-US"/>
        </w:rPr>
        <w:t xml:space="preserve">, it was </w:t>
      </w:r>
      <w:r w:rsidR="000F716C" w:rsidRPr="00CC5CFB">
        <w:rPr>
          <w:lang w:val="en-US"/>
        </w:rPr>
        <w:t>found</w:t>
      </w:r>
      <w:r w:rsidRPr="00CC5CFB">
        <w:rPr>
          <w:lang w:val="en-US"/>
        </w:rPr>
        <w:t xml:space="preserve"> that the efficiency in accounts receivable management has fluctuated significantly, directly impacting IPRA's liquidity. The conclusions reveal a critical need to enhance collection strategies and credit policies to optimize account turnover and strengthen the company's financial position. The implementation of a more rigorous credit management system and the adoption of advanced technologies for accounts receivable monitoring and analysis are recommended.</w:t>
      </w:r>
    </w:p>
    <w:p w14:paraId="1DF80A1E" w14:textId="77777777" w:rsidR="00E05AC7" w:rsidRPr="00CC5CFB" w:rsidRDefault="00E05AC7" w:rsidP="00CC5CFB">
      <w:pPr>
        <w:spacing w:line="360" w:lineRule="auto"/>
        <w:jc w:val="both"/>
        <w:rPr>
          <w:lang w:val="en-US"/>
        </w:rPr>
      </w:pPr>
    </w:p>
    <w:p w14:paraId="32CA711F" w14:textId="7CF1F177" w:rsidR="002E562C" w:rsidRPr="00CC5CFB" w:rsidRDefault="00290728" w:rsidP="00DF425D">
      <w:pPr>
        <w:spacing w:line="360" w:lineRule="auto"/>
        <w:rPr>
          <w:rFonts w:eastAsia="Times New Roman" w:cs="Times New Roman"/>
          <w:szCs w:val="24"/>
          <w:lang w:val="en-US"/>
        </w:rPr>
        <w:sectPr w:rsidR="002E562C" w:rsidRPr="00CC5CFB" w:rsidSect="008C6BD1">
          <w:pgSz w:w="12240" w:h="15840" w:code="1"/>
          <w:pgMar w:top="1440" w:right="1440" w:bottom="1440" w:left="1440" w:header="709" w:footer="709" w:gutter="0"/>
          <w:cols w:space="708"/>
          <w:docGrid w:linePitch="360"/>
        </w:sectPr>
      </w:pPr>
      <w:r w:rsidRPr="00CC5CFB">
        <w:rPr>
          <w:b/>
          <w:lang w:val="en-US"/>
        </w:rPr>
        <w:t>Key words</w:t>
      </w:r>
      <w:r w:rsidR="00CC5CFB" w:rsidRPr="00CC5CFB">
        <w:rPr>
          <w:b/>
          <w:lang w:val="en-US"/>
        </w:rPr>
        <w:t xml:space="preserve">: </w:t>
      </w:r>
      <w:r w:rsidR="00B55D1A" w:rsidRPr="00CC5CFB">
        <w:rPr>
          <w:lang w:val="en-US"/>
        </w:rPr>
        <w:t>Accounts Receivable</w:t>
      </w:r>
      <w:r w:rsidR="00B55D1A">
        <w:rPr>
          <w:lang w:val="en-US"/>
        </w:rPr>
        <w:t>,</w:t>
      </w:r>
      <w:r w:rsidR="00B55D1A" w:rsidRPr="00CC5CFB">
        <w:rPr>
          <w:lang w:val="en-US"/>
        </w:rPr>
        <w:t xml:space="preserve"> </w:t>
      </w:r>
      <w:r w:rsidR="00B55D1A">
        <w:rPr>
          <w:lang w:val="en-US"/>
        </w:rPr>
        <w:t>Credit,</w:t>
      </w:r>
      <w:r w:rsidR="00B55D1A" w:rsidRPr="00B55D1A">
        <w:rPr>
          <w:lang w:val="en-US"/>
        </w:rPr>
        <w:t xml:space="preserve"> </w:t>
      </w:r>
      <w:r w:rsidR="00B55D1A" w:rsidRPr="00CC5CFB">
        <w:rPr>
          <w:lang w:val="en-US"/>
        </w:rPr>
        <w:t>Credit and Collection Policy</w:t>
      </w:r>
      <w:r w:rsidR="00B55D1A">
        <w:rPr>
          <w:lang w:val="en-US"/>
        </w:rPr>
        <w:t>,</w:t>
      </w:r>
      <w:r w:rsidR="00B55D1A" w:rsidRPr="00CC5CFB">
        <w:rPr>
          <w:lang w:val="en-US"/>
        </w:rPr>
        <w:t xml:space="preserve"> </w:t>
      </w:r>
      <w:r w:rsidR="00CC5CFB" w:rsidRPr="00CC5CFB">
        <w:rPr>
          <w:lang w:val="en-US"/>
        </w:rPr>
        <w:t>Financial Indicators, Financial Situation.</w:t>
      </w:r>
      <w:r w:rsidR="00DF425D" w:rsidRPr="00CC5CFB">
        <w:rPr>
          <w:rFonts w:eastAsia="Times New Roman" w:cs="Times New Roman"/>
          <w:szCs w:val="24"/>
          <w:lang w:val="en-US"/>
        </w:rPr>
        <w:t xml:space="preserve"> </w:t>
      </w:r>
    </w:p>
    <w:p w14:paraId="1B629266" w14:textId="77777777" w:rsidR="002E562C" w:rsidRPr="007A5B4A" w:rsidRDefault="002E562C" w:rsidP="00A869C4">
      <w:pPr>
        <w:pStyle w:val="Ttulo1"/>
      </w:pPr>
      <w:bookmarkStart w:id="6" w:name="_Toc474331173"/>
      <w:bookmarkStart w:id="7" w:name="_Toc474331372"/>
      <w:bookmarkStart w:id="8" w:name="_Toc133044381"/>
      <w:bookmarkStart w:id="9" w:name="_Toc158365439"/>
      <w:r w:rsidRPr="007A5B4A">
        <w:lastRenderedPageBreak/>
        <w:t>DEDICATORIA</w:t>
      </w:r>
      <w:bookmarkEnd w:id="6"/>
      <w:bookmarkEnd w:id="7"/>
      <w:bookmarkEnd w:id="8"/>
      <w:bookmarkEnd w:id="9"/>
    </w:p>
    <w:p w14:paraId="00FF27D1" w14:textId="098ECC35" w:rsidR="00395D17" w:rsidRDefault="00395D17" w:rsidP="00395D17">
      <w:pPr>
        <w:pStyle w:val="TextoPrincipal"/>
        <w:rPr>
          <w:lang w:val="es-HN"/>
        </w:rPr>
      </w:pPr>
      <w:r w:rsidRPr="00395D17">
        <w:rPr>
          <w:lang w:val="es-HN"/>
        </w:rPr>
        <w:t>Quiero dedicar esta tesis p</w:t>
      </w:r>
      <w:r>
        <w:rPr>
          <w:lang w:val="es-HN"/>
        </w:rPr>
        <w:t>rimera</w:t>
      </w:r>
      <w:r w:rsidR="004C5085">
        <w:rPr>
          <w:lang w:val="es-HN"/>
        </w:rPr>
        <w:t>mente a Dios,</w:t>
      </w:r>
      <w:r w:rsidR="00724473">
        <w:rPr>
          <w:lang w:val="es-HN"/>
        </w:rPr>
        <w:t xml:space="preserve"> por haberme dado la fortaleza necesaria a lo largo de mi maestría. </w:t>
      </w:r>
      <w:r w:rsidR="00B62160">
        <w:rPr>
          <w:lang w:val="es-HN"/>
        </w:rPr>
        <w:t>A mi padre, quien</w:t>
      </w:r>
      <w:r w:rsidR="6AD13648" w:rsidRPr="6AD13648">
        <w:rPr>
          <w:lang w:val="es-HN"/>
        </w:rPr>
        <w:t>,</w:t>
      </w:r>
      <w:r w:rsidR="00B62160">
        <w:rPr>
          <w:lang w:val="es-HN"/>
        </w:rPr>
        <w:t xml:space="preserve"> desde el cielo, ha sido mi guía y fuente de inspiración para superarme en todos los </w:t>
      </w:r>
      <w:r w:rsidR="002957C6">
        <w:rPr>
          <w:lang w:val="es-HN"/>
        </w:rPr>
        <w:t>aspectos</w:t>
      </w:r>
      <w:r w:rsidR="00B62160">
        <w:rPr>
          <w:lang w:val="es-HN"/>
        </w:rPr>
        <w:t xml:space="preserve"> de mi vida, tanto personal como profesional. A mi madre, </w:t>
      </w:r>
      <w:r w:rsidR="003766E0">
        <w:rPr>
          <w:lang w:val="es-HN"/>
        </w:rPr>
        <w:t xml:space="preserve">mi más sincero agradecimiento por su apoyo </w:t>
      </w:r>
      <w:r w:rsidR="002957C6">
        <w:rPr>
          <w:lang w:val="es-HN"/>
        </w:rPr>
        <w:t>incondicional</w:t>
      </w:r>
      <w:r w:rsidR="00B30EB3">
        <w:rPr>
          <w:lang w:val="es-HN"/>
        </w:rPr>
        <w:t xml:space="preserve">, quien me ha demostrado que con dedicación y pasión todas </w:t>
      </w:r>
      <w:r w:rsidR="38B94A24" w:rsidRPr="38B94A24">
        <w:rPr>
          <w:lang w:val="es-HN"/>
        </w:rPr>
        <w:t>las</w:t>
      </w:r>
      <w:r w:rsidR="00B30EB3">
        <w:rPr>
          <w:lang w:val="es-HN"/>
        </w:rPr>
        <w:t xml:space="preserve"> metas son alcanzables. </w:t>
      </w:r>
      <w:r w:rsidR="002957C6">
        <w:rPr>
          <w:lang w:val="es-HN"/>
        </w:rPr>
        <w:t>A estos pilares fundamentales en mi vida, les dedico con cariño y gratitud mi tesis de maestría.</w:t>
      </w:r>
    </w:p>
    <w:p w14:paraId="0B3C83AA" w14:textId="05E75581" w:rsidR="53F23A9D" w:rsidRDefault="491B881A" w:rsidP="53F23A9D">
      <w:pPr>
        <w:pStyle w:val="TextoPrincipal"/>
        <w:rPr>
          <w:lang w:val="es-HN"/>
        </w:rPr>
      </w:pPr>
      <w:r w:rsidRPr="491B881A">
        <w:rPr>
          <w:lang w:val="es-HN"/>
        </w:rPr>
        <w:t xml:space="preserve">       </w:t>
      </w:r>
      <w:r w:rsidR="41318B1D" w:rsidRPr="0099325E">
        <w:rPr>
          <w:lang w:val="es-HN"/>
        </w:rPr>
        <w:tab/>
      </w:r>
      <w:r w:rsidR="41318B1D" w:rsidRPr="0099325E">
        <w:rPr>
          <w:lang w:val="es-HN"/>
        </w:rPr>
        <w:tab/>
      </w:r>
      <w:r w:rsidR="41318B1D" w:rsidRPr="0099325E">
        <w:rPr>
          <w:lang w:val="es-HN"/>
        </w:rPr>
        <w:tab/>
      </w:r>
      <w:r w:rsidR="41318B1D" w:rsidRPr="0099325E">
        <w:rPr>
          <w:lang w:val="es-HN"/>
        </w:rPr>
        <w:tab/>
      </w:r>
      <w:r w:rsidR="41318B1D" w:rsidRPr="0099325E">
        <w:rPr>
          <w:lang w:val="es-HN"/>
        </w:rPr>
        <w:tab/>
      </w:r>
      <w:r w:rsidR="41318B1D" w:rsidRPr="0099325E">
        <w:rPr>
          <w:lang w:val="es-HN"/>
        </w:rPr>
        <w:tab/>
      </w:r>
      <w:r w:rsidR="41318B1D" w:rsidRPr="0099325E">
        <w:rPr>
          <w:lang w:val="es-HN"/>
        </w:rPr>
        <w:tab/>
      </w:r>
      <w:r w:rsidRPr="491B881A">
        <w:rPr>
          <w:lang w:val="es-HN"/>
        </w:rPr>
        <w:t>Larissa Nicoll Aceituno Cerrato</w:t>
      </w:r>
    </w:p>
    <w:p w14:paraId="5E624762" w14:textId="1697005A" w:rsidR="53F23A9D" w:rsidRDefault="53F23A9D" w:rsidP="53F23A9D">
      <w:pPr>
        <w:pStyle w:val="TextoPrincipal"/>
        <w:rPr>
          <w:lang w:val="es-HN"/>
        </w:rPr>
      </w:pPr>
    </w:p>
    <w:p w14:paraId="5F6B1BE2" w14:textId="593DB7A3" w:rsidR="53F23A9D" w:rsidRDefault="491B881A" w:rsidP="00E5594D">
      <w:pPr>
        <w:pStyle w:val="TextoPrincipal"/>
        <w:rPr>
          <w:lang w:val="es-HN"/>
        </w:rPr>
      </w:pPr>
      <w:r w:rsidRPr="491B881A">
        <w:rPr>
          <w:lang w:val="es-HN"/>
        </w:rPr>
        <w:t>Primeramente</w:t>
      </w:r>
      <w:r w:rsidR="1A73E666" w:rsidRPr="1A73E666">
        <w:rPr>
          <w:lang w:val="es-HN"/>
        </w:rPr>
        <w:t>,</w:t>
      </w:r>
      <w:r w:rsidRPr="491B881A">
        <w:rPr>
          <w:lang w:val="es-HN"/>
        </w:rPr>
        <w:t xml:space="preserve"> dedicó esta tesis a Dios </w:t>
      </w:r>
      <w:r w:rsidR="2B43F485" w:rsidRPr="2B43F485">
        <w:rPr>
          <w:lang w:val="es-HN"/>
        </w:rPr>
        <w:t xml:space="preserve">quién me dio las fuerzas necesarias </w:t>
      </w:r>
      <w:r w:rsidR="544EF828" w:rsidRPr="544EF828">
        <w:rPr>
          <w:lang w:val="es-HN"/>
        </w:rPr>
        <w:t xml:space="preserve">para seguir adelante durante estos dos años de maestría, </w:t>
      </w:r>
      <w:r w:rsidR="0DF6B375" w:rsidRPr="0DF6B375">
        <w:rPr>
          <w:lang w:val="es-HN"/>
        </w:rPr>
        <w:t xml:space="preserve">a mi madre </w:t>
      </w:r>
      <w:r w:rsidR="0B238AF3" w:rsidRPr="0B238AF3">
        <w:rPr>
          <w:lang w:val="es-HN"/>
        </w:rPr>
        <w:t xml:space="preserve">mi </w:t>
      </w:r>
      <w:r w:rsidR="59D2FBB7" w:rsidRPr="59D2FBB7">
        <w:rPr>
          <w:lang w:val="es-HN"/>
        </w:rPr>
        <w:t>fuente inagotable de amor</w:t>
      </w:r>
      <w:r w:rsidR="0B238AF3" w:rsidRPr="0B238AF3">
        <w:rPr>
          <w:lang w:val="es-HN"/>
        </w:rPr>
        <w:t xml:space="preserve">, gracias por brindarme tu </w:t>
      </w:r>
      <w:r w:rsidR="59D2FBB7" w:rsidRPr="59D2FBB7">
        <w:rPr>
          <w:lang w:val="es-HN"/>
        </w:rPr>
        <w:t>apoyo</w:t>
      </w:r>
      <w:r w:rsidR="0B238AF3" w:rsidRPr="0B238AF3">
        <w:rPr>
          <w:lang w:val="es-HN"/>
        </w:rPr>
        <w:t xml:space="preserve"> incondicional al ayudarme con mi hija mientras yo estaba trabajando en mis clases</w:t>
      </w:r>
      <w:r w:rsidR="6C58673B" w:rsidRPr="6C58673B">
        <w:rPr>
          <w:lang w:val="es-HN"/>
        </w:rPr>
        <w:t>,</w:t>
      </w:r>
      <w:r w:rsidR="0B238AF3" w:rsidRPr="0B238AF3">
        <w:rPr>
          <w:lang w:val="es-HN"/>
        </w:rPr>
        <w:t xml:space="preserve"> tesis </w:t>
      </w:r>
      <w:r w:rsidR="6C58673B" w:rsidRPr="6C58673B">
        <w:rPr>
          <w:lang w:val="es-HN"/>
        </w:rPr>
        <w:t xml:space="preserve">y trabajando. También </w:t>
      </w:r>
      <w:r w:rsidR="1A73E666" w:rsidRPr="1A73E666">
        <w:rPr>
          <w:lang w:val="es-HN"/>
        </w:rPr>
        <w:t>a</w:t>
      </w:r>
      <w:r w:rsidR="3F7E58C7" w:rsidRPr="3F7E58C7">
        <w:rPr>
          <w:lang w:val="es-HN"/>
        </w:rPr>
        <w:t xml:space="preserve"> mi hija por ser comprensiva y </w:t>
      </w:r>
      <w:r w:rsidR="0B238AF3" w:rsidRPr="0B238AF3">
        <w:rPr>
          <w:lang w:val="es-HN"/>
        </w:rPr>
        <w:t xml:space="preserve">darme el espacio para poder </w:t>
      </w:r>
      <w:r w:rsidR="1A73E666" w:rsidRPr="1A73E666">
        <w:rPr>
          <w:lang w:val="es-HN"/>
        </w:rPr>
        <w:t>seguir estudiando.</w:t>
      </w:r>
      <w:r w:rsidR="4458BA56" w:rsidRPr="4458BA56">
        <w:rPr>
          <w:lang w:val="es-HN"/>
        </w:rPr>
        <w:t xml:space="preserve"> </w:t>
      </w:r>
      <w:r w:rsidR="5506482F" w:rsidRPr="5506482F">
        <w:rPr>
          <w:lang w:val="es-HN"/>
        </w:rPr>
        <w:t xml:space="preserve">por todo y más les dedico con amor y sobre todo </w:t>
      </w:r>
      <w:r w:rsidR="781CE864" w:rsidRPr="781CE864">
        <w:rPr>
          <w:lang w:val="es-HN"/>
        </w:rPr>
        <w:t xml:space="preserve">gratitud este logró. </w:t>
      </w:r>
    </w:p>
    <w:p w14:paraId="404F35E2" w14:textId="0EC06519" w:rsidR="31C4A3B1" w:rsidRDefault="31C4A3B1" w:rsidP="31C4A3B1">
      <w:pPr>
        <w:pStyle w:val="TextoPrincipal"/>
        <w:ind w:firstLine="0"/>
        <w:rPr>
          <w:lang w:val="es-HN"/>
        </w:rPr>
      </w:pPr>
    </w:p>
    <w:p w14:paraId="72C9E9F6" w14:textId="65CD9882" w:rsidR="781CE864" w:rsidRDefault="781CE864" w:rsidP="31C4A3B1">
      <w:pPr>
        <w:pStyle w:val="TextoPrincipal"/>
        <w:ind w:left="5040"/>
        <w:rPr>
          <w:lang w:val="es-HN"/>
        </w:rPr>
      </w:pPr>
      <w:r w:rsidRPr="781CE864">
        <w:rPr>
          <w:lang w:val="es-HN"/>
        </w:rPr>
        <w:t xml:space="preserve">Maryori Graciela </w:t>
      </w:r>
      <w:r w:rsidR="31C4A3B1" w:rsidRPr="31C4A3B1">
        <w:rPr>
          <w:lang w:val="es-HN"/>
        </w:rPr>
        <w:t>Zapata Montoya</w:t>
      </w:r>
    </w:p>
    <w:p w14:paraId="14E3F4BC" w14:textId="46F2A07A" w:rsidR="698B65D7" w:rsidRDefault="002E562C" w:rsidP="001A24AF">
      <w:pPr>
        <w:pStyle w:val="TextoPrincipal"/>
        <w:rPr>
          <w:lang w:val="es-HN"/>
        </w:rPr>
      </w:pPr>
      <w:r w:rsidRPr="00395D17">
        <w:rPr>
          <w:lang w:val="es-HN"/>
        </w:rPr>
        <w:br w:type="page"/>
      </w:r>
    </w:p>
    <w:p w14:paraId="50247E1A" w14:textId="77777777" w:rsidR="002E562C" w:rsidRPr="0076589C" w:rsidRDefault="002E562C" w:rsidP="00A869C4">
      <w:pPr>
        <w:pStyle w:val="Ttulo1"/>
      </w:pPr>
      <w:r w:rsidRPr="00A869C4">
        <w:lastRenderedPageBreak/>
        <w:t xml:space="preserve"> </w:t>
      </w:r>
      <w:bookmarkStart w:id="10" w:name="_Toc474331174"/>
      <w:bookmarkStart w:id="11" w:name="_Toc474331373"/>
      <w:bookmarkStart w:id="12" w:name="_Toc133044382"/>
      <w:bookmarkStart w:id="13" w:name="_Toc158365440"/>
      <w:r w:rsidRPr="0076589C">
        <w:t>AGRADECIMIENTO</w:t>
      </w:r>
      <w:bookmarkEnd w:id="10"/>
      <w:bookmarkEnd w:id="11"/>
      <w:bookmarkEnd w:id="12"/>
      <w:bookmarkEnd w:id="13"/>
    </w:p>
    <w:p w14:paraId="15BAD9AC" w14:textId="2FE02977" w:rsidR="00D63BFE" w:rsidRPr="0076589C" w:rsidRDefault="00E906E4" w:rsidP="00077F12">
      <w:pPr>
        <w:pStyle w:val="TextoPrincipal"/>
        <w:rPr>
          <w:lang w:val="es-HN"/>
        </w:rPr>
      </w:pPr>
      <w:r w:rsidRPr="0076589C">
        <w:rPr>
          <w:lang w:val="es-HN"/>
        </w:rPr>
        <w:t xml:space="preserve">Expresamos nuestro </w:t>
      </w:r>
      <w:r w:rsidR="00D63BFE" w:rsidRPr="0076589C">
        <w:rPr>
          <w:lang w:val="es-HN"/>
        </w:rPr>
        <w:t>más</w:t>
      </w:r>
      <w:r w:rsidRPr="0076589C">
        <w:rPr>
          <w:lang w:val="es-HN"/>
        </w:rPr>
        <w:t xml:space="preserve"> sincero agradecimiento</w:t>
      </w:r>
      <w:r w:rsidR="003005E6" w:rsidRPr="0076589C">
        <w:rPr>
          <w:lang w:val="es-HN"/>
        </w:rPr>
        <w:t xml:space="preserve"> a la </w:t>
      </w:r>
      <w:r w:rsidR="0062316A" w:rsidRPr="0076589C">
        <w:rPr>
          <w:lang w:val="es-HN"/>
        </w:rPr>
        <w:t xml:space="preserve">empresa </w:t>
      </w:r>
      <w:r w:rsidR="003005E6" w:rsidRPr="0076589C">
        <w:rPr>
          <w:lang w:val="es-HN"/>
        </w:rPr>
        <w:t>Industria Procesadora de Alimentos</w:t>
      </w:r>
      <w:r w:rsidR="00EC267A" w:rsidRPr="0076589C">
        <w:rPr>
          <w:lang w:val="es-HN"/>
        </w:rPr>
        <w:t xml:space="preserve"> IPRA, </w:t>
      </w:r>
      <w:r w:rsidR="00D63BFE" w:rsidRPr="0076589C">
        <w:rPr>
          <w:lang w:val="es-HN"/>
        </w:rPr>
        <w:t xml:space="preserve">especialmente </w:t>
      </w:r>
      <w:r w:rsidR="00EC267A" w:rsidRPr="0076589C">
        <w:rPr>
          <w:lang w:val="es-HN"/>
        </w:rPr>
        <w:t xml:space="preserve">al Ing. </w:t>
      </w:r>
      <w:r w:rsidR="00F2055B" w:rsidRPr="0076589C">
        <w:rPr>
          <w:lang w:val="es-HN"/>
        </w:rPr>
        <w:t>Héctor</w:t>
      </w:r>
      <w:r w:rsidR="00D63BFE" w:rsidRPr="0076589C">
        <w:rPr>
          <w:lang w:val="es-HN"/>
        </w:rPr>
        <w:t xml:space="preserve"> </w:t>
      </w:r>
      <w:r w:rsidR="004F6ED8" w:rsidRPr="0076589C">
        <w:rPr>
          <w:lang w:val="es-HN"/>
        </w:rPr>
        <w:t>Andonie</w:t>
      </w:r>
      <w:r w:rsidR="00D63BFE" w:rsidRPr="0076589C">
        <w:rPr>
          <w:lang w:val="es-HN"/>
        </w:rPr>
        <w:t>, por brindarnos la valiosa oportunidad de llevar a cabo nuestra tesis de grad</w:t>
      </w:r>
      <w:r w:rsidR="009F6E68" w:rsidRPr="0076589C">
        <w:rPr>
          <w:lang w:val="es-HN"/>
        </w:rPr>
        <w:t>uación. Es</w:t>
      </w:r>
      <w:r w:rsidR="00AD7BEB" w:rsidRPr="0076589C">
        <w:rPr>
          <w:lang w:val="es-HN"/>
        </w:rPr>
        <w:t>t</w:t>
      </w:r>
      <w:r w:rsidR="009F6E68" w:rsidRPr="0076589C">
        <w:rPr>
          <w:lang w:val="es-HN"/>
        </w:rPr>
        <w:t>a experiencia nos permitió consolidar y aplicar los conocimientos adquiridos durante nuestra maestría en Finanzas.</w:t>
      </w:r>
    </w:p>
    <w:p w14:paraId="6861147C" w14:textId="6AE459FE" w:rsidR="003005E6" w:rsidRPr="0076589C" w:rsidRDefault="003005E6" w:rsidP="00077F12">
      <w:pPr>
        <w:pStyle w:val="TextoPrincipal"/>
        <w:rPr>
          <w:lang w:val="es-HN"/>
        </w:rPr>
      </w:pPr>
      <w:r w:rsidRPr="0076589C">
        <w:rPr>
          <w:lang w:val="es-HN"/>
        </w:rPr>
        <w:t xml:space="preserve"> </w:t>
      </w:r>
      <w:r w:rsidR="00DF79F1" w:rsidRPr="0076589C">
        <w:rPr>
          <w:lang w:val="es-HN"/>
        </w:rPr>
        <w:t xml:space="preserve">Queremos agradecer la contribución del Ing. José Velásquez, nuestro asesor temático, quien nos acompañó y orientó de manera fundamental en el desarrollo del capítulo de Aplicabilidad. Asimismo, agradecemos profundamente a nuestro asesor metodológico, </w:t>
      </w:r>
      <w:r w:rsidR="00C11926" w:rsidRPr="0076589C">
        <w:rPr>
          <w:lang w:val="es-HN"/>
        </w:rPr>
        <w:t xml:space="preserve">MSc. </w:t>
      </w:r>
      <w:r w:rsidR="00DF79F1" w:rsidRPr="0076589C">
        <w:rPr>
          <w:lang w:val="es-HN"/>
        </w:rPr>
        <w:t>Ren</w:t>
      </w:r>
      <w:r w:rsidR="00C11926" w:rsidRPr="0076589C">
        <w:rPr>
          <w:lang w:val="es-HN"/>
        </w:rPr>
        <w:t>é Santos</w:t>
      </w:r>
      <w:r w:rsidR="00DF79F1" w:rsidRPr="0076589C">
        <w:rPr>
          <w:lang w:val="es-HN"/>
        </w:rPr>
        <w:t xml:space="preserve">, por </w:t>
      </w:r>
      <w:r w:rsidR="00C11926" w:rsidRPr="0076589C">
        <w:rPr>
          <w:lang w:val="es-HN"/>
        </w:rPr>
        <w:t xml:space="preserve">brindarnos el </w:t>
      </w:r>
      <w:r w:rsidR="00DF79F1" w:rsidRPr="0076589C">
        <w:rPr>
          <w:lang w:val="es-HN"/>
        </w:rPr>
        <w:t xml:space="preserve">tiempo y </w:t>
      </w:r>
      <w:r w:rsidR="00C11926" w:rsidRPr="0076589C">
        <w:rPr>
          <w:lang w:val="es-HN"/>
        </w:rPr>
        <w:t xml:space="preserve">la </w:t>
      </w:r>
      <w:r w:rsidR="00DF79F1" w:rsidRPr="0076589C">
        <w:rPr>
          <w:lang w:val="es-HN"/>
        </w:rPr>
        <w:t>guía precisa, que fueron cruciales para la realización adecuada de este documento.</w:t>
      </w:r>
    </w:p>
    <w:p w14:paraId="650AE316" w14:textId="23CE393B" w:rsidR="007410FA" w:rsidRPr="0076589C" w:rsidRDefault="003E774F" w:rsidP="00271EBC">
      <w:pPr>
        <w:pStyle w:val="TextoPrincipal"/>
        <w:rPr>
          <w:lang w:val="es-HN"/>
        </w:rPr>
      </w:pPr>
      <w:r w:rsidRPr="0076589C">
        <w:rPr>
          <w:lang w:val="es-HN"/>
        </w:rPr>
        <w:t xml:space="preserve">Por último, un especial reconocimiento a mi compañera de trabajo, cuyo tiempo, dedicación, paciencia y esfuerzo fueron pilares fundamentales para el desarrollo exitoso de esta tesis. </w:t>
      </w:r>
    </w:p>
    <w:p w14:paraId="09701475" w14:textId="77777777" w:rsidR="00271EBC" w:rsidRPr="0076589C" w:rsidRDefault="00271EBC" w:rsidP="00271EBC">
      <w:pPr>
        <w:pStyle w:val="TextoPrincipal"/>
        <w:rPr>
          <w:lang w:val="es-HN"/>
        </w:rPr>
      </w:pPr>
    </w:p>
    <w:p w14:paraId="5501AF58" w14:textId="335528CC" w:rsidR="007410FA" w:rsidRPr="0076589C" w:rsidRDefault="007410FA" w:rsidP="007410FA">
      <w:pPr>
        <w:pStyle w:val="TextoPrincipal"/>
        <w:jc w:val="right"/>
        <w:rPr>
          <w:lang w:val="es-HN"/>
        </w:rPr>
      </w:pPr>
      <w:r w:rsidRPr="0076589C">
        <w:rPr>
          <w:lang w:val="es-HN"/>
        </w:rPr>
        <w:t>Larissa Nicoll Aceituno Cerrato y Maryori Graciela Zapata Montoya.</w:t>
      </w:r>
    </w:p>
    <w:p w14:paraId="7A8BB3BC" w14:textId="49AF67C4" w:rsidR="002C23AE" w:rsidRPr="0076589C" w:rsidRDefault="002C23AE" w:rsidP="00077F12">
      <w:pPr>
        <w:pStyle w:val="TextoPrincipal"/>
        <w:rPr>
          <w:sz w:val="20"/>
          <w:szCs w:val="20"/>
          <w:lang w:val="es-HN"/>
        </w:rPr>
      </w:pPr>
    </w:p>
    <w:p w14:paraId="45ACB8B5" w14:textId="77777777" w:rsidR="00A260E7" w:rsidRPr="0076589C" w:rsidRDefault="00A260E7" w:rsidP="00140763">
      <w:pPr>
        <w:spacing w:after="160" w:line="259" w:lineRule="auto"/>
        <w:rPr>
          <w:rFonts w:cs="Times New Roman"/>
          <w:sz w:val="20"/>
          <w:szCs w:val="20"/>
        </w:rPr>
        <w:sectPr w:rsidR="00A260E7" w:rsidRPr="0076589C" w:rsidSect="008C6BD1">
          <w:footerReference w:type="default" r:id="rId11"/>
          <w:pgSz w:w="12240" w:h="15840" w:code="1"/>
          <w:pgMar w:top="1440" w:right="1440" w:bottom="1440" w:left="1440" w:header="720" w:footer="720" w:gutter="0"/>
          <w:pgNumType w:fmt="lowerRoman"/>
          <w:cols w:space="720"/>
          <w:docGrid w:linePitch="360"/>
        </w:sectPr>
      </w:pPr>
    </w:p>
    <w:sdt>
      <w:sdtPr>
        <w:id w:val="1182166167"/>
        <w:docPartObj>
          <w:docPartGallery w:val="Table of Contents"/>
          <w:docPartUnique/>
        </w:docPartObj>
      </w:sdtPr>
      <w:sdtContent>
        <w:p w14:paraId="49BD4875" w14:textId="77777777" w:rsidR="007F18CC" w:rsidRPr="0076589C" w:rsidRDefault="1C8D6E3A" w:rsidP="1C8D6E3A">
          <w:pPr>
            <w:spacing w:line="360" w:lineRule="auto"/>
            <w:jc w:val="center"/>
            <w:rPr>
              <w:noProof/>
            </w:rPr>
          </w:pPr>
          <w:r w:rsidRPr="0076589C">
            <w:rPr>
              <w:rStyle w:val="Ttulo1Car"/>
            </w:rPr>
            <w:t>ÍNDICE DE CONTENIDO</w:t>
          </w:r>
          <w:r w:rsidR="00140763" w:rsidRPr="0076589C">
            <w:rPr>
              <w:rFonts w:eastAsia="Times New Roman" w:cs="Times New Roman"/>
            </w:rPr>
            <w:fldChar w:fldCharType="begin"/>
          </w:r>
          <w:r w:rsidR="7A54A044" w:rsidRPr="0076589C">
            <w:instrText xml:space="preserve"> TOC \o "1-3" \h \z \u </w:instrText>
          </w:r>
          <w:r w:rsidR="00140763" w:rsidRPr="0076589C">
            <w:rPr>
              <w:rFonts w:eastAsia="Times New Roman" w:cs="Times New Roman"/>
            </w:rPr>
            <w:fldChar w:fldCharType="separate"/>
          </w:r>
        </w:p>
        <w:p w14:paraId="7D91992D" w14:textId="33C46BD0" w:rsidR="007F18CC" w:rsidRPr="0076589C" w:rsidRDefault="00000000">
          <w:pPr>
            <w:pStyle w:val="TDC1"/>
            <w:rPr>
              <w:rFonts w:asciiTheme="minorHAnsi" w:eastAsiaTheme="minorEastAsia" w:hAnsiTheme="minorHAnsi" w:cstheme="minorBidi"/>
              <w:b w:val="0"/>
              <w:bCs w:val="0"/>
              <w:kern w:val="2"/>
              <w:sz w:val="22"/>
              <w:lang w:eastAsia="es-HN"/>
              <w14:ligatures w14:val="standardContextual"/>
            </w:rPr>
          </w:pPr>
          <w:hyperlink w:anchor="_Toc158365439" w:history="1">
            <w:r w:rsidR="007F18CC" w:rsidRPr="0076589C">
              <w:rPr>
                <w:rStyle w:val="Hipervnculo"/>
                <w:rFonts w:eastAsiaTheme="majorEastAsia"/>
              </w:rPr>
              <w:t>DEDICATORIA</w:t>
            </w:r>
            <w:r w:rsidR="007F18CC" w:rsidRPr="0076589C">
              <w:rPr>
                <w:webHidden/>
              </w:rPr>
              <w:tab/>
            </w:r>
            <w:r w:rsidR="007F18CC" w:rsidRPr="0076589C">
              <w:rPr>
                <w:webHidden/>
              </w:rPr>
              <w:fldChar w:fldCharType="begin"/>
            </w:r>
            <w:r w:rsidR="007F18CC" w:rsidRPr="0076589C">
              <w:rPr>
                <w:webHidden/>
              </w:rPr>
              <w:instrText xml:space="preserve"> PAGEREF _Toc158365439 \h </w:instrText>
            </w:r>
            <w:r w:rsidR="007F18CC" w:rsidRPr="0076589C">
              <w:rPr>
                <w:webHidden/>
              </w:rPr>
            </w:r>
            <w:r w:rsidR="007F18CC" w:rsidRPr="0076589C">
              <w:rPr>
                <w:webHidden/>
              </w:rPr>
              <w:fldChar w:fldCharType="separate"/>
            </w:r>
            <w:r w:rsidR="009F171A">
              <w:rPr>
                <w:webHidden/>
              </w:rPr>
              <w:t>ix</w:t>
            </w:r>
            <w:r w:rsidR="007F18CC" w:rsidRPr="0076589C">
              <w:rPr>
                <w:webHidden/>
              </w:rPr>
              <w:fldChar w:fldCharType="end"/>
            </w:r>
          </w:hyperlink>
        </w:p>
        <w:p w14:paraId="55AE4A08" w14:textId="7EBD98C9" w:rsidR="007F18CC" w:rsidRPr="0076589C" w:rsidRDefault="00000000">
          <w:pPr>
            <w:pStyle w:val="TDC1"/>
            <w:rPr>
              <w:rFonts w:asciiTheme="minorHAnsi" w:eastAsiaTheme="minorEastAsia" w:hAnsiTheme="minorHAnsi" w:cstheme="minorBidi"/>
              <w:b w:val="0"/>
              <w:bCs w:val="0"/>
              <w:kern w:val="2"/>
              <w:sz w:val="22"/>
              <w:lang w:eastAsia="es-HN"/>
              <w14:ligatures w14:val="standardContextual"/>
            </w:rPr>
          </w:pPr>
          <w:hyperlink w:anchor="_Toc158365440" w:history="1">
            <w:r w:rsidR="007F18CC" w:rsidRPr="0076589C">
              <w:rPr>
                <w:rStyle w:val="Hipervnculo"/>
                <w:rFonts w:eastAsiaTheme="majorEastAsia"/>
              </w:rPr>
              <w:t>AGRADECIMIENTO</w:t>
            </w:r>
            <w:r w:rsidR="007F18CC" w:rsidRPr="0076589C">
              <w:rPr>
                <w:webHidden/>
              </w:rPr>
              <w:tab/>
            </w:r>
            <w:r w:rsidR="007F18CC" w:rsidRPr="0076589C">
              <w:rPr>
                <w:webHidden/>
              </w:rPr>
              <w:fldChar w:fldCharType="begin"/>
            </w:r>
            <w:r w:rsidR="007F18CC" w:rsidRPr="0076589C">
              <w:rPr>
                <w:webHidden/>
              </w:rPr>
              <w:instrText xml:space="preserve"> PAGEREF _Toc158365440 \h </w:instrText>
            </w:r>
            <w:r w:rsidR="007F18CC" w:rsidRPr="0076589C">
              <w:rPr>
                <w:webHidden/>
              </w:rPr>
            </w:r>
            <w:r w:rsidR="007F18CC" w:rsidRPr="0076589C">
              <w:rPr>
                <w:webHidden/>
              </w:rPr>
              <w:fldChar w:fldCharType="separate"/>
            </w:r>
            <w:r w:rsidR="009F171A">
              <w:rPr>
                <w:webHidden/>
              </w:rPr>
              <w:t>x</w:t>
            </w:r>
            <w:r w:rsidR="007F18CC" w:rsidRPr="0076589C">
              <w:rPr>
                <w:webHidden/>
              </w:rPr>
              <w:fldChar w:fldCharType="end"/>
            </w:r>
          </w:hyperlink>
        </w:p>
        <w:p w14:paraId="1A5B0A52" w14:textId="44CFB30F" w:rsidR="007F18CC" w:rsidRPr="0076589C" w:rsidRDefault="00000000">
          <w:pPr>
            <w:pStyle w:val="TDC1"/>
            <w:rPr>
              <w:rFonts w:asciiTheme="minorHAnsi" w:eastAsiaTheme="minorEastAsia" w:hAnsiTheme="minorHAnsi" w:cstheme="minorBidi"/>
              <w:b w:val="0"/>
              <w:bCs w:val="0"/>
              <w:kern w:val="2"/>
              <w:sz w:val="22"/>
              <w:lang w:eastAsia="es-HN"/>
              <w14:ligatures w14:val="standardContextual"/>
            </w:rPr>
          </w:pPr>
          <w:hyperlink w:anchor="_Toc158365441" w:history="1">
            <w:r w:rsidR="007F18CC" w:rsidRPr="0076589C">
              <w:rPr>
                <w:rStyle w:val="Hipervnculo"/>
                <w:rFonts w:eastAsiaTheme="majorEastAsia"/>
              </w:rPr>
              <w:t>ÍNDICE DE TABLAS</w:t>
            </w:r>
            <w:r w:rsidR="007F18CC" w:rsidRPr="0076589C">
              <w:rPr>
                <w:webHidden/>
              </w:rPr>
              <w:tab/>
            </w:r>
            <w:r w:rsidR="007F18CC" w:rsidRPr="0076589C">
              <w:rPr>
                <w:webHidden/>
              </w:rPr>
              <w:fldChar w:fldCharType="begin"/>
            </w:r>
            <w:r w:rsidR="007F18CC" w:rsidRPr="0076589C">
              <w:rPr>
                <w:webHidden/>
              </w:rPr>
              <w:instrText xml:space="preserve"> PAGEREF _Toc158365441 \h </w:instrText>
            </w:r>
            <w:r w:rsidR="007F18CC" w:rsidRPr="0076589C">
              <w:rPr>
                <w:webHidden/>
              </w:rPr>
            </w:r>
            <w:r w:rsidR="007F18CC" w:rsidRPr="0076589C">
              <w:rPr>
                <w:webHidden/>
              </w:rPr>
              <w:fldChar w:fldCharType="separate"/>
            </w:r>
            <w:r w:rsidR="009F171A">
              <w:rPr>
                <w:webHidden/>
              </w:rPr>
              <w:t>xiv</w:t>
            </w:r>
            <w:r w:rsidR="007F18CC" w:rsidRPr="0076589C">
              <w:rPr>
                <w:webHidden/>
              </w:rPr>
              <w:fldChar w:fldCharType="end"/>
            </w:r>
          </w:hyperlink>
        </w:p>
        <w:p w14:paraId="31A7B778" w14:textId="15BE8880" w:rsidR="007F18CC" w:rsidRPr="0076589C" w:rsidRDefault="00000000">
          <w:pPr>
            <w:pStyle w:val="TDC1"/>
            <w:rPr>
              <w:rFonts w:asciiTheme="minorHAnsi" w:eastAsiaTheme="minorEastAsia" w:hAnsiTheme="minorHAnsi" w:cstheme="minorBidi"/>
              <w:b w:val="0"/>
              <w:bCs w:val="0"/>
              <w:kern w:val="2"/>
              <w:sz w:val="22"/>
              <w:lang w:eastAsia="es-HN"/>
              <w14:ligatures w14:val="standardContextual"/>
            </w:rPr>
          </w:pPr>
          <w:hyperlink w:anchor="_Toc158365442" w:history="1">
            <w:r w:rsidR="007F18CC" w:rsidRPr="0076589C">
              <w:rPr>
                <w:rStyle w:val="Hipervnculo"/>
                <w:rFonts w:eastAsiaTheme="majorEastAsia"/>
              </w:rPr>
              <w:t>ÍNDICE DE FIGURAS</w:t>
            </w:r>
            <w:r w:rsidR="007F18CC" w:rsidRPr="0076589C">
              <w:rPr>
                <w:webHidden/>
              </w:rPr>
              <w:tab/>
            </w:r>
            <w:r w:rsidR="007F18CC" w:rsidRPr="0076589C">
              <w:rPr>
                <w:webHidden/>
              </w:rPr>
              <w:fldChar w:fldCharType="begin"/>
            </w:r>
            <w:r w:rsidR="007F18CC" w:rsidRPr="0076589C">
              <w:rPr>
                <w:webHidden/>
              </w:rPr>
              <w:instrText xml:space="preserve"> PAGEREF _Toc158365442 \h </w:instrText>
            </w:r>
            <w:r w:rsidR="007F18CC" w:rsidRPr="0076589C">
              <w:rPr>
                <w:webHidden/>
              </w:rPr>
            </w:r>
            <w:r w:rsidR="007F18CC" w:rsidRPr="0076589C">
              <w:rPr>
                <w:webHidden/>
              </w:rPr>
              <w:fldChar w:fldCharType="separate"/>
            </w:r>
            <w:r w:rsidR="009F171A">
              <w:rPr>
                <w:webHidden/>
              </w:rPr>
              <w:t>xv</w:t>
            </w:r>
            <w:r w:rsidR="007F18CC" w:rsidRPr="0076589C">
              <w:rPr>
                <w:webHidden/>
              </w:rPr>
              <w:fldChar w:fldCharType="end"/>
            </w:r>
          </w:hyperlink>
        </w:p>
        <w:p w14:paraId="0A363B9B" w14:textId="69302AD5" w:rsidR="007F18CC" w:rsidRPr="0076589C" w:rsidRDefault="00000000">
          <w:pPr>
            <w:pStyle w:val="TDC1"/>
            <w:rPr>
              <w:rFonts w:asciiTheme="minorHAnsi" w:eastAsiaTheme="minorEastAsia" w:hAnsiTheme="minorHAnsi" w:cstheme="minorBidi"/>
              <w:b w:val="0"/>
              <w:bCs w:val="0"/>
              <w:kern w:val="2"/>
              <w:sz w:val="22"/>
              <w:lang w:eastAsia="es-HN"/>
              <w14:ligatures w14:val="standardContextual"/>
            </w:rPr>
          </w:pPr>
          <w:hyperlink w:anchor="_Toc158365443" w:history="1">
            <w:r w:rsidR="007F18CC" w:rsidRPr="0076589C">
              <w:rPr>
                <w:rStyle w:val="Hipervnculo"/>
                <w:rFonts w:eastAsiaTheme="majorEastAsia"/>
              </w:rPr>
              <w:t>CAPÍTULO I. PLANTEAMIENTO DE LA INVESTIGACIÓN</w:t>
            </w:r>
            <w:r w:rsidR="007F18CC" w:rsidRPr="0076589C">
              <w:rPr>
                <w:webHidden/>
              </w:rPr>
              <w:tab/>
            </w:r>
            <w:r w:rsidR="007F18CC" w:rsidRPr="0076589C">
              <w:rPr>
                <w:webHidden/>
              </w:rPr>
              <w:fldChar w:fldCharType="begin"/>
            </w:r>
            <w:r w:rsidR="007F18CC" w:rsidRPr="0076589C">
              <w:rPr>
                <w:webHidden/>
              </w:rPr>
              <w:instrText xml:space="preserve"> PAGEREF _Toc158365443 \h </w:instrText>
            </w:r>
            <w:r w:rsidR="007F18CC" w:rsidRPr="0076589C">
              <w:rPr>
                <w:webHidden/>
              </w:rPr>
            </w:r>
            <w:r w:rsidR="007F18CC" w:rsidRPr="0076589C">
              <w:rPr>
                <w:webHidden/>
              </w:rPr>
              <w:fldChar w:fldCharType="separate"/>
            </w:r>
            <w:r w:rsidR="009F171A">
              <w:rPr>
                <w:webHidden/>
              </w:rPr>
              <w:t>1</w:t>
            </w:r>
            <w:r w:rsidR="007F18CC" w:rsidRPr="0076589C">
              <w:rPr>
                <w:webHidden/>
              </w:rPr>
              <w:fldChar w:fldCharType="end"/>
            </w:r>
          </w:hyperlink>
        </w:p>
        <w:p w14:paraId="5D9967F2" w14:textId="1C8EF3D4"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444" w:history="1">
            <w:r w:rsidR="007F18CC" w:rsidRPr="0076589C">
              <w:rPr>
                <w:rStyle w:val="Hipervnculo"/>
                <w:rFonts w:eastAsiaTheme="majorEastAsia"/>
              </w:rPr>
              <w:t>1.1</w:t>
            </w:r>
            <w:r w:rsidR="007F18CC" w:rsidRPr="0076589C">
              <w:rPr>
                <w:rFonts w:asciiTheme="minorHAnsi" w:eastAsiaTheme="minorEastAsia" w:hAnsiTheme="minorHAnsi" w:cstheme="minorBidi"/>
                <w:b w:val="0"/>
                <w:bCs w:val="0"/>
                <w:kern w:val="2"/>
                <w:sz w:val="22"/>
                <w:lang w:eastAsia="es-HN"/>
                <w14:ligatures w14:val="standardContextual"/>
              </w:rPr>
              <w:tab/>
            </w:r>
            <w:r w:rsidR="007F18CC" w:rsidRPr="0076589C">
              <w:rPr>
                <w:rStyle w:val="Hipervnculo"/>
                <w:rFonts w:eastAsiaTheme="majorEastAsia"/>
              </w:rPr>
              <w:t>INTRODUCCIÓN</w:t>
            </w:r>
            <w:r w:rsidR="007F18CC" w:rsidRPr="0076589C">
              <w:rPr>
                <w:webHidden/>
              </w:rPr>
              <w:tab/>
            </w:r>
            <w:r w:rsidR="007F18CC" w:rsidRPr="0076589C">
              <w:rPr>
                <w:webHidden/>
              </w:rPr>
              <w:fldChar w:fldCharType="begin"/>
            </w:r>
            <w:r w:rsidR="007F18CC" w:rsidRPr="0076589C">
              <w:rPr>
                <w:webHidden/>
              </w:rPr>
              <w:instrText xml:space="preserve"> PAGEREF _Toc158365444 \h </w:instrText>
            </w:r>
            <w:r w:rsidR="007F18CC" w:rsidRPr="0076589C">
              <w:rPr>
                <w:webHidden/>
              </w:rPr>
            </w:r>
            <w:r w:rsidR="007F18CC" w:rsidRPr="0076589C">
              <w:rPr>
                <w:webHidden/>
              </w:rPr>
              <w:fldChar w:fldCharType="separate"/>
            </w:r>
            <w:r w:rsidR="009F171A">
              <w:rPr>
                <w:webHidden/>
              </w:rPr>
              <w:t>1</w:t>
            </w:r>
            <w:r w:rsidR="007F18CC" w:rsidRPr="0076589C">
              <w:rPr>
                <w:webHidden/>
              </w:rPr>
              <w:fldChar w:fldCharType="end"/>
            </w:r>
          </w:hyperlink>
        </w:p>
        <w:p w14:paraId="6135A96C" w14:textId="56E91460"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445" w:history="1">
            <w:r w:rsidR="007F18CC" w:rsidRPr="0076589C">
              <w:rPr>
                <w:rStyle w:val="Hipervnculo"/>
                <w:rFonts w:eastAsiaTheme="majorEastAsia"/>
              </w:rPr>
              <w:t>1.2</w:t>
            </w:r>
            <w:r w:rsidR="007F18CC" w:rsidRPr="0076589C">
              <w:rPr>
                <w:rFonts w:asciiTheme="minorHAnsi" w:eastAsiaTheme="minorEastAsia" w:hAnsiTheme="minorHAnsi" w:cstheme="minorBidi"/>
                <w:b w:val="0"/>
                <w:bCs w:val="0"/>
                <w:kern w:val="2"/>
                <w:sz w:val="22"/>
                <w:lang w:eastAsia="es-HN"/>
                <w14:ligatures w14:val="standardContextual"/>
              </w:rPr>
              <w:tab/>
            </w:r>
            <w:r w:rsidR="007F18CC" w:rsidRPr="0076589C">
              <w:rPr>
                <w:rStyle w:val="Hipervnculo"/>
                <w:rFonts w:eastAsiaTheme="majorEastAsia"/>
              </w:rPr>
              <w:t>ANTECEDENTES DEL PROBLEMA</w:t>
            </w:r>
            <w:r w:rsidR="007F18CC" w:rsidRPr="0076589C">
              <w:rPr>
                <w:webHidden/>
              </w:rPr>
              <w:tab/>
            </w:r>
            <w:r w:rsidR="007F18CC" w:rsidRPr="0076589C">
              <w:rPr>
                <w:webHidden/>
              </w:rPr>
              <w:fldChar w:fldCharType="begin"/>
            </w:r>
            <w:r w:rsidR="007F18CC" w:rsidRPr="0076589C">
              <w:rPr>
                <w:webHidden/>
              </w:rPr>
              <w:instrText xml:space="preserve"> PAGEREF _Toc158365445 \h </w:instrText>
            </w:r>
            <w:r w:rsidR="007F18CC" w:rsidRPr="0076589C">
              <w:rPr>
                <w:webHidden/>
              </w:rPr>
            </w:r>
            <w:r w:rsidR="007F18CC" w:rsidRPr="0076589C">
              <w:rPr>
                <w:webHidden/>
              </w:rPr>
              <w:fldChar w:fldCharType="separate"/>
            </w:r>
            <w:r w:rsidR="009F171A">
              <w:rPr>
                <w:webHidden/>
              </w:rPr>
              <w:t>3</w:t>
            </w:r>
            <w:r w:rsidR="007F18CC" w:rsidRPr="0076589C">
              <w:rPr>
                <w:webHidden/>
              </w:rPr>
              <w:fldChar w:fldCharType="end"/>
            </w:r>
          </w:hyperlink>
        </w:p>
        <w:p w14:paraId="62B16D66" w14:textId="3D466C4E"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446" w:history="1">
            <w:r w:rsidR="007F18CC" w:rsidRPr="0076589C">
              <w:rPr>
                <w:rStyle w:val="Hipervnculo"/>
                <w:rFonts w:eastAsiaTheme="majorEastAsia"/>
              </w:rPr>
              <w:t>1.3</w:t>
            </w:r>
            <w:r w:rsidR="007F18CC" w:rsidRPr="0076589C">
              <w:rPr>
                <w:rFonts w:asciiTheme="minorHAnsi" w:eastAsiaTheme="minorEastAsia" w:hAnsiTheme="minorHAnsi" w:cstheme="minorBidi"/>
                <w:b w:val="0"/>
                <w:bCs w:val="0"/>
                <w:kern w:val="2"/>
                <w:sz w:val="22"/>
                <w:lang w:eastAsia="es-HN"/>
                <w14:ligatures w14:val="standardContextual"/>
              </w:rPr>
              <w:tab/>
            </w:r>
            <w:r w:rsidR="007F18CC" w:rsidRPr="0076589C">
              <w:rPr>
                <w:rStyle w:val="Hipervnculo"/>
                <w:rFonts w:eastAsiaTheme="majorEastAsia"/>
              </w:rPr>
              <w:t>DEFINICIÓN DEL PROBLEMA</w:t>
            </w:r>
            <w:r w:rsidR="007F18CC" w:rsidRPr="0076589C">
              <w:rPr>
                <w:webHidden/>
              </w:rPr>
              <w:tab/>
            </w:r>
            <w:r w:rsidR="007F18CC" w:rsidRPr="0076589C">
              <w:rPr>
                <w:webHidden/>
              </w:rPr>
              <w:fldChar w:fldCharType="begin"/>
            </w:r>
            <w:r w:rsidR="007F18CC" w:rsidRPr="0076589C">
              <w:rPr>
                <w:webHidden/>
              </w:rPr>
              <w:instrText xml:space="preserve"> PAGEREF _Toc158365446 \h </w:instrText>
            </w:r>
            <w:r w:rsidR="007F18CC" w:rsidRPr="0076589C">
              <w:rPr>
                <w:webHidden/>
              </w:rPr>
            </w:r>
            <w:r w:rsidR="007F18CC" w:rsidRPr="0076589C">
              <w:rPr>
                <w:webHidden/>
              </w:rPr>
              <w:fldChar w:fldCharType="separate"/>
            </w:r>
            <w:r w:rsidR="009F171A">
              <w:rPr>
                <w:webHidden/>
              </w:rPr>
              <w:t>7</w:t>
            </w:r>
            <w:r w:rsidR="007F18CC" w:rsidRPr="0076589C">
              <w:rPr>
                <w:webHidden/>
              </w:rPr>
              <w:fldChar w:fldCharType="end"/>
            </w:r>
          </w:hyperlink>
        </w:p>
        <w:p w14:paraId="4BBEC1BD" w14:textId="4671F328"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47" w:history="1">
            <w:r w:rsidR="007F18CC" w:rsidRPr="0076589C">
              <w:rPr>
                <w:rStyle w:val="Hipervnculo"/>
                <w:noProof/>
              </w:rPr>
              <w:t>1.3.1</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ENUNCIADO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_Toc158365447 \h </w:instrText>
            </w:r>
            <w:r w:rsidR="007F18CC" w:rsidRPr="0076589C">
              <w:rPr>
                <w:noProof/>
                <w:webHidden/>
              </w:rPr>
            </w:r>
            <w:r w:rsidR="007F18CC" w:rsidRPr="0076589C">
              <w:rPr>
                <w:noProof/>
                <w:webHidden/>
              </w:rPr>
              <w:fldChar w:fldCharType="separate"/>
            </w:r>
            <w:r w:rsidR="009F171A">
              <w:rPr>
                <w:noProof/>
                <w:webHidden/>
              </w:rPr>
              <w:t>7</w:t>
            </w:r>
            <w:r w:rsidR="007F18CC" w:rsidRPr="0076589C">
              <w:rPr>
                <w:noProof/>
                <w:webHidden/>
              </w:rPr>
              <w:fldChar w:fldCharType="end"/>
            </w:r>
          </w:hyperlink>
        </w:p>
        <w:p w14:paraId="701B47C6" w14:textId="79AE9382"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48" w:history="1">
            <w:r w:rsidR="007F18CC" w:rsidRPr="0076589C">
              <w:rPr>
                <w:rStyle w:val="Hipervnculo"/>
                <w:noProof/>
              </w:rPr>
              <w:t>1.3.2</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FORMULACION DEL PROBLEMA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_Toc158365448 \h </w:instrText>
            </w:r>
            <w:r w:rsidR="007F18CC" w:rsidRPr="0076589C">
              <w:rPr>
                <w:noProof/>
                <w:webHidden/>
              </w:rPr>
            </w:r>
            <w:r w:rsidR="007F18CC" w:rsidRPr="0076589C">
              <w:rPr>
                <w:noProof/>
                <w:webHidden/>
              </w:rPr>
              <w:fldChar w:fldCharType="separate"/>
            </w:r>
            <w:r w:rsidR="009F171A">
              <w:rPr>
                <w:noProof/>
                <w:webHidden/>
              </w:rPr>
              <w:t>8</w:t>
            </w:r>
            <w:r w:rsidR="007F18CC" w:rsidRPr="0076589C">
              <w:rPr>
                <w:noProof/>
                <w:webHidden/>
              </w:rPr>
              <w:fldChar w:fldCharType="end"/>
            </w:r>
          </w:hyperlink>
        </w:p>
        <w:p w14:paraId="619D6825" w14:textId="61516CE1"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449" w:history="1">
            <w:r w:rsidR="007F18CC" w:rsidRPr="0076589C">
              <w:rPr>
                <w:rStyle w:val="Hipervnculo"/>
                <w:rFonts w:eastAsiaTheme="majorEastAsia"/>
              </w:rPr>
              <w:t>1.4</w:t>
            </w:r>
            <w:r w:rsidR="007F18CC" w:rsidRPr="0076589C">
              <w:rPr>
                <w:rFonts w:asciiTheme="minorHAnsi" w:eastAsiaTheme="minorEastAsia" w:hAnsiTheme="minorHAnsi" w:cstheme="minorBidi"/>
                <w:b w:val="0"/>
                <w:bCs w:val="0"/>
                <w:kern w:val="2"/>
                <w:sz w:val="22"/>
                <w:lang w:eastAsia="es-HN"/>
                <w14:ligatures w14:val="standardContextual"/>
              </w:rPr>
              <w:tab/>
            </w:r>
            <w:r w:rsidR="007F18CC" w:rsidRPr="0076589C">
              <w:rPr>
                <w:rStyle w:val="Hipervnculo"/>
                <w:rFonts w:eastAsiaTheme="majorEastAsia"/>
              </w:rPr>
              <w:t>OBJETIVOS DEL PROYECTO</w:t>
            </w:r>
            <w:r w:rsidR="007F18CC" w:rsidRPr="0076589C">
              <w:rPr>
                <w:webHidden/>
              </w:rPr>
              <w:tab/>
            </w:r>
            <w:r w:rsidR="007F18CC" w:rsidRPr="0076589C">
              <w:rPr>
                <w:webHidden/>
              </w:rPr>
              <w:fldChar w:fldCharType="begin"/>
            </w:r>
            <w:r w:rsidR="007F18CC" w:rsidRPr="0076589C">
              <w:rPr>
                <w:webHidden/>
              </w:rPr>
              <w:instrText xml:space="preserve"> PAGEREF _Toc158365449 \h </w:instrText>
            </w:r>
            <w:r w:rsidR="007F18CC" w:rsidRPr="0076589C">
              <w:rPr>
                <w:webHidden/>
              </w:rPr>
            </w:r>
            <w:r w:rsidR="007F18CC" w:rsidRPr="0076589C">
              <w:rPr>
                <w:webHidden/>
              </w:rPr>
              <w:fldChar w:fldCharType="separate"/>
            </w:r>
            <w:r w:rsidR="009F171A">
              <w:rPr>
                <w:webHidden/>
              </w:rPr>
              <w:t>9</w:t>
            </w:r>
            <w:r w:rsidR="007F18CC" w:rsidRPr="0076589C">
              <w:rPr>
                <w:webHidden/>
              </w:rPr>
              <w:fldChar w:fldCharType="end"/>
            </w:r>
          </w:hyperlink>
        </w:p>
        <w:p w14:paraId="6EB13EF6" w14:textId="00EC7988"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50" w:history="1">
            <w:r w:rsidR="007F18CC" w:rsidRPr="0076589C">
              <w:rPr>
                <w:rStyle w:val="Hipervnculo"/>
                <w:noProof/>
              </w:rPr>
              <w:t>1.4.1</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OBJETIVO GENERAL</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_Toc158365450 \h </w:instrText>
            </w:r>
            <w:r w:rsidR="007F18CC" w:rsidRPr="0076589C">
              <w:rPr>
                <w:noProof/>
                <w:webHidden/>
              </w:rPr>
            </w:r>
            <w:r w:rsidR="007F18CC" w:rsidRPr="0076589C">
              <w:rPr>
                <w:noProof/>
                <w:webHidden/>
              </w:rPr>
              <w:fldChar w:fldCharType="separate"/>
            </w:r>
            <w:r w:rsidR="009F171A">
              <w:rPr>
                <w:noProof/>
                <w:webHidden/>
              </w:rPr>
              <w:t>9</w:t>
            </w:r>
            <w:r w:rsidR="007F18CC" w:rsidRPr="0076589C">
              <w:rPr>
                <w:noProof/>
                <w:webHidden/>
              </w:rPr>
              <w:fldChar w:fldCharType="end"/>
            </w:r>
          </w:hyperlink>
        </w:p>
        <w:p w14:paraId="20C9564F" w14:textId="76F9BFF3"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51" w:history="1">
            <w:r w:rsidR="007F18CC" w:rsidRPr="0076589C">
              <w:rPr>
                <w:rStyle w:val="Hipervnculo"/>
                <w:noProof/>
              </w:rPr>
              <w:t>1.4.2</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OBJETIVOS ESPECIFICOS</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_Toc158365451 \h </w:instrText>
            </w:r>
            <w:r w:rsidR="007F18CC" w:rsidRPr="0076589C">
              <w:rPr>
                <w:noProof/>
                <w:webHidden/>
              </w:rPr>
            </w:r>
            <w:r w:rsidR="007F18CC" w:rsidRPr="0076589C">
              <w:rPr>
                <w:noProof/>
                <w:webHidden/>
              </w:rPr>
              <w:fldChar w:fldCharType="separate"/>
            </w:r>
            <w:r w:rsidR="009F171A">
              <w:rPr>
                <w:noProof/>
                <w:webHidden/>
              </w:rPr>
              <w:t>9</w:t>
            </w:r>
            <w:r w:rsidR="007F18CC" w:rsidRPr="0076589C">
              <w:rPr>
                <w:noProof/>
                <w:webHidden/>
              </w:rPr>
              <w:fldChar w:fldCharType="end"/>
            </w:r>
          </w:hyperlink>
        </w:p>
        <w:p w14:paraId="6700E0C0" w14:textId="1EDEA9D9"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452" w:history="1">
            <w:r w:rsidR="007F18CC" w:rsidRPr="0076589C">
              <w:rPr>
                <w:rStyle w:val="Hipervnculo"/>
              </w:rPr>
              <w:t>1.5</w:t>
            </w:r>
            <w:r w:rsidR="007F18CC" w:rsidRPr="0076589C">
              <w:rPr>
                <w:rFonts w:asciiTheme="minorHAnsi" w:eastAsiaTheme="minorEastAsia" w:hAnsiTheme="minorHAnsi" w:cstheme="minorBidi"/>
                <w:b w:val="0"/>
                <w:bCs w:val="0"/>
                <w:kern w:val="2"/>
                <w:sz w:val="22"/>
                <w:lang w:eastAsia="es-HN"/>
                <w14:ligatures w14:val="standardContextual"/>
              </w:rPr>
              <w:tab/>
            </w:r>
            <w:r w:rsidR="007F18CC" w:rsidRPr="0076589C">
              <w:rPr>
                <w:rStyle w:val="Hipervnculo"/>
              </w:rPr>
              <w:t>JUSTIFICACIÓN</w:t>
            </w:r>
            <w:r w:rsidR="007F18CC" w:rsidRPr="0076589C">
              <w:rPr>
                <w:webHidden/>
              </w:rPr>
              <w:tab/>
            </w:r>
            <w:r w:rsidR="007F18CC" w:rsidRPr="0076589C">
              <w:rPr>
                <w:webHidden/>
              </w:rPr>
              <w:fldChar w:fldCharType="begin"/>
            </w:r>
            <w:r w:rsidR="007F18CC" w:rsidRPr="0076589C">
              <w:rPr>
                <w:webHidden/>
              </w:rPr>
              <w:instrText xml:space="preserve"> PAGEREF _Toc158365452 \h </w:instrText>
            </w:r>
            <w:r w:rsidR="007F18CC" w:rsidRPr="0076589C">
              <w:rPr>
                <w:webHidden/>
              </w:rPr>
            </w:r>
            <w:r w:rsidR="007F18CC" w:rsidRPr="0076589C">
              <w:rPr>
                <w:webHidden/>
              </w:rPr>
              <w:fldChar w:fldCharType="separate"/>
            </w:r>
            <w:r w:rsidR="009F171A">
              <w:rPr>
                <w:webHidden/>
              </w:rPr>
              <w:t>9</w:t>
            </w:r>
            <w:r w:rsidR="007F18CC" w:rsidRPr="0076589C">
              <w:rPr>
                <w:webHidden/>
              </w:rPr>
              <w:fldChar w:fldCharType="end"/>
            </w:r>
          </w:hyperlink>
        </w:p>
        <w:p w14:paraId="27BB0D9A" w14:textId="6A0B733C" w:rsidR="007F18CC" w:rsidRPr="0076589C" w:rsidRDefault="00000000">
          <w:pPr>
            <w:pStyle w:val="TDC1"/>
            <w:rPr>
              <w:rFonts w:asciiTheme="minorHAnsi" w:eastAsiaTheme="minorEastAsia" w:hAnsiTheme="minorHAnsi" w:cstheme="minorBidi"/>
              <w:b w:val="0"/>
              <w:bCs w:val="0"/>
              <w:kern w:val="2"/>
              <w:sz w:val="22"/>
              <w:lang w:eastAsia="es-HN"/>
              <w14:ligatures w14:val="standardContextual"/>
            </w:rPr>
          </w:pPr>
          <w:hyperlink w:anchor="_Toc158365453" w:history="1">
            <w:r w:rsidR="007F18CC" w:rsidRPr="0076589C">
              <w:rPr>
                <w:rStyle w:val="Hipervnculo"/>
                <w:rFonts w:eastAsiaTheme="majorEastAsia"/>
              </w:rPr>
              <w:t>CAPÍTULO II. MARCO TEÓRICO</w:t>
            </w:r>
            <w:r w:rsidR="007F18CC" w:rsidRPr="0076589C">
              <w:rPr>
                <w:webHidden/>
              </w:rPr>
              <w:tab/>
            </w:r>
            <w:r w:rsidR="007F18CC" w:rsidRPr="0076589C">
              <w:rPr>
                <w:webHidden/>
              </w:rPr>
              <w:fldChar w:fldCharType="begin"/>
            </w:r>
            <w:r w:rsidR="007F18CC" w:rsidRPr="0076589C">
              <w:rPr>
                <w:webHidden/>
              </w:rPr>
              <w:instrText xml:space="preserve"> PAGEREF _Toc158365453 \h </w:instrText>
            </w:r>
            <w:r w:rsidR="007F18CC" w:rsidRPr="0076589C">
              <w:rPr>
                <w:webHidden/>
              </w:rPr>
            </w:r>
            <w:r w:rsidR="007F18CC" w:rsidRPr="0076589C">
              <w:rPr>
                <w:webHidden/>
              </w:rPr>
              <w:fldChar w:fldCharType="separate"/>
            </w:r>
            <w:r w:rsidR="009F171A">
              <w:rPr>
                <w:webHidden/>
              </w:rPr>
              <w:t>11</w:t>
            </w:r>
            <w:r w:rsidR="007F18CC" w:rsidRPr="0076589C">
              <w:rPr>
                <w:webHidden/>
              </w:rPr>
              <w:fldChar w:fldCharType="end"/>
            </w:r>
          </w:hyperlink>
        </w:p>
        <w:p w14:paraId="4E059D58" w14:textId="39660563"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454" w:history="1">
            <w:r w:rsidR="007F18CC" w:rsidRPr="0076589C">
              <w:rPr>
                <w:rStyle w:val="Hipervnculo"/>
                <w:rFonts w:eastAsiaTheme="majorEastAsia"/>
              </w:rPr>
              <w:t>2.1</w:t>
            </w:r>
            <w:r w:rsidR="007F18CC" w:rsidRPr="0076589C">
              <w:rPr>
                <w:rFonts w:asciiTheme="minorHAnsi" w:eastAsiaTheme="minorEastAsia" w:hAnsiTheme="minorHAnsi" w:cstheme="minorBidi"/>
                <w:b w:val="0"/>
                <w:bCs w:val="0"/>
                <w:kern w:val="2"/>
                <w:sz w:val="22"/>
                <w:lang w:eastAsia="es-HN"/>
                <w14:ligatures w14:val="standardContextual"/>
              </w:rPr>
              <w:tab/>
            </w:r>
            <w:r w:rsidR="007F18CC" w:rsidRPr="0076589C">
              <w:rPr>
                <w:rStyle w:val="Hipervnculo"/>
                <w:rFonts w:eastAsiaTheme="majorEastAsia"/>
              </w:rPr>
              <w:t>ANÁLISIS DE LA SITUACIÓN ACTUAL</w:t>
            </w:r>
            <w:r w:rsidR="007F18CC" w:rsidRPr="0076589C">
              <w:rPr>
                <w:webHidden/>
              </w:rPr>
              <w:tab/>
            </w:r>
            <w:r w:rsidR="007F18CC" w:rsidRPr="0076589C">
              <w:rPr>
                <w:webHidden/>
              </w:rPr>
              <w:fldChar w:fldCharType="begin"/>
            </w:r>
            <w:r w:rsidR="007F18CC" w:rsidRPr="0076589C">
              <w:rPr>
                <w:webHidden/>
              </w:rPr>
              <w:instrText xml:space="preserve"> PAGEREF _Toc158365454 \h </w:instrText>
            </w:r>
            <w:r w:rsidR="007F18CC" w:rsidRPr="0076589C">
              <w:rPr>
                <w:webHidden/>
              </w:rPr>
            </w:r>
            <w:r w:rsidR="007F18CC" w:rsidRPr="0076589C">
              <w:rPr>
                <w:webHidden/>
              </w:rPr>
              <w:fldChar w:fldCharType="separate"/>
            </w:r>
            <w:r w:rsidR="009F171A">
              <w:rPr>
                <w:webHidden/>
              </w:rPr>
              <w:t>11</w:t>
            </w:r>
            <w:r w:rsidR="007F18CC" w:rsidRPr="0076589C">
              <w:rPr>
                <w:webHidden/>
              </w:rPr>
              <w:fldChar w:fldCharType="end"/>
            </w:r>
          </w:hyperlink>
        </w:p>
        <w:p w14:paraId="48720EFC" w14:textId="2F668058"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55" w:history="1">
            <w:r w:rsidR="007F18CC" w:rsidRPr="0076589C">
              <w:rPr>
                <w:rStyle w:val="Hipervnculo"/>
                <w:noProof/>
              </w:rPr>
              <w:t>2.1.1</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MACROENTORNO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_Toc158365455 \h </w:instrText>
            </w:r>
            <w:r w:rsidR="007F18CC" w:rsidRPr="0076589C">
              <w:rPr>
                <w:noProof/>
                <w:webHidden/>
              </w:rPr>
            </w:r>
            <w:r w:rsidR="007F18CC" w:rsidRPr="0076589C">
              <w:rPr>
                <w:noProof/>
                <w:webHidden/>
              </w:rPr>
              <w:fldChar w:fldCharType="separate"/>
            </w:r>
            <w:r w:rsidR="009F171A">
              <w:rPr>
                <w:noProof/>
                <w:webHidden/>
              </w:rPr>
              <w:t>11</w:t>
            </w:r>
            <w:r w:rsidR="007F18CC" w:rsidRPr="0076589C">
              <w:rPr>
                <w:noProof/>
                <w:webHidden/>
              </w:rPr>
              <w:fldChar w:fldCharType="end"/>
            </w:r>
          </w:hyperlink>
        </w:p>
        <w:p w14:paraId="5AB5C777" w14:textId="326AD8F8"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56" w:history="1">
            <w:r w:rsidR="007F18CC" w:rsidRPr="0076589C">
              <w:rPr>
                <w:rStyle w:val="Hipervnculo"/>
                <w:noProof/>
              </w:rPr>
              <w:t>2.1.2</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MICROENTORNO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_Toc158365456 \h </w:instrText>
            </w:r>
            <w:r w:rsidR="007F18CC" w:rsidRPr="0076589C">
              <w:rPr>
                <w:noProof/>
                <w:webHidden/>
              </w:rPr>
            </w:r>
            <w:r w:rsidR="007F18CC" w:rsidRPr="0076589C">
              <w:rPr>
                <w:noProof/>
                <w:webHidden/>
              </w:rPr>
              <w:fldChar w:fldCharType="separate"/>
            </w:r>
            <w:r w:rsidR="009F171A">
              <w:rPr>
                <w:noProof/>
                <w:webHidden/>
              </w:rPr>
              <w:t>20</w:t>
            </w:r>
            <w:r w:rsidR="007F18CC" w:rsidRPr="0076589C">
              <w:rPr>
                <w:noProof/>
                <w:webHidden/>
              </w:rPr>
              <w:fldChar w:fldCharType="end"/>
            </w:r>
          </w:hyperlink>
        </w:p>
        <w:p w14:paraId="0AB20BFB" w14:textId="09122706"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57" w:history="1">
            <w:r w:rsidR="007F18CC" w:rsidRPr="0076589C">
              <w:rPr>
                <w:rStyle w:val="Hipervnculo"/>
                <w:noProof/>
              </w:rPr>
              <w:t>2.1.3</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ANÀLISIS INTERNO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_Toc158365457 \h </w:instrText>
            </w:r>
            <w:r w:rsidR="007F18CC" w:rsidRPr="0076589C">
              <w:rPr>
                <w:noProof/>
                <w:webHidden/>
              </w:rPr>
            </w:r>
            <w:r w:rsidR="007F18CC" w:rsidRPr="0076589C">
              <w:rPr>
                <w:noProof/>
                <w:webHidden/>
              </w:rPr>
              <w:fldChar w:fldCharType="separate"/>
            </w:r>
            <w:r w:rsidR="009F171A">
              <w:rPr>
                <w:noProof/>
                <w:webHidden/>
              </w:rPr>
              <w:t>24</w:t>
            </w:r>
            <w:r w:rsidR="007F18CC" w:rsidRPr="0076589C">
              <w:rPr>
                <w:noProof/>
                <w:webHidden/>
              </w:rPr>
              <w:fldChar w:fldCharType="end"/>
            </w:r>
          </w:hyperlink>
        </w:p>
        <w:p w14:paraId="6B82574D" w14:textId="147EBFB2"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458" w:history="1">
            <w:r w:rsidR="007F18CC" w:rsidRPr="0076589C">
              <w:rPr>
                <w:rStyle w:val="Hipervnculo"/>
              </w:rPr>
              <w:t>2.2</w:t>
            </w:r>
            <w:r w:rsidR="007F18CC" w:rsidRPr="0076589C">
              <w:rPr>
                <w:rFonts w:asciiTheme="minorHAnsi" w:eastAsiaTheme="minorEastAsia" w:hAnsiTheme="minorHAnsi" w:cstheme="minorBidi"/>
                <w:b w:val="0"/>
                <w:bCs w:val="0"/>
                <w:kern w:val="2"/>
                <w:sz w:val="22"/>
                <w:lang w:eastAsia="es-HN"/>
                <w14:ligatures w14:val="standardContextual"/>
              </w:rPr>
              <w:tab/>
            </w:r>
            <w:r w:rsidR="007F18CC" w:rsidRPr="0076589C">
              <w:rPr>
                <w:rStyle w:val="Hipervnculo"/>
              </w:rPr>
              <w:t>CONCEPTUALIZACIÓN</w:t>
            </w:r>
            <w:r w:rsidR="007F18CC" w:rsidRPr="0076589C">
              <w:rPr>
                <w:webHidden/>
              </w:rPr>
              <w:tab/>
            </w:r>
            <w:r w:rsidR="007F18CC" w:rsidRPr="0076589C">
              <w:rPr>
                <w:webHidden/>
              </w:rPr>
              <w:fldChar w:fldCharType="begin"/>
            </w:r>
            <w:r w:rsidR="007F18CC" w:rsidRPr="0076589C">
              <w:rPr>
                <w:webHidden/>
              </w:rPr>
              <w:instrText xml:space="preserve"> PAGEREF _Toc158365458 \h </w:instrText>
            </w:r>
            <w:r w:rsidR="007F18CC" w:rsidRPr="0076589C">
              <w:rPr>
                <w:webHidden/>
              </w:rPr>
            </w:r>
            <w:r w:rsidR="007F18CC" w:rsidRPr="0076589C">
              <w:rPr>
                <w:webHidden/>
              </w:rPr>
              <w:fldChar w:fldCharType="separate"/>
            </w:r>
            <w:r w:rsidR="009F171A">
              <w:rPr>
                <w:webHidden/>
              </w:rPr>
              <w:t>30</w:t>
            </w:r>
            <w:r w:rsidR="007F18CC" w:rsidRPr="0076589C">
              <w:rPr>
                <w:webHidden/>
              </w:rPr>
              <w:fldChar w:fldCharType="end"/>
            </w:r>
          </w:hyperlink>
        </w:p>
        <w:p w14:paraId="025C0AE1" w14:textId="7D4960AF"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59" w:history="1">
            <w:r w:rsidR="007F18CC" w:rsidRPr="0076589C">
              <w:rPr>
                <w:rStyle w:val="Hipervnculo"/>
                <w:noProof/>
              </w:rPr>
              <w:t>2.2.1</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ACREEDOR</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_Toc158365459 \h </w:instrText>
            </w:r>
            <w:r w:rsidR="007F18CC" w:rsidRPr="0076589C">
              <w:rPr>
                <w:noProof/>
                <w:webHidden/>
              </w:rPr>
            </w:r>
            <w:r w:rsidR="007F18CC" w:rsidRPr="0076589C">
              <w:rPr>
                <w:noProof/>
                <w:webHidden/>
              </w:rPr>
              <w:fldChar w:fldCharType="separate"/>
            </w:r>
            <w:r w:rsidR="009F171A">
              <w:rPr>
                <w:noProof/>
                <w:webHidden/>
              </w:rPr>
              <w:t>30</w:t>
            </w:r>
            <w:r w:rsidR="007F18CC" w:rsidRPr="0076589C">
              <w:rPr>
                <w:noProof/>
                <w:webHidden/>
              </w:rPr>
              <w:fldChar w:fldCharType="end"/>
            </w:r>
          </w:hyperlink>
        </w:p>
        <w:p w14:paraId="201A0E6A" w14:textId="7628CFEE"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60" w:history="1">
            <w:r w:rsidR="007F18CC" w:rsidRPr="0076589C">
              <w:rPr>
                <w:rStyle w:val="Hipervnculo"/>
                <w:noProof/>
              </w:rPr>
              <w:t>2.2.2</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ADMINISTRACIÓN</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_Toc158365460 \h </w:instrText>
            </w:r>
            <w:r w:rsidR="007F18CC" w:rsidRPr="0076589C">
              <w:rPr>
                <w:noProof/>
                <w:webHidden/>
              </w:rPr>
            </w:r>
            <w:r w:rsidR="007F18CC" w:rsidRPr="0076589C">
              <w:rPr>
                <w:noProof/>
                <w:webHidden/>
              </w:rPr>
              <w:fldChar w:fldCharType="separate"/>
            </w:r>
            <w:r w:rsidR="009F171A">
              <w:rPr>
                <w:noProof/>
                <w:webHidden/>
              </w:rPr>
              <w:t>30</w:t>
            </w:r>
            <w:r w:rsidR="007F18CC" w:rsidRPr="0076589C">
              <w:rPr>
                <w:noProof/>
                <w:webHidden/>
              </w:rPr>
              <w:fldChar w:fldCharType="end"/>
            </w:r>
          </w:hyperlink>
        </w:p>
        <w:p w14:paraId="22A7C696" w14:textId="0B585DBF"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61" w:history="1">
            <w:r w:rsidR="007F18CC" w:rsidRPr="0076589C">
              <w:rPr>
                <w:rStyle w:val="Hipervnculo"/>
                <w:noProof/>
              </w:rPr>
              <w:t>2.2.3</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ADMINISTRACIÓN FINANCIERA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_Toc158365461 \h </w:instrText>
            </w:r>
            <w:r w:rsidR="007F18CC" w:rsidRPr="0076589C">
              <w:rPr>
                <w:noProof/>
                <w:webHidden/>
              </w:rPr>
            </w:r>
            <w:r w:rsidR="007F18CC" w:rsidRPr="0076589C">
              <w:rPr>
                <w:noProof/>
                <w:webHidden/>
              </w:rPr>
              <w:fldChar w:fldCharType="separate"/>
            </w:r>
            <w:r w:rsidR="009F171A">
              <w:rPr>
                <w:noProof/>
                <w:webHidden/>
              </w:rPr>
              <w:t>30</w:t>
            </w:r>
            <w:r w:rsidR="007F18CC" w:rsidRPr="0076589C">
              <w:rPr>
                <w:noProof/>
                <w:webHidden/>
              </w:rPr>
              <w:fldChar w:fldCharType="end"/>
            </w:r>
          </w:hyperlink>
        </w:p>
        <w:p w14:paraId="197A3D50" w14:textId="23DC99A8"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62" w:history="1">
            <w:r w:rsidR="007F18CC" w:rsidRPr="0076589C">
              <w:rPr>
                <w:rStyle w:val="Hipervnculo"/>
                <w:noProof/>
              </w:rPr>
              <w:t>2.2.4</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ANÁLISIS DE CRÉDITO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_Toc158365462 \h </w:instrText>
            </w:r>
            <w:r w:rsidR="007F18CC" w:rsidRPr="0076589C">
              <w:rPr>
                <w:noProof/>
                <w:webHidden/>
              </w:rPr>
            </w:r>
            <w:r w:rsidR="007F18CC" w:rsidRPr="0076589C">
              <w:rPr>
                <w:noProof/>
                <w:webHidden/>
              </w:rPr>
              <w:fldChar w:fldCharType="separate"/>
            </w:r>
            <w:r w:rsidR="009F171A">
              <w:rPr>
                <w:noProof/>
                <w:webHidden/>
              </w:rPr>
              <w:t>31</w:t>
            </w:r>
            <w:r w:rsidR="007F18CC" w:rsidRPr="0076589C">
              <w:rPr>
                <w:noProof/>
                <w:webHidden/>
              </w:rPr>
              <w:fldChar w:fldCharType="end"/>
            </w:r>
          </w:hyperlink>
        </w:p>
        <w:p w14:paraId="018EF138" w14:textId="46A7473B"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63" w:history="1">
            <w:r w:rsidR="007F18CC" w:rsidRPr="0076589C">
              <w:rPr>
                <w:rStyle w:val="Hipervnculo"/>
                <w:noProof/>
              </w:rPr>
              <w:t>2.2.5</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ANÁLISIS FINANCIERO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_Toc158365463 \h </w:instrText>
            </w:r>
            <w:r w:rsidR="007F18CC" w:rsidRPr="0076589C">
              <w:rPr>
                <w:noProof/>
                <w:webHidden/>
              </w:rPr>
            </w:r>
            <w:r w:rsidR="007F18CC" w:rsidRPr="0076589C">
              <w:rPr>
                <w:noProof/>
                <w:webHidden/>
              </w:rPr>
              <w:fldChar w:fldCharType="separate"/>
            </w:r>
            <w:r w:rsidR="009F171A">
              <w:rPr>
                <w:noProof/>
                <w:webHidden/>
              </w:rPr>
              <w:t>31</w:t>
            </w:r>
            <w:r w:rsidR="007F18CC" w:rsidRPr="0076589C">
              <w:rPr>
                <w:noProof/>
                <w:webHidden/>
              </w:rPr>
              <w:fldChar w:fldCharType="end"/>
            </w:r>
          </w:hyperlink>
        </w:p>
        <w:p w14:paraId="63C8ABF0" w14:textId="1B3FC3C5"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64" w:history="1">
            <w:r w:rsidR="007F18CC" w:rsidRPr="0076589C">
              <w:rPr>
                <w:rStyle w:val="Hipervnculo"/>
                <w:noProof/>
              </w:rPr>
              <w:t>2.2.6</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CALIFICACIÓN DE CRÉDITO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_Toc158365464 \h </w:instrText>
            </w:r>
            <w:r w:rsidR="007F18CC" w:rsidRPr="0076589C">
              <w:rPr>
                <w:noProof/>
                <w:webHidden/>
              </w:rPr>
            </w:r>
            <w:r w:rsidR="007F18CC" w:rsidRPr="0076589C">
              <w:rPr>
                <w:noProof/>
                <w:webHidden/>
              </w:rPr>
              <w:fldChar w:fldCharType="separate"/>
            </w:r>
            <w:r w:rsidR="009F171A">
              <w:rPr>
                <w:noProof/>
                <w:webHidden/>
              </w:rPr>
              <w:t>31</w:t>
            </w:r>
            <w:r w:rsidR="007F18CC" w:rsidRPr="0076589C">
              <w:rPr>
                <w:noProof/>
                <w:webHidden/>
              </w:rPr>
              <w:fldChar w:fldCharType="end"/>
            </w:r>
          </w:hyperlink>
        </w:p>
        <w:p w14:paraId="2478F1AE" w14:textId="33F35B62"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65" w:history="1">
            <w:r w:rsidR="007F18CC" w:rsidRPr="0076589C">
              <w:rPr>
                <w:rStyle w:val="Hipervnculo"/>
                <w:noProof/>
              </w:rPr>
              <w:t>2.2.7</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CARTERA DE CRÉDITO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_Toc158365465 \h </w:instrText>
            </w:r>
            <w:r w:rsidR="007F18CC" w:rsidRPr="0076589C">
              <w:rPr>
                <w:noProof/>
                <w:webHidden/>
              </w:rPr>
            </w:r>
            <w:r w:rsidR="007F18CC" w:rsidRPr="0076589C">
              <w:rPr>
                <w:noProof/>
                <w:webHidden/>
              </w:rPr>
              <w:fldChar w:fldCharType="separate"/>
            </w:r>
            <w:r w:rsidR="009F171A">
              <w:rPr>
                <w:noProof/>
                <w:webHidden/>
              </w:rPr>
              <w:t>32</w:t>
            </w:r>
            <w:r w:rsidR="007F18CC" w:rsidRPr="0076589C">
              <w:rPr>
                <w:noProof/>
                <w:webHidden/>
              </w:rPr>
              <w:fldChar w:fldCharType="end"/>
            </w:r>
          </w:hyperlink>
        </w:p>
        <w:p w14:paraId="4EDC56D5" w14:textId="6279C6F2"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66" w:history="1">
            <w:r w:rsidR="007F18CC" w:rsidRPr="0076589C">
              <w:rPr>
                <w:rStyle w:val="Hipervnculo"/>
                <w:noProof/>
              </w:rPr>
              <w:t>2.2.8</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CARTERA VENCIDA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_Toc158365466 \h </w:instrText>
            </w:r>
            <w:r w:rsidR="007F18CC" w:rsidRPr="0076589C">
              <w:rPr>
                <w:noProof/>
                <w:webHidden/>
              </w:rPr>
            </w:r>
            <w:r w:rsidR="007F18CC" w:rsidRPr="0076589C">
              <w:rPr>
                <w:noProof/>
                <w:webHidden/>
              </w:rPr>
              <w:fldChar w:fldCharType="separate"/>
            </w:r>
            <w:r w:rsidR="009F171A">
              <w:rPr>
                <w:noProof/>
                <w:webHidden/>
              </w:rPr>
              <w:t>32</w:t>
            </w:r>
            <w:r w:rsidR="007F18CC" w:rsidRPr="0076589C">
              <w:rPr>
                <w:noProof/>
                <w:webHidden/>
              </w:rPr>
              <w:fldChar w:fldCharType="end"/>
            </w:r>
          </w:hyperlink>
        </w:p>
        <w:p w14:paraId="75FC132D" w14:textId="3DBA0781"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67" w:history="1">
            <w:r w:rsidR="007F18CC" w:rsidRPr="0076589C">
              <w:rPr>
                <w:rStyle w:val="Hipervnculo"/>
                <w:noProof/>
              </w:rPr>
              <w:t>2.2.9</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COBRANZA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_Toc158365467 \h </w:instrText>
            </w:r>
            <w:r w:rsidR="007F18CC" w:rsidRPr="0076589C">
              <w:rPr>
                <w:noProof/>
                <w:webHidden/>
              </w:rPr>
            </w:r>
            <w:r w:rsidR="007F18CC" w:rsidRPr="0076589C">
              <w:rPr>
                <w:noProof/>
                <w:webHidden/>
              </w:rPr>
              <w:fldChar w:fldCharType="separate"/>
            </w:r>
            <w:r w:rsidR="009F171A">
              <w:rPr>
                <w:noProof/>
                <w:webHidden/>
              </w:rPr>
              <w:t>32</w:t>
            </w:r>
            <w:r w:rsidR="007F18CC" w:rsidRPr="0076589C">
              <w:rPr>
                <w:noProof/>
                <w:webHidden/>
              </w:rPr>
              <w:fldChar w:fldCharType="end"/>
            </w:r>
          </w:hyperlink>
        </w:p>
        <w:p w14:paraId="62789178" w14:textId="426011A7"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68" w:history="1">
            <w:r w:rsidR="007F18CC" w:rsidRPr="0076589C">
              <w:rPr>
                <w:rStyle w:val="Hipervnculo"/>
                <w:noProof/>
              </w:rPr>
              <w:t>2.2.10</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CRÉDITO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_Toc158365468 \h </w:instrText>
            </w:r>
            <w:r w:rsidR="007F18CC" w:rsidRPr="0076589C">
              <w:rPr>
                <w:noProof/>
                <w:webHidden/>
              </w:rPr>
            </w:r>
            <w:r w:rsidR="007F18CC" w:rsidRPr="0076589C">
              <w:rPr>
                <w:noProof/>
                <w:webHidden/>
              </w:rPr>
              <w:fldChar w:fldCharType="separate"/>
            </w:r>
            <w:r w:rsidR="009F171A">
              <w:rPr>
                <w:noProof/>
                <w:webHidden/>
              </w:rPr>
              <w:t>33</w:t>
            </w:r>
            <w:r w:rsidR="007F18CC" w:rsidRPr="0076589C">
              <w:rPr>
                <w:noProof/>
                <w:webHidden/>
              </w:rPr>
              <w:fldChar w:fldCharType="end"/>
            </w:r>
          </w:hyperlink>
        </w:p>
        <w:p w14:paraId="467186A1" w14:textId="4DCCE08A"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69" w:history="1">
            <w:r w:rsidR="007F18CC" w:rsidRPr="0076589C">
              <w:rPr>
                <w:rStyle w:val="Hipervnculo"/>
                <w:noProof/>
              </w:rPr>
              <w:t>2.2.11</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CUENTAS POR COBRAR</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_Toc158365469 \h </w:instrText>
            </w:r>
            <w:r w:rsidR="007F18CC" w:rsidRPr="0076589C">
              <w:rPr>
                <w:noProof/>
                <w:webHidden/>
              </w:rPr>
            </w:r>
            <w:r w:rsidR="007F18CC" w:rsidRPr="0076589C">
              <w:rPr>
                <w:noProof/>
                <w:webHidden/>
              </w:rPr>
              <w:fldChar w:fldCharType="separate"/>
            </w:r>
            <w:r w:rsidR="009F171A">
              <w:rPr>
                <w:noProof/>
                <w:webHidden/>
              </w:rPr>
              <w:t>33</w:t>
            </w:r>
            <w:r w:rsidR="007F18CC" w:rsidRPr="0076589C">
              <w:rPr>
                <w:noProof/>
                <w:webHidden/>
              </w:rPr>
              <w:fldChar w:fldCharType="end"/>
            </w:r>
          </w:hyperlink>
        </w:p>
        <w:p w14:paraId="0C46A6C2" w14:textId="6852855E"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70" w:history="1">
            <w:r w:rsidR="007F18CC" w:rsidRPr="0076589C">
              <w:rPr>
                <w:rStyle w:val="Hipervnculo"/>
                <w:noProof/>
              </w:rPr>
              <w:t>2.2.12</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DEUDA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_Toc158365470 \h </w:instrText>
            </w:r>
            <w:r w:rsidR="007F18CC" w:rsidRPr="0076589C">
              <w:rPr>
                <w:noProof/>
                <w:webHidden/>
              </w:rPr>
            </w:r>
            <w:r w:rsidR="007F18CC" w:rsidRPr="0076589C">
              <w:rPr>
                <w:noProof/>
                <w:webHidden/>
              </w:rPr>
              <w:fldChar w:fldCharType="separate"/>
            </w:r>
            <w:r w:rsidR="009F171A">
              <w:rPr>
                <w:noProof/>
                <w:webHidden/>
              </w:rPr>
              <w:t>33</w:t>
            </w:r>
            <w:r w:rsidR="007F18CC" w:rsidRPr="0076589C">
              <w:rPr>
                <w:noProof/>
                <w:webHidden/>
              </w:rPr>
              <w:fldChar w:fldCharType="end"/>
            </w:r>
          </w:hyperlink>
        </w:p>
        <w:p w14:paraId="0D7812E8" w14:textId="069017A2"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71" w:history="1">
            <w:r w:rsidR="007F18CC" w:rsidRPr="0076589C">
              <w:rPr>
                <w:rStyle w:val="Hipervnculo"/>
                <w:noProof/>
              </w:rPr>
              <w:t>2.2.13</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ENDEUDAMIENTO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_Toc158365471 \h </w:instrText>
            </w:r>
            <w:r w:rsidR="007F18CC" w:rsidRPr="0076589C">
              <w:rPr>
                <w:noProof/>
                <w:webHidden/>
              </w:rPr>
            </w:r>
            <w:r w:rsidR="007F18CC" w:rsidRPr="0076589C">
              <w:rPr>
                <w:noProof/>
                <w:webHidden/>
              </w:rPr>
              <w:fldChar w:fldCharType="separate"/>
            </w:r>
            <w:r w:rsidR="009F171A">
              <w:rPr>
                <w:noProof/>
                <w:webHidden/>
              </w:rPr>
              <w:t>34</w:t>
            </w:r>
            <w:r w:rsidR="007F18CC" w:rsidRPr="0076589C">
              <w:rPr>
                <w:noProof/>
                <w:webHidden/>
              </w:rPr>
              <w:fldChar w:fldCharType="end"/>
            </w:r>
          </w:hyperlink>
        </w:p>
        <w:p w14:paraId="527A0B1F" w14:textId="267940EA"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72" w:history="1">
            <w:r w:rsidR="007F18CC" w:rsidRPr="0076589C">
              <w:rPr>
                <w:rStyle w:val="Hipervnculo"/>
                <w:noProof/>
              </w:rPr>
              <w:t>2.2.14</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ESTADOS FINANCIEROS</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_Toc158365472 \h </w:instrText>
            </w:r>
            <w:r w:rsidR="007F18CC" w:rsidRPr="0076589C">
              <w:rPr>
                <w:noProof/>
                <w:webHidden/>
              </w:rPr>
            </w:r>
            <w:r w:rsidR="007F18CC" w:rsidRPr="0076589C">
              <w:rPr>
                <w:noProof/>
                <w:webHidden/>
              </w:rPr>
              <w:fldChar w:fldCharType="separate"/>
            </w:r>
            <w:r w:rsidR="009F171A">
              <w:rPr>
                <w:noProof/>
                <w:webHidden/>
              </w:rPr>
              <w:t>34</w:t>
            </w:r>
            <w:r w:rsidR="007F18CC" w:rsidRPr="0076589C">
              <w:rPr>
                <w:noProof/>
                <w:webHidden/>
              </w:rPr>
              <w:fldChar w:fldCharType="end"/>
            </w:r>
          </w:hyperlink>
        </w:p>
        <w:p w14:paraId="2F0990FC" w14:textId="0CAB9339"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73" w:history="1">
            <w:r w:rsidR="007F18CC" w:rsidRPr="0076589C">
              <w:rPr>
                <w:rStyle w:val="Hipervnculo"/>
                <w:noProof/>
              </w:rPr>
              <w:t>2.2.15</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ESTRATEGIA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_Toc158365473 \h </w:instrText>
            </w:r>
            <w:r w:rsidR="007F18CC" w:rsidRPr="0076589C">
              <w:rPr>
                <w:noProof/>
                <w:webHidden/>
              </w:rPr>
            </w:r>
            <w:r w:rsidR="007F18CC" w:rsidRPr="0076589C">
              <w:rPr>
                <w:noProof/>
                <w:webHidden/>
              </w:rPr>
              <w:fldChar w:fldCharType="separate"/>
            </w:r>
            <w:r w:rsidR="009F171A">
              <w:rPr>
                <w:noProof/>
                <w:webHidden/>
              </w:rPr>
              <w:t>34</w:t>
            </w:r>
            <w:r w:rsidR="007F18CC" w:rsidRPr="0076589C">
              <w:rPr>
                <w:noProof/>
                <w:webHidden/>
              </w:rPr>
              <w:fldChar w:fldCharType="end"/>
            </w:r>
          </w:hyperlink>
        </w:p>
        <w:p w14:paraId="1D0BDC88" w14:textId="62D85DC8"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74" w:history="1">
            <w:r w:rsidR="007F18CC" w:rsidRPr="0076589C">
              <w:rPr>
                <w:rStyle w:val="Hipervnculo"/>
                <w:noProof/>
              </w:rPr>
              <w:t>2.2.16</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FINANZAS</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_Toc158365474 \h </w:instrText>
            </w:r>
            <w:r w:rsidR="007F18CC" w:rsidRPr="0076589C">
              <w:rPr>
                <w:noProof/>
                <w:webHidden/>
              </w:rPr>
            </w:r>
            <w:r w:rsidR="007F18CC" w:rsidRPr="0076589C">
              <w:rPr>
                <w:noProof/>
                <w:webHidden/>
              </w:rPr>
              <w:fldChar w:fldCharType="separate"/>
            </w:r>
            <w:r w:rsidR="009F171A">
              <w:rPr>
                <w:noProof/>
                <w:webHidden/>
              </w:rPr>
              <w:t>35</w:t>
            </w:r>
            <w:r w:rsidR="007F18CC" w:rsidRPr="0076589C">
              <w:rPr>
                <w:noProof/>
                <w:webHidden/>
              </w:rPr>
              <w:fldChar w:fldCharType="end"/>
            </w:r>
          </w:hyperlink>
        </w:p>
        <w:p w14:paraId="6B17FDBC" w14:textId="122A5461"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75" w:history="1">
            <w:r w:rsidR="007F18CC" w:rsidRPr="0076589C">
              <w:rPr>
                <w:rStyle w:val="Hipervnculo"/>
                <w:noProof/>
              </w:rPr>
              <w:t>2.2.17</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GESTIÓN DE COBRANZA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_Toc158365475 \h </w:instrText>
            </w:r>
            <w:r w:rsidR="007F18CC" w:rsidRPr="0076589C">
              <w:rPr>
                <w:noProof/>
                <w:webHidden/>
              </w:rPr>
            </w:r>
            <w:r w:rsidR="007F18CC" w:rsidRPr="0076589C">
              <w:rPr>
                <w:noProof/>
                <w:webHidden/>
              </w:rPr>
              <w:fldChar w:fldCharType="separate"/>
            </w:r>
            <w:r w:rsidR="009F171A">
              <w:rPr>
                <w:noProof/>
                <w:webHidden/>
              </w:rPr>
              <w:t>35</w:t>
            </w:r>
            <w:r w:rsidR="007F18CC" w:rsidRPr="0076589C">
              <w:rPr>
                <w:noProof/>
                <w:webHidden/>
              </w:rPr>
              <w:fldChar w:fldCharType="end"/>
            </w:r>
          </w:hyperlink>
        </w:p>
        <w:p w14:paraId="126DF535" w14:textId="2E4BFD1E"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76" w:history="1">
            <w:r w:rsidR="007F18CC" w:rsidRPr="0076589C">
              <w:rPr>
                <w:rStyle w:val="Hipervnculo"/>
                <w:noProof/>
              </w:rPr>
              <w:t>2.2.18</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INDICADORES FINANCIEROS</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_Toc158365476 \h </w:instrText>
            </w:r>
            <w:r w:rsidR="007F18CC" w:rsidRPr="0076589C">
              <w:rPr>
                <w:noProof/>
                <w:webHidden/>
              </w:rPr>
            </w:r>
            <w:r w:rsidR="007F18CC" w:rsidRPr="0076589C">
              <w:rPr>
                <w:noProof/>
                <w:webHidden/>
              </w:rPr>
              <w:fldChar w:fldCharType="separate"/>
            </w:r>
            <w:r w:rsidR="009F171A">
              <w:rPr>
                <w:noProof/>
                <w:webHidden/>
              </w:rPr>
              <w:t>35</w:t>
            </w:r>
            <w:r w:rsidR="007F18CC" w:rsidRPr="0076589C">
              <w:rPr>
                <w:noProof/>
                <w:webHidden/>
              </w:rPr>
              <w:fldChar w:fldCharType="end"/>
            </w:r>
          </w:hyperlink>
        </w:p>
        <w:p w14:paraId="1F64B8EA" w14:textId="3ABC388A"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77" w:history="1">
            <w:r w:rsidR="007F18CC" w:rsidRPr="0076589C">
              <w:rPr>
                <w:rStyle w:val="Hipervnculo"/>
                <w:noProof/>
              </w:rPr>
              <w:t>2.2.19</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LIQUIDEZ</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_Toc158365477 \h </w:instrText>
            </w:r>
            <w:r w:rsidR="007F18CC" w:rsidRPr="0076589C">
              <w:rPr>
                <w:noProof/>
                <w:webHidden/>
              </w:rPr>
            </w:r>
            <w:r w:rsidR="007F18CC" w:rsidRPr="0076589C">
              <w:rPr>
                <w:noProof/>
                <w:webHidden/>
              </w:rPr>
              <w:fldChar w:fldCharType="separate"/>
            </w:r>
            <w:r w:rsidR="009F171A">
              <w:rPr>
                <w:noProof/>
                <w:webHidden/>
              </w:rPr>
              <w:t>36</w:t>
            </w:r>
            <w:r w:rsidR="007F18CC" w:rsidRPr="0076589C">
              <w:rPr>
                <w:noProof/>
                <w:webHidden/>
              </w:rPr>
              <w:fldChar w:fldCharType="end"/>
            </w:r>
          </w:hyperlink>
        </w:p>
        <w:p w14:paraId="7616A77F" w14:textId="49B87A14"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78" w:history="1">
            <w:r w:rsidR="007F18CC" w:rsidRPr="0076589C">
              <w:rPr>
                <w:rStyle w:val="Hipervnculo"/>
                <w:noProof/>
              </w:rPr>
              <w:t>2.2.20</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MOROSIDAD</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_Toc158365478 \h </w:instrText>
            </w:r>
            <w:r w:rsidR="007F18CC" w:rsidRPr="0076589C">
              <w:rPr>
                <w:noProof/>
                <w:webHidden/>
              </w:rPr>
            </w:r>
            <w:r w:rsidR="007F18CC" w:rsidRPr="0076589C">
              <w:rPr>
                <w:noProof/>
                <w:webHidden/>
              </w:rPr>
              <w:fldChar w:fldCharType="separate"/>
            </w:r>
            <w:r w:rsidR="009F171A">
              <w:rPr>
                <w:noProof/>
                <w:webHidden/>
              </w:rPr>
              <w:t>36</w:t>
            </w:r>
            <w:r w:rsidR="007F18CC" w:rsidRPr="0076589C">
              <w:rPr>
                <w:noProof/>
                <w:webHidden/>
              </w:rPr>
              <w:fldChar w:fldCharType="end"/>
            </w:r>
          </w:hyperlink>
        </w:p>
        <w:p w14:paraId="5E249FB5" w14:textId="6631629D"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79" w:history="1">
            <w:r w:rsidR="007F18CC" w:rsidRPr="0076589C">
              <w:rPr>
                <w:rStyle w:val="Hipervnculo"/>
                <w:noProof/>
              </w:rPr>
              <w:t>2.2.21</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SITUACIÓN FINANCIERA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_Toc158365479 \h </w:instrText>
            </w:r>
            <w:r w:rsidR="007F18CC" w:rsidRPr="0076589C">
              <w:rPr>
                <w:noProof/>
                <w:webHidden/>
              </w:rPr>
            </w:r>
            <w:r w:rsidR="007F18CC" w:rsidRPr="0076589C">
              <w:rPr>
                <w:noProof/>
                <w:webHidden/>
              </w:rPr>
              <w:fldChar w:fldCharType="separate"/>
            </w:r>
            <w:r w:rsidR="009F171A">
              <w:rPr>
                <w:noProof/>
                <w:webHidden/>
              </w:rPr>
              <w:t>36</w:t>
            </w:r>
            <w:r w:rsidR="007F18CC" w:rsidRPr="0076589C">
              <w:rPr>
                <w:noProof/>
                <w:webHidden/>
              </w:rPr>
              <w:fldChar w:fldCharType="end"/>
            </w:r>
          </w:hyperlink>
        </w:p>
        <w:p w14:paraId="3E0FC43C" w14:textId="30AAD3AF"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80" w:history="1">
            <w:r w:rsidR="007F18CC" w:rsidRPr="0076589C">
              <w:rPr>
                <w:rStyle w:val="Hipervnculo"/>
                <w:noProof/>
              </w:rPr>
              <w:t>2.2.22</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POLÍTICA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_Toc158365480 \h </w:instrText>
            </w:r>
            <w:r w:rsidR="007F18CC" w:rsidRPr="0076589C">
              <w:rPr>
                <w:noProof/>
                <w:webHidden/>
              </w:rPr>
            </w:r>
            <w:r w:rsidR="007F18CC" w:rsidRPr="0076589C">
              <w:rPr>
                <w:noProof/>
                <w:webHidden/>
              </w:rPr>
              <w:fldChar w:fldCharType="separate"/>
            </w:r>
            <w:r w:rsidR="009F171A">
              <w:rPr>
                <w:noProof/>
                <w:webHidden/>
              </w:rPr>
              <w:t>37</w:t>
            </w:r>
            <w:r w:rsidR="007F18CC" w:rsidRPr="0076589C">
              <w:rPr>
                <w:noProof/>
                <w:webHidden/>
              </w:rPr>
              <w:fldChar w:fldCharType="end"/>
            </w:r>
          </w:hyperlink>
        </w:p>
        <w:p w14:paraId="7DE817B2" w14:textId="01D9F64B"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81" w:history="1">
            <w:r w:rsidR="007F18CC" w:rsidRPr="0076589C">
              <w:rPr>
                <w:rStyle w:val="Hipervnculo"/>
                <w:noProof/>
              </w:rPr>
              <w:t>2.2.23</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POLÍTICA DE COBRANZA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_Toc158365481 \h </w:instrText>
            </w:r>
            <w:r w:rsidR="007F18CC" w:rsidRPr="0076589C">
              <w:rPr>
                <w:noProof/>
                <w:webHidden/>
              </w:rPr>
            </w:r>
            <w:r w:rsidR="007F18CC" w:rsidRPr="0076589C">
              <w:rPr>
                <w:noProof/>
                <w:webHidden/>
              </w:rPr>
              <w:fldChar w:fldCharType="separate"/>
            </w:r>
            <w:r w:rsidR="009F171A">
              <w:rPr>
                <w:noProof/>
                <w:webHidden/>
              </w:rPr>
              <w:t>37</w:t>
            </w:r>
            <w:r w:rsidR="007F18CC" w:rsidRPr="0076589C">
              <w:rPr>
                <w:noProof/>
                <w:webHidden/>
              </w:rPr>
              <w:fldChar w:fldCharType="end"/>
            </w:r>
          </w:hyperlink>
        </w:p>
        <w:p w14:paraId="4BE20911" w14:textId="68F0243E"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82" w:history="1">
            <w:r w:rsidR="007F18CC" w:rsidRPr="0076589C">
              <w:rPr>
                <w:rStyle w:val="Hipervnculo"/>
                <w:noProof/>
              </w:rPr>
              <w:t>2.2.24</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POLÍTICA DE CRÉDITO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_Toc158365482 \h </w:instrText>
            </w:r>
            <w:r w:rsidR="007F18CC" w:rsidRPr="0076589C">
              <w:rPr>
                <w:noProof/>
                <w:webHidden/>
              </w:rPr>
            </w:r>
            <w:r w:rsidR="007F18CC" w:rsidRPr="0076589C">
              <w:rPr>
                <w:noProof/>
                <w:webHidden/>
              </w:rPr>
              <w:fldChar w:fldCharType="separate"/>
            </w:r>
            <w:r w:rsidR="009F171A">
              <w:rPr>
                <w:noProof/>
                <w:webHidden/>
              </w:rPr>
              <w:t>37</w:t>
            </w:r>
            <w:r w:rsidR="007F18CC" w:rsidRPr="0076589C">
              <w:rPr>
                <w:noProof/>
                <w:webHidden/>
              </w:rPr>
              <w:fldChar w:fldCharType="end"/>
            </w:r>
          </w:hyperlink>
        </w:p>
        <w:p w14:paraId="39829F54" w14:textId="48CEA03D"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83" w:history="1">
            <w:r w:rsidR="007F18CC" w:rsidRPr="0076589C">
              <w:rPr>
                <w:rStyle w:val="Hipervnculo"/>
                <w:noProof/>
              </w:rPr>
              <w:t>2.2.25</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RENTABILIDAD</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_Toc158365483 \h </w:instrText>
            </w:r>
            <w:r w:rsidR="007F18CC" w:rsidRPr="0076589C">
              <w:rPr>
                <w:noProof/>
                <w:webHidden/>
              </w:rPr>
            </w:r>
            <w:r w:rsidR="007F18CC" w:rsidRPr="0076589C">
              <w:rPr>
                <w:noProof/>
                <w:webHidden/>
              </w:rPr>
              <w:fldChar w:fldCharType="separate"/>
            </w:r>
            <w:r w:rsidR="009F171A">
              <w:rPr>
                <w:noProof/>
                <w:webHidden/>
              </w:rPr>
              <w:t>38</w:t>
            </w:r>
            <w:r w:rsidR="007F18CC" w:rsidRPr="0076589C">
              <w:rPr>
                <w:noProof/>
                <w:webHidden/>
              </w:rPr>
              <w:fldChar w:fldCharType="end"/>
            </w:r>
          </w:hyperlink>
        </w:p>
        <w:p w14:paraId="63271E4C" w14:textId="4C5614F5"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84" w:history="1">
            <w:r w:rsidR="007F18CC" w:rsidRPr="0076589C">
              <w:rPr>
                <w:rStyle w:val="Hipervnculo"/>
                <w:noProof/>
              </w:rPr>
              <w:t>2.2.26</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RIESGO CREDITICIO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_Toc158365484 \h </w:instrText>
            </w:r>
            <w:r w:rsidR="007F18CC" w:rsidRPr="0076589C">
              <w:rPr>
                <w:noProof/>
                <w:webHidden/>
              </w:rPr>
            </w:r>
            <w:r w:rsidR="007F18CC" w:rsidRPr="0076589C">
              <w:rPr>
                <w:noProof/>
                <w:webHidden/>
              </w:rPr>
              <w:fldChar w:fldCharType="separate"/>
            </w:r>
            <w:r w:rsidR="009F171A">
              <w:rPr>
                <w:noProof/>
                <w:webHidden/>
              </w:rPr>
              <w:t>38</w:t>
            </w:r>
            <w:r w:rsidR="007F18CC" w:rsidRPr="0076589C">
              <w:rPr>
                <w:noProof/>
                <w:webHidden/>
              </w:rPr>
              <w:fldChar w:fldCharType="end"/>
            </w:r>
          </w:hyperlink>
        </w:p>
        <w:p w14:paraId="6EC24012" w14:textId="3E5E65DC"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485" w:history="1">
            <w:r w:rsidR="007F18CC" w:rsidRPr="0076589C">
              <w:rPr>
                <w:rStyle w:val="Hipervnculo"/>
                <w:rFonts w:eastAsiaTheme="majorEastAsia"/>
              </w:rPr>
              <w:t>2.3 TEORÍAS DE SUSTENTO</w:t>
            </w:r>
            <w:r w:rsidR="007F18CC" w:rsidRPr="0076589C">
              <w:rPr>
                <w:webHidden/>
              </w:rPr>
              <w:tab/>
            </w:r>
            <w:r w:rsidR="007F18CC" w:rsidRPr="0076589C">
              <w:rPr>
                <w:webHidden/>
              </w:rPr>
              <w:fldChar w:fldCharType="begin"/>
            </w:r>
            <w:r w:rsidR="007F18CC" w:rsidRPr="0076589C">
              <w:rPr>
                <w:webHidden/>
              </w:rPr>
              <w:instrText xml:space="preserve"> PAGEREF _Toc158365485 \h </w:instrText>
            </w:r>
            <w:r w:rsidR="007F18CC" w:rsidRPr="0076589C">
              <w:rPr>
                <w:webHidden/>
              </w:rPr>
            </w:r>
            <w:r w:rsidR="007F18CC" w:rsidRPr="0076589C">
              <w:rPr>
                <w:webHidden/>
              </w:rPr>
              <w:fldChar w:fldCharType="separate"/>
            </w:r>
            <w:r w:rsidR="009F171A">
              <w:rPr>
                <w:webHidden/>
              </w:rPr>
              <w:t>38</w:t>
            </w:r>
            <w:r w:rsidR="007F18CC" w:rsidRPr="0076589C">
              <w:rPr>
                <w:webHidden/>
              </w:rPr>
              <w:fldChar w:fldCharType="end"/>
            </w:r>
          </w:hyperlink>
        </w:p>
        <w:p w14:paraId="2D20D30C" w14:textId="49D1380A"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86" w:history="1">
            <w:r w:rsidR="007F18CC" w:rsidRPr="0076589C">
              <w:rPr>
                <w:rStyle w:val="Hipervnculo"/>
                <w:noProof/>
              </w:rPr>
              <w:t>2.3.1</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BASES TEÓRICAS</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_Toc158365486 \h </w:instrText>
            </w:r>
            <w:r w:rsidR="007F18CC" w:rsidRPr="0076589C">
              <w:rPr>
                <w:noProof/>
                <w:webHidden/>
              </w:rPr>
            </w:r>
            <w:r w:rsidR="007F18CC" w:rsidRPr="0076589C">
              <w:rPr>
                <w:noProof/>
                <w:webHidden/>
              </w:rPr>
              <w:fldChar w:fldCharType="separate"/>
            </w:r>
            <w:r w:rsidR="009F171A">
              <w:rPr>
                <w:noProof/>
                <w:webHidden/>
              </w:rPr>
              <w:t>38</w:t>
            </w:r>
            <w:r w:rsidR="007F18CC" w:rsidRPr="0076589C">
              <w:rPr>
                <w:noProof/>
                <w:webHidden/>
              </w:rPr>
              <w:fldChar w:fldCharType="end"/>
            </w:r>
          </w:hyperlink>
        </w:p>
        <w:p w14:paraId="5F4D4B66" w14:textId="455BD2CA"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87" w:history="1">
            <w:r w:rsidR="007F18CC" w:rsidRPr="0076589C">
              <w:rPr>
                <w:rStyle w:val="Hipervnculo"/>
                <w:noProof/>
              </w:rPr>
              <w:t>2.3.2</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METODOLOGÍAS DESARROLLADAS</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_Toc158365487 \h </w:instrText>
            </w:r>
            <w:r w:rsidR="007F18CC" w:rsidRPr="0076589C">
              <w:rPr>
                <w:noProof/>
                <w:webHidden/>
              </w:rPr>
            </w:r>
            <w:r w:rsidR="007F18CC" w:rsidRPr="0076589C">
              <w:rPr>
                <w:noProof/>
                <w:webHidden/>
              </w:rPr>
              <w:fldChar w:fldCharType="separate"/>
            </w:r>
            <w:r w:rsidR="009F171A">
              <w:rPr>
                <w:noProof/>
                <w:webHidden/>
              </w:rPr>
              <w:t>46</w:t>
            </w:r>
            <w:r w:rsidR="007F18CC" w:rsidRPr="0076589C">
              <w:rPr>
                <w:noProof/>
                <w:webHidden/>
              </w:rPr>
              <w:fldChar w:fldCharType="end"/>
            </w:r>
          </w:hyperlink>
        </w:p>
        <w:p w14:paraId="3352724E" w14:textId="5055A088"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488" w:history="1">
            <w:r w:rsidR="007F18CC" w:rsidRPr="0076589C">
              <w:rPr>
                <w:rStyle w:val="Hipervnculo"/>
                <w:rFonts w:eastAsiaTheme="majorEastAsia"/>
              </w:rPr>
              <w:t>2.4 MARCO LEGAL</w:t>
            </w:r>
            <w:r w:rsidR="007F18CC" w:rsidRPr="0076589C">
              <w:rPr>
                <w:webHidden/>
              </w:rPr>
              <w:tab/>
            </w:r>
            <w:r w:rsidR="007F18CC" w:rsidRPr="0076589C">
              <w:rPr>
                <w:webHidden/>
              </w:rPr>
              <w:fldChar w:fldCharType="begin"/>
            </w:r>
            <w:r w:rsidR="007F18CC" w:rsidRPr="0076589C">
              <w:rPr>
                <w:webHidden/>
              </w:rPr>
              <w:instrText xml:space="preserve"> PAGEREF _Toc158365488 \h </w:instrText>
            </w:r>
            <w:r w:rsidR="007F18CC" w:rsidRPr="0076589C">
              <w:rPr>
                <w:webHidden/>
              </w:rPr>
            </w:r>
            <w:r w:rsidR="007F18CC" w:rsidRPr="0076589C">
              <w:rPr>
                <w:webHidden/>
              </w:rPr>
              <w:fldChar w:fldCharType="separate"/>
            </w:r>
            <w:r w:rsidR="009F171A">
              <w:rPr>
                <w:webHidden/>
              </w:rPr>
              <w:t>48</w:t>
            </w:r>
            <w:r w:rsidR="007F18CC" w:rsidRPr="0076589C">
              <w:rPr>
                <w:webHidden/>
              </w:rPr>
              <w:fldChar w:fldCharType="end"/>
            </w:r>
          </w:hyperlink>
        </w:p>
        <w:p w14:paraId="7CF7E38A" w14:textId="0D906538" w:rsidR="007F18CC" w:rsidRPr="0076589C" w:rsidRDefault="00000000">
          <w:pPr>
            <w:pStyle w:val="TDC3"/>
            <w:rPr>
              <w:rFonts w:asciiTheme="minorHAnsi" w:eastAsiaTheme="minorEastAsia" w:hAnsiTheme="minorHAnsi"/>
              <w:noProof/>
              <w:kern w:val="2"/>
              <w:sz w:val="22"/>
              <w:lang w:eastAsia="es-HN"/>
              <w14:ligatures w14:val="standardContextual"/>
            </w:rPr>
          </w:pPr>
          <w:hyperlink w:anchor="_Toc158365489" w:history="1">
            <w:r w:rsidR="007F18CC" w:rsidRPr="0076589C">
              <w:rPr>
                <w:rStyle w:val="Hipervnculo"/>
                <w:noProof/>
              </w:rPr>
              <w:t>2.4.1 PRIMEROS 15 PRINCIPIOS DE CONTABILIDAD GENERALMENTE ACEPTADOS EN HONDURAS</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_Toc158365489 \h </w:instrText>
            </w:r>
            <w:r w:rsidR="007F18CC" w:rsidRPr="0076589C">
              <w:rPr>
                <w:noProof/>
                <w:webHidden/>
              </w:rPr>
            </w:r>
            <w:r w:rsidR="007F18CC" w:rsidRPr="0076589C">
              <w:rPr>
                <w:noProof/>
                <w:webHidden/>
              </w:rPr>
              <w:fldChar w:fldCharType="separate"/>
            </w:r>
            <w:r w:rsidR="009F171A">
              <w:rPr>
                <w:noProof/>
                <w:webHidden/>
              </w:rPr>
              <w:t>48</w:t>
            </w:r>
            <w:r w:rsidR="007F18CC" w:rsidRPr="0076589C">
              <w:rPr>
                <w:noProof/>
                <w:webHidden/>
              </w:rPr>
              <w:fldChar w:fldCharType="end"/>
            </w:r>
          </w:hyperlink>
        </w:p>
        <w:p w14:paraId="4CE110BB" w14:textId="31075CC1" w:rsidR="007F18CC" w:rsidRPr="0076589C" w:rsidRDefault="00000000">
          <w:pPr>
            <w:pStyle w:val="TDC3"/>
            <w:rPr>
              <w:rFonts w:asciiTheme="minorHAnsi" w:eastAsiaTheme="minorEastAsia" w:hAnsiTheme="minorHAnsi"/>
              <w:noProof/>
              <w:kern w:val="2"/>
              <w:sz w:val="22"/>
              <w:lang w:eastAsia="es-HN"/>
              <w14:ligatures w14:val="standardContextual"/>
            </w:rPr>
          </w:pPr>
          <w:hyperlink w:anchor="_Toc158365490" w:history="1">
            <w:r w:rsidR="007F18CC" w:rsidRPr="0076589C">
              <w:rPr>
                <w:rStyle w:val="Hipervnculo"/>
                <w:rFonts w:eastAsia="Calibri"/>
                <w:noProof/>
              </w:rPr>
              <w:t>2.4.2 LEY SOBRE NORMAS DE CONTABILIDAD Y DE AUDITORÍA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_Toc158365490 \h </w:instrText>
            </w:r>
            <w:r w:rsidR="007F18CC" w:rsidRPr="0076589C">
              <w:rPr>
                <w:noProof/>
                <w:webHidden/>
              </w:rPr>
            </w:r>
            <w:r w:rsidR="007F18CC" w:rsidRPr="0076589C">
              <w:rPr>
                <w:noProof/>
                <w:webHidden/>
              </w:rPr>
              <w:fldChar w:fldCharType="separate"/>
            </w:r>
            <w:r w:rsidR="009F171A">
              <w:rPr>
                <w:noProof/>
                <w:webHidden/>
              </w:rPr>
              <w:t>49</w:t>
            </w:r>
            <w:r w:rsidR="007F18CC" w:rsidRPr="0076589C">
              <w:rPr>
                <w:noProof/>
                <w:webHidden/>
              </w:rPr>
              <w:fldChar w:fldCharType="end"/>
            </w:r>
          </w:hyperlink>
        </w:p>
        <w:p w14:paraId="714BA97A" w14:textId="3AB758B3" w:rsidR="007F18CC" w:rsidRPr="0076589C" w:rsidRDefault="00000000">
          <w:pPr>
            <w:pStyle w:val="TDC3"/>
            <w:rPr>
              <w:rFonts w:asciiTheme="minorHAnsi" w:eastAsiaTheme="minorEastAsia" w:hAnsiTheme="minorHAnsi"/>
              <w:noProof/>
              <w:kern w:val="2"/>
              <w:sz w:val="22"/>
              <w:lang w:eastAsia="es-HN"/>
              <w14:ligatures w14:val="standardContextual"/>
            </w:rPr>
          </w:pPr>
          <w:hyperlink w:anchor="_Toc158365491" w:history="1">
            <w:r w:rsidR="007F18CC" w:rsidRPr="0076589C">
              <w:rPr>
                <w:rStyle w:val="Hipervnculo"/>
                <w:noProof/>
              </w:rPr>
              <w:t>2.4.3 ACUERDO NO.4 NORMA HONDUREÑA DE CONTABILIDAD NO.2 (NHOC-2). DOCUMENTOS Y CUENTAS POR COBRAR</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_Toc158365491 \h </w:instrText>
            </w:r>
            <w:r w:rsidR="007F18CC" w:rsidRPr="0076589C">
              <w:rPr>
                <w:noProof/>
                <w:webHidden/>
              </w:rPr>
            </w:r>
            <w:r w:rsidR="007F18CC" w:rsidRPr="0076589C">
              <w:rPr>
                <w:noProof/>
                <w:webHidden/>
              </w:rPr>
              <w:fldChar w:fldCharType="separate"/>
            </w:r>
            <w:r w:rsidR="009F171A">
              <w:rPr>
                <w:noProof/>
                <w:webHidden/>
              </w:rPr>
              <w:t>50</w:t>
            </w:r>
            <w:r w:rsidR="007F18CC" w:rsidRPr="0076589C">
              <w:rPr>
                <w:noProof/>
                <w:webHidden/>
              </w:rPr>
              <w:fldChar w:fldCharType="end"/>
            </w:r>
          </w:hyperlink>
        </w:p>
        <w:p w14:paraId="7EB19B76" w14:textId="7662AB7B" w:rsidR="007F18CC" w:rsidRPr="0076589C" w:rsidRDefault="00000000">
          <w:pPr>
            <w:pStyle w:val="TDC3"/>
            <w:rPr>
              <w:rFonts w:asciiTheme="minorHAnsi" w:eastAsiaTheme="minorEastAsia" w:hAnsiTheme="minorHAnsi"/>
              <w:noProof/>
              <w:kern w:val="2"/>
              <w:sz w:val="22"/>
              <w:lang w:eastAsia="es-HN"/>
              <w14:ligatures w14:val="standardContextual"/>
            </w:rPr>
          </w:pPr>
          <w:hyperlink w:anchor="_Toc158365492" w:history="1">
            <w:r w:rsidR="007F18CC" w:rsidRPr="0076589C">
              <w:rPr>
                <w:rStyle w:val="Hipervnculo"/>
                <w:noProof/>
              </w:rPr>
              <w:t>2.4.4 NORMAS INTERNACIONALES DE INFORMACIÓN FINANCIERA (NIIF)</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_Toc158365492 \h </w:instrText>
            </w:r>
            <w:r w:rsidR="007F18CC" w:rsidRPr="0076589C">
              <w:rPr>
                <w:noProof/>
                <w:webHidden/>
              </w:rPr>
            </w:r>
            <w:r w:rsidR="007F18CC" w:rsidRPr="0076589C">
              <w:rPr>
                <w:noProof/>
                <w:webHidden/>
              </w:rPr>
              <w:fldChar w:fldCharType="separate"/>
            </w:r>
            <w:r w:rsidR="009F171A">
              <w:rPr>
                <w:noProof/>
                <w:webHidden/>
              </w:rPr>
              <w:t>52</w:t>
            </w:r>
            <w:r w:rsidR="007F18CC" w:rsidRPr="0076589C">
              <w:rPr>
                <w:noProof/>
                <w:webHidden/>
              </w:rPr>
              <w:fldChar w:fldCharType="end"/>
            </w:r>
          </w:hyperlink>
        </w:p>
        <w:p w14:paraId="7EA5FEAA" w14:textId="7F54BE6A" w:rsidR="007F18CC" w:rsidRPr="0076589C" w:rsidRDefault="00000000">
          <w:pPr>
            <w:pStyle w:val="TDC1"/>
            <w:rPr>
              <w:rFonts w:asciiTheme="minorHAnsi" w:eastAsiaTheme="minorEastAsia" w:hAnsiTheme="minorHAnsi" w:cstheme="minorBidi"/>
              <w:b w:val="0"/>
              <w:bCs w:val="0"/>
              <w:kern w:val="2"/>
              <w:sz w:val="22"/>
              <w:lang w:eastAsia="es-HN"/>
              <w14:ligatures w14:val="standardContextual"/>
            </w:rPr>
          </w:pPr>
          <w:hyperlink w:anchor="_Toc158365493" w:history="1">
            <w:r w:rsidR="007F18CC" w:rsidRPr="0076589C">
              <w:rPr>
                <w:rStyle w:val="Hipervnculo"/>
                <w:rFonts w:eastAsiaTheme="majorEastAsia"/>
              </w:rPr>
              <w:t>CAPÍTULO III. METODOLOGÍA</w:t>
            </w:r>
            <w:r w:rsidR="007F18CC" w:rsidRPr="0076589C">
              <w:rPr>
                <w:webHidden/>
              </w:rPr>
              <w:tab/>
            </w:r>
            <w:r w:rsidR="007F18CC" w:rsidRPr="0076589C">
              <w:rPr>
                <w:webHidden/>
              </w:rPr>
              <w:fldChar w:fldCharType="begin"/>
            </w:r>
            <w:r w:rsidR="007F18CC" w:rsidRPr="0076589C">
              <w:rPr>
                <w:webHidden/>
              </w:rPr>
              <w:instrText xml:space="preserve"> PAGEREF _Toc158365493 \h </w:instrText>
            </w:r>
            <w:r w:rsidR="007F18CC" w:rsidRPr="0076589C">
              <w:rPr>
                <w:webHidden/>
              </w:rPr>
            </w:r>
            <w:r w:rsidR="007F18CC" w:rsidRPr="0076589C">
              <w:rPr>
                <w:webHidden/>
              </w:rPr>
              <w:fldChar w:fldCharType="separate"/>
            </w:r>
            <w:r w:rsidR="009F171A">
              <w:rPr>
                <w:webHidden/>
              </w:rPr>
              <w:t>55</w:t>
            </w:r>
            <w:r w:rsidR="007F18CC" w:rsidRPr="0076589C">
              <w:rPr>
                <w:webHidden/>
              </w:rPr>
              <w:fldChar w:fldCharType="end"/>
            </w:r>
          </w:hyperlink>
        </w:p>
        <w:p w14:paraId="4127C940" w14:textId="098B853F"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494" w:history="1">
            <w:r w:rsidR="007F18CC" w:rsidRPr="0076589C">
              <w:rPr>
                <w:rStyle w:val="Hipervnculo"/>
                <w:rFonts w:eastAsiaTheme="majorEastAsia"/>
              </w:rPr>
              <w:t>3.1</w:t>
            </w:r>
            <w:r w:rsidR="007F18CC" w:rsidRPr="0076589C">
              <w:rPr>
                <w:rFonts w:asciiTheme="minorHAnsi" w:eastAsiaTheme="minorEastAsia" w:hAnsiTheme="minorHAnsi" w:cstheme="minorBidi"/>
                <w:b w:val="0"/>
                <w:bCs w:val="0"/>
                <w:kern w:val="2"/>
                <w:sz w:val="22"/>
                <w:lang w:eastAsia="es-HN"/>
                <w14:ligatures w14:val="standardContextual"/>
              </w:rPr>
              <w:tab/>
            </w:r>
            <w:r w:rsidR="007F18CC" w:rsidRPr="0076589C">
              <w:rPr>
                <w:rStyle w:val="Hipervnculo"/>
                <w:rFonts w:eastAsiaTheme="majorEastAsia"/>
              </w:rPr>
              <w:t>CONGRUENCIA METODOLÓGICA</w:t>
            </w:r>
            <w:r w:rsidR="007F18CC" w:rsidRPr="0076589C">
              <w:rPr>
                <w:webHidden/>
              </w:rPr>
              <w:tab/>
            </w:r>
            <w:r w:rsidR="007F18CC" w:rsidRPr="0076589C">
              <w:rPr>
                <w:webHidden/>
              </w:rPr>
              <w:fldChar w:fldCharType="begin"/>
            </w:r>
            <w:r w:rsidR="007F18CC" w:rsidRPr="0076589C">
              <w:rPr>
                <w:webHidden/>
              </w:rPr>
              <w:instrText xml:space="preserve"> PAGEREF _Toc158365494 \h </w:instrText>
            </w:r>
            <w:r w:rsidR="007F18CC" w:rsidRPr="0076589C">
              <w:rPr>
                <w:webHidden/>
              </w:rPr>
            </w:r>
            <w:r w:rsidR="007F18CC" w:rsidRPr="0076589C">
              <w:rPr>
                <w:webHidden/>
              </w:rPr>
              <w:fldChar w:fldCharType="separate"/>
            </w:r>
            <w:r w:rsidR="009F171A">
              <w:rPr>
                <w:webHidden/>
              </w:rPr>
              <w:t>55</w:t>
            </w:r>
            <w:r w:rsidR="007F18CC" w:rsidRPr="0076589C">
              <w:rPr>
                <w:webHidden/>
              </w:rPr>
              <w:fldChar w:fldCharType="end"/>
            </w:r>
          </w:hyperlink>
        </w:p>
        <w:p w14:paraId="2E608214" w14:textId="74D5D27E"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95" w:history="1">
            <w:r w:rsidR="007F18CC" w:rsidRPr="0076589C">
              <w:rPr>
                <w:rStyle w:val="Hipervnculo"/>
                <w:noProof/>
              </w:rPr>
              <w:t>3.1.1</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MATRIZ METODOLOGÍCA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_Toc158365495 \h </w:instrText>
            </w:r>
            <w:r w:rsidR="007F18CC" w:rsidRPr="0076589C">
              <w:rPr>
                <w:noProof/>
                <w:webHidden/>
              </w:rPr>
            </w:r>
            <w:r w:rsidR="007F18CC" w:rsidRPr="0076589C">
              <w:rPr>
                <w:noProof/>
                <w:webHidden/>
              </w:rPr>
              <w:fldChar w:fldCharType="separate"/>
            </w:r>
            <w:r w:rsidR="009F171A">
              <w:rPr>
                <w:noProof/>
                <w:webHidden/>
              </w:rPr>
              <w:t>55</w:t>
            </w:r>
            <w:r w:rsidR="007F18CC" w:rsidRPr="0076589C">
              <w:rPr>
                <w:noProof/>
                <w:webHidden/>
              </w:rPr>
              <w:fldChar w:fldCharType="end"/>
            </w:r>
          </w:hyperlink>
        </w:p>
        <w:p w14:paraId="476B0D56" w14:textId="731F5558"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96" w:history="1">
            <w:r w:rsidR="007F18CC" w:rsidRPr="0076589C">
              <w:rPr>
                <w:rStyle w:val="Hipervnculo"/>
                <w:noProof/>
              </w:rPr>
              <w:t>3.1.2</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ESQUEMA DE VARIABLES DE ESTUDIO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_Toc158365496 \h </w:instrText>
            </w:r>
            <w:r w:rsidR="007F18CC" w:rsidRPr="0076589C">
              <w:rPr>
                <w:noProof/>
                <w:webHidden/>
              </w:rPr>
            </w:r>
            <w:r w:rsidR="007F18CC" w:rsidRPr="0076589C">
              <w:rPr>
                <w:noProof/>
                <w:webHidden/>
              </w:rPr>
              <w:fldChar w:fldCharType="separate"/>
            </w:r>
            <w:r w:rsidR="009F171A">
              <w:rPr>
                <w:noProof/>
                <w:webHidden/>
              </w:rPr>
              <w:t>58</w:t>
            </w:r>
            <w:r w:rsidR="007F18CC" w:rsidRPr="0076589C">
              <w:rPr>
                <w:noProof/>
                <w:webHidden/>
              </w:rPr>
              <w:fldChar w:fldCharType="end"/>
            </w:r>
          </w:hyperlink>
        </w:p>
        <w:p w14:paraId="70EB6E70" w14:textId="4833E998"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97" w:history="1">
            <w:r w:rsidR="007F18CC" w:rsidRPr="0076589C">
              <w:rPr>
                <w:rStyle w:val="Hipervnculo"/>
                <w:noProof/>
              </w:rPr>
              <w:t>3.1.3</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OPERACIONALIZACIÓN DE LAS VARIABLES</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_Toc158365497 \h </w:instrText>
            </w:r>
            <w:r w:rsidR="007F18CC" w:rsidRPr="0076589C">
              <w:rPr>
                <w:noProof/>
                <w:webHidden/>
              </w:rPr>
            </w:r>
            <w:r w:rsidR="007F18CC" w:rsidRPr="0076589C">
              <w:rPr>
                <w:noProof/>
                <w:webHidden/>
              </w:rPr>
              <w:fldChar w:fldCharType="separate"/>
            </w:r>
            <w:r w:rsidR="009F171A">
              <w:rPr>
                <w:noProof/>
                <w:webHidden/>
              </w:rPr>
              <w:t>58</w:t>
            </w:r>
            <w:r w:rsidR="007F18CC" w:rsidRPr="0076589C">
              <w:rPr>
                <w:noProof/>
                <w:webHidden/>
              </w:rPr>
              <w:fldChar w:fldCharType="end"/>
            </w:r>
          </w:hyperlink>
        </w:p>
        <w:p w14:paraId="12F8A27F" w14:textId="1C7995F1"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498" w:history="1">
            <w:r w:rsidR="007F18CC" w:rsidRPr="0076589C">
              <w:rPr>
                <w:rStyle w:val="Hipervnculo"/>
                <w:noProof/>
              </w:rPr>
              <w:t>3.1.4</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HIPÓTESIS</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_Toc158365498 \h </w:instrText>
            </w:r>
            <w:r w:rsidR="007F18CC" w:rsidRPr="0076589C">
              <w:rPr>
                <w:noProof/>
                <w:webHidden/>
              </w:rPr>
            </w:r>
            <w:r w:rsidR="007F18CC" w:rsidRPr="0076589C">
              <w:rPr>
                <w:noProof/>
                <w:webHidden/>
              </w:rPr>
              <w:fldChar w:fldCharType="separate"/>
            </w:r>
            <w:r w:rsidR="009F171A">
              <w:rPr>
                <w:noProof/>
                <w:webHidden/>
              </w:rPr>
              <w:t>65</w:t>
            </w:r>
            <w:r w:rsidR="007F18CC" w:rsidRPr="0076589C">
              <w:rPr>
                <w:noProof/>
                <w:webHidden/>
              </w:rPr>
              <w:fldChar w:fldCharType="end"/>
            </w:r>
          </w:hyperlink>
        </w:p>
        <w:p w14:paraId="677E9383" w14:textId="065A904B"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499" w:history="1">
            <w:r w:rsidR="007F18CC" w:rsidRPr="0076589C">
              <w:rPr>
                <w:rStyle w:val="Hipervnculo"/>
                <w:rFonts w:eastAsiaTheme="majorEastAsia"/>
              </w:rPr>
              <w:t>3.2</w:t>
            </w:r>
            <w:r w:rsidR="007F18CC" w:rsidRPr="0076589C">
              <w:rPr>
                <w:rFonts w:asciiTheme="minorHAnsi" w:eastAsiaTheme="minorEastAsia" w:hAnsiTheme="minorHAnsi" w:cstheme="minorBidi"/>
                <w:b w:val="0"/>
                <w:bCs w:val="0"/>
                <w:kern w:val="2"/>
                <w:sz w:val="22"/>
                <w:lang w:eastAsia="es-HN"/>
                <w14:ligatures w14:val="standardContextual"/>
              </w:rPr>
              <w:tab/>
            </w:r>
            <w:r w:rsidR="007F18CC" w:rsidRPr="0076589C">
              <w:rPr>
                <w:rStyle w:val="Hipervnculo"/>
                <w:rFonts w:eastAsiaTheme="majorEastAsia"/>
              </w:rPr>
              <w:t>ENFOQUE Y MÉTODO</w:t>
            </w:r>
            <w:r w:rsidR="007F18CC" w:rsidRPr="0076589C">
              <w:rPr>
                <w:webHidden/>
              </w:rPr>
              <w:tab/>
            </w:r>
            <w:r w:rsidR="007F18CC" w:rsidRPr="0076589C">
              <w:rPr>
                <w:webHidden/>
              </w:rPr>
              <w:fldChar w:fldCharType="begin"/>
            </w:r>
            <w:r w:rsidR="007F18CC" w:rsidRPr="0076589C">
              <w:rPr>
                <w:webHidden/>
              </w:rPr>
              <w:instrText xml:space="preserve"> PAGEREF _Toc158365499 \h </w:instrText>
            </w:r>
            <w:r w:rsidR="007F18CC" w:rsidRPr="0076589C">
              <w:rPr>
                <w:webHidden/>
              </w:rPr>
            </w:r>
            <w:r w:rsidR="007F18CC" w:rsidRPr="0076589C">
              <w:rPr>
                <w:webHidden/>
              </w:rPr>
              <w:fldChar w:fldCharType="separate"/>
            </w:r>
            <w:r w:rsidR="009F171A">
              <w:rPr>
                <w:webHidden/>
              </w:rPr>
              <w:t>65</w:t>
            </w:r>
            <w:r w:rsidR="007F18CC" w:rsidRPr="0076589C">
              <w:rPr>
                <w:webHidden/>
              </w:rPr>
              <w:fldChar w:fldCharType="end"/>
            </w:r>
          </w:hyperlink>
        </w:p>
        <w:p w14:paraId="7DEDFD53" w14:textId="4A92431E"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500" w:history="1">
            <w:r w:rsidR="007F18CC" w:rsidRPr="0076589C">
              <w:rPr>
                <w:rStyle w:val="Hipervnculo"/>
                <w:rFonts w:eastAsiaTheme="majorEastAsia"/>
              </w:rPr>
              <w:t>3.3</w:t>
            </w:r>
            <w:r w:rsidR="007F18CC" w:rsidRPr="0076589C">
              <w:rPr>
                <w:rFonts w:asciiTheme="minorHAnsi" w:eastAsiaTheme="minorEastAsia" w:hAnsiTheme="minorHAnsi" w:cstheme="minorBidi"/>
                <w:b w:val="0"/>
                <w:bCs w:val="0"/>
                <w:kern w:val="2"/>
                <w:sz w:val="22"/>
                <w:lang w:eastAsia="es-HN"/>
                <w14:ligatures w14:val="standardContextual"/>
              </w:rPr>
              <w:tab/>
            </w:r>
            <w:r w:rsidR="007F18CC" w:rsidRPr="0076589C">
              <w:rPr>
                <w:rStyle w:val="Hipervnculo"/>
                <w:rFonts w:eastAsiaTheme="majorEastAsia"/>
              </w:rPr>
              <w:t>DISEÑO DE LA INVESTIGACIÓN</w:t>
            </w:r>
            <w:r w:rsidR="007F18CC" w:rsidRPr="0076589C">
              <w:rPr>
                <w:webHidden/>
              </w:rPr>
              <w:tab/>
            </w:r>
            <w:r w:rsidR="007F18CC" w:rsidRPr="0076589C">
              <w:rPr>
                <w:webHidden/>
              </w:rPr>
              <w:fldChar w:fldCharType="begin"/>
            </w:r>
            <w:r w:rsidR="007F18CC" w:rsidRPr="0076589C">
              <w:rPr>
                <w:webHidden/>
              </w:rPr>
              <w:instrText xml:space="preserve"> PAGEREF _Toc158365500 \h </w:instrText>
            </w:r>
            <w:r w:rsidR="007F18CC" w:rsidRPr="0076589C">
              <w:rPr>
                <w:webHidden/>
              </w:rPr>
            </w:r>
            <w:r w:rsidR="007F18CC" w:rsidRPr="0076589C">
              <w:rPr>
                <w:webHidden/>
              </w:rPr>
              <w:fldChar w:fldCharType="separate"/>
            </w:r>
            <w:r w:rsidR="009F171A">
              <w:rPr>
                <w:webHidden/>
              </w:rPr>
              <w:t>66</w:t>
            </w:r>
            <w:r w:rsidR="007F18CC" w:rsidRPr="0076589C">
              <w:rPr>
                <w:webHidden/>
              </w:rPr>
              <w:fldChar w:fldCharType="end"/>
            </w:r>
          </w:hyperlink>
        </w:p>
        <w:p w14:paraId="2E1C5935" w14:textId="0BF2D362"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501" w:history="1">
            <w:r w:rsidR="007F18CC" w:rsidRPr="0076589C">
              <w:rPr>
                <w:rStyle w:val="Hipervnculo"/>
                <w:noProof/>
              </w:rPr>
              <w:t>3.3.1</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UNIDAD DE ANÁLISIS</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_Toc158365501 \h </w:instrText>
            </w:r>
            <w:r w:rsidR="007F18CC" w:rsidRPr="0076589C">
              <w:rPr>
                <w:noProof/>
                <w:webHidden/>
              </w:rPr>
            </w:r>
            <w:r w:rsidR="007F18CC" w:rsidRPr="0076589C">
              <w:rPr>
                <w:noProof/>
                <w:webHidden/>
              </w:rPr>
              <w:fldChar w:fldCharType="separate"/>
            </w:r>
            <w:r w:rsidR="009F171A">
              <w:rPr>
                <w:noProof/>
                <w:webHidden/>
              </w:rPr>
              <w:t>66</w:t>
            </w:r>
            <w:r w:rsidR="007F18CC" w:rsidRPr="0076589C">
              <w:rPr>
                <w:noProof/>
                <w:webHidden/>
              </w:rPr>
              <w:fldChar w:fldCharType="end"/>
            </w:r>
          </w:hyperlink>
        </w:p>
        <w:p w14:paraId="10970A11" w14:textId="19DB6AAA"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502" w:history="1">
            <w:r w:rsidR="007F18CC" w:rsidRPr="0076589C">
              <w:rPr>
                <w:rStyle w:val="Hipervnculo"/>
                <w:noProof/>
              </w:rPr>
              <w:t>3.3.2</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POBLACIÓN</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_Toc158365502 \h </w:instrText>
            </w:r>
            <w:r w:rsidR="007F18CC" w:rsidRPr="0076589C">
              <w:rPr>
                <w:noProof/>
                <w:webHidden/>
              </w:rPr>
            </w:r>
            <w:r w:rsidR="007F18CC" w:rsidRPr="0076589C">
              <w:rPr>
                <w:noProof/>
                <w:webHidden/>
              </w:rPr>
              <w:fldChar w:fldCharType="separate"/>
            </w:r>
            <w:r w:rsidR="009F171A">
              <w:rPr>
                <w:noProof/>
                <w:webHidden/>
              </w:rPr>
              <w:t>66</w:t>
            </w:r>
            <w:r w:rsidR="007F18CC" w:rsidRPr="0076589C">
              <w:rPr>
                <w:noProof/>
                <w:webHidden/>
              </w:rPr>
              <w:fldChar w:fldCharType="end"/>
            </w:r>
          </w:hyperlink>
        </w:p>
        <w:p w14:paraId="0D69F06A" w14:textId="03D6DAB7"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503" w:history="1">
            <w:r w:rsidR="007F18CC" w:rsidRPr="0076589C">
              <w:rPr>
                <w:rStyle w:val="Hipervnculo"/>
                <w:noProof/>
              </w:rPr>
              <w:t>3.3.3</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MUESTRA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_Toc158365503 \h </w:instrText>
            </w:r>
            <w:r w:rsidR="007F18CC" w:rsidRPr="0076589C">
              <w:rPr>
                <w:noProof/>
                <w:webHidden/>
              </w:rPr>
            </w:r>
            <w:r w:rsidR="007F18CC" w:rsidRPr="0076589C">
              <w:rPr>
                <w:noProof/>
                <w:webHidden/>
              </w:rPr>
              <w:fldChar w:fldCharType="separate"/>
            </w:r>
            <w:r w:rsidR="009F171A">
              <w:rPr>
                <w:noProof/>
                <w:webHidden/>
              </w:rPr>
              <w:t>67</w:t>
            </w:r>
            <w:r w:rsidR="007F18CC" w:rsidRPr="0076589C">
              <w:rPr>
                <w:noProof/>
                <w:webHidden/>
              </w:rPr>
              <w:fldChar w:fldCharType="end"/>
            </w:r>
          </w:hyperlink>
        </w:p>
        <w:p w14:paraId="3438DBDD" w14:textId="336153F0"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504" w:history="1">
            <w:r w:rsidR="007F18CC" w:rsidRPr="0076589C">
              <w:rPr>
                <w:rStyle w:val="Hipervnculo"/>
                <w:noProof/>
              </w:rPr>
              <w:t>3.3.4</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TÉCNICAS DE MUESTREO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_Toc158365504 \h </w:instrText>
            </w:r>
            <w:r w:rsidR="007F18CC" w:rsidRPr="0076589C">
              <w:rPr>
                <w:noProof/>
                <w:webHidden/>
              </w:rPr>
            </w:r>
            <w:r w:rsidR="007F18CC" w:rsidRPr="0076589C">
              <w:rPr>
                <w:noProof/>
                <w:webHidden/>
              </w:rPr>
              <w:fldChar w:fldCharType="separate"/>
            </w:r>
            <w:r w:rsidR="009F171A">
              <w:rPr>
                <w:noProof/>
                <w:webHidden/>
              </w:rPr>
              <w:t>67</w:t>
            </w:r>
            <w:r w:rsidR="007F18CC" w:rsidRPr="0076589C">
              <w:rPr>
                <w:noProof/>
                <w:webHidden/>
              </w:rPr>
              <w:fldChar w:fldCharType="end"/>
            </w:r>
          </w:hyperlink>
        </w:p>
        <w:p w14:paraId="04578076" w14:textId="5A38EDF0"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505" w:history="1">
            <w:r w:rsidR="007F18CC" w:rsidRPr="0076589C">
              <w:rPr>
                <w:rStyle w:val="Hipervnculo"/>
                <w:rFonts w:eastAsiaTheme="majorEastAsia"/>
              </w:rPr>
              <w:t>3.4 TÉCNICAS, INSTRUMENTOS Y PROCEDIMIENTOS APLICADOS</w:t>
            </w:r>
            <w:r w:rsidR="007F18CC" w:rsidRPr="0076589C">
              <w:rPr>
                <w:webHidden/>
              </w:rPr>
              <w:tab/>
            </w:r>
            <w:r w:rsidR="007F18CC" w:rsidRPr="0076589C">
              <w:rPr>
                <w:webHidden/>
              </w:rPr>
              <w:fldChar w:fldCharType="begin"/>
            </w:r>
            <w:r w:rsidR="007F18CC" w:rsidRPr="0076589C">
              <w:rPr>
                <w:webHidden/>
              </w:rPr>
              <w:instrText xml:space="preserve"> PAGEREF _Toc158365505 \h </w:instrText>
            </w:r>
            <w:r w:rsidR="007F18CC" w:rsidRPr="0076589C">
              <w:rPr>
                <w:webHidden/>
              </w:rPr>
            </w:r>
            <w:r w:rsidR="007F18CC" w:rsidRPr="0076589C">
              <w:rPr>
                <w:webHidden/>
              </w:rPr>
              <w:fldChar w:fldCharType="separate"/>
            </w:r>
            <w:r w:rsidR="009F171A">
              <w:rPr>
                <w:webHidden/>
              </w:rPr>
              <w:t>68</w:t>
            </w:r>
            <w:r w:rsidR="007F18CC" w:rsidRPr="0076589C">
              <w:rPr>
                <w:webHidden/>
              </w:rPr>
              <w:fldChar w:fldCharType="end"/>
            </w:r>
          </w:hyperlink>
        </w:p>
        <w:p w14:paraId="2BE7D3CF" w14:textId="6C2198B6" w:rsidR="007F18CC" w:rsidRPr="0076589C" w:rsidRDefault="00000000">
          <w:pPr>
            <w:pStyle w:val="TDC3"/>
            <w:rPr>
              <w:rFonts w:asciiTheme="minorHAnsi" w:eastAsiaTheme="minorEastAsia" w:hAnsiTheme="minorHAnsi"/>
              <w:noProof/>
              <w:kern w:val="2"/>
              <w:sz w:val="22"/>
              <w:lang w:eastAsia="es-HN"/>
              <w14:ligatures w14:val="standardContextual"/>
            </w:rPr>
          </w:pPr>
          <w:hyperlink w:anchor="_Toc158365506" w:history="1">
            <w:r w:rsidR="007F18CC" w:rsidRPr="0076589C">
              <w:rPr>
                <w:rStyle w:val="Hipervnculo"/>
                <w:noProof/>
              </w:rPr>
              <w:t>3.4.1 TÉCNICAS</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_Toc158365506 \h </w:instrText>
            </w:r>
            <w:r w:rsidR="007F18CC" w:rsidRPr="0076589C">
              <w:rPr>
                <w:noProof/>
                <w:webHidden/>
              </w:rPr>
            </w:r>
            <w:r w:rsidR="007F18CC" w:rsidRPr="0076589C">
              <w:rPr>
                <w:noProof/>
                <w:webHidden/>
              </w:rPr>
              <w:fldChar w:fldCharType="separate"/>
            </w:r>
            <w:r w:rsidR="009F171A">
              <w:rPr>
                <w:noProof/>
                <w:webHidden/>
              </w:rPr>
              <w:t>68</w:t>
            </w:r>
            <w:r w:rsidR="007F18CC" w:rsidRPr="0076589C">
              <w:rPr>
                <w:noProof/>
                <w:webHidden/>
              </w:rPr>
              <w:fldChar w:fldCharType="end"/>
            </w:r>
          </w:hyperlink>
        </w:p>
        <w:p w14:paraId="77B574BA" w14:textId="0D527193" w:rsidR="007F18CC" w:rsidRPr="0076589C" w:rsidRDefault="00000000">
          <w:pPr>
            <w:pStyle w:val="TDC3"/>
            <w:rPr>
              <w:rFonts w:asciiTheme="minorHAnsi" w:eastAsiaTheme="minorEastAsia" w:hAnsiTheme="minorHAnsi"/>
              <w:noProof/>
              <w:kern w:val="2"/>
              <w:sz w:val="22"/>
              <w:lang w:eastAsia="es-HN"/>
              <w14:ligatures w14:val="standardContextual"/>
            </w:rPr>
          </w:pPr>
          <w:hyperlink w:anchor="_Toc158365507" w:history="1">
            <w:r w:rsidR="007F18CC" w:rsidRPr="0076589C">
              <w:rPr>
                <w:rStyle w:val="Hipervnculo"/>
                <w:noProof/>
              </w:rPr>
              <w:t>3.4.2 INSTRUMENTOS</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_Toc158365507 \h </w:instrText>
            </w:r>
            <w:r w:rsidR="007F18CC" w:rsidRPr="0076589C">
              <w:rPr>
                <w:noProof/>
                <w:webHidden/>
              </w:rPr>
            </w:r>
            <w:r w:rsidR="007F18CC" w:rsidRPr="0076589C">
              <w:rPr>
                <w:noProof/>
                <w:webHidden/>
              </w:rPr>
              <w:fldChar w:fldCharType="separate"/>
            </w:r>
            <w:r w:rsidR="009F171A">
              <w:rPr>
                <w:noProof/>
                <w:webHidden/>
              </w:rPr>
              <w:t>69</w:t>
            </w:r>
            <w:r w:rsidR="007F18CC" w:rsidRPr="0076589C">
              <w:rPr>
                <w:noProof/>
                <w:webHidden/>
              </w:rPr>
              <w:fldChar w:fldCharType="end"/>
            </w:r>
          </w:hyperlink>
        </w:p>
        <w:p w14:paraId="074BFD2F" w14:textId="436153F3" w:rsidR="007F18CC" w:rsidRPr="0076589C" w:rsidRDefault="00000000">
          <w:pPr>
            <w:pStyle w:val="TDC3"/>
            <w:rPr>
              <w:rFonts w:asciiTheme="minorHAnsi" w:eastAsiaTheme="minorEastAsia" w:hAnsiTheme="minorHAnsi"/>
              <w:noProof/>
              <w:kern w:val="2"/>
              <w:sz w:val="22"/>
              <w:lang w:eastAsia="es-HN"/>
              <w14:ligatures w14:val="standardContextual"/>
            </w:rPr>
          </w:pPr>
          <w:hyperlink w:anchor="_Toc158365508" w:history="1">
            <w:r w:rsidR="007F18CC" w:rsidRPr="0076589C">
              <w:rPr>
                <w:rStyle w:val="Hipervnculo"/>
                <w:noProof/>
              </w:rPr>
              <w:t>3.4.3 VALIDACIÓN DE INSTRUMENTO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_Toc158365508 \h </w:instrText>
            </w:r>
            <w:r w:rsidR="007F18CC" w:rsidRPr="0076589C">
              <w:rPr>
                <w:noProof/>
                <w:webHidden/>
              </w:rPr>
            </w:r>
            <w:r w:rsidR="007F18CC" w:rsidRPr="0076589C">
              <w:rPr>
                <w:noProof/>
                <w:webHidden/>
              </w:rPr>
              <w:fldChar w:fldCharType="separate"/>
            </w:r>
            <w:r w:rsidR="009F171A">
              <w:rPr>
                <w:noProof/>
                <w:webHidden/>
              </w:rPr>
              <w:t>70</w:t>
            </w:r>
            <w:r w:rsidR="007F18CC" w:rsidRPr="0076589C">
              <w:rPr>
                <w:noProof/>
                <w:webHidden/>
              </w:rPr>
              <w:fldChar w:fldCharType="end"/>
            </w:r>
          </w:hyperlink>
        </w:p>
        <w:p w14:paraId="093CA010" w14:textId="7AE58DE3" w:rsidR="007F18CC" w:rsidRPr="0076589C" w:rsidRDefault="00000000">
          <w:pPr>
            <w:pStyle w:val="TDC3"/>
            <w:rPr>
              <w:rFonts w:asciiTheme="minorHAnsi" w:eastAsiaTheme="minorEastAsia" w:hAnsiTheme="minorHAnsi"/>
              <w:noProof/>
              <w:kern w:val="2"/>
              <w:sz w:val="22"/>
              <w:lang w:eastAsia="es-HN"/>
              <w14:ligatures w14:val="standardContextual"/>
            </w:rPr>
          </w:pPr>
          <w:hyperlink w:anchor="_Toc158365509" w:history="1">
            <w:r w:rsidR="007F18CC" w:rsidRPr="0076589C">
              <w:rPr>
                <w:rStyle w:val="Hipervnculo"/>
                <w:noProof/>
              </w:rPr>
              <w:t>3.4.4 PROCEDIMIENTOS</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_Toc158365509 \h </w:instrText>
            </w:r>
            <w:r w:rsidR="007F18CC" w:rsidRPr="0076589C">
              <w:rPr>
                <w:noProof/>
                <w:webHidden/>
              </w:rPr>
            </w:r>
            <w:r w:rsidR="007F18CC" w:rsidRPr="0076589C">
              <w:rPr>
                <w:noProof/>
                <w:webHidden/>
              </w:rPr>
              <w:fldChar w:fldCharType="separate"/>
            </w:r>
            <w:r w:rsidR="009F171A">
              <w:rPr>
                <w:noProof/>
                <w:webHidden/>
              </w:rPr>
              <w:t>70</w:t>
            </w:r>
            <w:r w:rsidR="007F18CC" w:rsidRPr="0076589C">
              <w:rPr>
                <w:noProof/>
                <w:webHidden/>
              </w:rPr>
              <w:fldChar w:fldCharType="end"/>
            </w:r>
          </w:hyperlink>
        </w:p>
        <w:p w14:paraId="75D52AD3" w14:textId="1DCED5F9"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510" w:history="1">
            <w:r w:rsidR="007F18CC" w:rsidRPr="0076589C">
              <w:rPr>
                <w:rStyle w:val="Hipervnculo"/>
                <w:rFonts w:eastAsiaTheme="majorEastAsia"/>
              </w:rPr>
              <w:t>3.5 FUENTES DE INFORMACIÓN</w:t>
            </w:r>
            <w:r w:rsidR="007F18CC" w:rsidRPr="0076589C">
              <w:rPr>
                <w:webHidden/>
              </w:rPr>
              <w:tab/>
            </w:r>
            <w:r w:rsidR="007F18CC" w:rsidRPr="0076589C">
              <w:rPr>
                <w:webHidden/>
              </w:rPr>
              <w:fldChar w:fldCharType="begin"/>
            </w:r>
            <w:r w:rsidR="007F18CC" w:rsidRPr="0076589C">
              <w:rPr>
                <w:webHidden/>
              </w:rPr>
              <w:instrText xml:space="preserve"> PAGEREF _Toc158365510 \h </w:instrText>
            </w:r>
            <w:r w:rsidR="007F18CC" w:rsidRPr="0076589C">
              <w:rPr>
                <w:webHidden/>
              </w:rPr>
            </w:r>
            <w:r w:rsidR="007F18CC" w:rsidRPr="0076589C">
              <w:rPr>
                <w:webHidden/>
              </w:rPr>
              <w:fldChar w:fldCharType="separate"/>
            </w:r>
            <w:r w:rsidR="009F171A">
              <w:rPr>
                <w:webHidden/>
              </w:rPr>
              <w:t>73</w:t>
            </w:r>
            <w:r w:rsidR="007F18CC" w:rsidRPr="0076589C">
              <w:rPr>
                <w:webHidden/>
              </w:rPr>
              <w:fldChar w:fldCharType="end"/>
            </w:r>
          </w:hyperlink>
        </w:p>
        <w:p w14:paraId="0DD8D685" w14:textId="73116157" w:rsidR="007F18CC" w:rsidRPr="0076589C" w:rsidRDefault="00000000">
          <w:pPr>
            <w:pStyle w:val="TDC3"/>
            <w:rPr>
              <w:rFonts w:asciiTheme="minorHAnsi" w:eastAsiaTheme="minorEastAsia" w:hAnsiTheme="minorHAnsi"/>
              <w:noProof/>
              <w:kern w:val="2"/>
              <w:sz w:val="22"/>
              <w:lang w:eastAsia="es-HN"/>
              <w14:ligatures w14:val="standardContextual"/>
            </w:rPr>
          </w:pPr>
          <w:hyperlink w:anchor="_Toc158365511" w:history="1">
            <w:r w:rsidR="007F18CC" w:rsidRPr="0076589C">
              <w:rPr>
                <w:rStyle w:val="Hipervnculo"/>
                <w:noProof/>
              </w:rPr>
              <w:t>3.5.1 FUENTES PRIMARIAS</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_Toc158365511 \h </w:instrText>
            </w:r>
            <w:r w:rsidR="007F18CC" w:rsidRPr="0076589C">
              <w:rPr>
                <w:noProof/>
                <w:webHidden/>
              </w:rPr>
            </w:r>
            <w:r w:rsidR="007F18CC" w:rsidRPr="0076589C">
              <w:rPr>
                <w:noProof/>
                <w:webHidden/>
              </w:rPr>
              <w:fldChar w:fldCharType="separate"/>
            </w:r>
            <w:r w:rsidR="009F171A">
              <w:rPr>
                <w:noProof/>
                <w:webHidden/>
              </w:rPr>
              <w:t>73</w:t>
            </w:r>
            <w:r w:rsidR="007F18CC" w:rsidRPr="0076589C">
              <w:rPr>
                <w:noProof/>
                <w:webHidden/>
              </w:rPr>
              <w:fldChar w:fldCharType="end"/>
            </w:r>
          </w:hyperlink>
        </w:p>
        <w:p w14:paraId="52AA5527" w14:textId="5C4AAF9B" w:rsidR="007F18CC" w:rsidRPr="0076589C" w:rsidRDefault="00000000">
          <w:pPr>
            <w:pStyle w:val="TDC3"/>
            <w:rPr>
              <w:rFonts w:asciiTheme="minorHAnsi" w:eastAsiaTheme="minorEastAsia" w:hAnsiTheme="minorHAnsi"/>
              <w:noProof/>
              <w:kern w:val="2"/>
              <w:sz w:val="22"/>
              <w:lang w:eastAsia="es-HN"/>
              <w14:ligatures w14:val="standardContextual"/>
            </w:rPr>
          </w:pPr>
          <w:hyperlink w:anchor="_Toc158365512" w:history="1">
            <w:r w:rsidR="007F18CC" w:rsidRPr="0076589C">
              <w:rPr>
                <w:rStyle w:val="Hipervnculo"/>
                <w:noProof/>
              </w:rPr>
              <w:t>3.5.2 FUENTES SECUNDARIAS</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_Toc158365512 \h </w:instrText>
            </w:r>
            <w:r w:rsidR="007F18CC" w:rsidRPr="0076589C">
              <w:rPr>
                <w:noProof/>
                <w:webHidden/>
              </w:rPr>
            </w:r>
            <w:r w:rsidR="007F18CC" w:rsidRPr="0076589C">
              <w:rPr>
                <w:noProof/>
                <w:webHidden/>
              </w:rPr>
              <w:fldChar w:fldCharType="separate"/>
            </w:r>
            <w:r w:rsidR="009F171A">
              <w:rPr>
                <w:noProof/>
                <w:webHidden/>
              </w:rPr>
              <w:t>73</w:t>
            </w:r>
            <w:r w:rsidR="007F18CC" w:rsidRPr="0076589C">
              <w:rPr>
                <w:noProof/>
                <w:webHidden/>
              </w:rPr>
              <w:fldChar w:fldCharType="end"/>
            </w:r>
          </w:hyperlink>
        </w:p>
        <w:p w14:paraId="6B9192C8" w14:textId="7C7234AE" w:rsidR="007F18CC" w:rsidRPr="0076589C" w:rsidRDefault="00000000">
          <w:pPr>
            <w:pStyle w:val="TDC1"/>
            <w:rPr>
              <w:rFonts w:asciiTheme="minorHAnsi" w:eastAsiaTheme="minorEastAsia" w:hAnsiTheme="minorHAnsi" w:cstheme="minorBidi"/>
              <w:b w:val="0"/>
              <w:bCs w:val="0"/>
              <w:kern w:val="2"/>
              <w:sz w:val="22"/>
              <w:lang w:eastAsia="es-HN"/>
              <w14:ligatures w14:val="standardContextual"/>
            </w:rPr>
          </w:pPr>
          <w:hyperlink w:anchor="_Toc158365513" w:history="1">
            <w:r w:rsidR="007F18CC" w:rsidRPr="0076589C">
              <w:rPr>
                <w:rStyle w:val="Hipervnculo"/>
                <w:rFonts w:eastAsiaTheme="majorEastAsia"/>
              </w:rPr>
              <w:t>CAPÍTULO IV. RESULTADOS Y ANÁLISIS</w:t>
            </w:r>
            <w:r w:rsidR="007F18CC" w:rsidRPr="0076589C">
              <w:rPr>
                <w:webHidden/>
              </w:rPr>
              <w:tab/>
            </w:r>
            <w:r w:rsidR="007F18CC" w:rsidRPr="0076589C">
              <w:rPr>
                <w:webHidden/>
              </w:rPr>
              <w:fldChar w:fldCharType="begin"/>
            </w:r>
            <w:r w:rsidR="007F18CC" w:rsidRPr="0076589C">
              <w:rPr>
                <w:webHidden/>
              </w:rPr>
              <w:instrText xml:space="preserve"> PAGEREF _Toc158365513 \h </w:instrText>
            </w:r>
            <w:r w:rsidR="007F18CC" w:rsidRPr="0076589C">
              <w:rPr>
                <w:webHidden/>
              </w:rPr>
            </w:r>
            <w:r w:rsidR="007F18CC" w:rsidRPr="0076589C">
              <w:rPr>
                <w:webHidden/>
              </w:rPr>
              <w:fldChar w:fldCharType="separate"/>
            </w:r>
            <w:r w:rsidR="009F171A">
              <w:rPr>
                <w:webHidden/>
              </w:rPr>
              <w:t>74</w:t>
            </w:r>
            <w:r w:rsidR="007F18CC" w:rsidRPr="0076589C">
              <w:rPr>
                <w:webHidden/>
              </w:rPr>
              <w:fldChar w:fldCharType="end"/>
            </w:r>
          </w:hyperlink>
        </w:p>
        <w:p w14:paraId="4AB8E5C9" w14:textId="180425B0"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514" w:history="1">
            <w:r w:rsidR="007F18CC" w:rsidRPr="0076589C">
              <w:rPr>
                <w:rStyle w:val="Hipervnculo"/>
                <w:rFonts w:eastAsiaTheme="majorEastAsia"/>
              </w:rPr>
              <w:t>4.1</w:t>
            </w:r>
            <w:r w:rsidR="007F18CC" w:rsidRPr="0076589C">
              <w:rPr>
                <w:rFonts w:asciiTheme="minorHAnsi" w:eastAsiaTheme="minorEastAsia" w:hAnsiTheme="minorHAnsi" w:cstheme="minorBidi"/>
                <w:b w:val="0"/>
                <w:bCs w:val="0"/>
                <w:kern w:val="2"/>
                <w:sz w:val="22"/>
                <w:lang w:eastAsia="es-HN"/>
                <w14:ligatures w14:val="standardContextual"/>
              </w:rPr>
              <w:tab/>
            </w:r>
            <w:r w:rsidR="007F18CC" w:rsidRPr="0076589C">
              <w:rPr>
                <w:rStyle w:val="Hipervnculo"/>
                <w:rFonts w:eastAsiaTheme="majorEastAsia"/>
              </w:rPr>
              <w:t>INFORME DE PROCESO DE RECOLECCIÓN DE DATO</w:t>
            </w:r>
            <w:r w:rsidR="007F18CC" w:rsidRPr="0076589C">
              <w:rPr>
                <w:webHidden/>
              </w:rPr>
              <w:tab/>
            </w:r>
            <w:r w:rsidR="007F18CC" w:rsidRPr="0076589C">
              <w:rPr>
                <w:webHidden/>
              </w:rPr>
              <w:fldChar w:fldCharType="begin"/>
            </w:r>
            <w:r w:rsidR="007F18CC" w:rsidRPr="0076589C">
              <w:rPr>
                <w:webHidden/>
              </w:rPr>
              <w:instrText xml:space="preserve"> PAGEREF _Toc158365514 \h </w:instrText>
            </w:r>
            <w:r w:rsidR="007F18CC" w:rsidRPr="0076589C">
              <w:rPr>
                <w:webHidden/>
              </w:rPr>
            </w:r>
            <w:r w:rsidR="007F18CC" w:rsidRPr="0076589C">
              <w:rPr>
                <w:webHidden/>
              </w:rPr>
              <w:fldChar w:fldCharType="separate"/>
            </w:r>
            <w:r w:rsidR="009F171A">
              <w:rPr>
                <w:webHidden/>
              </w:rPr>
              <w:t>74</w:t>
            </w:r>
            <w:r w:rsidR="007F18CC" w:rsidRPr="0076589C">
              <w:rPr>
                <w:webHidden/>
              </w:rPr>
              <w:fldChar w:fldCharType="end"/>
            </w:r>
          </w:hyperlink>
        </w:p>
        <w:p w14:paraId="325435D9" w14:textId="4BF77991"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515" w:history="1">
            <w:r w:rsidR="007F18CC" w:rsidRPr="0076589C">
              <w:rPr>
                <w:rStyle w:val="Hipervnculo"/>
                <w:rFonts w:eastAsiaTheme="majorEastAsia"/>
              </w:rPr>
              <w:t>4.2</w:t>
            </w:r>
            <w:r w:rsidR="007F18CC" w:rsidRPr="0076589C">
              <w:rPr>
                <w:rFonts w:asciiTheme="minorHAnsi" w:eastAsiaTheme="minorEastAsia" w:hAnsiTheme="minorHAnsi" w:cstheme="minorBidi"/>
                <w:b w:val="0"/>
                <w:bCs w:val="0"/>
                <w:kern w:val="2"/>
                <w:sz w:val="22"/>
                <w:lang w:eastAsia="es-HN"/>
                <w14:ligatures w14:val="standardContextual"/>
              </w:rPr>
              <w:tab/>
            </w:r>
            <w:r w:rsidR="007F18CC" w:rsidRPr="0076589C">
              <w:rPr>
                <w:rStyle w:val="Hipervnculo"/>
                <w:rFonts w:eastAsiaTheme="majorEastAsia"/>
              </w:rPr>
              <w:t>RESULTADOS Y ANÁLISIS DE LAS TÉCNICAS CUANTITATIVAS</w:t>
            </w:r>
            <w:r w:rsidR="007F18CC" w:rsidRPr="0076589C">
              <w:rPr>
                <w:webHidden/>
              </w:rPr>
              <w:tab/>
            </w:r>
            <w:r w:rsidR="007F18CC" w:rsidRPr="0076589C">
              <w:rPr>
                <w:webHidden/>
              </w:rPr>
              <w:fldChar w:fldCharType="begin"/>
            </w:r>
            <w:r w:rsidR="007F18CC" w:rsidRPr="0076589C">
              <w:rPr>
                <w:webHidden/>
              </w:rPr>
              <w:instrText xml:space="preserve"> PAGEREF _Toc158365515 \h </w:instrText>
            </w:r>
            <w:r w:rsidR="007F18CC" w:rsidRPr="0076589C">
              <w:rPr>
                <w:webHidden/>
              </w:rPr>
            </w:r>
            <w:r w:rsidR="007F18CC" w:rsidRPr="0076589C">
              <w:rPr>
                <w:webHidden/>
              </w:rPr>
              <w:fldChar w:fldCharType="separate"/>
            </w:r>
            <w:r w:rsidR="009F171A">
              <w:rPr>
                <w:webHidden/>
              </w:rPr>
              <w:t>75</w:t>
            </w:r>
            <w:r w:rsidR="007F18CC" w:rsidRPr="0076589C">
              <w:rPr>
                <w:webHidden/>
              </w:rPr>
              <w:fldChar w:fldCharType="end"/>
            </w:r>
          </w:hyperlink>
        </w:p>
        <w:p w14:paraId="63A299E6" w14:textId="3870E874"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516" w:history="1">
            <w:r w:rsidR="007F18CC" w:rsidRPr="0076589C">
              <w:rPr>
                <w:rStyle w:val="Hipervnculo"/>
                <w:noProof/>
              </w:rPr>
              <w:t>4.2.1</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ANÁLISIS DE SITUACIÓN FINANCIERA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_Toc158365516 \h </w:instrText>
            </w:r>
            <w:r w:rsidR="007F18CC" w:rsidRPr="0076589C">
              <w:rPr>
                <w:noProof/>
                <w:webHidden/>
              </w:rPr>
            </w:r>
            <w:r w:rsidR="007F18CC" w:rsidRPr="0076589C">
              <w:rPr>
                <w:noProof/>
                <w:webHidden/>
              </w:rPr>
              <w:fldChar w:fldCharType="separate"/>
            </w:r>
            <w:r w:rsidR="009F171A">
              <w:rPr>
                <w:noProof/>
                <w:webHidden/>
              </w:rPr>
              <w:t>76</w:t>
            </w:r>
            <w:r w:rsidR="007F18CC" w:rsidRPr="0076589C">
              <w:rPr>
                <w:noProof/>
                <w:webHidden/>
              </w:rPr>
              <w:fldChar w:fldCharType="end"/>
            </w:r>
          </w:hyperlink>
        </w:p>
        <w:p w14:paraId="6FF7051D" w14:textId="36C3FB83"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522" w:history="1">
            <w:r w:rsidR="007F18CC" w:rsidRPr="0076589C">
              <w:rPr>
                <w:rStyle w:val="Hipervnculo"/>
                <w:noProof/>
              </w:rPr>
              <w:t>4.2.2</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ANÁLISIS DE CARTERA DE CRÉDITO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_Toc158365522 \h </w:instrText>
            </w:r>
            <w:r w:rsidR="007F18CC" w:rsidRPr="0076589C">
              <w:rPr>
                <w:noProof/>
                <w:webHidden/>
              </w:rPr>
            </w:r>
            <w:r w:rsidR="007F18CC" w:rsidRPr="0076589C">
              <w:rPr>
                <w:noProof/>
                <w:webHidden/>
              </w:rPr>
              <w:fldChar w:fldCharType="separate"/>
            </w:r>
            <w:r w:rsidR="009F171A">
              <w:rPr>
                <w:noProof/>
                <w:webHidden/>
              </w:rPr>
              <w:t>92</w:t>
            </w:r>
            <w:r w:rsidR="007F18CC" w:rsidRPr="0076589C">
              <w:rPr>
                <w:noProof/>
                <w:webHidden/>
              </w:rPr>
              <w:fldChar w:fldCharType="end"/>
            </w:r>
          </w:hyperlink>
        </w:p>
        <w:p w14:paraId="728C0D56" w14:textId="39DFF7B9"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523" w:history="1">
            <w:r w:rsidR="007F18CC" w:rsidRPr="0076589C">
              <w:rPr>
                <w:rStyle w:val="Hipervnculo"/>
                <w:noProof/>
              </w:rPr>
              <w:t>4.2.3</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ANÁLISIS DE POLITICA DE CRÉDITO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_Toc158365523 \h </w:instrText>
            </w:r>
            <w:r w:rsidR="007F18CC" w:rsidRPr="0076589C">
              <w:rPr>
                <w:noProof/>
                <w:webHidden/>
              </w:rPr>
            </w:r>
            <w:r w:rsidR="007F18CC" w:rsidRPr="0076589C">
              <w:rPr>
                <w:noProof/>
                <w:webHidden/>
              </w:rPr>
              <w:fldChar w:fldCharType="separate"/>
            </w:r>
            <w:r w:rsidR="009F171A">
              <w:rPr>
                <w:noProof/>
                <w:webHidden/>
              </w:rPr>
              <w:t>95</w:t>
            </w:r>
            <w:r w:rsidR="007F18CC" w:rsidRPr="0076589C">
              <w:rPr>
                <w:noProof/>
                <w:webHidden/>
              </w:rPr>
              <w:fldChar w:fldCharType="end"/>
            </w:r>
          </w:hyperlink>
        </w:p>
        <w:p w14:paraId="01E89A5A" w14:textId="137B60E5"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524" w:history="1">
            <w:r w:rsidR="007F18CC" w:rsidRPr="0076589C">
              <w:rPr>
                <w:rStyle w:val="Hipervnculo"/>
                <w:noProof/>
              </w:rPr>
              <w:t>4.2.4</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ANÁLISIS DE POLITICA DE COBRANZA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_Toc158365524 \h </w:instrText>
            </w:r>
            <w:r w:rsidR="007F18CC" w:rsidRPr="0076589C">
              <w:rPr>
                <w:noProof/>
                <w:webHidden/>
              </w:rPr>
            </w:r>
            <w:r w:rsidR="007F18CC" w:rsidRPr="0076589C">
              <w:rPr>
                <w:noProof/>
                <w:webHidden/>
              </w:rPr>
              <w:fldChar w:fldCharType="separate"/>
            </w:r>
            <w:r w:rsidR="009F171A">
              <w:rPr>
                <w:noProof/>
                <w:webHidden/>
              </w:rPr>
              <w:t>100</w:t>
            </w:r>
            <w:r w:rsidR="007F18CC" w:rsidRPr="0076589C">
              <w:rPr>
                <w:noProof/>
                <w:webHidden/>
              </w:rPr>
              <w:fldChar w:fldCharType="end"/>
            </w:r>
          </w:hyperlink>
        </w:p>
        <w:p w14:paraId="537616C8" w14:textId="78157FD7"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525" w:history="1">
            <w:r w:rsidR="007F18CC" w:rsidRPr="0076589C">
              <w:rPr>
                <w:rStyle w:val="Hipervnculo"/>
                <w:noProof/>
              </w:rPr>
              <w:t>4.2.5</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ANÁLISIS DE INDICADORES FINANCIERO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_Toc158365525 \h </w:instrText>
            </w:r>
            <w:r w:rsidR="007F18CC" w:rsidRPr="0076589C">
              <w:rPr>
                <w:noProof/>
                <w:webHidden/>
              </w:rPr>
            </w:r>
            <w:r w:rsidR="007F18CC" w:rsidRPr="0076589C">
              <w:rPr>
                <w:noProof/>
                <w:webHidden/>
              </w:rPr>
              <w:fldChar w:fldCharType="separate"/>
            </w:r>
            <w:r w:rsidR="009F171A">
              <w:rPr>
                <w:noProof/>
                <w:webHidden/>
              </w:rPr>
              <w:t>110</w:t>
            </w:r>
            <w:r w:rsidR="007F18CC" w:rsidRPr="0076589C">
              <w:rPr>
                <w:noProof/>
                <w:webHidden/>
              </w:rPr>
              <w:fldChar w:fldCharType="end"/>
            </w:r>
          </w:hyperlink>
        </w:p>
        <w:p w14:paraId="7454D750" w14:textId="19BEB458"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526" w:history="1">
            <w:r w:rsidR="007F18CC" w:rsidRPr="0076589C">
              <w:rPr>
                <w:rStyle w:val="Hipervnculo"/>
                <w:noProof/>
              </w:rPr>
              <w:t>4.2.6</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TABLA RESUMEN DE RESULTADOS CUANTITATIVOS</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_Toc158365526 \h </w:instrText>
            </w:r>
            <w:r w:rsidR="007F18CC" w:rsidRPr="0076589C">
              <w:rPr>
                <w:noProof/>
                <w:webHidden/>
              </w:rPr>
            </w:r>
            <w:r w:rsidR="007F18CC" w:rsidRPr="0076589C">
              <w:rPr>
                <w:noProof/>
                <w:webHidden/>
              </w:rPr>
              <w:fldChar w:fldCharType="separate"/>
            </w:r>
            <w:r w:rsidR="009F171A">
              <w:rPr>
                <w:noProof/>
                <w:webHidden/>
              </w:rPr>
              <w:t>129</w:t>
            </w:r>
            <w:r w:rsidR="007F18CC" w:rsidRPr="0076589C">
              <w:rPr>
                <w:noProof/>
                <w:webHidden/>
              </w:rPr>
              <w:fldChar w:fldCharType="end"/>
            </w:r>
          </w:hyperlink>
        </w:p>
        <w:p w14:paraId="75D5150A" w14:textId="1C408AC6"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527" w:history="1">
            <w:r w:rsidR="007F18CC" w:rsidRPr="0076589C">
              <w:rPr>
                <w:rStyle w:val="Hipervnculo"/>
                <w:rFonts w:eastAsiaTheme="majorEastAsia"/>
              </w:rPr>
              <w:t>4.3</w:t>
            </w:r>
            <w:r w:rsidR="007F18CC" w:rsidRPr="0076589C">
              <w:rPr>
                <w:rFonts w:asciiTheme="minorHAnsi" w:eastAsiaTheme="minorEastAsia" w:hAnsiTheme="minorHAnsi" w:cstheme="minorBidi"/>
                <w:b w:val="0"/>
                <w:bCs w:val="0"/>
                <w:kern w:val="2"/>
                <w:sz w:val="22"/>
                <w:lang w:eastAsia="es-HN"/>
                <w14:ligatures w14:val="standardContextual"/>
              </w:rPr>
              <w:tab/>
            </w:r>
            <w:r w:rsidR="007F18CC" w:rsidRPr="0076589C">
              <w:rPr>
                <w:rStyle w:val="Hipervnculo"/>
                <w:rFonts w:eastAsiaTheme="majorEastAsia"/>
              </w:rPr>
              <w:t>RESULTADOS Y ANÁLISIS DE LAS TÉCNICAS CUALITATIVAS</w:t>
            </w:r>
            <w:r w:rsidR="007F18CC" w:rsidRPr="0076589C">
              <w:rPr>
                <w:webHidden/>
              </w:rPr>
              <w:tab/>
            </w:r>
            <w:r w:rsidR="007F18CC" w:rsidRPr="0076589C">
              <w:rPr>
                <w:webHidden/>
              </w:rPr>
              <w:fldChar w:fldCharType="begin"/>
            </w:r>
            <w:r w:rsidR="007F18CC" w:rsidRPr="0076589C">
              <w:rPr>
                <w:webHidden/>
              </w:rPr>
              <w:instrText xml:space="preserve"> PAGEREF _Toc158365527 \h </w:instrText>
            </w:r>
            <w:r w:rsidR="007F18CC" w:rsidRPr="0076589C">
              <w:rPr>
                <w:webHidden/>
              </w:rPr>
            </w:r>
            <w:r w:rsidR="007F18CC" w:rsidRPr="0076589C">
              <w:rPr>
                <w:webHidden/>
              </w:rPr>
              <w:fldChar w:fldCharType="separate"/>
            </w:r>
            <w:r w:rsidR="009F171A">
              <w:rPr>
                <w:webHidden/>
              </w:rPr>
              <w:t>130</w:t>
            </w:r>
            <w:r w:rsidR="007F18CC" w:rsidRPr="0076589C">
              <w:rPr>
                <w:webHidden/>
              </w:rPr>
              <w:fldChar w:fldCharType="end"/>
            </w:r>
          </w:hyperlink>
        </w:p>
        <w:p w14:paraId="0A951FF1" w14:textId="1011EE79"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528" w:history="1">
            <w:r w:rsidR="007F18CC" w:rsidRPr="0076589C">
              <w:rPr>
                <w:rStyle w:val="Hipervnculo"/>
                <w:noProof/>
              </w:rPr>
              <w:t>4.3.1</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ANÁLISIS DE CARTERA DE CRÉDITO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_Toc158365528 \h </w:instrText>
            </w:r>
            <w:r w:rsidR="007F18CC" w:rsidRPr="0076589C">
              <w:rPr>
                <w:noProof/>
                <w:webHidden/>
              </w:rPr>
            </w:r>
            <w:r w:rsidR="007F18CC" w:rsidRPr="0076589C">
              <w:rPr>
                <w:noProof/>
                <w:webHidden/>
              </w:rPr>
              <w:fldChar w:fldCharType="separate"/>
            </w:r>
            <w:r w:rsidR="009F171A">
              <w:rPr>
                <w:noProof/>
                <w:webHidden/>
              </w:rPr>
              <w:t>131</w:t>
            </w:r>
            <w:r w:rsidR="007F18CC" w:rsidRPr="0076589C">
              <w:rPr>
                <w:noProof/>
                <w:webHidden/>
              </w:rPr>
              <w:fldChar w:fldCharType="end"/>
            </w:r>
          </w:hyperlink>
        </w:p>
        <w:p w14:paraId="15F7050B" w14:textId="74264519"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529" w:history="1">
            <w:r w:rsidR="007F18CC" w:rsidRPr="0076589C">
              <w:rPr>
                <w:rStyle w:val="Hipervnculo"/>
                <w:noProof/>
              </w:rPr>
              <w:t>4.3.2</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ANÁLISIS DE POLÍTICA DE CRÉDITO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_Toc158365529 \h </w:instrText>
            </w:r>
            <w:r w:rsidR="007F18CC" w:rsidRPr="0076589C">
              <w:rPr>
                <w:noProof/>
                <w:webHidden/>
              </w:rPr>
            </w:r>
            <w:r w:rsidR="007F18CC" w:rsidRPr="0076589C">
              <w:rPr>
                <w:noProof/>
                <w:webHidden/>
              </w:rPr>
              <w:fldChar w:fldCharType="separate"/>
            </w:r>
            <w:r w:rsidR="009F171A">
              <w:rPr>
                <w:noProof/>
                <w:webHidden/>
              </w:rPr>
              <w:t>132</w:t>
            </w:r>
            <w:r w:rsidR="007F18CC" w:rsidRPr="0076589C">
              <w:rPr>
                <w:noProof/>
                <w:webHidden/>
              </w:rPr>
              <w:fldChar w:fldCharType="end"/>
            </w:r>
          </w:hyperlink>
        </w:p>
        <w:p w14:paraId="40893C15" w14:textId="5AAC9074"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530" w:history="1">
            <w:r w:rsidR="007F18CC" w:rsidRPr="0076589C">
              <w:rPr>
                <w:rStyle w:val="Hipervnculo"/>
                <w:noProof/>
              </w:rPr>
              <w:t>4.3.3</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ANÁLISIS DE POLITICA DE COBRANZA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_Toc158365530 \h </w:instrText>
            </w:r>
            <w:r w:rsidR="007F18CC" w:rsidRPr="0076589C">
              <w:rPr>
                <w:noProof/>
                <w:webHidden/>
              </w:rPr>
            </w:r>
            <w:r w:rsidR="007F18CC" w:rsidRPr="0076589C">
              <w:rPr>
                <w:noProof/>
                <w:webHidden/>
              </w:rPr>
              <w:fldChar w:fldCharType="separate"/>
            </w:r>
            <w:r w:rsidR="009F171A">
              <w:rPr>
                <w:noProof/>
                <w:webHidden/>
              </w:rPr>
              <w:t>134</w:t>
            </w:r>
            <w:r w:rsidR="007F18CC" w:rsidRPr="0076589C">
              <w:rPr>
                <w:noProof/>
                <w:webHidden/>
              </w:rPr>
              <w:fldChar w:fldCharType="end"/>
            </w:r>
          </w:hyperlink>
        </w:p>
        <w:p w14:paraId="6BD2B73C" w14:textId="7D94019F" w:rsidR="007F18CC" w:rsidRPr="0076589C" w:rsidRDefault="00000000">
          <w:pPr>
            <w:pStyle w:val="TDC1"/>
            <w:rPr>
              <w:rFonts w:asciiTheme="minorHAnsi" w:eastAsiaTheme="minorEastAsia" w:hAnsiTheme="minorHAnsi" w:cstheme="minorBidi"/>
              <w:b w:val="0"/>
              <w:bCs w:val="0"/>
              <w:kern w:val="2"/>
              <w:sz w:val="22"/>
              <w:lang w:eastAsia="es-HN"/>
              <w14:ligatures w14:val="standardContextual"/>
            </w:rPr>
          </w:pPr>
          <w:hyperlink w:anchor="_Toc158365531" w:history="1">
            <w:r w:rsidR="007F18CC" w:rsidRPr="0076589C">
              <w:rPr>
                <w:rStyle w:val="Hipervnculo"/>
                <w:rFonts w:eastAsiaTheme="majorEastAsia"/>
              </w:rPr>
              <w:t>CAPÍTULO V. CONCLUSIONES Y RECOMENDACIONES</w:t>
            </w:r>
            <w:r w:rsidR="007F18CC" w:rsidRPr="0076589C">
              <w:rPr>
                <w:webHidden/>
              </w:rPr>
              <w:tab/>
            </w:r>
            <w:r w:rsidR="007F18CC" w:rsidRPr="0076589C">
              <w:rPr>
                <w:webHidden/>
              </w:rPr>
              <w:fldChar w:fldCharType="begin"/>
            </w:r>
            <w:r w:rsidR="007F18CC" w:rsidRPr="0076589C">
              <w:rPr>
                <w:webHidden/>
              </w:rPr>
              <w:instrText xml:space="preserve"> PAGEREF _Toc158365531 \h </w:instrText>
            </w:r>
            <w:r w:rsidR="007F18CC" w:rsidRPr="0076589C">
              <w:rPr>
                <w:webHidden/>
              </w:rPr>
            </w:r>
            <w:r w:rsidR="007F18CC" w:rsidRPr="0076589C">
              <w:rPr>
                <w:webHidden/>
              </w:rPr>
              <w:fldChar w:fldCharType="separate"/>
            </w:r>
            <w:r w:rsidR="009F171A">
              <w:rPr>
                <w:webHidden/>
              </w:rPr>
              <w:t>138</w:t>
            </w:r>
            <w:r w:rsidR="007F18CC" w:rsidRPr="0076589C">
              <w:rPr>
                <w:webHidden/>
              </w:rPr>
              <w:fldChar w:fldCharType="end"/>
            </w:r>
          </w:hyperlink>
        </w:p>
        <w:p w14:paraId="0DCC6F30" w14:textId="0D4634ED"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532" w:history="1">
            <w:r w:rsidR="007F18CC" w:rsidRPr="0076589C">
              <w:rPr>
                <w:rStyle w:val="Hipervnculo"/>
                <w:rFonts w:eastAsiaTheme="majorEastAsia"/>
              </w:rPr>
              <w:t>5.1</w:t>
            </w:r>
            <w:r w:rsidR="007F18CC" w:rsidRPr="0076589C">
              <w:rPr>
                <w:rFonts w:asciiTheme="minorHAnsi" w:eastAsiaTheme="minorEastAsia" w:hAnsiTheme="minorHAnsi" w:cstheme="minorBidi"/>
                <w:b w:val="0"/>
                <w:bCs w:val="0"/>
                <w:kern w:val="2"/>
                <w:sz w:val="22"/>
                <w:lang w:eastAsia="es-HN"/>
                <w14:ligatures w14:val="standardContextual"/>
              </w:rPr>
              <w:tab/>
            </w:r>
            <w:r w:rsidR="007F18CC" w:rsidRPr="0076589C">
              <w:rPr>
                <w:rStyle w:val="Hipervnculo"/>
                <w:rFonts w:eastAsiaTheme="majorEastAsia"/>
              </w:rPr>
              <w:t>CONCLUSIONES</w:t>
            </w:r>
            <w:r w:rsidR="007F18CC" w:rsidRPr="0076589C">
              <w:rPr>
                <w:webHidden/>
              </w:rPr>
              <w:tab/>
            </w:r>
            <w:r w:rsidR="007F18CC" w:rsidRPr="0076589C">
              <w:rPr>
                <w:webHidden/>
              </w:rPr>
              <w:fldChar w:fldCharType="begin"/>
            </w:r>
            <w:r w:rsidR="007F18CC" w:rsidRPr="0076589C">
              <w:rPr>
                <w:webHidden/>
              </w:rPr>
              <w:instrText xml:space="preserve"> PAGEREF _Toc158365532 \h </w:instrText>
            </w:r>
            <w:r w:rsidR="007F18CC" w:rsidRPr="0076589C">
              <w:rPr>
                <w:webHidden/>
              </w:rPr>
            </w:r>
            <w:r w:rsidR="007F18CC" w:rsidRPr="0076589C">
              <w:rPr>
                <w:webHidden/>
              </w:rPr>
              <w:fldChar w:fldCharType="separate"/>
            </w:r>
            <w:r w:rsidR="009F171A">
              <w:rPr>
                <w:webHidden/>
              </w:rPr>
              <w:t>138</w:t>
            </w:r>
            <w:r w:rsidR="007F18CC" w:rsidRPr="0076589C">
              <w:rPr>
                <w:webHidden/>
              </w:rPr>
              <w:fldChar w:fldCharType="end"/>
            </w:r>
          </w:hyperlink>
        </w:p>
        <w:p w14:paraId="76D2379C" w14:textId="32BDAC45"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533" w:history="1">
            <w:r w:rsidR="007F18CC" w:rsidRPr="0076589C">
              <w:rPr>
                <w:rStyle w:val="Hipervnculo"/>
                <w:rFonts w:eastAsiaTheme="majorEastAsia"/>
              </w:rPr>
              <w:t>5.2</w:t>
            </w:r>
            <w:r w:rsidR="007F18CC" w:rsidRPr="0076589C">
              <w:rPr>
                <w:rFonts w:asciiTheme="minorHAnsi" w:eastAsiaTheme="minorEastAsia" w:hAnsiTheme="minorHAnsi" w:cstheme="minorBidi"/>
                <w:b w:val="0"/>
                <w:bCs w:val="0"/>
                <w:kern w:val="2"/>
                <w:sz w:val="22"/>
                <w:lang w:eastAsia="es-HN"/>
                <w14:ligatures w14:val="standardContextual"/>
              </w:rPr>
              <w:tab/>
            </w:r>
            <w:r w:rsidR="007F18CC" w:rsidRPr="0076589C">
              <w:rPr>
                <w:rStyle w:val="Hipervnculo"/>
                <w:rFonts w:eastAsiaTheme="majorEastAsia"/>
              </w:rPr>
              <w:t>RECOMENDACIONES</w:t>
            </w:r>
            <w:r w:rsidR="007F18CC" w:rsidRPr="0076589C">
              <w:rPr>
                <w:webHidden/>
              </w:rPr>
              <w:tab/>
            </w:r>
            <w:r w:rsidR="007F18CC" w:rsidRPr="0076589C">
              <w:rPr>
                <w:webHidden/>
              </w:rPr>
              <w:fldChar w:fldCharType="begin"/>
            </w:r>
            <w:r w:rsidR="007F18CC" w:rsidRPr="0076589C">
              <w:rPr>
                <w:webHidden/>
              </w:rPr>
              <w:instrText xml:space="preserve"> PAGEREF _Toc158365533 \h </w:instrText>
            </w:r>
            <w:r w:rsidR="007F18CC" w:rsidRPr="0076589C">
              <w:rPr>
                <w:webHidden/>
              </w:rPr>
            </w:r>
            <w:r w:rsidR="007F18CC" w:rsidRPr="0076589C">
              <w:rPr>
                <w:webHidden/>
              </w:rPr>
              <w:fldChar w:fldCharType="separate"/>
            </w:r>
            <w:r w:rsidR="009F171A">
              <w:rPr>
                <w:webHidden/>
              </w:rPr>
              <w:t>140</w:t>
            </w:r>
            <w:r w:rsidR="007F18CC" w:rsidRPr="0076589C">
              <w:rPr>
                <w:webHidden/>
              </w:rPr>
              <w:fldChar w:fldCharType="end"/>
            </w:r>
          </w:hyperlink>
        </w:p>
        <w:p w14:paraId="79AC5E32" w14:textId="1605F912" w:rsidR="007F18CC" w:rsidRPr="0076589C" w:rsidRDefault="00000000">
          <w:pPr>
            <w:pStyle w:val="TDC1"/>
            <w:rPr>
              <w:rFonts w:asciiTheme="minorHAnsi" w:eastAsiaTheme="minorEastAsia" w:hAnsiTheme="minorHAnsi" w:cstheme="minorBidi"/>
              <w:b w:val="0"/>
              <w:bCs w:val="0"/>
              <w:kern w:val="2"/>
              <w:sz w:val="22"/>
              <w:lang w:eastAsia="es-HN"/>
              <w14:ligatures w14:val="standardContextual"/>
            </w:rPr>
          </w:pPr>
          <w:hyperlink w:anchor="_Toc158365534" w:history="1">
            <w:r w:rsidR="007F18CC" w:rsidRPr="0076589C">
              <w:rPr>
                <w:rStyle w:val="Hipervnculo"/>
                <w:rFonts w:eastAsiaTheme="majorEastAsia"/>
              </w:rPr>
              <w:t>CAPÍTULO VI. APLICABILIDAD</w:t>
            </w:r>
            <w:r w:rsidR="007F18CC" w:rsidRPr="0076589C">
              <w:rPr>
                <w:webHidden/>
              </w:rPr>
              <w:tab/>
            </w:r>
            <w:r w:rsidR="007F18CC" w:rsidRPr="0076589C">
              <w:rPr>
                <w:webHidden/>
              </w:rPr>
              <w:fldChar w:fldCharType="begin"/>
            </w:r>
            <w:r w:rsidR="007F18CC" w:rsidRPr="0076589C">
              <w:rPr>
                <w:webHidden/>
              </w:rPr>
              <w:instrText xml:space="preserve"> PAGEREF _Toc158365534 \h </w:instrText>
            </w:r>
            <w:r w:rsidR="007F18CC" w:rsidRPr="0076589C">
              <w:rPr>
                <w:webHidden/>
              </w:rPr>
            </w:r>
            <w:r w:rsidR="007F18CC" w:rsidRPr="0076589C">
              <w:rPr>
                <w:webHidden/>
              </w:rPr>
              <w:fldChar w:fldCharType="separate"/>
            </w:r>
            <w:r w:rsidR="009F171A">
              <w:rPr>
                <w:webHidden/>
              </w:rPr>
              <w:t>143</w:t>
            </w:r>
            <w:r w:rsidR="007F18CC" w:rsidRPr="0076589C">
              <w:rPr>
                <w:webHidden/>
              </w:rPr>
              <w:fldChar w:fldCharType="end"/>
            </w:r>
          </w:hyperlink>
        </w:p>
        <w:p w14:paraId="64A68E30" w14:textId="32B6A0FB"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535" w:history="1">
            <w:r w:rsidR="007F18CC" w:rsidRPr="0076589C">
              <w:rPr>
                <w:rStyle w:val="Hipervnculo"/>
                <w:rFonts w:eastAsiaTheme="majorEastAsia"/>
              </w:rPr>
              <w:t>6.1</w:t>
            </w:r>
            <w:r w:rsidR="007F18CC" w:rsidRPr="0076589C">
              <w:rPr>
                <w:rFonts w:asciiTheme="minorHAnsi" w:eastAsiaTheme="minorEastAsia" w:hAnsiTheme="minorHAnsi" w:cstheme="minorBidi"/>
                <w:b w:val="0"/>
                <w:bCs w:val="0"/>
                <w:kern w:val="2"/>
                <w:sz w:val="22"/>
                <w:lang w:eastAsia="es-HN"/>
                <w14:ligatures w14:val="standardContextual"/>
              </w:rPr>
              <w:tab/>
            </w:r>
            <w:r w:rsidR="007F18CC" w:rsidRPr="0076589C">
              <w:rPr>
                <w:rStyle w:val="Hipervnculo"/>
                <w:rFonts w:eastAsiaTheme="majorEastAsia"/>
              </w:rPr>
              <w:t>NOMBRE DE LA PROPUESTA</w:t>
            </w:r>
            <w:r w:rsidR="007F18CC" w:rsidRPr="0076589C">
              <w:rPr>
                <w:webHidden/>
              </w:rPr>
              <w:tab/>
            </w:r>
            <w:r w:rsidR="007F18CC" w:rsidRPr="0076589C">
              <w:rPr>
                <w:webHidden/>
              </w:rPr>
              <w:fldChar w:fldCharType="begin"/>
            </w:r>
            <w:r w:rsidR="007F18CC" w:rsidRPr="0076589C">
              <w:rPr>
                <w:webHidden/>
              </w:rPr>
              <w:instrText xml:space="preserve"> PAGEREF _Toc158365535 \h </w:instrText>
            </w:r>
            <w:r w:rsidR="007F18CC" w:rsidRPr="0076589C">
              <w:rPr>
                <w:webHidden/>
              </w:rPr>
            </w:r>
            <w:r w:rsidR="007F18CC" w:rsidRPr="0076589C">
              <w:rPr>
                <w:webHidden/>
              </w:rPr>
              <w:fldChar w:fldCharType="separate"/>
            </w:r>
            <w:r w:rsidR="009F171A">
              <w:rPr>
                <w:webHidden/>
              </w:rPr>
              <w:t>143</w:t>
            </w:r>
            <w:r w:rsidR="007F18CC" w:rsidRPr="0076589C">
              <w:rPr>
                <w:webHidden/>
              </w:rPr>
              <w:fldChar w:fldCharType="end"/>
            </w:r>
          </w:hyperlink>
        </w:p>
        <w:p w14:paraId="64A9A22C" w14:textId="7DBEE7CD"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536" w:history="1">
            <w:r w:rsidR="007F18CC" w:rsidRPr="0076589C">
              <w:rPr>
                <w:rStyle w:val="Hipervnculo"/>
                <w:rFonts w:eastAsiaTheme="majorEastAsia"/>
              </w:rPr>
              <w:t>6.2</w:t>
            </w:r>
            <w:r w:rsidR="007F18CC" w:rsidRPr="0076589C">
              <w:rPr>
                <w:rFonts w:asciiTheme="minorHAnsi" w:eastAsiaTheme="minorEastAsia" w:hAnsiTheme="minorHAnsi" w:cstheme="minorBidi"/>
                <w:b w:val="0"/>
                <w:bCs w:val="0"/>
                <w:kern w:val="2"/>
                <w:sz w:val="22"/>
                <w:lang w:eastAsia="es-HN"/>
                <w14:ligatures w14:val="standardContextual"/>
              </w:rPr>
              <w:tab/>
            </w:r>
            <w:r w:rsidR="007F18CC" w:rsidRPr="0076589C">
              <w:rPr>
                <w:rStyle w:val="Hipervnculo"/>
                <w:rFonts w:eastAsiaTheme="majorEastAsia"/>
              </w:rPr>
              <w:t>JUSTIFICACIÓN DE LA PROPUESTA</w:t>
            </w:r>
            <w:r w:rsidR="007F18CC" w:rsidRPr="0076589C">
              <w:rPr>
                <w:webHidden/>
              </w:rPr>
              <w:tab/>
            </w:r>
            <w:r w:rsidR="007F18CC" w:rsidRPr="0076589C">
              <w:rPr>
                <w:webHidden/>
              </w:rPr>
              <w:fldChar w:fldCharType="begin"/>
            </w:r>
            <w:r w:rsidR="007F18CC" w:rsidRPr="0076589C">
              <w:rPr>
                <w:webHidden/>
              </w:rPr>
              <w:instrText xml:space="preserve"> PAGEREF _Toc158365536 \h </w:instrText>
            </w:r>
            <w:r w:rsidR="007F18CC" w:rsidRPr="0076589C">
              <w:rPr>
                <w:webHidden/>
              </w:rPr>
            </w:r>
            <w:r w:rsidR="007F18CC" w:rsidRPr="0076589C">
              <w:rPr>
                <w:webHidden/>
              </w:rPr>
              <w:fldChar w:fldCharType="separate"/>
            </w:r>
            <w:r w:rsidR="009F171A">
              <w:rPr>
                <w:webHidden/>
              </w:rPr>
              <w:t>143</w:t>
            </w:r>
            <w:r w:rsidR="007F18CC" w:rsidRPr="0076589C">
              <w:rPr>
                <w:webHidden/>
              </w:rPr>
              <w:fldChar w:fldCharType="end"/>
            </w:r>
          </w:hyperlink>
        </w:p>
        <w:p w14:paraId="5ABF70E9" w14:textId="78461DF1"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537" w:history="1">
            <w:r w:rsidR="007F18CC" w:rsidRPr="0076589C">
              <w:rPr>
                <w:rStyle w:val="Hipervnculo"/>
                <w:rFonts w:eastAsiaTheme="majorEastAsia"/>
              </w:rPr>
              <w:t>6.3</w:t>
            </w:r>
            <w:r w:rsidR="007F18CC" w:rsidRPr="0076589C">
              <w:rPr>
                <w:rFonts w:asciiTheme="minorHAnsi" w:eastAsiaTheme="minorEastAsia" w:hAnsiTheme="minorHAnsi" w:cstheme="minorBidi"/>
                <w:b w:val="0"/>
                <w:bCs w:val="0"/>
                <w:kern w:val="2"/>
                <w:sz w:val="22"/>
                <w:lang w:eastAsia="es-HN"/>
                <w14:ligatures w14:val="standardContextual"/>
              </w:rPr>
              <w:tab/>
            </w:r>
            <w:r w:rsidR="007F18CC" w:rsidRPr="0076589C">
              <w:rPr>
                <w:rStyle w:val="Hipervnculo"/>
                <w:rFonts w:eastAsiaTheme="majorEastAsia"/>
              </w:rPr>
              <w:t>ALCANCE DE LA PROPUESTA</w:t>
            </w:r>
            <w:r w:rsidR="007F18CC" w:rsidRPr="0076589C">
              <w:rPr>
                <w:webHidden/>
              </w:rPr>
              <w:tab/>
            </w:r>
            <w:r w:rsidR="007F18CC" w:rsidRPr="0076589C">
              <w:rPr>
                <w:webHidden/>
              </w:rPr>
              <w:fldChar w:fldCharType="begin"/>
            </w:r>
            <w:r w:rsidR="007F18CC" w:rsidRPr="0076589C">
              <w:rPr>
                <w:webHidden/>
              </w:rPr>
              <w:instrText xml:space="preserve"> PAGEREF _Toc158365537 \h </w:instrText>
            </w:r>
            <w:r w:rsidR="007F18CC" w:rsidRPr="0076589C">
              <w:rPr>
                <w:webHidden/>
              </w:rPr>
            </w:r>
            <w:r w:rsidR="007F18CC" w:rsidRPr="0076589C">
              <w:rPr>
                <w:webHidden/>
              </w:rPr>
              <w:fldChar w:fldCharType="separate"/>
            </w:r>
            <w:r w:rsidR="009F171A">
              <w:rPr>
                <w:webHidden/>
              </w:rPr>
              <w:t>144</w:t>
            </w:r>
            <w:r w:rsidR="007F18CC" w:rsidRPr="0076589C">
              <w:rPr>
                <w:webHidden/>
              </w:rPr>
              <w:fldChar w:fldCharType="end"/>
            </w:r>
          </w:hyperlink>
        </w:p>
        <w:p w14:paraId="7D5B8F4E" w14:textId="19F640C2" w:rsidR="007F18CC" w:rsidRPr="0076589C" w:rsidRDefault="00000000">
          <w:pPr>
            <w:pStyle w:val="TDC3"/>
            <w:rPr>
              <w:rFonts w:asciiTheme="minorHAnsi" w:eastAsiaTheme="minorEastAsia" w:hAnsiTheme="minorHAnsi"/>
              <w:noProof/>
              <w:kern w:val="2"/>
              <w:sz w:val="22"/>
              <w:lang w:eastAsia="es-HN"/>
              <w14:ligatures w14:val="standardContextual"/>
            </w:rPr>
          </w:pPr>
          <w:hyperlink w:anchor="_Toc158365538" w:history="1">
            <w:r w:rsidR="007F18CC" w:rsidRPr="0076589C">
              <w:rPr>
                <w:rStyle w:val="Hipervnculo"/>
                <w:noProof/>
              </w:rPr>
              <w:t>6.3.1 OBJETIVOS DE LA PROPUESTA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_Toc158365538 \h </w:instrText>
            </w:r>
            <w:r w:rsidR="007F18CC" w:rsidRPr="0076589C">
              <w:rPr>
                <w:noProof/>
                <w:webHidden/>
              </w:rPr>
            </w:r>
            <w:r w:rsidR="007F18CC" w:rsidRPr="0076589C">
              <w:rPr>
                <w:noProof/>
                <w:webHidden/>
              </w:rPr>
              <w:fldChar w:fldCharType="separate"/>
            </w:r>
            <w:r w:rsidR="009F171A">
              <w:rPr>
                <w:noProof/>
                <w:webHidden/>
              </w:rPr>
              <w:t>145</w:t>
            </w:r>
            <w:r w:rsidR="007F18CC" w:rsidRPr="0076589C">
              <w:rPr>
                <w:noProof/>
                <w:webHidden/>
              </w:rPr>
              <w:fldChar w:fldCharType="end"/>
            </w:r>
          </w:hyperlink>
        </w:p>
        <w:p w14:paraId="3C959C6C" w14:textId="1FEBA882"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539" w:history="1">
            <w:r w:rsidR="007F18CC" w:rsidRPr="0076589C">
              <w:rPr>
                <w:rStyle w:val="Hipervnculo"/>
                <w:rFonts w:eastAsiaTheme="majorEastAsia"/>
              </w:rPr>
              <w:t>6.4</w:t>
            </w:r>
            <w:r w:rsidR="007F18CC" w:rsidRPr="0076589C">
              <w:rPr>
                <w:rFonts w:asciiTheme="minorHAnsi" w:eastAsiaTheme="minorEastAsia" w:hAnsiTheme="minorHAnsi" w:cstheme="minorBidi"/>
                <w:b w:val="0"/>
                <w:bCs w:val="0"/>
                <w:kern w:val="2"/>
                <w:sz w:val="22"/>
                <w:lang w:eastAsia="es-HN"/>
                <w14:ligatures w14:val="standardContextual"/>
              </w:rPr>
              <w:tab/>
            </w:r>
            <w:r w:rsidR="007F18CC" w:rsidRPr="0076589C">
              <w:rPr>
                <w:rStyle w:val="Hipervnculo"/>
                <w:rFonts w:eastAsiaTheme="majorEastAsia"/>
              </w:rPr>
              <w:t>DESCRIPCIÓN Y DESARROLLO</w:t>
            </w:r>
            <w:r w:rsidR="007F18CC" w:rsidRPr="0076589C">
              <w:rPr>
                <w:webHidden/>
              </w:rPr>
              <w:tab/>
            </w:r>
            <w:r w:rsidR="007F18CC" w:rsidRPr="0076589C">
              <w:rPr>
                <w:webHidden/>
              </w:rPr>
              <w:fldChar w:fldCharType="begin"/>
            </w:r>
            <w:r w:rsidR="007F18CC" w:rsidRPr="0076589C">
              <w:rPr>
                <w:webHidden/>
              </w:rPr>
              <w:instrText xml:space="preserve"> PAGEREF _Toc158365539 \h </w:instrText>
            </w:r>
            <w:r w:rsidR="007F18CC" w:rsidRPr="0076589C">
              <w:rPr>
                <w:webHidden/>
              </w:rPr>
            </w:r>
            <w:r w:rsidR="007F18CC" w:rsidRPr="0076589C">
              <w:rPr>
                <w:webHidden/>
              </w:rPr>
              <w:fldChar w:fldCharType="separate"/>
            </w:r>
            <w:r w:rsidR="009F171A">
              <w:rPr>
                <w:webHidden/>
              </w:rPr>
              <w:t>145</w:t>
            </w:r>
            <w:r w:rsidR="007F18CC" w:rsidRPr="0076589C">
              <w:rPr>
                <w:webHidden/>
              </w:rPr>
              <w:fldChar w:fldCharType="end"/>
            </w:r>
          </w:hyperlink>
        </w:p>
        <w:p w14:paraId="529EA317" w14:textId="2236AC7C" w:rsidR="007F18CC" w:rsidRPr="0076589C" w:rsidRDefault="00000000">
          <w:pPr>
            <w:pStyle w:val="TDC3"/>
            <w:rPr>
              <w:rFonts w:asciiTheme="minorHAnsi" w:eastAsiaTheme="minorEastAsia" w:hAnsiTheme="minorHAnsi"/>
              <w:noProof/>
              <w:kern w:val="2"/>
              <w:sz w:val="22"/>
              <w:lang w:eastAsia="es-HN"/>
              <w14:ligatures w14:val="standardContextual"/>
            </w:rPr>
          </w:pPr>
          <w:hyperlink w:anchor="_Toc158365540" w:history="1">
            <w:r w:rsidR="007F18CC" w:rsidRPr="0076589C">
              <w:rPr>
                <w:rStyle w:val="Hipervnculo"/>
                <w:noProof/>
              </w:rPr>
              <w:t>6.4.1 DESCRIPCIÓN CLARA DEL “QUÉ” Y “CÓMO” LO HARÁN</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_Toc158365540 \h </w:instrText>
            </w:r>
            <w:r w:rsidR="007F18CC" w:rsidRPr="0076589C">
              <w:rPr>
                <w:noProof/>
                <w:webHidden/>
              </w:rPr>
            </w:r>
            <w:r w:rsidR="007F18CC" w:rsidRPr="0076589C">
              <w:rPr>
                <w:noProof/>
                <w:webHidden/>
              </w:rPr>
              <w:fldChar w:fldCharType="separate"/>
            </w:r>
            <w:r w:rsidR="009F171A">
              <w:rPr>
                <w:noProof/>
                <w:webHidden/>
              </w:rPr>
              <w:t>145</w:t>
            </w:r>
            <w:r w:rsidR="007F18CC" w:rsidRPr="0076589C">
              <w:rPr>
                <w:noProof/>
                <w:webHidden/>
              </w:rPr>
              <w:fldChar w:fldCharType="end"/>
            </w:r>
          </w:hyperlink>
        </w:p>
        <w:p w14:paraId="2AE38A9D" w14:textId="298429EE" w:rsidR="007F18CC" w:rsidRPr="0076589C" w:rsidRDefault="00000000">
          <w:pPr>
            <w:pStyle w:val="TDC3"/>
            <w:rPr>
              <w:rFonts w:asciiTheme="minorHAnsi" w:eastAsiaTheme="minorEastAsia" w:hAnsiTheme="minorHAnsi"/>
              <w:noProof/>
              <w:kern w:val="2"/>
              <w:sz w:val="22"/>
              <w:lang w:eastAsia="es-HN"/>
              <w14:ligatures w14:val="standardContextual"/>
            </w:rPr>
          </w:pPr>
          <w:hyperlink w:anchor="_Toc158365541" w:history="1">
            <w:r w:rsidR="007F18CC" w:rsidRPr="0076589C">
              <w:rPr>
                <w:rStyle w:val="Hipervnculo"/>
                <w:noProof/>
              </w:rPr>
              <w:t>6.4.2 DESARROLLO DE TODOS LOS ELEMENTOS NECESARIOS DE LA PROPUESTA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_Toc158365541 \h </w:instrText>
            </w:r>
            <w:r w:rsidR="007F18CC" w:rsidRPr="0076589C">
              <w:rPr>
                <w:noProof/>
                <w:webHidden/>
              </w:rPr>
            </w:r>
            <w:r w:rsidR="007F18CC" w:rsidRPr="0076589C">
              <w:rPr>
                <w:noProof/>
                <w:webHidden/>
              </w:rPr>
              <w:fldChar w:fldCharType="separate"/>
            </w:r>
            <w:r w:rsidR="009F171A">
              <w:rPr>
                <w:noProof/>
                <w:webHidden/>
              </w:rPr>
              <w:t>146</w:t>
            </w:r>
            <w:r w:rsidR="007F18CC" w:rsidRPr="0076589C">
              <w:rPr>
                <w:noProof/>
                <w:webHidden/>
              </w:rPr>
              <w:fldChar w:fldCharType="end"/>
            </w:r>
          </w:hyperlink>
        </w:p>
        <w:p w14:paraId="76497A08" w14:textId="6D968BF7"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542" w:history="1">
            <w:r w:rsidR="007F18CC" w:rsidRPr="0076589C">
              <w:rPr>
                <w:rStyle w:val="Hipervnculo"/>
                <w:rFonts w:eastAsiaTheme="majorEastAsia"/>
              </w:rPr>
              <w:t>6.5</w:t>
            </w:r>
            <w:r w:rsidR="007F18CC" w:rsidRPr="0076589C">
              <w:rPr>
                <w:rFonts w:asciiTheme="minorHAnsi" w:eastAsiaTheme="minorEastAsia" w:hAnsiTheme="minorHAnsi" w:cstheme="minorBidi"/>
                <w:b w:val="0"/>
                <w:bCs w:val="0"/>
                <w:kern w:val="2"/>
                <w:sz w:val="22"/>
                <w:lang w:eastAsia="es-HN"/>
                <w14:ligatures w14:val="standardContextual"/>
              </w:rPr>
              <w:tab/>
            </w:r>
            <w:r w:rsidR="007F18CC" w:rsidRPr="0076589C">
              <w:rPr>
                <w:rStyle w:val="Hipervnculo"/>
                <w:rFonts w:eastAsiaTheme="majorEastAsia"/>
              </w:rPr>
              <w:t>MEDIDAS DE CONTROL</w:t>
            </w:r>
            <w:r w:rsidR="007F18CC" w:rsidRPr="0076589C">
              <w:rPr>
                <w:webHidden/>
              </w:rPr>
              <w:tab/>
            </w:r>
            <w:r w:rsidR="007F18CC" w:rsidRPr="0076589C">
              <w:rPr>
                <w:webHidden/>
              </w:rPr>
              <w:fldChar w:fldCharType="begin"/>
            </w:r>
            <w:r w:rsidR="007F18CC" w:rsidRPr="0076589C">
              <w:rPr>
                <w:webHidden/>
              </w:rPr>
              <w:instrText xml:space="preserve"> PAGEREF _Toc158365542 \h </w:instrText>
            </w:r>
            <w:r w:rsidR="007F18CC" w:rsidRPr="0076589C">
              <w:rPr>
                <w:webHidden/>
              </w:rPr>
            </w:r>
            <w:r w:rsidR="007F18CC" w:rsidRPr="0076589C">
              <w:rPr>
                <w:webHidden/>
              </w:rPr>
              <w:fldChar w:fldCharType="separate"/>
            </w:r>
            <w:r w:rsidR="009F171A">
              <w:rPr>
                <w:webHidden/>
              </w:rPr>
              <w:t>159</w:t>
            </w:r>
            <w:r w:rsidR="007F18CC" w:rsidRPr="0076589C">
              <w:rPr>
                <w:webHidden/>
              </w:rPr>
              <w:fldChar w:fldCharType="end"/>
            </w:r>
          </w:hyperlink>
        </w:p>
        <w:p w14:paraId="7BDB6C4E" w14:textId="4D7A7E54"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543" w:history="1">
            <w:r w:rsidR="007F18CC" w:rsidRPr="0076589C">
              <w:rPr>
                <w:rStyle w:val="Hipervnculo"/>
                <w:rFonts w:eastAsiaTheme="majorEastAsia"/>
              </w:rPr>
              <w:t>6.6</w:t>
            </w:r>
            <w:r w:rsidR="007F18CC" w:rsidRPr="0076589C">
              <w:rPr>
                <w:rFonts w:asciiTheme="minorHAnsi" w:eastAsiaTheme="minorEastAsia" w:hAnsiTheme="minorHAnsi" w:cstheme="minorBidi"/>
                <w:b w:val="0"/>
                <w:bCs w:val="0"/>
                <w:kern w:val="2"/>
                <w:sz w:val="22"/>
                <w:lang w:eastAsia="es-HN"/>
                <w14:ligatures w14:val="standardContextual"/>
              </w:rPr>
              <w:tab/>
            </w:r>
            <w:r w:rsidR="007F18CC" w:rsidRPr="0076589C">
              <w:rPr>
                <w:rStyle w:val="Hipervnculo"/>
                <w:rFonts w:eastAsiaTheme="majorEastAsia"/>
              </w:rPr>
              <w:t>CRONOGRAMA DE IMPLEMENTACIÓN Y PRESUPUESTO</w:t>
            </w:r>
            <w:r w:rsidR="007F18CC" w:rsidRPr="0076589C">
              <w:rPr>
                <w:webHidden/>
              </w:rPr>
              <w:tab/>
            </w:r>
            <w:r w:rsidR="007F18CC" w:rsidRPr="0076589C">
              <w:rPr>
                <w:webHidden/>
              </w:rPr>
              <w:fldChar w:fldCharType="begin"/>
            </w:r>
            <w:r w:rsidR="007F18CC" w:rsidRPr="0076589C">
              <w:rPr>
                <w:webHidden/>
              </w:rPr>
              <w:instrText xml:space="preserve"> PAGEREF _Toc158365543 \h </w:instrText>
            </w:r>
            <w:r w:rsidR="007F18CC" w:rsidRPr="0076589C">
              <w:rPr>
                <w:webHidden/>
              </w:rPr>
            </w:r>
            <w:r w:rsidR="007F18CC" w:rsidRPr="0076589C">
              <w:rPr>
                <w:webHidden/>
              </w:rPr>
              <w:fldChar w:fldCharType="separate"/>
            </w:r>
            <w:r w:rsidR="009F171A">
              <w:rPr>
                <w:webHidden/>
              </w:rPr>
              <w:t>160</w:t>
            </w:r>
            <w:r w:rsidR="007F18CC" w:rsidRPr="0076589C">
              <w:rPr>
                <w:webHidden/>
              </w:rPr>
              <w:fldChar w:fldCharType="end"/>
            </w:r>
          </w:hyperlink>
        </w:p>
        <w:p w14:paraId="2BD6DFA7" w14:textId="7EB84369"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544" w:history="1">
            <w:r w:rsidR="007F18CC" w:rsidRPr="0076589C">
              <w:rPr>
                <w:rStyle w:val="Hipervnculo"/>
                <w:noProof/>
              </w:rPr>
              <w:t>6.6.1</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CRONOGRAMA DE IMPLEMENTACIÓN DE MÓDULO DE COBRANZA EN IPRA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_Toc158365544 \h </w:instrText>
            </w:r>
            <w:r w:rsidR="007F18CC" w:rsidRPr="0076589C">
              <w:rPr>
                <w:noProof/>
                <w:webHidden/>
              </w:rPr>
            </w:r>
            <w:r w:rsidR="007F18CC" w:rsidRPr="0076589C">
              <w:rPr>
                <w:noProof/>
                <w:webHidden/>
              </w:rPr>
              <w:fldChar w:fldCharType="separate"/>
            </w:r>
            <w:r w:rsidR="009F171A">
              <w:rPr>
                <w:noProof/>
                <w:webHidden/>
              </w:rPr>
              <w:t>160</w:t>
            </w:r>
            <w:r w:rsidR="007F18CC" w:rsidRPr="0076589C">
              <w:rPr>
                <w:noProof/>
                <w:webHidden/>
              </w:rPr>
              <w:fldChar w:fldCharType="end"/>
            </w:r>
          </w:hyperlink>
        </w:p>
        <w:p w14:paraId="6D4ED21F" w14:textId="3CB5D92B" w:rsidR="007F18CC" w:rsidRPr="0076589C" w:rsidRDefault="00000000">
          <w:pPr>
            <w:pStyle w:val="TDC3"/>
            <w:tabs>
              <w:tab w:val="left" w:pos="1320"/>
            </w:tabs>
            <w:rPr>
              <w:rFonts w:asciiTheme="minorHAnsi" w:eastAsiaTheme="minorEastAsia" w:hAnsiTheme="minorHAnsi"/>
              <w:noProof/>
              <w:kern w:val="2"/>
              <w:sz w:val="22"/>
              <w:lang w:eastAsia="es-HN"/>
              <w14:ligatures w14:val="standardContextual"/>
            </w:rPr>
          </w:pPr>
          <w:hyperlink w:anchor="_Toc158365545" w:history="1">
            <w:r w:rsidR="007F18CC" w:rsidRPr="0076589C">
              <w:rPr>
                <w:rStyle w:val="Hipervnculo"/>
                <w:noProof/>
              </w:rPr>
              <w:t>6.6.2</w:t>
            </w:r>
            <w:r w:rsidR="007F18CC" w:rsidRPr="0076589C">
              <w:rPr>
                <w:rFonts w:asciiTheme="minorHAnsi" w:eastAsiaTheme="minorEastAsia" w:hAnsiTheme="minorHAnsi"/>
                <w:noProof/>
                <w:kern w:val="2"/>
                <w:sz w:val="22"/>
                <w:lang w:eastAsia="es-HN"/>
                <w14:ligatures w14:val="standardContextual"/>
              </w:rPr>
              <w:tab/>
            </w:r>
            <w:r w:rsidR="007F18CC" w:rsidRPr="0076589C">
              <w:rPr>
                <w:rStyle w:val="Hipervnculo"/>
                <w:noProof/>
              </w:rPr>
              <w:t>PRESUPUESTO DE LA IMPLEMENTACIÓN DE MÓDULO DE COBRANZA EN IPRA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_Toc158365545 \h </w:instrText>
            </w:r>
            <w:r w:rsidR="007F18CC" w:rsidRPr="0076589C">
              <w:rPr>
                <w:noProof/>
                <w:webHidden/>
              </w:rPr>
            </w:r>
            <w:r w:rsidR="007F18CC" w:rsidRPr="0076589C">
              <w:rPr>
                <w:noProof/>
                <w:webHidden/>
              </w:rPr>
              <w:fldChar w:fldCharType="separate"/>
            </w:r>
            <w:r w:rsidR="009F171A">
              <w:rPr>
                <w:noProof/>
                <w:webHidden/>
              </w:rPr>
              <w:t>161</w:t>
            </w:r>
            <w:r w:rsidR="007F18CC" w:rsidRPr="0076589C">
              <w:rPr>
                <w:noProof/>
                <w:webHidden/>
              </w:rPr>
              <w:fldChar w:fldCharType="end"/>
            </w:r>
          </w:hyperlink>
        </w:p>
        <w:p w14:paraId="03DFE1E8" w14:textId="1EA9FE49" w:rsidR="007F18CC" w:rsidRPr="0076589C" w:rsidRDefault="00000000">
          <w:pPr>
            <w:pStyle w:val="TDC2"/>
            <w:rPr>
              <w:rFonts w:asciiTheme="minorHAnsi" w:eastAsiaTheme="minorEastAsia" w:hAnsiTheme="minorHAnsi" w:cstheme="minorBidi"/>
              <w:b w:val="0"/>
              <w:bCs w:val="0"/>
              <w:kern w:val="2"/>
              <w:sz w:val="22"/>
              <w:lang w:eastAsia="es-HN"/>
              <w14:ligatures w14:val="standardContextual"/>
            </w:rPr>
          </w:pPr>
          <w:hyperlink w:anchor="_Toc158365546" w:history="1">
            <w:r w:rsidR="007F18CC" w:rsidRPr="0076589C">
              <w:rPr>
                <w:rStyle w:val="Hipervnculo"/>
                <w:rFonts w:eastAsiaTheme="majorEastAsia"/>
              </w:rPr>
              <w:t>6.7</w:t>
            </w:r>
            <w:r w:rsidR="007F18CC" w:rsidRPr="0076589C">
              <w:rPr>
                <w:rFonts w:asciiTheme="minorHAnsi" w:eastAsiaTheme="minorEastAsia" w:hAnsiTheme="minorHAnsi" w:cstheme="minorBidi"/>
                <w:b w:val="0"/>
                <w:bCs w:val="0"/>
                <w:kern w:val="2"/>
                <w:sz w:val="22"/>
                <w:lang w:eastAsia="es-HN"/>
                <w14:ligatures w14:val="standardContextual"/>
              </w:rPr>
              <w:tab/>
            </w:r>
            <w:r w:rsidR="007F18CC" w:rsidRPr="0076589C">
              <w:rPr>
                <w:rStyle w:val="Hipervnculo"/>
                <w:rFonts w:eastAsiaTheme="majorEastAsia"/>
              </w:rPr>
              <w:t>CONCORDANCIA DE LOS SEGMENTOS DE LA TESIS CON LA PROPUESTA</w:t>
            </w:r>
            <w:r w:rsidR="007F18CC" w:rsidRPr="0076589C">
              <w:rPr>
                <w:webHidden/>
              </w:rPr>
              <w:tab/>
            </w:r>
            <w:r w:rsidR="007F18CC" w:rsidRPr="0076589C">
              <w:rPr>
                <w:webHidden/>
              </w:rPr>
              <w:fldChar w:fldCharType="begin"/>
            </w:r>
            <w:r w:rsidR="007F18CC" w:rsidRPr="0076589C">
              <w:rPr>
                <w:webHidden/>
              </w:rPr>
              <w:instrText xml:space="preserve"> PAGEREF _Toc158365546 \h </w:instrText>
            </w:r>
            <w:r w:rsidR="007F18CC" w:rsidRPr="0076589C">
              <w:rPr>
                <w:webHidden/>
              </w:rPr>
            </w:r>
            <w:r w:rsidR="007F18CC" w:rsidRPr="0076589C">
              <w:rPr>
                <w:webHidden/>
              </w:rPr>
              <w:fldChar w:fldCharType="separate"/>
            </w:r>
            <w:r w:rsidR="009F171A">
              <w:rPr>
                <w:webHidden/>
              </w:rPr>
              <w:t>163</w:t>
            </w:r>
            <w:r w:rsidR="007F18CC" w:rsidRPr="0076589C">
              <w:rPr>
                <w:webHidden/>
              </w:rPr>
              <w:fldChar w:fldCharType="end"/>
            </w:r>
          </w:hyperlink>
        </w:p>
        <w:p w14:paraId="3EEA3176" w14:textId="0EF8FF46" w:rsidR="007F18CC" w:rsidRPr="0076589C" w:rsidRDefault="00000000">
          <w:pPr>
            <w:pStyle w:val="TDC1"/>
            <w:rPr>
              <w:rFonts w:asciiTheme="minorHAnsi" w:eastAsiaTheme="minorEastAsia" w:hAnsiTheme="minorHAnsi" w:cstheme="minorBidi"/>
              <w:b w:val="0"/>
              <w:bCs w:val="0"/>
              <w:kern w:val="2"/>
              <w:sz w:val="22"/>
              <w:lang w:eastAsia="es-HN"/>
              <w14:ligatures w14:val="standardContextual"/>
            </w:rPr>
          </w:pPr>
          <w:hyperlink w:anchor="_Toc158365547" w:history="1">
            <w:r w:rsidR="007F18CC" w:rsidRPr="0076589C">
              <w:rPr>
                <w:rStyle w:val="Hipervnculo"/>
                <w:rFonts w:eastAsiaTheme="majorEastAsia"/>
                <w:lang w:val="pt-PT"/>
              </w:rPr>
              <w:t>REFERENCIAS BIBLIOGRÁFICAS</w:t>
            </w:r>
            <w:r w:rsidR="007F18CC" w:rsidRPr="0076589C">
              <w:rPr>
                <w:webHidden/>
              </w:rPr>
              <w:tab/>
            </w:r>
            <w:r w:rsidR="007F18CC" w:rsidRPr="0076589C">
              <w:rPr>
                <w:webHidden/>
              </w:rPr>
              <w:fldChar w:fldCharType="begin"/>
            </w:r>
            <w:r w:rsidR="007F18CC" w:rsidRPr="0076589C">
              <w:rPr>
                <w:webHidden/>
              </w:rPr>
              <w:instrText xml:space="preserve"> PAGEREF _Toc158365547 \h </w:instrText>
            </w:r>
            <w:r w:rsidR="007F18CC" w:rsidRPr="0076589C">
              <w:rPr>
                <w:webHidden/>
              </w:rPr>
            </w:r>
            <w:r w:rsidR="007F18CC" w:rsidRPr="0076589C">
              <w:rPr>
                <w:webHidden/>
              </w:rPr>
              <w:fldChar w:fldCharType="separate"/>
            </w:r>
            <w:r w:rsidR="009F171A">
              <w:rPr>
                <w:webHidden/>
              </w:rPr>
              <w:t>167</w:t>
            </w:r>
            <w:r w:rsidR="007F18CC" w:rsidRPr="0076589C">
              <w:rPr>
                <w:webHidden/>
              </w:rPr>
              <w:fldChar w:fldCharType="end"/>
            </w:r>
          </w:hyperlink>
        </w:p>
        <w:p w14:paraId="39784DD7" w14:textId="390F4D82" w:rsidR="007F18CC" w:rsidRPr="0076589C" w:rsidRDefault="00000000">
          <w:pPr>
            <w:pStyle w:val="TDC1"/>
            <w:rPr>
              <w:rFonts w:asciiTheme="minorHAnsi" w:eastAsiaTheme="minorEastAsia" w:hAnsiTheme="minorHAnsi" w:cstheme="minorBidi"/>
              <w:b w:val="0"/>
              <w:bCs w:val="0"/>
              <w:kern w:val="2"/>
              <w:sz w:val="22"/>
              <w:lang w:eastAsia="es-HN"/>
              <w14:ligatures w14:val="standardContextual"/>
            </w:rPr>
          </w:pPr>
          <w:hyperlink w:anchor="_Toc158365548" w:history="1">
            <w:r w:rsidR="007F18CC" w:rsidRPr="0076589C">
              <w:rPr>
                <w:rStyle w:val="Hipervnculo"/>
                <w:rFonts w:eastAsiaTheme="majorEastAsia"/>
              </w:rPr>
              <w:t>ANEXOS</w:t>
            </w:r>
            <w:r w:rsidR="007F18CC" w:rsidRPr="0076589C">
              <w:rPr>
                <w:webHidden/>
              </w:rPr>
              <w:tab/>
            </w:r>
            <w:r w:rsidR="007F18CC" w:rsidRPr="0076589C">
              <w:rPr>
                <w:webHidden/>
              </w:rPr>
              <w:fldChar w:fldCharType="begin"/>
            </w:r>
            <w:r w:rsidR="007F18CC" w:rsidRPr="0076589C">
              <w:rPr>
                <w:webHidden/>
              </w:rPr>
              <w:instrText xml:space="preserve"> PAGEREF _Toc158365548 \h </w:instrText>
            </w:r>
            <w:r w:rsidR="007F18CC" w:rsidRPr="0076589C">
              <w:rPr>
                <w:webHidden/>
              </w:rPr>
            </w:r>
            <w:r w:rsidR="007F18CC" w:rsidRPr="0076589C">
              <w:rPr>
                <w:webHidden/>
              </w:rPr>
              <w:fldChar w:fldCharType="separate"/>
            </w:r>
            <w:r w:rsidR="009F171A">
              <w:rPr>
                <w:webHidden/>
              </w:rPr>
              <w:t>182</w:t>
            </w:r>
            <w:r w:rsidR="007F18CC" w:rsidRPr="0076589C">
              <w:rPr>
                <w:webHidden/>
              </w:rPr>
              <w:fldChar w:fldCharType="end"/>
            </w:r>
          </w:hyperlink>
        </w:p>
        <w:p w14:paraId="52C1782A" w14:textId="16B9DD92" w:rsidR="00E842E0" w:rsidRPr="0076589C" w:rsidRDefault="00140763" w:rsidP="1C8D6E3A">
          <w:pPr>
            <w:spacing w:line="360" w:lineRule="auto"/>
            <w:ind w:left="0"/>
            <w:rPr>
              <w:rStyle w:val="Ttulo1Car"/>
              <w:rFonts w:eastAsiaTheme="minorEastAsia" w:cstheme="minorBidi"/>
              <w:b w:val="0"/>
              <w:bCs w:val="0"/>
            </w:rPr>
          </w:pPr>
          <w:r w:rsidRPr="0076589C">
            <w:fldChar w:fldCharType="end"/>
          </w:r>
        </w:p>
      </w:sdtContent>
    </w:sdt>
    <w:bookmarkStart w:id="14" w:name="_Toc145008033" w:displacedByCustomXml="prev"/>
    <w:p w14:paraId="24352CC8" w14:textId="1882CBF2" w:rsidR="00CB428B" w:rsidRPr="0076589C" w:rsidRDefault="1C8D6E3A" w:rsidP="00C36C3C">
      <w:pPr>
        <w:pStyle w:val="TextoPrincipal"/>
        <w:jc w:val="center"/>
        <w:rPr>
          <w:sz w:val="20"/>
          <w:szCs w:val="20"/>
          <w:lang w:val="es-HN"/>
        </w:rPr>
      </w:pPr>
      <w:bookmarkStart w:id="15" w:name="_Toc145368496"/>
      <w:bookmarkStart w:id="16" w:name="_Toc145668219"/>
      <w:bookmarkStart w:id="17" w:name="_Toc145668317"/>
      <w:bookmarkStart w:id="18" w:name="_Toc146452552"/>
      <w:bookmarkStart w:id="19" w:name="_Toc149232225"/>
      <w:bookmarkStart w:id="20" w:name="_Toc149756590"/>
      <w:bookmarkStart w:id="21" w:name="_Toc150075228"/>
      <w:bookmarkStart w:id="22" w:name="_Toc150693551"/>
      <w:bookmarkStart w:id="23" w:name="_Toc150712697"/>
      <w:bookmarkStart w:id="24" w:name="_Toc158365441"/>
      <w:r w:rsidRPr="0076589C">
        <w:rPr>
          <w:rStyle w:val="Ttulo1Car"/>
        </w:rPr>
        <w:t>ÍNDICE DE TABLAS</w:t>
      </w:r>
      <w:bookmarkEnd w:id="14"/>
      <w:bookmarkEnd w:id="15"/>
      <w:bookmarkEnd w:id="16"/>
      <w:bookmarkEnd w:id="17"/>
      <w:bookmarkEnd w:id="18"/>
      <w:bookmarkEnd w:id="19"/>
      <w:bookmarkEnd w:id="20"/>
      <w:bookmarkEnd w:id="21"/>
      <w:bookmarkEnd w:id="22"/>
      <w:bookmarkEnd w:id="23"/>
      <w:bookmarkEnd w:id="24"/>
    </w:p>
    <w:p w14:paraId="3737E46D" w14:textId="70B51527" w:rsidR="007F18CC" w:rsidRPr="0076589C" w:rsidRDefault="005C769A">
      <w:pPr>
        <w:pStyle w:val="Tabladeilustraciones"/>
        <w:tabs>
          <w:tab w:val="right" w:leader="dot" w:pos="9350"/>
        </w:tabs>
        <w:rPr>
          <w:rFonts w:asciiTheme="minorHAnsi" w:eastAsiaTheme="minorEastAsia" w:hAnsiTheme="minorHAnsi"/>
          <w:noProof/>
          <w:kern w:val="2"/>
          <w:sz w:val="22"/>
          <w:lang w:eastAsia="es-HN"/>
          <w14:ligatures w14:val="standardContextual"/>
        </w:rPr>
      </w:pPr>
      <w:r w:rsidRPr="0076589C">
        <w:rPr>
          <w:rFonts w:cs="Times New Roman"/>
          <w:sz w:val="20"/>
          <w:szCs w:val="20"/>
        </w:rPr>
        <w:fldChar w:fldCharType="begin"/>
      </w:r>
      <w:r w:rsidRPr="0076589C">
        <w:rPr>
          <w:rFonts w:cs="Times New Roman"/>
          <w:sz w:val="20"/>
          <w:szCs w:val="20"/>
        </w:rPr>
        <w:instrText xml:space="preserve"> TOC \h \z \c "Tabla" </w:instrText>
      </w:r>
      <w:r w:rsidRPr="0076589C">
        <w:rPr>
          <w:rFonts w:cs="Times New Roman"/>
          <w:sz w:val="20"/>
          <w:szCs w:val="20"/>
        </w:rPr>
        <w:fldChar w:fldCharType="separate"/>
      </w:r>
      <w:hyperlink w:anchor="_Toc158365549" w:history="1">
        <w:r w:rsidR="007F18CC" w:rsidRPr="0076589C">
          <w:rPr>
            <w:rStyle w:val="Hipervnculo"/>
            <w:noProof/>
          </w:rPr>
          <w:t>Tabla 1. Porcentajes de Mora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_Toc158365549 \h </w:instrText>
        </w:r>
        <w:r w:rsidR="007F18CC" w:rsidRPr="0076589C">
          <w:rPr>
            <w:noProof/>
            <w:webHidden/>
          </w:rPr>
        </w:r>
        <w:r w:rsidR="007F18CC" w:rsidRPr="0076589C">
          <w:rPr>
            <w:noProof/>
            <w:webHidden/>
          </w:rPr>
          <w:fldChar w:fldCharType="separate"/>
        </w:r>
        <w:r w:rsidR="009F171A">
          <w:rPr>
            <w:noProof/>
            <w:webHidden/>
          </w:rPr>
          <w:t>51</w:t>
        </w:r>
        <w:r w:rsidR="007F18CC" w:rsidRPr="0076589C">
          <w:rPr>
            <w:noProof/>
            <w:webHidden/>
          </w:rPr>
          <w:fldChar w:fldCharType="end"/>
        </w:r>
      </w:hyperlink>
    </w:p>
    <w:p w14:paraId="7642EAC8" w14:textId="1433DFF9"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50" w:history="1">
        <w:r w:rsidR="007F18CC" w:rsidRPr="0076589C">
          <w:rPr>
            <w:rStyle w:val="Hipervnculo"/>
            <w:noProof/>
          </w:rPr>
          <w:t>Tabla 2. Porcentajes de cartera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_Toc158365550 \h </w:instrText>
        </w:r>
        <w:r w:rsidR="007F18CC" w:rsidRPr="0076589C">
          <w:rPr>
            <w:noProof/>
            <w:webHidden/>
          </w:rPr>
        </w:r>
        <w:r w:rsidR="007F18CC" w:rsidRPr="0076589C">
          <w:rPr>
            <w:noProof/>
            <w:webHidden/>
          </w:rPr>
          <w:fldChar w:fldCharType="separate"/>
        </w:r>
        <w:r w:rsidR="009F171A">
          <w:rPr>
            <w:noProof/>
            <w:webHidden/>
          </w:rPr>
          <w:t>51</w:t>
        </w:r>
        <w:r w:rsidR="007F18CC" w:rsidRPr="0076589C">
          <w:rPr>
            <w:noProof/>
            <w:webHidden/>
          </w:rPr>
          <w:fldChar w:fldCharType="end"/>
        </w:r>
      </w:hyperlink>
    </w:p>
    <w:p w14:paraId="0035FBE9" w14:textId="72478F33"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51" w:history="1">
        <w:r w:rsidR="007F18CC" w:rsidRPr="0076589C">
          <w:rPr>
            <w:rStyle w:val="Hipervnculo"/>
            <w:noProof/>
          </w:rPr>
          <w:t>Tabla 3. Matriz Metodológica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_Toc158365551 \h </w:instrText>
        </w:r>
        <w:r w:rsidR="007F18CC" w:rsidRPr="0076589C">
          <w:rPr>
            <w:noProof/>
            <w:webHidden/>
          </w:rPr>
        </w:r>
        <w:r w:rsidR="007F18CC" w:rsidRPr="0076589C">
          <w:rPr>
            <w:noProof/>
            <w:webHidden/>
          </w:rPr>
          <w:fldChar w:fldCharType="separate"/>
        </w:r>
        <w:r w:rsidR="009F171A">
          <w:rPr>
            <w:noProof/>
            <w:webHidden/>
          </w:rPr>
          <w:t>57</w:t>
        </w:r>
        <w:r w:rsidR="007F18CC" w:rsidRPr="0076589C">
          <w:rPr>
            <w:noProof/>
            <w:webHidden/>
          </w:rPr>
          <w:fldChar w:fldCharType="end"/>
        </w:r>
      </w:hyperlink>
    </w:p>
    <w:p w14:paraId="320DD9DC" w14:textId="4144385F"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52" w:history="1">
        <w:r w:rsidR="007F18CC" w:rsidRPr="0076589C">
          <w:rPr>
            <w:rStyle w:val="Hipervnculo"/>
            <w:noProof/>
          </w:rPr>
          <w:t>Tabla 4. Operacionalización de las variables</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_Toc158365552 \h </w:instrText>
        </w:r>
        <w:r w:rsidR="007F18CC" w:rsidRPr="0076589C">
          <w:rPr>
            <w:noProof/>
            <w:webHidden/>
          </w:rPr>
        </w:r>
        <w:r w:rsidR="007F18CC" w:rsidRPr="0076589C">
          <w:rPr>
            <w:noProof/>
            <w:webHidden/>
          </w:rPr>
          <w:fldChar w:fldCharType="separate"/>
        </w:r>
        <w:r w:rsidR="009F171A">
          <w:rPr>
            <w:noProof/>
            <w:webHidden/>
          </w:rPr>
          <w:t>59</w:t>
        </w:r>
        <w:r w:rsidR="007F18CC" w:rsidRPr="0076589C">
          <w:rPr>
            <w:noProof/>
            <w:webHidden/>
          </w:rPr>
          <w:fldChar w:fldCharType="end"/>
        </w:r>
      </w:hyperlink>
    </w:p>
    <w:p w14:paraId="586B99F3" w14:textId="5C84EB38"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53" w:history="1">
        <w:r w:rsidR="007F18CC" w:rsidRPr="0076589C">
          <w:rPr>
            <w:rStyle w:val="Hipervnculo"/>
            <w:noProof/>
          </w:rPr>
          <w:t>Tabla 5. Diagrama de Gantt</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_Toc158365553 \h </w:instrText>
        </w:r>
        <w:r w:rsidR="007F18CC" w:rsidRPr="0076589C">
          <w:rPr>
            <w:noProof/>
            <w:webHidden/>
          </w:rPr>
        </w:r>
        <w:r w:rsidR="007F18CC" w:rsidRPr="0076589C">
          <w:rPr>
            <w:noProof/>
            <w:webHidden/>
          </w:rPr>
          <w:fldChar w:fldCharType="separate"/>
        </w:r>
        <w:r w:rsidR="009F171A">
          <w:rPr>
            <w:noProof/>
            <w:webHidden/>
          </w:rPr>
          <w:t>72</w:t>
        </w:r>
        <w:r w:rsidR="007F18CC" w:rsidRPr="0076589C">
          <w:rPr>
            <w:noProof/>
            <w:webHidden/>
          </w:rPr>
          <w:fldChar w:fldCharType="end"/>
        </w:r>
      </w:hyperlink>
    </w:p>
    <w:p w14:paraId="32FDDD04" w14:textId="37C8F87C"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54" w:history="1">
        <w:r w:rsidR="007F18CC" w:rsidRPr="0076589C">
          <w:rPr>
            <w:rStyle w:val="Hipervnculo"/>
            <w:noProof/>
          </w:rPr>
          <w:t>Tabla 6. Análisis Vertical del Balance General Industria Procesadora de Alimentos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_Toc158365554 \h </w:instrText>
        </w:r>
        <w:r w:rsidR="007F18CC" w:rsidRPr="0076589C">
          <w:rPr>
            <w:noProof/>
            <w:webHidden/>
          </w:rPr>
        </w:r>
        <w:r w:rsidR="007F18CC" w:rsidRPr="0076589C">
          <w:rPr>
            <w:noProof/>
            <w:webHidden/>
          </w:rPr>
          <w:fldChar w:fldCharType="separate"/>
        </w:r>
        <w:r w:rsidR="009F171A">
          <w:rPr>
            <w:noProof/>
            <w:webHidden/>
          </w:rPr>
          <w:t>78</w:t>
        </w:r>
        <w:r w:rsidR="007F18CC" w:rsidRPr="0076589C">
          <w:rPr>
            <w:noProof/>
            <w:webHidden/>
          </w:rPr>
          <w:fldChar w:fldCharType="end"/>
        </w:r>
      </w:hyperlink>
    </w:p>
    <w:p w14:paraId="50149ED8" w14:textId="504FAC7C"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55" w:history="1">
        <w:r w:rsidR="007F18CC" w:rsidRPr="0076589C">
          <w:rPr>
            <w:rStyle w:val="Hipervnculo"/>
            <w:noProof/>
          </w:rPr>
          <w:t>Tabla 7. Análisis Vertical del Estado de Resultados Industria Procesadora de Alimentos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_Toc158365555 \h </w:instrText>
        </w:r>
        <w:r w:rsidR="007F18CC" w:rsidRPr="0076589C">
          <w:rPr>
            <w:noProof/>
            <w:webHidden/>
          </w:rPr>
        </w:r>
        <w:r w:rsidR="007F18CC" w:rsidRPr="0076589C">
          <w:rPr>
            <w:noProof/>
            <w:webHidden/>
          </w:rPr>
          <w:fldChar w:fldCharType="separate"/>
        </w:r>
        <w:r w:rsidR="009F171A">
          <w:rPr>
            <w:noProof/>
            <w:webHidden/>
          </w:rPr>
          <w:t>83</w:t>
        </w:r>
        <w:r w:rsidR="007F18CC" w:rsidRPr="0076589C">
          <w:rPr>
            <w:noProof/>
            <w:webHidden/>
          </w:rPr>
          <w:fldChar w:fldCharType="end"/>
        </w:r>
      </w:hyperlink>
    </w:p>
    <w:p w14:paraId="421EADBE" w14:textId="575D76C5"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56" w:history="1">
        <w:r w:rsidR="007F18CC" w:rsidRPr="0076589C">
          <w:rPr>
            <w:rStyle w:val="Hipervnculo"/>
            <w:noProof/>
          </w:rPr>
          <w:t>Tabla 8. Análisis Horizontal del Balance General Industria Procesadora de Alimentos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_Toc158365556 \h </w:instrText>
        </w:r>
        <w:r w:rsidR="007F18CC" w:rsidRPr="0076589C">
          <w:rPr>
            <w:noProof/>
            <w:webHidden/>
          </w:rPr>
        </w:r>
        <w:r w:rsidR="007F18CC" w:rsidRPr="0076589C">
          <w:rPr>
            <w:noProof/>
            <w:webHidden/>
          </w:rPr>
          <w:fldChar w:fldCharType="separate"/>
        </w:r>
        <w:r w:rsidR="009F171A">
          <w:rPr>
            <w:noProof/>
            <w:webHidden/>
          </w:rPr>
          <w:t>86</w:t>
        </w:r>
        <w:r w:rsidR="007F18CC" w:rsidRPr="0076589C">
          <w:rPr>
            <w:noProof/>
            <w:webHidden/>
          </w:rPr>
          <w:fldChar w:fldCharType="end"/>
        </w:r>
      </w:hyperlink>
    </w:p>
    <w:p w14:paraId="2DFC33BB" w14:textId="67ACFE58"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57" w:history="1">
        <w:r w:rsidR="007F18CC" w:rsidRPr="0076589C">
          <w:rPr>
            <w:rStyle w:val="Hipervnculo"/>
            <w:noProof/>
          </w:rPr>
          <w:t>Tabla 9. Análisis Horizontal del Estado de Resultados Industria Procesadora de Alimentos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_Toc158365557 \h </w:instrText>
        </w:r>
        <w:r w:rsidR="007F18CC" w:rsidRPr="0076589C">
          <w:rPr>
            <w:noProof/>
            <w:webHidden/>
          </w:rPr>
        </w:r>
        <w:r w:rsidR="007F18CC" w:rsidRPr="0076589C">
          <w:rPr>
            <w:noProof/>
            <w:webHidden/>
          </w:rPr>
          <w:fldChar w:fldCharType="separate"/>
        </w:r>
        <w:r w:rsidR="009F171A">
          <w:rPr>
            <w:noProof/>
            <w:webHidden/>
          </w:rPr>
          <w:t>90</w:t>
        </w:r>
        <w:r w:rsidR="007F18CC" w:rsidRPr="0076589C">
          <w:rPr>
            <w:noProof/>
            <w:webHidden/>
          </w:rPr>
          <w:fldChar w:fldCharType="end"/>
        </w:r>
      </w:hyperlink>
    </w:p>
    <w:p w14:paraId="3F596161" w14:textId="76C58B04"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58" w:history="1">
        <w:r w:rsidR="007F18CC" w:rsidRPr="0076589C">
          <w:rPr>
            <w:rStyle w:val="Hipervnculo"/>
            <w:noProof/>
          </w:rPr>
          <w:t>Tabla 10. Cartera de crédito Industria Procesadora de Alimento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_Toc158365558 \h </w:instrText>
        </w:r>
        <w:r w:rsidR="007F18CC" w:rsidRPr="0076589C">
          <w:rPr>
            <w:noProof/>
            <w:webHidden/>
          </w:rPr>
        </w:r>
        <w:r w:rsidR="007F18CC" w:rsidRPr="0076589C">
          <w:rPr>
            <w:noProof/>
            <w:webHidden/>
          </w:rPr>
          <w:fldChar w:fldCharType="separate"/>
        </w:r>
        <w:r w:rsidR="009F171A">
          <w:rPr>
            <w:noProof/>
            <w:webHidden/>
          </w:rPr>
          <w:t>93</w:t>
        </w:r>
        <w:r w:rsidR="007F18CC" w:rsidRPr="0076589C">
          <w:rPr>
            <w:noProof/>
            <w:webHidden/>
          </w:rPr>
          <w:fldChar w:fldCharType="end"/>
        </w:r>
      </w:hyperlink>
    </w:p>
    <w:p w14:paraId="62F994E9" w14:textId="4043C543"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59" w:history="1">
        <w:r w:rsidR="007F18CC" w:rsidRPr="0076589C">
          <w:rPr>
            <w:rStyle w:val="Hipervnculo"/>
            <w:noProof/>
          </w:rPr>
          <w:t>Tabla 11. Plazos de crédito según clientes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_Toc158365559 \h </w:instrText>
        </w:r>
        <w:r w:rsidR="007F18CC" w:rsidRPr="0076589C">
          <w:rPr>
            <w:noProof/>
            <w:webHidden/>
          </w:rPr>
        </w:r>
        <w:r w:rsidR="007F18CC" w:rsidRPr="0076589C">
          <w:rPr>
            <w:noProof/>
            <w:webHidden/>
          </w:rPr>
          <w:fldChar w:fldCharType="separate"/>
        </w:r>
        <w:r w:rsidR="009F171A">
          <w:rPr>
            <w:noProof/>
            <w:webHidden/>
          </w:rPr>
          <w:t>96</w:t>
        </w:r>
        <w:r w:rsidR="007F18CC" w:rsidRPr="0076589C">
          <w:rPr>
            <w:noProof/>
            <w:webHidden/>
          </w:rPr>
          <w:fldChar w:fldCharType="end"/>
        </w:r>
      </w:hyperlink>
    </w:p>
    <w:p w14:paraId="1BD2A436" w14:textId="520B4A10"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60" w:history="1">
        <w:r w:rsidR="007F18CC" w:rsidRPr="0076589C">
          <w:rPr>
            <w:rStyle w:val="Hipervnculo"/>
            <w:noProof/>
          </w:rPr>
          <w:t>Tabla 12. Antigüedad de las Cuentas por cobrar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_Toc158365560 \h </w:instrText>
        </w:r>
        <w:r w:rsidR="007F18CC" w:rsidRPr="0076589C">
          <w:rPr>
            <w:noProof/>
            <w:webHidden/>
          </w:rPr>
        </w:r>
        <w:r w:rsidR="007F18CC" w:rsidRPr="0076589C">
          <w:rPr>
            <w:noProof/>
            <w:webHidden/>
          </w:rPr>
          <w:fldChar w:fldCharType="separate"/>
        </w:r>
        <w:r w:rsidR="009F171A">
          <w:rPr>
            <w:noProof/>
            <w:webHidden/>
          </w:rPr>
          <w:t>102</w:t>
        </w:r>
        <w:r w:rsidR="007F18CC" w:rsidRPr="0076589C">
          <w:rPr>
            <w:noProof/>
            <w:webHidden/>
          </w:rPr>
          <w:fldChar w:fldCharType="end"/>
        </w:r>
      </w:hyperlink>
    </w:p>
    <w:p w14:paraId="7AF25EDD" w14:textId="2918D163"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61" w:history="1">
        <w:r w:rsidR="007F18CC" w:rsidRPr="0076589C">
          <w:rPr>
            <w:rStyle w:val="Hipervnculo"/>
            <w:noProof/>
          </w:rPr>
          <w:t>Tabla 13. Antigüedad de las Cuentas por cobrar en IPRA Porcentualmente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_Toc158365561 \h </w:instrText>
        </w:r>
        <w:r w:rsidR="007F18CC" w:rsidRPr="0076589C">
          <w:rPr>
            <w:noProof/>
            <w:webHidden/>
          </w:rPr>
        </w:r>
        <w:r w:rsidR="007F18CC" w:rsidRPr="0076589C">
          <w:rPr>
            <w:noProof/>
            <w:webHidden/>
          </w:rPr>
          <w:fldChar w:fldCharType="separate"/>
        </w:r>
        <w:r w:rsidR="009F171A">
          <w:rPr>
            <w:noProof/>
            <w:webHidden/>
          </w:rPr>
          <w:t>104</w:t>
        </w:r>
        <w:r w:rsidR="007F18CC" w:rsidRPr="0076589C">
          <w:rPr>
            <w:noProof/>
            <w:webHidden/>
          </w:rPr>
          <w:fldChar w:fldCharType="end"/>
        </w:r>
      </w:hyperlink>
    </w:p>
    <w:p w14:paraId="3F2E4DC7" w14:textId="15A72064"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62" w:history="1">
        <w:r w:rsidR="007F18CC" w:rsidRPr="0076589C">
          <w:rPr>
            <w:rStyle w:val="Hipervnculo"/>
            <w:noProof/>
          </w:rPr>
          <w:t>Tabla 14. Rotación de las cuentas por cobrar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_Toc158365562 \h </w:instrText>
        </w:r>
        <w:r w:rsidR="007F18CC" w:rsidRPr="0076589C">
          <w:rPr>
            <w:noProof/>
            <w:webHidden/>
          </w:rPr>
        </w:r>
        <w:r w:rsidR="007F18CC" w:rsidRPr="0076589C">
          <w:rPr>
            <w:noProof/>
            <w:webHidden/>
          </w:rPr>
          <w:fldChar w:fldCharType="separate"/>
        </w:r>
        <w:r w:rsidR="009F171A">
          <w:rPr>
            <w:noProof/>
            <w:webHidden/>
          </w:rPr>
          <w:t>105</w:t>
        </w:r>
        <w:r w:rsidR="007F18CC" w:rsidRPr="0076589C">
          <w:rPr>
            <w:noProof/>
            <w:webHidden/>
          </w:rPr>
          <w:fldChar w:fldCharType="end"/>
        </w:r>
      </w:hyperlink>
    </w:p>
    <w:p w14:paraId="6E6AB11E" w14:textId="5442D58A"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63" w:history="1">
        <w:r w:rsidR="007F18CC" w:rsidRPr="0076589C">
          <w:rPr>
            <w:rStyle w:val="Hipervnculo"/>
            <w:noProof/>
          </w:rPr>
          <w:t>Tabla 15. Periodo promedio de cobro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_Toc158365563 \h </w:instrText>
        </w:r>
        <w:r w:rsidR="007F18CC" w:rsidRPr="0076589C">
          <w:rPr>
            <w:noProof/>
            <w:webHidden/>
          </w:rPr>
        </w:r>
        <w:r w:rsidR="007F18CC" w:rsidRPr="0076589C">
          <w:rPr>
            <w:noProof/>
            <w:webHidden/>
          </w:rPr>
          <w:fldChar w:fldCharType="separate"/>
        </w:r>
        <w:r w:rsidR="009F171A">
          <w:rPr>
            <w:noProof/>
            <w:webHidden/>
          </w:rPr>
          <w:t>106</w:t>
        </w:r>
        <w:r w:rsidR="007F18CC" w:rsidRPr="0076589C">
          <w:rPr>
            <w:noProof/>
            <w:webHidden/>
          </w:rPr>
          <w:fldChar w:fldCharType="end"/>
        </w:r>
      </w:hyperlink>
    </w:p>
    <w:p w14:paraId="0E19C656" w14:textId="5D5D9085"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64" w:history="1">
        <w:r w:rsidR="007F18CC" w:rsidRPr="0076589C">
          <w:rPr>
            <w:rStyle w:val="Hipervnculo"/>
            <w:noProof/>
          </w:rPr>
          <w:t>Tabla 16. Margen de utilidad bruta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_Toc158365564 \h </w:instrText>
        </w:r>
        <w:r w:rsidR="007F18CC" w:rsidRPr="0076589C">
          <w:rPr>
            <w:noProof/>
            <w:webHidden/>
          </w:rPr>
        </w:r>
        <w:r w:rsidR="007F18CC" w:rsidRPr="0076589C">
          <w:rPr>
            <w:noProof/>
            <w:webHidden/>
          </w:rPr>
          <w:fldChar w:fldCharType="separate"/>
        </w:r>
        <w:r w:rsidR="009F171A">
          <w:rPr>
            <w:noProof/>
            <w:webHidden/>
          </w:rPr>
          <w:t>111</w:t>
        </w:r>
        <w:r w:rsidR="007F18CC" w:rsidRPr="0076589C">
          <w:rPr>
            <w:noProof/>
            <w:webHidden/>
          </w:rPr>
          <w:fldChar w:fldCharType="end"/>
        </w:r>
      </w:hyperlink>
    </w:p>
    <w:p w14:paraId="0DDA7D3A" w14:textId="2993589D"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65" w:history="1">
        <w:r w:rsidR="007F18CC" w:rsidRPr="0076589C">
          <w:rPr>
            <w:rStyle w:val="Hipervnculo"/>
            <w:noProof/>
          </w:rPr>
          <w:t>Tabla 17. Margen de utilidad neta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_Toc158365565 \h </w:instrText>
        </w:r>
        <w:r w:rsidR="007F18CC" w:rsidRPr="0076589C">
          <w:rPr>
            <w:noProof/>
            <w:webHidden/>
          </w:rPr>
        </w:r>
        <w:r w:rsidR="007F18CC" w:rsidRPr="0076589C">
          <w:rPr>
            <w:noProof/>
            <w:webHidden/>
          </w:rPr>
          <w:fldChar w:fldCharType="separate"/>
        </w:r>
        <w:r w:rsidR="009F171A">
          <w:rPr>
            <w:noProof/>
            <w:webHidden/>
          </w:rPr>
          <w:t>112</w:t>
        </w:r>
        <w:r w:rsidR="007F18CC" w:rsidRPr="0076589C">
          <w:rPr>
            <w:noProof/>
            <w:webHidden/>
          </w:rPr>
          <w:fldChar w:fldCharType="end"/>
        </w:r>
      </w:hyperlink>
    </w:p>
    <w:p w14:paraId="1202E574" w14:textId="6F2E3EFF"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66" w:history="1">
        <w:r w:rsidR="007F18CC" w:rsidRPr="0076589C">
          <w:rPr>
            <w:rStyle w:val="Hipervnculo"/>
            <w:noProof/>
          </w:rPr>
          <w:t>Tabla 18. EBITDA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_Toc158365566 \h </w:instrText>
        </w:r>
        <w:r w:rsidR="007F18CC" w:rsidRPr="0076589C">
          <w:rPr>
            <w:noProof/>
            <w:webHidden/>
          </w:rPr>
        </w:r>
        <w:r w:rsidR="007F18CC" w:rsidRPr="0076589C">
          <w:rPr>
            <w:noProof/>
            <w:webHidden/>
          </w:rPr>
          <w:fldChar w:fldCharType="separate"/>
        </w:r>
        <w:r w:rsidR="009F171A">
          <w:rPr>
            <w:noProof/>
            <w:webHidden/>
          </w:rPr>
          <w:t>114</w:t>
        </w:r>
        <w:r w:rsidR="007F18CC" w:rsidRPr="0076589C">
          <w:rPr>
            <w:noProof/>
            <w:webHidden/>
          </w:rPr>
          <w:fldChar w:fldCharType="end"/>
        </w:r>
      </w:hyperlink>
    </w:p>
    <w:p w14:paraId="14293C47" w14:textId="4705DFAE"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67" w:history="1">
        <w:r w:rsidR="007F18CC" w:rsidRPr="0076589C">
          <w:rPr>
            <w:rStyle w:val="Hipervnculo"/>
            <w:noProof/>
          </w:rPr>
          <w:t>Tabla 19. ROA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_Toc158365567 \h </w:instrText>
        </w:r>
        <w:r w:rsidR="007F18CC" w:rsidRPr="0076589C">
          <w:rPr>
            <w:noProof/>
            <w:webHidden/>
          </w:rPr>
        </w:r>
        <w:r w:rsidR="007F18CC" w:rsidRPr="0076589C">
          <w:rPr>
            <w:noProof/>
            <w:webHidden/>
          </w:rPr>
          <w:fldChar w:fldCharType="separate"/>
        </w:r>
        <w:r w:rsidR="009F171A">
          <w:rPr>
            <w:noProof/>
            <w:webHidden/>
          </w:rPr>
          <w:t>115</w:t>
        </w:r>
        <w:r w:rsidR="007F18CC" w:rsidRPr="0076589C">
          <w:rPr>
            <w:noProof/>
            <w:webHidden/>
          </w:rPr>
          <w:fldChar w:fldCharType="end"/>
        </w:r>
      </w:hyperlink>
    </w:p>
    <w:p w14:paraId="0CFA3EEC" w14:textId="3B8B7E48"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68" w:history="1">
        <w:r w:rsidR="007F18CC" w:rsidRPr="0076589C">
          <w:rPr>
            <w:rStyle w:val="Hipervnculo"/>
            <w:noProof/>
          </w:rPr>
          <w:t>Tabla 20. ROE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_Toc158365568 \h </w:instrText>
        </w:r>
        <w:r w:rsidR="007F18CC" w:rsidRPr="0076589C">
          <w:rPr>
            <w:noProof/>
            <w:webHidden/>
          </w:rPr>
        </w:r>
        <w:r w:rsidR="007F18CC" w:rsidRPr="0076589C">
          <w:rPr>
            <w:noProof/>
            <w:webHidden/>
          </w:rPr>
          <w:fldChar w:fldCharType="separate"/>
        </w:r>
        <w:r w:rsidR="009F171A">
          <w:rPr>
            <w:noProof/>
            <w:webHidden/>
          </w:rPr>
          <w:t>117</w:t>
        </w:r>
        <w:r w:rsidR="007F18CC" w:rsidRPr="0076589C">
          <w:rPr>
            <w:noProof/>
            <w:webHidden/>
          </w:rPr>
          <w:fldChar w:fldCharType="end"/>
        </w:r>
      </w:hyperlink>
    </w:p>
    <w:p w14:paraId="774C9004" w14:textId="3156A687"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69" w:history="1">
        <w:r w:rsidR="007F18CC" w:rsidRPr="0076589C">
          <w:rPr>
            <w:rStyle w:val="Hipervnculo"/>
            <w:noProof/>
          </w:rPr>
          <w:t>Tabla 21. Razón de apalancamiento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_Toc158365569 \h </w:instrText>
        </w:r>
        <w:r w:rsidR="007F18CC" w:rsidRPr="0076589C">
          <w:rPr>
            <w:noProof/>
            <w:webHidden/>
          </w:rPr>
        </w:r>
        <w:r w:rsidR="007F18CC" w:rsidRPr="0076589C">
          <w:rPr>
            <w:noProof/>
            <w:webHidden/>
          </w:rPr>
          <w:fldChar w:fldCharType="separate"/>
        </w:r>
        <w:r w:rsidR="009F171A">
          <w:rPr>
            <w:noProof/>
            <w:webHidden/>
          </w:rPr>
          <w:t>118</w:t>
        </w:r>
        <w:r w:rsidR="007F18CC" w:rsidRPr="0076589C">
          <w:rPr>
            <w:noProof/>
            <w:webHidden/>
          </w:rPr>
          <w:fldChar w:fldCharType="end"/>
        </w:r>
      </w:hyperlink>
    </w:p>
    <w:p w14:paraId="4F3DD0B4" w14:textId="6E654DE9"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70" w:history="1">
        <w:r w:rsidR="007F18CC" w:rsidRPr="0076589C">
          <w:rPr>
            <w:rStyle w:val="Hipervnculo"/>
            <w:noProof/>
          </w:rPr>
          <w:t>Tabla 22. ROE (Sistema Dupont)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_Toc158365570 \h </w:instrText>
        </w:r>
        <w:r w:rsidR="007F18CC" w:rsidRPr="0076589C">
          <w:rPr>
            <w:noProof/>
            <w:webHidden/>
          </w:rPr>
        </w:r>
        <w:r w:rsidR="007F18CC" w:rsidRPr="0076589C">
          <w:rPr>
            <w:noProof/>
            <w:webHidden/>
          </w:rPr>
          <w:fldChar w:fldCharType="separate"/>
        </w:r>
        <w:r w:rsidR="009F171A">
          <w:rPr>
            <w:noProof/>
            <w:webHidden/>
          </w:rPr>
          <w:t>118</w:t>
        </w:r>
        <w:r w:rsidR="007F18CC" w:rsidRPr="0076589C">
          <w:rPr>
            <w:noProof/>
            <w:webHidden/>
          </w:rPr>
          <w:fldChar w:fldCharType="end"/>
        </w:r>
      </w:hyperlink>
    </w:p>
    <w:p w14:paraId="117C6EEC" w14:textId="7F66B399"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71" w:history="1">
        <w:r w:rsidR="007F18CC" w:rsidRPr="0076589C">
          <w:rPr>
            <w:rStyle w:val="Hipervnculo"/>
            <w:noProof/>
          </w:rPr>
          <w:t>Tabla 23. Liquidez corriente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_Toc158365571 \h </w:instrText>
        </w:r>
        <w:r w:rsidR="007F18CC" w:rsidRPr="0076589C">
          <w:rPr>
            <w:noProof/>
            <w:webHidden/>
          </w:rPr>
        </w:r>
        <w:r w:rsidR="007F18CC" w:rsidRPr="0076589C">
          <w:rPr>
            <w:noProof/>
            <w:webHidden/>
          </w:rPr>
          <w:fldChar w:fldCharType="separate"/>
        </w:r>
        <w:r w:rsidR="009F171A">
          <w:rPr>
            <w:noProof/>
            <w:webHidden/>
          </w:rPr>
          <w:t>119</w:t>
        </w:r>
        <w:r w:rsidR="007F18CC" w:rsidRPr="0076589C">
          <w:rPr>
            <w:noProof/>
            <w:webHidden/>
          </w:rPr>
          <w:fldChar w:fldCharType="end"/>
        </w:r>
      </w:hyperlink>
    </w:p>
    <w:p w14:paraId="6DB80BEE" w14:textId="31C2851E"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72" w:history="1">
        <w:r w:rsidR="007F18CC" w:rsidRPr="0076589C">
          <w:rPr>
            <w:rStyle w:val="Hipervnculo"/>
            <w:noProof/>
          </w:rPr>
          <w:t>Tabla 24. Razón rápida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_Toc158365572 \h </w:instrText>
        </w:r>
        <w:r w:rsidR="007F18CC" w:rsidRPr="0076589C">
          <w:rPr>
            <w:noProof/>
            <w:webHidden/>
          </w:rPr>
        </w:r>
        <w:r w:rsidR="007F18CC" w:rsidRPr="0076589C">
          <w:rPr>
            <w:noProof/>
            <w:webHidden/>
          </w:rPr>
          <w:fldChar w:fldCharType="separate"/>
        </w:r>
        <w:r w:rsidR="009F171A">
          <w:rPr>
            <w:noProof/>
            <w:webHidden/>
          </w:rPr>
          <w:t>121</w:t>
        </w:r>
        <w:r w:rsidR="007F18CC" w:rsidRPr="0076589C">
          <w:rPr>
            <w:noProof/>
            <w:webHidden/>
          </w:rPr>
          <w:fldChar w:fldCharType="end"/>
        </w:r>
      </w:hyperlink>
    </w:p>
    <w:p w14:paraId="48AE8C24" w14:textId="6A5241C6"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73" w:history="1">
        <w:r w:rsidR="007F18CC" w:rsidRPr="0076589C">
          <w:rPr>
            <w:rStyle w:val="Hipervnculo"/>
            <w:noProof/>
          </w:rPr>
          <w:t>Tabla 25. Razón de efectivo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_Toc158365573 \h </w:instrText>
        </w:r>
        <w:r w:rsidR="007F18CC" w:rsidRPr="0076589C">
          <w:rPr>
            <w:noProof/>
            <w:webHidden/>
          </w:rPr>
        </w:r>
        <w:r w:rsidR="007F18CC" w:rsidRPr="0076589C">
          <w:rPr>
            <w:noProof/>
            <w:webHidden/>
          </w:rPr>
          <w:fldChar w:fldCharType="separate"/>
        </w:r>
        <w:r w:rsidR="009F171A">
          <w:rPr>
            <w:noProof/>
            <w:webHidden/>
          </w:rPr>
          <w:t>123</w:t>
        </w:r>
        <w:r w:rsidR="007F18CC" w:rsidRPr="0076589C">
          <w:rPr>
            <w:noProof/>
            <w:webHidden/>
          </w:rPr>
          <w:fldChar w:fldCharType="end"/>
        </w:r>
      </w:hyperlink>
    </w:p>
    <w:p w14:paraId="6B432375" w14:textId="7E98FDF7"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74" w:history="1">
        <w:r w:rsidR="007F18CC" w:rsidRPr="0076589C">
          <w:rPr>
            <w:rStyle w:val="Hipervnculo"/>
            <w:noProof/>
          </w:rPr>
          <w:t>Tabla 26. Estructura de capital de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_Toc158365574 \h </w:instrText>
        </w:r>
        <w:r w:rsidR="007F18CC" w:rsidRPr="0076589C">
          <w:rPr>
            <w:noProof/>
            <w:webHidden/>
          </w:rPr>
        </w:r>
        <w:r w:rsidR="007F18CC" w:rsidRPr="0076589C">
          <w:rPr>
            <w:noProof/>
            <w:webHidden/>
          </w:rPr>
          <w:fldChar w:fldCharType="separate"/>
        </w:r>
        <w:r w:rsidR="009F171A">
          <w:rPr>
            <w:noProof/>
            <w:webHidden/>
          </w:rPr>
          <w:t>124</w:t>
        </w:r>
        <w:r w:rsidR="007F18CC" w:rsidRPr="0076589C">
          <w:rPr>
            <w:noProof/>
            <w:webHidden/>
          </w:rPr>
          <w:fldChar w:fldCharType="end"/>
        </w:r>
      </w:hyperlink>
    </w:p>
    <w:p w14:paraId="09B42C4E" w14:textId="049E5F9C"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75" w:history="1">
        <w:r w:rsidR="007F18CC" w:rsidRPr="0076589C">
          <w:rPr>
            <w:rStyle w:val="Hipervnculo"/>
            <w:noProof/>
          </w:rPr>
          <w:t>Tabla 27. Índice de endeudamiento de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_Toc158365575 \h </w:instrText>
        </w:r>
        <w:r w:rsidR="007F18CC" w:rsidRPr="0076589C">
          <w:rPr>
            <w:noProof/>
            <w:webHidden/>
          </w:rPr>
        </w:r>
        <w:r w:rsidR="007F18CC" w:rsidRPr="0076589C">
          <w:rPr>
            <w:noProof/>
            <w:webHidden/>
          </w:rPr>
          <w:fldChar w:fldCharType="separate"/>
        </w:r>
        <w:r w:rsidR="009F171A">
          <w:rPr>
            <w:noProof/>
            <w:webHidden/>
          </w:rPr>
          <w:t>126</w:t>
        </w:r>
        <w:r w:rsidR="007F18CC" w:rsidRPr="0076589C">
          <w:rPr>
            <w:noProof/>
            <w:webHidden/>
          </w:rPr>
          <w:fldChar w:fldCharType="end"/>
        </w:r>
      </w:hyperlink>
    </w:p>
    <w:p w14:paraId="601455EB" w14:textId="3FCC7C89"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76" w:history="1">
        <w:r w:rsidR="007F18CC" w:rsidRPr="0076589C">
          <w:rPr>
            <w:rStyle w:val="Hipervnculo"/>
            <w:noProof/>
          </w:rPr>
          <w:t>Tabla 28. Resumen de resultados cuantitativos</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_Toc158365576 \h </w:instrText>
        </w:r>
        <w:r w:rsidR="007F18CC" w:rsidRPr="0076589C">
          <w:rPr>
            <w:noProof/>
            <w:webHidden/>
          </w:rPr>
        </w:r>
        <w:r w:rsidR="007F18CC" w:rsidRPr="0076589C">
          <w:rPr>
            <w:noProof/>
            <w:webHidden/>
          </w:rPr>
          <w:fldChar w:fldCharType="separate"/>
        </w:r>
        <w:r w:rsidR="009F171A">
          <w:rPr>
            <w:noProof/>
            <w:webHidden/>
          </w:rPr>
          <w:t>129</w:t>
        </w:r>
        <w:r w:rsidR="007F18CC" w:rsidRPr="0076589C">
          <w:rPr>
            <w:noProof/>
            <w:webHidden/>
          </w:rPr>
          <w:fldChar w:fldCharType="end"/>
        </w:r>
      </w:hyperlink>
    </w:p>
    <w:p w14:paraId="0731114F" w14:textId="7FEE9261"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77" w:history="1">
        <w:r w:rsidR="007F18CC" w:rsidRPr="0076589C">
          <w:rPr>
            <w:rStyle w:val="Hipervnculo"/>
            <w:noProof/>
          </w:rPr>
          <w:t>Tabla 29. Preguntas Riesgo Crediticio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_Toc158365577 \h </w:instrText>
        </w:r>
        <w:r w:rsidR="007F18CC" w:rsidRPr="0076589C">
          <w:rPr>
            <w:noProof/>
            <w:webHidden/>
          </w:rPr>
        </w:r>
        <w:r w:rsidR="007F18CC" w:rsidRPr="0076589C">
          <w:rPr>
            <w:noProof/>
            <w:webHidden/>
          </w:rPr>
          <w:fldChar w:fldCharType="separate"/>
        </w:r>
        <w:r w:rsidR="009F171A">
          <w:rPr>
            <w:noProof/>
            <w:webHidden/>
          </w:rPr>
          <w:t>131</w:t>
        </w:r>
        <w:r w:rsidR="007F18CC" w:rsidRPr="0076589C">
          <w:rPr>
            <w:noProof/>
            <w:webHidden/>
          </w:rPr>
          <w:fldChar w:fldCharType="end"/>
        </w:r>
      </w:hyperlink>
    </w:p>
    <w:p w14:paraId="0071BD9F" w14:textId="0E07B6EF"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78" w:history="1">
        <w:r w:rsidR="007F18CC" w:rsidRPr="0076589C">
          <w:rPr>
            <w:rStyle w:val="Hipervnculo"/>
            <w:noProof/>
          </w:rPr>
          <w:t>Tabla 30. Preguntas Proceso de Crédito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_Toc158365578 \h </w:instrText>
        </w:r>
        <w:r w:rsidR="007F18CC" w:rsidRPr="0076589C">
          <w:rPr>
            <w:noProof/>
            <w:webHidden/>
          </w:rPr>
        </w:r>
        <w:r w:rsidR="007F18CC" w:rsidRPr="0076589C">
          <w:rPr>
            <w:noProof/>
            <w:webHidden/>
          </w:rPr>
          <w:fldChar w:fldCharType="separate"/>
        </w:r>
        <w:r w:rsidR="009F171A">
          <w:rPr>
            <w:noProof/>
            <w:webHidden/>
          </w:rPr>
          <w:t>133</w:t>
        </w:r>
        <w:r w:rsidR="007F18CC" w:rsidRPr="0076589C">
          <w:rPr>
            <w:noProof/>
            <w:webHidden/>
          </w:rPr>
          <w:fldChar w:fldCharType="end"/>
        </w:r>
      </w:hyperlink>
    </w:p>
    <w:p w14:paraId="26843FE6" w14:textId="305A2306"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79" w:history="1">
        <w:r w:rsidR="007F18CC" w:rsidRPr="0076589C">
          <w:rPr>
            <w:rStyle w:val="Hipervnculo"/>
            <w:noProof/>
          </w:rPr>
          <w:t>Tabla 31. Preguntas de Limites de Crédito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_Toc158365579 \h </w:instrText>
        </w:r>
        <w:r w:rsidR="007F18CC" w:rsidRPr="0076589C">
          <w:rPr>
            <w:noProof/>
            <w:webHidden/>
          </w:rPr>
        </w:r>
        <w:r w:rsidR="007F18CC" w:rsidRPr="0076589C">
          <w:rPr>
            <w:noProof/>
            <w:webHidden/>
          </w:rPr>
          <w:fldChar w:fldCharType="separate"/>
        </w:r>
        <w:r w:rsidR="009F171A">
          <w:rPr>
            <w:noProof/>
            <w:webHidden/>
          </w:rPr>
          <w:t>134</w:t>
        </w:r>
        <w:r w:rsidR="007F18CC" w:rsidRPr="0076589C">
          <w:rPr>
            <w:noProof/>
            <w:webHidden/>
          </w:rPr>
          <w:fldChar w:fldCharType="end"/>
        </w:r>
      </w:hyperlink>
    </w:p>
    <w:p w14:paraId="3A942ACE" w14:textId="1665AC4E"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80" w:history="1">
        <w:r w:rsidR="007F18CC" w:rsidRPr="0076589C">
          <w:rPr>
            <w:rStyle w:val="Hipervnculo"/>
            <w:noProof/>
          </w:rPr>
          <w:t>Tabla 32. Preguntas del Proceso de Cobro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_Toc158365580 \h </w:instrText>
        </w:r>
        <w:r w:rsidR="007F18CC" w:rsidRPr="0076589C">
          <w:rPr>
            <w:noProof/>
            <w:webHidden/>
          </w:rPr>
        </w:r>
        <w:r w:rsidR="007F18CC" w:rsidRPr="0076589C">
          <w:rPr>
            <w:noProof/>
            <w:webHidden/>
          </w:rPr>
          <w:fldChar w:fldCharType="separate"/>
        </w:r>
        <w:r w:rsidR="009F171A">
          <w:rPr>
            <w:noProof/>
            <w:webHidden/>
          </w:rPr>
          <w:t>135</w:t>
        </w:r>
        <w:r w:rsidR="007F18CC" w:rsidRPr="0076589C">
          <w:rPr>
            <w:noProof/>
            <w:webHidden/>
          </w:rPr>
          <w:fldChar w:fldCharType="end"/>
        </w:r>
      </w:hyperlink>
    </w:p>
    <w:p w14:paraId="613AF46B" w14:textId="0DEB64D2"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81" w:history="1">
        <w:r w:rsidR="007F18CC" w:rsidRPr="0076589C">
          <w:rPr>
            <w:rStyle w:val="Hipervnculo"/>
            <w:noProof/>
          </w:rPr>
          <w:t>Tabla 33. Preguntas de los tipos y medios de comunicación</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_Toc158365581 \h </w:instrText>
        </w:r>
        <w:r w:rsidR="007F18CC" w:rsidRPr="0076589C">
          <w:rPr>
            <w:noProof/>
            <w:webHidden/>
          </w:rPr>
        </w:r>
        <w:r w:rsidR="007F18CC" w:rsidRPr="0076589C">
          <w:rPr>
            <w:noProof/>
            <w:webHidden/>
          </w:rPr>
          <w:fldChar w:fldCharType="separate"/>
        </w:r>
        <w:r w:rsidR="009F171A">
          <w:rPr>
            <w:noProof/>
            <w:webHidden/>
          </w:rPr>
          <w:t>137</w:t>
        </w:r>
        <w:r w:rsidR="007F18CC" w:rsidRPr="0076589C">
          <w:rPr>
            <w:noProof/>
            <w:webHidden/>
          </w:rPr>
          <w:fldChar w:fldCharType="end"/>
        </w:r>
      </w:hyperlink>
    </w:p>
    <w:p w14:paraId="2DBF8B48" w14:textId="5C7985A6"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82" w:history="1">
        <w:r w:rsidR="007F18CC" w:rsidRPr="0076589C">
          <w:rPr>
            <w:rStyle w:val="Hipervnculo"/>
            <w:noProof/>
          </w:rPr>
          <w:t>Tabla 34. Cronograma de implementación de módulo de cobranza en IPRA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_Toc158365582 \h </w:instrText>
        </w:r>
        <w:r w:rsidR="007F18CC" w:rsidRPr="0076589C">
          <w:rPr>
            <w:noProof/>
            <w:webHidden/>
          </w:rPr>
        </w:r>
        <w:r w:rsidR="007F18CC" w:rsidRPr="0076589C">
          <w:rPr>
            <w:noProof/>
            <w:webHidden/>
          </w:rPr>
          <w:fldChar w:fldCharType="separate"/>
        </w:r>
        <w:r w:rsidR="009F171A">
          <w:rPr>
            <w:noProof/>
            <w:webHidden/>
          </w:rPr>
          <w:t>160</w:t>
        </w:r>
        <w:r w:rsidR="007F18CC" w:rsidRPr="0076589C">
          <w:rPr>
            <w:noProof/>
            <w:webHidden/>
          </w:rPr>
          <w:fldChar w:fldCharType="end"/>
        </w:r>
      </w:hyperlink>
    </w:p>
    <w:p w14:paraId="284F1DE7" w14:textId="1FFA50BC"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83" w:history="1">
        <w:r w:rsidR="007F18CC" w:rsidRPr="0076589C">
          <w:rPr>
            <w:rStyle w:val="Hipervnculo"/>
            <w:noProof/>
          </w:rPr>
          <w:t>Tabla 34. Gastos del proceso de cobranza actual en IPRA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_Toc158365583 \h </w:instrText>
        </w:r>
        <w:r w:rsidR="007F18CC" w:rsidRPr="0076589C">
          <w:rPr>
            <w:noProof/>
            <w:webHidden/>
          </w:rPr>
        </w:r>
        <w:r w:rsidR="007F18CC" w:rsidRPr="0076589C">
          <w:rPr>
            <w:noProof/>
            <w:webHidden/>
          </w:rPr>
          <w:fldChar w:fldCharType="separate"/>
        </w:r>
        <w:r w:rsidR="009F171A">
          <w:rPr>
            <w:noProof/>
            <w:webHidden/>
          </w:rPr>
          <w:t>161</w:t>
        </w:r>
        <w:r w:rsidR="007F18CC" w:rsidRPr="0076589C">
          <w:rPr>
            <w:noProof/>
            <w:webHidden/>
          </w:rPr>
          <w:fldChar w:fldCharType="end"/>
        </w:r>
      </w:hyperlink>
    </w:p>
    <w:p w14:paraId="7E3AEB19" w14:textId="25C9ED2B"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84" w:history="1">
        <w:r w:rsidR="007F18CC" w:rsidRPr="0076589C">
          <w:rPr>
            <w:rStyle w:val="Hipervnculo"/>
            <w:noProof/>
          </w:rPr>
          <w:t>Tabla 35. Presupuesto de implementación de módulo de cobranza en IPRA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_Toc158365584 \h </w:instrText>
        </w:r>
        <w:r w:rsidR="007F18CC" w:rsidRPr="0076589C">
          <w:rPr>
            <w:noProof/>
            <w:webHidden/>
          </w:rPr>
        </w:r>
        <w:r w:rsidR="007F18CC" w:rsidRPr="0076589C">
          <w:rPr>
            <w:noProof/>
            <w:webHidden/>
          </w:rPr>
          <w:fldChar w:fldCharType="separate"/>
        </w:r>
        <w:r w:rsidR="009F171A">
          <w:rPr>
            <w:noProof/>
            <w:webHidden/>
          </w:rPr>
          <w:t>161</w:t>
        </w:r>
        <w:r w:rsidR="007F18CC" w:rsidRPr="0076589C">
          <w:rPr>
            <w:noProof/>
            <w:webHidden/>
          </w:rPr>
          <w:fldChar w:fldCharType="end"/>
        </w:r>
      </w:hyperlink>
    </w:p>
    <w:p w14:paraId="355A2986" w14:textId="5E377206"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85" w:history="1">
        <w:r w:rsidR="007F18CC" w:rsidRPr="0076589C">
          <w:rPr>
            <w:rStyle w:val="Hipervnculo"/>
            <w:noProof/>
          </w:rPr>
          <w:t>Tabla 36. Matriz de concordancia de los segmentos de la tesis con la propuesta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_Toc158365585 \h </w:instrText>
        </w:r>
        <w:r w:rsidR="007F18CC" w:rsidRPr="0076589C">
          <w:rPr>
            <w:noProof/>
            <w:webHidden/>
          </w:rPr>
        </w:r>
        <w:r w:rsidR="007F18CC" w:rsidRPr="0076589C">
          <w:rPr>
            <w:noProof/>
            <w:webHidden/>
          </w:rPr>
          <w:fldChar w:fldCharType="separate"/>
        </w:r>
        <w:r w:rsidR="009F171A">
          <w:rPr>
            <w:noProof/>
            <w:webHidden/>
          </w:rPr>
          <w:t>163</w:t>
        </w:r>
        <w:r w:rsidR="007F18CC" w:rsidRPr="0076589C">
          <w:rPr>
            <w:noProof/>
            <w:webHidden/>
          </w:rPr>
          <w:fldChar w:fldCharType="end"/>
        </w:r>
      </w:hyperlink>
    </w:p>
    <w:p w14:paraId="2552137B" w14:textId="5EF7D4DE" w:rsidR="001A5462" w:rsidRPr="0076589C" w:rsidRDefault="005C769A" w:rsidP="00140763">
      <w:pPr>
        <w:spacing w:after="160" w:line="259" w:lineRule="auto"/>
        <w:rPr>
          <w:rFonts w:cs="Times New Roman"/>
          <w:sz w:val="20"/>
          <w:szCs w:val="20"/>
        </w:rPr>
      </w:pPr>
      <w:r w:rsidRPr="0076589C">
        <w:rPr>
          <w:rFonts w:cs="Times New Roman"/>
          <w:sz w:val="20"/>
          <w:szCs w:val="20"/>
        </w:rPr>
        <w:fldChar w:fldCharType="end"/>
      </w:r>
    </w:p>
    <w:p w14:paraId="27D827EF" w14:textId="07A194FA" w:rsidR="00C40048" w:rsidRPr="0076589C" w:rsidRDefault="1C8D6E3A" w:rsidP="00C36C3C">
      <w:pPr>
        <w:pStyle w:val="TextoPrincipal"/>
        <w:jc w:val="center"/>
        <w:rPr>
          <w:rStyle w:val="Ttulo1Car"/>
        </w:rPr>
      </w:pPr>
      <w:bookmarkStart w:id="25" w:name="_Toc145008034"/>
      <w:bookmarkStart w:id="26" w:name="_Toc145368497"/>
      <w:bookmarkStart w:id="27" w:name="_Toc145668220"/>
      <w:bookmarkStart w:id="28" w:name="_Toc145668318"/>
      <w:bookmarkStart w:id="29" w:name="_Toc146452553"/>
      <w:bookmarkStart w:id="30" w:name="_Toc149232226"/>
      <w:bookmarkStart w:id="31" w:name="_Toc149756591"/>
      <w:bookmarkStart w:id="32" w:name="_Toc150075229"/>
      <w:bookmarkStart w:id="33" w:name="_Toc150693552"/>
      <w:bookmarkStart w:id="34" w:name="_Toc150712698"/>
      <w:bookmarkStart w:id="35" w:name="_Toc158365442"/>
      <w:r w:rsidRPr="0076589C">
        <w:rPr>
          <w:rStyle w:val="Ttulo1Car"/>
        </w:rPr>
        <w:t>ÍNDICE DE FIGURAS</w:t>
      </w:r>
      <w:bookmarkEnd w:id="25"/>
      <w:bookmarkEnd w:id="26"/>
      <w:bookmarkEnd w:id="27"/>
      <w:bookmarkEnd w:id="28"/>
      <w:bookmarkEnd w:id="29"/>
      <w:bookmarkEnd w:id="30"/>
      <w:bookmarkEnd w:id="31"/>
      <w:bookmarkEnd w:id="32"/>
      <w:bookmarkEnd w:id="33"/>
      <w:bookmarkEnd w:id="34"/>
      <w:bookmarkEnd w:id="35"/>
    </w:p>
    <w:p w14:paraId="68149ECB" w14:textId="7301F3AC" w:rsidR="007F18CC" w:rsidRPr="0076589C" w:rsidRDefault="00C40048">
      <w:pPr>
        <w:pStyle w:val="Tabladeilustraciones"/>
        <w:tabs>
          <w:tab w:val="right" w:leader="dot" w:pos="9350"/>
        </w:tabs>
        <w:rPr>
          <w:rFonts w:asciiTheme="minorHAnsi" w:eastAsiaTheme="minorEastAsia" w:hAnsiTheme="minorHAnsi"/>
          <w:noProof/>
          <w:kern w:val="2"/>
          <w:sz w:val="22"/>
          <w:lang w:eastAsia="es-HN"/>
          <w14:ligatures w14:val="standardContextual"/>
        </w:rPr>
      </w:pPr>
      <w:r w:rsidRPr="0076589C">
        <w:rPr>
          <w:rFonts w:cs="Times New Roman"/>
          <w:sz w:val="20"/>
          <w:szCs w:val="20"/>
        </w:rPr>
        <w:fldChar w:fldCharType="begin"/>
      </w:r>
      <w:r w:rsidRPr="0076589C">
        <w:rPr>
          <w:rFonts w:cs="Times New Roman"/>
          <w:sz w:val="20"/>
          <w:szCs w:val="20"/>
        </w:rPr>
        <w:instrText xml:space="preserve"> TOC \h \z \c "Figura" </w:instrText>
      </w:r>
      <w:r w:rsidRPr="0076589C">
        <w:rPr>
          <w:rFonts w:cs="Times New Roman"/>
          <w:sz w:val="20"/>
          <w:szCs w:val="20"/>
        </w:rPr>
        <w:fldChar w:fldCharType="separate"/>
      </w:r>
      <w:hyperlink w:anchor="_Toc158365586" w:history="1">
        <w:r w:rsidR="007F18CC" w:rsidRPr="0076589C">
          <w:rPr>
            <w:rStyle w:val="Hipervnculo"/>
            <w:noProof/>
          </w:rPr>
          <w:t>Figura 1.  Organigrama de la empresa IPRA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_Toc158365586 \h </w:instrText>
        </w:r>
        <w:r w:rsidR="007F18CC" w:rsidRPr="0076589C">
          <w:rPr>
            <w:noProof/>
            <w:webHidden/>
          </w:rPr>
        </w:r>
        <w:r w:rsidR="007F18CC" w:rsidRPr="0076589C">
          <w:rPr>
            <w:noProof/>
            <w:webHidden/>
          </w:rPr>
          <w:fldChar w:fldCharType="separate"/>
        </w:r>
        <w:r w:rsidR="009F171A">
          <w:rPr>
            <w:noProof/>
            <w:webHidden/>
          </w:rPr>
          <w:t>28</w:t>
        </w:r>
        <w:r w:rsidR="007F18CC" w:rsidRPr="0076589C">
          <w:rPr>
            <w:noProof/>
            <w:webHidden/>
          </w:rPr>
          <w:fldChar w:fldCharType="end"/>
        </w:r>
      </w:hyperlink>
    </w:p>
    <w:p w14:paraId="7A1CB5A9" w14:textId="410C07A7"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87" w:history="1">
        <w:r w:rsidR="007F18CC" w:rsidRPr="0076589C">
          <w:rPr>
            <w:rStyle w:val="Hipervnculo"/>
            <w:noProof/>
          </w:rPr>
          <w:t>Figura 2.  FODA de la empresa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_Toc158365587 \h </w:instrText>
        </w:r>
        <w:r w:rsidR="007F18CC" w:rsidRPr="0076589C">
          <w:rPr>
            <w:noProof/>
            <w:webHidden/>
          </w:rPr>
        </w:r>
        <w:r w:rsidR="007F18CC" w:rsidRPr="0076589C">
          <w:rPr>
            <w:noProof/>
            <w:webHidden/>
          </w:rPr>
          <w:fldChar w:fldCharType="separate"/>
        </w:r>
        <w:r w:rsidR="009F171A">
          <w:rPr>
            <w:noProof/>
            <w:webHidden/>
          </w:rPr>
          <w:t>29</w:t>
        </w:r>
        <w:r w:rsidR="007F18CC" w:rsidRPr="0076589C">
          <w:rPr>
            <w:noProof/>
            <w:webHidden/>
          </w:rPr>
          <w:fldChar w:fldCharType="end"/>
        </w:r>
      </w:hyperlink>
    </w:p>
    <w:p w14:paraId="3A7209BC" w14:textId="45153C82"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88" w:history="1">
        <w:r w:rsidR="007F18CC" w:rsidRPr="0076589C">
          <w:rPr>
            <w:rStyle w:val="Hipervnculo"/>
            <w:noProof/>
          </w:rPr>
          <w:t>Figura 3.  Evolución de la Teoría Financiera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_Toc158365588 \h </w:instrText>
        </w:r>
        <w:r w:rsidR="007F18CC" w:rsidRPr="0076589C">
          <w:rPr>
            <w:noProof/>
            <w:webHidden/>
          </w:rPr>
        </w:r>
        <w:r w:rsidR="007F18CC" w:rsidRPr="0076589C">
          <w:rPr>
            <w:noProof/>
            <w:webHidden/>
          </w:rPr>
          <w:fldChar w:fldCharType="separate"/>
        </w:r>
        <w:r w:rsidR="009F171A">
          <w:rPr>
            <w:noProof/>
            <w:webHidden/>
          </w:rPr>
          <w:t>40</w:t>
        </w:r>
        <w:r w:rsidR="007F18CC" w:rsidRPr="0076589C">
          <w:rPr>
            <w:noProof/>
            <w:webHidden/>
          </w:rPr>
          <w:fldChar w:fldCharType="end"/>
        </w:r>
      </w:hyperlink>
    </w:p>
    <w:p w14:paraId="43EC3628" w14:textId="72922D44"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89" w:history="1">
        <w:r w:rsidR="007F18CC" w:rsidRPr="0076589C">
          <w:rPr>
            <w:rStyle w:val="Hipervnculo"/>
            <w:noProof/>
          </w:rPr>
          <w:t>Figura 4.  Variables de estudio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_Toc158365589 \h </w:instrText>
        </w:r>
        <w:r w:rsidR="007F18CC" w:rsidRPr="0076589C">
          <w:rPr>
            <w:noProof/>
            <w:webHidden/>
          </w:rPr>
        </w:r>
        <w:r w:rsidR="007F18CC" w:rsidRPr="0076589C">
          <w:rPr>
            <w:noProof/>
            <w:webHidden/>
          </w:rPr>
          <w:fldChar w:fldCharType="separate"/>
        </w:r>
        <w:r w:rsidR="009F171A">
          <w:rPr>
            <w:noProof/>
            <w:webHidden/>
          </w:rPr>
          <w:t>58</w:t>
        </w:r>
        <w:r w:rsidR="007F18CC" w:rsidRPr="0076589C">
          <w:rPr>
            <w:noProof/>
            <w:webHidden/>
          </w:rPr>
          <w:fldChar w:fldCharType="end"/>
        </w:r>
      </w:hyperlink>
    </w:p>
    <w:p w14:paraId="57E67399" w14:textId="550E0E5F"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90" w:history="1">
        <w:r w:rsidR="007F18CC" w:rsidRPr="0076589C">
          <w:rPr>
            <w:rStyle w:val="Hipervnculo"/>
            <w:noProof/>
          </w:rPr>
          <w:t>Figura 5.  Enfoque y método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_Toc158365590 \h </w:instrText>
        </w:r>
        <w:r w:rsidR="007F18CC" w:rsidRPr="0076589C">
          <w:rPr>
            <w:noProof/>
            <w:webHidden/>
          </w:rPr>
        </w:r>
        <w:r w:rsidR="007F18CC" w:rsidRPr="0076589C">
          <w:rPr>
            <w:noProof/>
            <w:webHidden/>
          </w:rPr>
          <w:fldChar w:fldCharType="separate"/>
        </w:r>
        <w:r w:rsidR="009F171A">
          <w:rPr>
            <w:noProof/>
            <w:webHidden/>
          </w:rPr>
          <w:t>65</w:t>
        </w:r>
        <w:r w:rsidR="007F18CC" w:rsidRPr="0076589C">
          <w:rPr>
            <w:noProof/>
            <w:webHidden/>
          </w:rPr>
          <w:fldChar w:fldCharType="end"/>
        </w:r>
      </w:hyperlink>
    </w:p>
    <w:p w14:paraId="3EED90F8" w14:textId="15A53293"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91" w:history="1">
        <w:r w:rsidR="007F18CC" w:rsidRPr="0076589C">
          <w:rPr>
            <w:rStyle w:val="Hipervnculo"/>
            <w:noProof/>
          </w:rPr>
          <w:t>Figura 6.  Tasa de crecimiento de la Cartera de Crédito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_Toc158365591 \h </w:instrText>
        </w:r>
        <w:r w:rsidR="007F18CC" w:rsidRPr="0076589C">
          <w:rPr>
            <w:noProof/>
            <w:webHidden/>
          </w:rPr>
        </w:r>
        <w:r w:rsidR="007F18CC" w:rsidRPr="0076589C">
          <w:rPr>
            <w:noProof/>
            <w:webHidden/>
          </w:rPr>
          <w:fldChar w:fldCharType="separate"/>
        </w:r>
        <w:r w:rsidR="009F171A">
          <w:rPr>
            <w:noProof/>
            <w:webHidden/>
          </w:rPr>
          <w:t>94</w:t>
        </w:r>
        <w:r w:rsidR="007F18CC" w:rsidRPr="0076589C">
          <w:rPr>
            <w:noProof/>
            <w:webHidden/>
          </w:rPr>
          <w:fldChar w:fldCharType="end"/>
        </w:r>
      </w:hyperlink>
    </w:p>
    <w:p w14:paraId="3ADF5283" w14:textId="624E0EAA"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92" w:history="1">
        <w:r w:rsidR="007F18CC" w:rsidRPr="0076589C">
          <w:rPr>
            <w:rStyle w:val="Hipervnculo"/>
            <w:noProof/>
          </w:rPr>
          <w:t>Figura 7.   Periodo promedio de cobro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_Toc158365592 \h </w:instrText>
        </w:r>
        <w:r w:rsidR="007F18CC" w:rsidRPr="0076589C">
          <w:rPr>
            <w:noProof/>
            <w:webHidden/>
          </w:rPr>
        </w:r>
        <w:r w:rsidR="007F18CC" w:rsidRPr="0076589C">
          <w:rPr>
            <w:noProof/>
            <w:webHidden/>
          </w:rPr>
          <w:fldChar w:fldCharType="separate"/>
        </w:r>
        <w:r w:rsidR="009F171A">
          <w:rPr>
            <w:noProof/>
            <w:webHidden/>
          </w:rPr>
          <w:t>107</w:t>
        </w:r>
        <w:r w:rsidR="007F18CC" w:rsidRPr="0076589C">
          <w:rPr>
            <w:noProof/>
            <w:webHidden/>
          </w:rPr>
          <w:fldChar w:fldCharType="end"/>
        </w:r>
      </w:hyperlink>
    </w:p>
    <w:p w14:paraId="246D2BF5" w14:textId="6E45331C"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93" w:history="1">
        <w:r w:rsidR="007F18CC" w:rsidRPr="0076589C">
          <w:rPr>
            <w:rStyle w:val="Hipervnculo"/>
            <w:noProof/>
          </w:rPr>
          <w:t>Figura 8. Margen de utilidad bruta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_Toc158365593 \h </w:instrText>
        </w:r>
        <w:r w:rsidR="007F18CC" w:rsidRPr="0076589C">
          <w:rPr>
            <w:noProof/>
            <w:webHidden/>
          </w:rPr>
        </w:r>
        <w:r w:rsidR="007F18CC" w:rsidRPr="0076589C">
          <w:rPr>
            <w:noProof/>
            <w:webHidden/>
          </w:rPr>
          <w:fldChar w:fldCharType="separate"/>
        </w:r>
        <w:r w:rsidR="009F171A">
          <w:rPr>
            <w:noProof/>
            <w:webHidden/>
          </w:rPr>
          <w:t>112</w:t>
        </w:r>
        <w:r w:rsidR="007F18CC" w:rsidRPr="0076589C">
          <w:rPr>
            <w:noProof/>
            <w:webHidden/>
          </w:rPr>
          <w:fldChar w:fldCharType="end"/>
        </w:r>
      </w:hyperlink>
    </w:p>
    <w:p w14:paraId="0B3C0A9B" w14:textId="30F9E0B7"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94" w:history="1">
        <w:r w:rsidR="007F18CC" w:rsidRPr="0076589C">
          <w:rPr>
            <w:rStyle w:val="Hipervnculo"/>
            <w:noProof/>
          </w:rPr>
          <w:t>Figura 9. Margen de utilidad neta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_Toc158365594 \h </w:instrText>
        </w:r>
        <w:r w:rsidR="007F18CC" w:rsidRPr="0076589C">
          <w:rPr>
            <w:noProof/>
            <w:webHidden/>
          </w:rPr>
        </w:r>
        <w:r w:rsidR="007F18CC" w:rsidRPr="0076589C">
          <w:rPr>
            <w:noProof/>
            <w:webHidden/>
          </w:rPr>
          <w:fldChar w:fldCharType="separate"/>
        </w:r>
        <w:r w:rsidR="009F171A">
          <w:rPr>
            <w:noProof/>
            <w:webHidden/>
          </w:rPr>
          <w:t>113</w:t>
        </w:r>
        <w:r w:rsidR="007F18CC" w:rsidRPr="0076589C">
          <w:rPr>
            <w:noProof/>
            <w:webHidden/>
          </w:rPr>
          <w:fldChar w:fldCharType="end"/>
        </w:r>
      </w:hyperlink>
    </w:p>
    <w:p w14:paraId="196FA36B" w14:textId="014DADDD"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95" w:history="1">
        <w:r w:rsidR="007F18CC" w:rsidRPr="0076589C">
          <w:rPr>
            <w:rStyle w:val="Hipervnculo"/>
            <w:noProof/>
          </w:rPr>
          <w:t>Figura 10. EBITDA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_Toc158365595 \h </w:instrText>
        </w:r>
        <w:r w:rsidR="007F18CC" w:rsidRPr="0076589C">
          <w:rPr>
            <w:noProof/>
            <w:webHidden/>
          </w:rPr>
        </w:r>
        <w:r w:rsidR="007F18CC" w:rsidRPr="0076589C">
          <w:rPr>
            <w:noProof/>
            <w:webHidden/>
          </w:rPr>
          <w:fldChar w:fldCharType="separate"/>
        </w:r>
        <w:r w:rsidR="009F171A">
          <w:rPr>
            <w:noProof/>
            <w:webHidden/>
          </w:rPr>
          <w:t>115</w:t>
        </w:r>
        <w:r w:rsidR="007F18CC" w:rsidRPr="0076589C">
          <w:rPr>
            <w:noProof/>
            <w:webHidden/>
          </w:rPr>
          <w:fldChar w:fldCharType="end"/>
        </w:r>
      </w:hyperlink>
    </w:p>
    <w:p w14:paraId="6ADD01CE" w14:textId="3779E44F"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96" w:history="1">
        <w:r w:rsidR="007F18CC" w:rsidRPr="0076589C">
          <w:rPr>
            <w:rStyle w:val="Hipervnculo"/>
            <w:noProof/>
          </w:rPr>
          <w:t>Figura 11. ROA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_Toc158365596 \h </w:instrText>
        </w:r>
        <w:r w:rsidR="007F18CC" w:rsidRPr="0076589C">
          <w:rPr>
            <w:noProof/>
            <w:webHidden/>
          </w:rPr>
        </w:r>
        <w:r w:rsidR="007F18CC" w:rsidRPr="0076589C">
          <w:rPr>
            <w:noProof/>
            <w:webHidden/>
          </w:rPr>
          <w:fldChar w:fldCharType="separate"/>
        </w:r>
        <w:r w:rsidR="009F171A">
          <w:rPr>
            <w:noProof/>
            <w:webHidden/>
          </w:rPr>
          <w:t>116</w:t>
        </w:r>
        <w:r w:rsidR="007F18CC" w:rsidRPr="0076589C">
          <w:rPr>
            <w:noProof/>
            <w:webHidden/>
          </w:rPr>
          <w:fldChar w:fldCharType="end"/>
        </w:r>
      </w:hyperlink>
    </w:p>
    <w:p w14:paraId="3B9B360B" w14:textId="45908049"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97" w:history="1">
        <w:r w:rsidR="007F18CC" w:rsidRPr="0076589C">
          <w:rPr>
            <w:rStyle w:val="Hipervnculo"/>
            <w:noProof/>
          </w:rPr>
          <w:t>Figura 12. ROA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_Toc158365597 \h </w:instrText>
        </w:r>
        <w:r w:rsidR="007F18CC" w:rsidRPr="0076589C">
          <w:rPr>
            <w:noProof/>
            <w:webHidden/>
          </w:rPr>
        </w:r>
        <w:r w:rsidR="007F18CC" w:rsidRPr="0076589C">
          <w:rPr>
            <w:noProof/>
            <w:webHidden/>
          </w:rPr>
          <w:fldChar w:fldCharType="separate"/>
        </w:r>
        <w:r w:rsidR="009F171A">
          <w:rPr>
            <w:noProof/>
            <w:webHidden/>
          </w:rPr>
          <w:t>117</w:t>
        </w:r>
        <w:r w:rsidR="007F18CC" w:rsidRPr="0076589C">
          <w:rPr>
            <w:noProof/>
            <w:webHidden/>
          </w:rPr>
          <w:fldChar w:fldCharType="end"/>
        </w:r>
      </w:hyperlink>
    </w:p>
    <w:p w14:paraId="4C7527BA" w14:textId="486774D1"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98" w:history="1">
        <w:r w:rsidR="007F18CC" w:rsidRPr="0076589C">
          <w:rPr>
            <w:rStyle w:val="Hipervnculo"/>
            <w:noProof/>
          </w:rPr>
          <w:t>Figura 13. Liquidez corriente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_Toc158365598 \h </w:instrText>
        </w:r>
        <w:r w:rsidR="007F18CC" w:rsidRPr="0076589C">
          <w:rPr>
            <w:noProof/>
            <w:webHidden/>
          </w:rPr>
        </w:r>
        <w:r w:rsidR="007F18CC" w:rsidRPr="0076589C">
          <w:rPr>
            <w:noProof/>
            <w:webHidden/>
          </w:rPr>
          <w:fldChar w:fldCharType="separate"/>
        </w:r>
        <w:r w:rsidR="009F171A">
          <w:rPr>
            <w:noProof/>
            <w:webHidden/>
          </w:rPr>
          <w:t>120</w:t>
        </w:r>
        <w:r w:rsidR="007F18CC" w:rsidRPr="0076589C">
          <w:rPr>
            <w:noProof/>
            <w:webHidden/>
          </w:rPr>
          <w:fldChar w:fldCharType="end"/>
        </w:r>
      </w:hyperlink>
    </w:p>
    <w:p w14:paraId="4581DB58" w14:textId="4F1C9C60"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599" w:history="1">
        <w:r w:rsidR="007F18CC" w:rsidRPr="0076589C">
          <w:rPr>
            <w:rStyle w:val="Hipervnculo"/>
            <w:noProof/>
          </w:rPr>
          <w:t>Figura 14 Razón rápida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_Toc158365599 \h </w:instrText>
        </w:r>
        <w:r w:rsidR="007F18CC" w:rsidRPr="0076589C">
          <w:rPr>
            <w:noProof/>
            <w:webHidden/>
          </w:rPr>
        </w:r>
        <w:r w:rsidR="007F18CC" w:rsidRPr="0076589C">
          <w:rPr>
            <w:noProof/>
            <w:webHidden/>
          </w:rPr>
          <w:fldChar w:fldCharType="separate"/>
        </w:r>
        <w:r w:rsidR="009F171A">
          <w:rPr>
            <w:noProof/>
            <w:webHidden/>
          </w:rPr>
          <w:t>122</w:t>
        </w:r>
        <w:r w:rsidR="007F18CC" w:rsidRPr="0076589C">
          <w:rPr>
            <w:noProof/>
            <w:webHidden/>
          </w:rPr>
          <w:fldChar w:fldCharType="end"/>
        </w:r>
      </w:hyperlink>
    </w:p>
    <w:p w14:paraId="21C89178" w14:textId="1E331631"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600" w:history="1">
        <w:r w:rsidR="007F18CC" w:rsidRPr="0076589C">
          <w:rPr>
            <w:rStyle w:val="Hipervnculo"/>
            <w:noProof/>
          </w:rPr>
          <w:t>Figura 15. Razón de efectivo en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_Toc158365600 \h </w:instrText>
        </w:r>
        <w:r w:rsidR="007F18CC" w:rsidRPr="0076589C">
          <w:rPr>
            <w:noProof/>
            <w:webHidden/>
          </w:rPr>
        </w:r>
        <w:r w:rsidR="007F18CC" w:rsidRPr="0076589C">
          <w:rPr>
            <w:noProof/>
            <w:webHidden/>
          </w:rPr>
          <w:fldChar w:fldCharType="separate"/>
        </w:r>
        <w:r w:rsidR="009F171A">
          <w:rPr>
            <w:noProof/>
            <w:webHidden/>
          </w:rPr>
          <w:t>123</w:t>
        </w:r>
        <w:r w:rsidR="007F18CC" w:rsidRPr="0076589C">
          <w:rPr>
            <w:noProof/>
            <w:webHidden/>
          </w:rPr>
          <w:fldChar w:fldCharType="end"/>
        </w:r>
      </w:hyperlink>
    </w:p>
    <w:p w14:paraId="26815B8C" w14:textId="4421E608"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601" w:history="1">
        <w:r w:rsidR="007F18CC" w:rsidRPr="0076589C">
          <w:rPr>
            <w:rStyle w:val="Hipervnculo"/>
            <w:noProof/>
          </w:rPr>
          <w:t>Figura 16. Esctructura de capital de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_Toc158365601 \h </w:instrText>
        </w:r>
        <w:r w:rsidR="007F18CC" w:rsidRPr="0076589C">
          <w:rPr>
            <w:noProof/>
            <w:webHidden/>
          </w:rPr>
        </w:r>
        <w:r w:rsidR="007F18CC" w:rsidRPr="0076589C">
          <w:rPr>
            <w:noProof/>
            <w:webHidden/>
          </w:rPr>
          <w:fldChar w:fldCharType="separate"/>
        </w:r>
        <w:r w:rsidR="009F171A">
          <w:rPr>
            <w:noProof/>
            <w:webHidden/>
          </w:rPr>
          <w:t>125</w:t>
        </w:r>
        <w:r w:rsidR="007F18CC" w:rsidRPr="0076589C">
          <w:rPr>
            <w:noProof/>
            <w:webHidden/>
          </w:rPr>
          <w:fldChar w:fldCharType="end"/>
        </w:r>
      </w:hyperlink>
    </w:p>
    <w:p w14:paraId="4BA1D11E" w14:textId="248E6207"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602" w:history="1">
        <w:r w:rsidR="007F18CC" w:rsidRPr="0076589C">
          <w:rPr>
            <w:rStyle w:val="Hipervnculo"/>
            <w:noProof/>
          </w:rPr>
          <w:t>Figura 17. Índice de endeudamiento de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_Toc158365602 \h </w:instrText>
        </w:r>
        <w:r w:rsidR="007F18CC" w:rsidRPr="0076589C">
          <w:rPr>
            <w:noProof/>
            <w:webHidden/>
          </w:rPr>
        </w:r>
        <w:r w:rsidR="007F18CC" w:rsidRPr="0076589C">
          <w:rPr>
            <w:noProof/>
            <w:webHidden/>
          </w:rPr>
          <w:fldChar w:fldCharType="separate"/>
        </w:r>
        <w:r w:rsidR="009F171A">
          <w:rPr>
            <w:noProof/>
            <w:webHidden/>
          </w:rPr>
          <w:t>127</w:t>
        </w:r>
        <w:r w:rsidR="007F18CC" w:rsidRPr="0076589C">
          <w:rPr>
            <w:noProof/>
            <w:webHidden/>
          </w:rPr>
          <w:fldChar w:fldCharType="end"/>
        </w:r>
      </w:hyperlink>
    </w:p>
    <w:p w14:paraId="19E03BC6" w14:textId="6A6EFAF3"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603" w:history="1">
        <w:r w:rsidR="007F18CC" w:rsidRPr="0076589C">
          <w:rPr>
            <w:rStyle w:val="Hipervnculo"/>
            <w:noProof/>
          </w:rPr>
          <w:t>Figura 18. Semaforo financiero de IPRA (2019-2022)</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_Toc158365603 \h </w:instrText>
        </w:r>
        <w:r w:rsidR="007F18CC" w:rsidRPr="0076589C">
          <w:rPr>
            <w:noProof/>
            <w:webHidden/>
          </w:rPr>
        </w:r>
        <w:r w:rsidR="007F18CC" w:rsidRPr="0076589C">
          <w:rPr>
            <w:noProof/>
            <w:webHidden/>
          </w:rPr>
          <w:fldChar w:fldCharType="separate"/>
        </w:r>
        <w:r w:rsidR="009F171A">
          <w:rPr>
            <w:noProof/>
            <w:webHidden/>
          </w:rPr>
          <w:t>128</w:t>
        </w:r>
        <w:r w:rsidR="007F18CC" w:rsidRPr="0076589C">
          <w:rPr>
            <w:noProof/>
            <w:webHidden/>
          </w:rPr>
          <w:fldChar w:fldCharType="end"/>
        </w:r>
      </w:hyperlink>
    </w:p>
    <w:p w14:paraId="4A61E688" w14:textId="56ED9314"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604" w:history="1">
        <w:r w:rsidR="007F18CC" w:rsidRPr="0076589C">
          <w:rPr>
            <w:rStyle w:val="Hipervnculo"/>
            <w:noProof/>
          </w:rPr>
          <w:t>Figura 19. Proceso de Implementación  Modulo de Cobrazana en IPRA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_Toc158365604 \h </w:instrText>
        </w:r>
        <w:r w:rsidR="007F18CC" w:rsidRPr="0076589C">
          <w:rPr>
            <w:noProof/>
            <w:webHidden/>
          </w:rPr>
        </w:r>
        <w:r w:rsidR="007F18CC" w:rsidRPr="0076589C">
          <w:rPr>
            <w:noProof/>
            <w:webHidden/>
          </w:rPr>
          <w:fldChar w:fldCharType="separate"/>
        </w:r>
        <w:r w:rsidR="009F171A">
          <w:rPr>
            <w:noProof/>
            <w:webHidden/>
          </w:rPr>
          <w:t>146</w:t>
        </w:r>
        <w:r w:rsidR="007F18CC" w:rsidRPr="0076589C">
          <w:rPr>
            <w:noProof/>
            <w:webHidden/>
          </w:rPr>
          <w:fldChar w:fldCharType="end"/>
        </w:r>
      </w:hyperlink>
    </w:p>
    <w:p w14:paraId="28D5D3D0" w14:textId="20653776"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605" w:history="1">
        <w:r w:rsidR="007F18CC" w:rsidRPr="0076589C">
          <w:rPr>
            <w:rStyle w:val="Hipervnculo"/>
            <w:noProof/>
          </w:rPr>
          <w:t>Figura 20. Recibo de IPRA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_Toc158365605 \h </w:instrText>
        </w:r>
        <w:r w:rsidR="007F18CC" w:rsidRPr="0076589C">
          <w:rPr>
            <w:noProof/>
            <w:webHidden/>
          </w:rPr>
        </w:r>
        <w:r w:rsidR="007F18CC" w:rsidRPr="0076589C">
          <w:rPr>
            <w:noProof/>
            <w:webHidden/>
          </w:rPr>
          <w:fldChar w:fldCharType="separate"/>
        </w:r>
        <w:r w:rsidR="009F171A">
          <w:rPr>
            <w:noProof/>
            <w:webHidden/>
          </w:rPr>
          <w:t>148</w:t>
        </w:r>
        <w:r w:rsidR="007F18CC" w:rsidRPr="0076589C">
          <w:rPr>
            <w:noProof/>
            <w:webHidden/>
          </w:rPr>
          <w:fldChar w:fldCharType="end"/>
        </w:r>
      </w:hyperlink>
    </w:p>
    <w:p w14:paraId="2E2B9553" w14:textId="2C18AFBE"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606" w:history="1">
        <w:r w:rsidR="007F18CC" w:rsidRPr="0076589C">
          <w:rPr>
            <w:rStyle w:val="Hipervnculo"/>
            <w:noProof/>
          </w:rPr>
          <w:t>Figura 21. Generación de reportes de antigüedad de cuentas por cobrar</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_Toc158365606 \h </w:instrText>
        </w:r>
        <w:r w:rsidR="007F18CC" w:rsidRPr="0076589C">
          <w:rPr>
            <w:noProof/>
            <w:webHidden/>
          </w:rPr>
        </w:r>
        <w:r w:rsidR="007F18CC" w:rsidRPr="0076589C">
          <w:rPr>
            <w:noProof/>
            <w:webHidden/>
          </w:rPr>
          <w:fldChar w:fldCharType="separate"/>
        </w:r>
        <w:r w:rsidR="009F171A">
          <w:rPr>
            <w:noProof/>
            <w:webHidden/>
          </w:rPr>
          <w:t>149</w:t>
        </w:r>
        <w:r w:rsidR="007F18CC" w:rsidRPr="0076589C">
          <w:rPr>
            <w:noProof/>
            <w:webHidden/>
          </w:rPr>
          <w:fldChar w:fldCharType="end"/>
        </w:r>
      </w:hyperlink>
    </w:p>
    <w:p w14:paraId="590C64EC" w14:textId="02E5F880"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607" w:history="1">
        <w:r w:rsidR="007F18CC" w:rsidRPr="0076589C">
          <w:rPr>
            <w:rStyle w:val="Hipervnculo"/>
            <w:noProof/>
          </w:rPr>
          <w:t>Figura 22. Diseño y desarrollo  Modulo de Cobrazana en IPRA</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_Toc158365607 \h </w:instrText>
        </w:r>
        <w:r w:rsidR="007F18CC" w:rsidRPr="0076589C">
          <w:rPr>
            <w:noProof/>
            <w:webHidden/>
          </w:rPr>
        </w:r>
        <w:r w:rsidR="007F18CC" w:rsidRPr="0076589C">
          <w:rPr>
            <w:noProof/>
            <w:webHidden/>
          </w:rPr>
          <w:fldChar w:fldCharType="separate"/>
        </w:r>
        <w:r w:rsidR="009F171A">
          <w:rPr>
            <w:noProof/>
            <w:webHidden/>
          </w:rPr>
          <w:t>153</w:t>
        </w:r>
        <w:r w:rsidR="007F18CC" w:rsidRPr="0076589C">
          <w:rPr>
            <w:noProof/>
            <w:webHidden/>
          </w:rPr>
          <w:fldChar w:fldCharType="end"/>
        </w:r>
      </w:hyperlink>
    </w:p>
    <w:p w14:paraId="4B888E6C" w14:textId="452E5C04" w:rsidR="007F18CC" w:rsidRPr="0076589C"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58365608" w:history="1">
        <w:r w:rsidR="007F18CC" w:rsidRPr="0076589C">
          <w:rPr>
            <w:rStyle w:val="Hipervnculo"/>
            <w:noProof/>
          </w:rPr>
          <w:t>Figura 23. y Figura 24. Interfaz de cobro</w:t>
        </w:r>
        <w:r w:rsidR="007F18CC" w:rsidRPr="0076589C">
          <w:rPr>
            <w:noProof/>
            <w:webHidden/>
          </w:rPr>
          <w:tab/>
        </w:r>
        <w:r w:rsidR="007F18CC" w:rsidRPr="0076589C">
          <w:rPr>
            <w:noProof/>
            <w:webHidden/>
          </w:rPr>
          <w:fldChar w:fldCharType="begin"/>
        </w:r>
        <w:r w:rsidR="007F18CC" w:rsidRPr="0076589C">
          <w:rPr>
            <w:noProof/>
            <w:webHidden/>
          </w:rPr>
          <w:instrText xml:space="preserve"> PAGEREF _Toc158365608 \h </w:instrText>
        </w:r>
        <w:r w:rsidR="007F18CC" w:rsidRPr="0076589C">
          <w:rPr>
            <w:noProof/>
            <w:webHidden/>
          </w:rPr>
        </w:r>
        <w:r w:rsidR="007F18CC" w:rsidRPr="0076589C">
          <w:rPr>
            <w:noProof/>
            <w:webHidden/>
          </w:rPr>
          <w:fldChar w:fldCharType="separate"/>
        </w:r>
        <w:r w:rsidR="009F171A">
          <w:rPr>
            <w:noProof/>
            <w:webHidden/>
          </w:rPr>
          <w:t>154</w:t>
        </w:r>
        <w:r w:rsidR="007F18CC" w:rsidRPr="0076589C">
          <w:rPr>
            <w:noProof/>
            <w:webHidden/>
          </w:rPr>
          <w:fldChar w:fldCharType="end"/>
        </w:r>
      </w:hyperlink>
    </w:p>
    <w:p w14:paraId="3EC81081" w14:textId="50CC9329" w:rsidR="00B1496C" w:rsidRPr="0076589C" w:rsidRDefault="00C40048" w:rsidP="00EC57A5">
      <w:pPr>
        <w:spacing w:after="160" w:line="259" w:lineRule="auto"/>
        <w:ind w:left="0"/>
        <w:jc w:val="center"/>
        <w:rPr>
          <w:rFonts w:cs="Times New Roman"/>
          <w:sz w:val="20"/>
          <w:szCs w:val="20"/>
        </w:rPr>
        <w:sectPr w:rsidR="00B1496C" w:rsidRPr="0076589C" w:rsidSect="008C6BD1">
          <w:footerReference w:type="default" r:id="rId12"/>
          <w:pgSz w:w="12240" w:h="15840" w:code="1"/>
          <w:pgMar w:top="1440" w:right="1440" w:bottom="1440" w:left="1440" w:header="720" w:footer="720" w:gutter="0"/>
          <w:pgNumType w:fmt="lowerRoman"/>
          <w:cols w:space="720"/>
          <w:docGrid w:linePitch="360"/>
        </w:sectPr>
      </w:pPr>
      <w:r w:rsidRPr="0076589C">
        <w:rPr>
          <w:rFonts w:cs="Times New Roman"/>
          <w:sz w:val="20"/>
          <w:szCs w:val="20"/>
        </w:rPr>
        <w:fldChar w:fldCharType="end"/>
      </w:r>
    </w:p>
    <w:p w14:paraId="16C0965A" w14:textId="71AF5AB0" w:rsidR="002C704B" w:rsidRPr="0076589C" w:rsidRDefault="1C8D6E3A" w:rsidP="00FD68DD">
      <w:pPr>
        <w:pStyle w:val="Ttulo1"/>
        <w:ind w:left="1080"/>
      </w:pPr>
      <w:bookmarkStart w:id="36" w:name="_Toc474331176"/>
      <w:bookmarkStart w:id="37" w:name="_Toc474331375"/>
      <w:bookmarkStart w:id="38" w:name="_Toc133044384"/>
      <w:bookmarkStart w:id="39" w:name="_Toc142766490"/>
      <w:bookmarkStart w:id="40" w:name="_Toc158365443"/>
      <w:r w:rsidRPr="0076589C">
        <w:lastRenderedPageBreak/>
        <w:t xml:space="preserve">CAPÍTULO I. </w:t>
      </w:r>
      <w:bookmarkStart w:id="41" w:name="_Hlk142149123"/>
      <w:r w:rsidRPr="0076589C">
        <w:t>PLANTEAMIENTO DE LA INVESTIGACIÓN</w:t>
      </w:r>
      <w:bookmarkEnd w:id="36"/>
      <w:bookmarkEnd w:id="37"/>
      <w:bookmarkEnd w:id="38"/>
      <w:bookmarkEnd w:id="39"/>
      <w:bookmarkEnd w:id="40"/>
      <w:bookmarkEnd w:id="41"/>
    </w:p>
    <w:p w14:paraId="6ED17C50" w14:textId="7AB8F959" w:rsidR="00ED51C0" w:rsidRPr="0076589C" w:rsidRDefault="1C8D6E3A" w:rsidP="00494616">
      <w:pPr>
        <w:pStyle w:val="Ttulo2"/>
        <w:numPr>
          <w:ilvl w:val="1"/>
          <w:numId w:val="3"/>
        </w:numPr>
        <w:tabs>
          <w:tab w:val="num" w:pos="360"/>
        </w:tabs>
        <w:spacing w:line="360" w:lineRule="auto"/>
        <w:ind w:left="357" w:hanging="357"/>
      </w:pPr>
      <w:bookmarkStart w:id="42" w:name="_Toc142766491"/>
      <w:bookmarkStart w:id="43" w:name="_Toc158365444"/>
      <w:bookmarkStart w:id="44" w:name="_Toc474331178"/>
      <w:bookmarkStart w:id="45" w:name="_Toc474331377"/>
      <w:bookmarkStart w:id="46" w:name="_Toc133044386"/>
      <w:r w:rsidRPr="0076589C">
        <w:t>INTRODUCCIÓN</w:t>
      </w:r>
      <w:bookmarkEnd w:id="42"/>
      <w:bookmarkEnd w:id="43"/>
    </w:p>
    <w:p w14:paraId="2542B80E" w14:textId="23ED8983" w:rsidR="00B55D1A" w:rsidRPr="0076589C" w:rsidRDefault="00B55D1A" w:rsidP="00B55D1A">
      <w:pPr>
        <w:pStyle w:val="TextoPrincipal"/>
        <w:rPr>
          <w:lang w:val="es-HN"/>
        </w:rPr>
      </w:pPr>
      <w:r w:rsidRPr="0076589C">
        <w:rPr>
          <w:lang w:val="es-HN"/>
        </w:rPr>
        <w:t>El presente estudio se enfoc</w:t>
      </w:r>
      <w:r w:rsidR="00437919" w:rsidRPr="0076589C">
        <w:rPr>
          <w:lang w:val="es-HN"/>
        </w:rPr>
        <w:t>ó</w:t>
      </w:r>
      <w:r w:rsidRPr="0076589C">
        <w:rPr>
          <w:lang w:val="es-HN"/>
        </w:rPr>
        <w:t xml:space="preserve"> en el análisis de la gestión de crédito y las cuentas por cobrar en la Industria Procesadora de Alimentos (IPRA) en Tegucigalpa, Honduras, abarcando el período 2019-2022. La importancia de este trabajo radica en su potencial para revelar cómo las estrategias de gestión de crédito y cobranza afectan directamente la solidez financiera y la capacidad operativa de la empresa, factores críticos para su crecimiento y estabilidad en un mercado competitivo.</w:t>
      </w:r>
    </w:p>
    <w:p w14:paraId="1B9EEA2F" w14:textId="0FACB1D9" w:rsidR="00B55D1A" w:rsidRPr="0076589C" w:rsidRDefault="00B55D1A" w:rsidP="00B55D1A">
      <w:pPr>
        <w:pStyle w:val="TextoPrincipal"/>
        <w:rPr>
          <w:lang w:val="es-HN"/>
        </w:rPr>
      </w:pPr>
      <w:r w:rsidRPr="0076589C">
        <w:rPr>
          <w:lang w:val="es-HN"/>
        </w:rPr>
        <w:t>El trabajo se desglos</w:t>
      </w:r>
      <w:r w:rsidR="00437919" w:rsidRPr="0076589C">
        <w:rPr>
          <w:lang w:val="es-HN"/>
        </w:rPr>
        <w:t>ó</w:t>
      </w:r>
      <w:r w:rsidRPr="0076589C">
        <w:rPr>
          <w:lang w:val="es-HN"/>
        </w:rPr>
        <w:t xml:space="preserve"> en seis capítulos, los cuales están conformados de la siguiente forma; el capítulo I constituye la piedra angular de la investigación, estableciendo un fundamento sólido sobre el cual se construye el resto del estudio. Inicia con una exploración detallada de los antecedentes del problema, ofreciendo un contexto histórico y actual sobre la gestión de crédito en la industria procesadora de alimentos. La problemática central se aborda a través de preguntas de investigación cuidadosamente formuladas, que guían el enfoque del estudio. Los objetivos, tanto generales como específicos, se definen claramente, delineando las metas y el alcance de la investigación. La justificación del estudio subraya su relevancia y el valor que aportará al campo de la gestión financiera y contable.</w:t>
      </w:r>
    </w:p>
    <w:p w14:paraId="266E0B5E" w14:textId="0A559114" w:rsidR="00B55D1A" w:rsidRPr="0076589C" w:rsidRDefault="00B55D1A" w:rsidP="00B55D1A">
      <w:pPr>
        <w:pStyle w:val="TextoPrincipal"/>
        <w:rPr>
          <w:lang w:val="es-HN"/>
        </w:rPr>
      </w:pPr>
      <w:r w:rsidRPr="0076589C">
        <w:rPr>
          <w:lang w:val="es-HN"/>
        </w:rPr>
        <w:t>El capítulo II se sumerge en la teoría y los conceptos que forman la base de la investigación. Se realiza una revisión exhaustiva de la literatura existente, abarcando teorías de capital de trabajo, gestión financiera y contabilidad. Se examinan tanto el macro como el micro entorno relacionados con la gestión de crédito y cobranzas, proporcionando un entendimiento integral del tema. Este marco teórico no solo respalda el análisis realizado en el estudio, sino que también establece una base sólida para interpretar los resultados obtenidos.</w:t>
      </w:r>
    </w:p>
    <w:p w14:paraId="7F4214CA" w14:textId="1FEDED13" w:rsidR="00B55D1A" w:rsidRPr="0076589C" w:rsidRDefault="00B55D1A" w:rsidP="00B55D1A">
      <w:pPr>
        <w:pStyle w:val="TextoPrincipal"/>
        <w:rPr>
          <w:lang w:val="es-HN"/>
        </w:rPr>
      </w:pPr>
      <w:r w:rsidRPr="0076589C">
        <w:rPr>
          <w:lang w:val="es-HN"/>
        </w:rPr>
        <w:t>El tercer capítulo describe meticulosamente la metodología empleada en la investigación. Aquí se detalla la matriz metodológica, que incluye las variables de estudio y su operacionalización. Se define con precisión la población y la muestra seleccionada para el estudio, así como las técnicas de investigación utilizadas para recopilar y analizar los datos. Este capítulo es crucial para entender cómo se obtuvieron y procesaron los datos, y proporciona la base para la validación de los resultados.</w:t>
      </w:r>
    </w:p>
    <w:p w14:paraId="05ACC06E" w14:textId="19EC72E4" w:rsidR="00B55D1A" w:rsidRPr="0076589C" w:rsidRDefault="00B55D1A" w:rsidP="00B55D1A">
      <w:pPr>
        <w:pStyle w:val="TextoPrincipal"/>
        <w:rPr>
          <w:lang w:val="es-HN"/>
        </w:rPr>
      </w:pPr>
      <w:r w:rsidRPr="0076589C">
        <w:rPr>
          <w:lang w:val="es-HN"/>
        </w:rPr>
        <w:lastRenderedPageBreak/>
        <w:t>El cuarto capítulo es el núcleo de la investigación, donde se presentan y analizan los datos recolectados. Se exponen los hallazgos clave de la investigación, proporcionando una visión profunda de la gestión de crédito y las cuentas por cobrar en IPRA. Este análisis es esencial para comprender las dinámicas actuales de la empresa en relación con su manejo de crédito y cómo esto impacta su posición financiera. Los resultados obtenidos son examinados a la luz del marco teórico, proporcionando una interpretación robusta y fundamentada.</w:t>
      </w:r>
    </w:p>
    <w:p w14:paraId="48FADFC0" w14:textId="0BBD85DF" w:rsidR="00B55D1A" w:rsidRPr="0076589C" w:rsidRDefault="00B55D1A" w:rsidP="00B55D1A">
      <w:pPr>
        <w:pStyle w:val="TextoPrincipal"/>
        <w:rPr>
          <w:lang w:val="es-HN"/>
        </w:rPr>
      </w:pPr>
      <w:r w:rsidRPr="0076589C">
        <w:rPr>
          <w:lang w:val="es-HN"/>
        </w:rPr>
        <w:t>El capítulo V, se sintetizan los aspectos más importantes del estudio, destacando las conclusiones derivadas del análisis realizado. Se ofrecen recomendaciones prácticas y estratégicas basadas en los resultados, destinadas a mejorar la gestión de crédito y cobranza en IPRA.</w:t>
      </w:r>
    </w:p>
    <w:p w14:paraId="3D48224F" w14:textId="1DFBC0C7" w:rsidR="00B55D1A" w:rsidRPr="0076589C" w:rsidRDefault="00B55D1A" w:rsidP="00B55D1A">
      <w:pPr>
        <w:pStyle w:val="TextoPrincipal"/>
        <w:rPr>
          <w:lang w:val="es-HN"/>
        </w:rPr>
      </w:pPr>
      <w:r w:rsidRPr="0076589C">
        <w:rPr>
          <w:lang w:val="es-HN"/>
        </w:rPr>
        <w:t>El último capítulo aborda la aplicabilidad de los hallazgos del estudio, proponiendo un plan de acción concreto para abordar los desafíos identificados en IPRA. Se plante</w:t>
      </w:r>
      <w:r w:rsidR="00486D0A" w:rsidRPr="0076589C">
        <w:rPr>
          <w:lang w:val="es-HN"/>
        </w:rPr>
        <w:t>ó</w:t>
      </w:r>
      <w:r w:rsidRPr="0076589C">
        <w:rPr>
          <w:lang w:val="es-HN"/>
        </w:rPr>
        <w:t xml:space="preserve"> estrategias y medidas específicas para mejorar la gestión de crédito y cobranzas, basadas en el análisis profundo realizado en los capítulos anteriores. Este plan busca no solo resolver las problemáticas actuales sino también potenciar el crecimiento y la eficiencia operativa de la empresa en el futuro.</w:t>
      </w:r>
    </w:p>
    <w:p w14:paraId="00C58047" w14:textId="5A18A040" w:rsidR="00B55D1A" w:rsidRPr="0076589C" w:rsidRDefault="00B55D1A" w:rsidP="00B55D1A">
      <w:pPr>
        <w:pStyle w:val="TextoPrincipal"/>
        <w:rPr>
          <w:lang w:val="es-HN"/>
        </w:rPr>
      </w:pPr>
      <w:r w:rsidRPr="0076589C">
        <w:rPr>
          <w:lang w:val="es-HN"/>
        </w:rPr>
        <w:t>En conjunto, estos capítulos proporcionan una visión completa y detallada de la gestión de crédito y cobranzas en IPRA, desde un enfoque teórico y práctico. Este estudio contribuye significativamente al entendimiento de las dinámicas financieras en la industria procesadora de alimentos, ofreciendo perspectivas valiosas para académicos, profesionales y la empresa misma.</w:t>
      </w:r>
    </w:p>
    <w:p w14:paraId="1E058037" w14:textId="5C0EE4E2" w:rsidR="0BD0DCB2" w:rsidRPr="0076589C" w:rsidRDefault="0BD0DCB2" w:rsidP="00B55D1A">
      <w:pPr>
        <w:spacing w:after="160" w:line="360" w:lineRule="auto"/>
        <w:ind w:firstLine="720"/>
        <w:jc w:val="both"/>
      </w:pPr>
      <w:r w:rsidRPr="0076589C">
        <w:br w:type="page"/>
      </w:r>
    </w:p>
    <w:p w14:paraId="7554C206" w14:textId="723ED07F" w:rsidR="002C704B" w:rsidRPr="0076589C" w:rsidRDefault="1C8D6E3A" w:rsidP="00494616">
      <w:pPr>
        <w:pStyle w:val="Ttulo2"/>
        <w:numPr>
          <w:ilvl w:val="1"/>
          <w:numId w:val="3"/>
        </w:numPr>
        <w:tabs>
          <w:tab w:val="num" w:pos="360"/>
        </w:tabs>
        <w:spacing w:line="360" w:lineRule="auto"/>
        <w:ind w:left="357" w:hanging="357"/>
      </w:pPr>
      <w:bookmarkStart w:id="47" w:name="_Toc142766492"/>
      <w:bookmarkStart w:id="48" w:name="_Toc158365445"/>
      <w:r w:rsidRPr="0076589C">
        <w:lastRenderedPageBreak/>
        <w:t>ANTECEDENTES DEL PROBLEMA</w:t>
      </w:r>
      <w:bookmarkEnd w:id="44"/>
      <w:bookmarkEnd w:id="45"/>
      <w:bookmarkEnd w:id="46"/>
      <w:bookmarkEnd w:id="47"/>
      <w:bookmarkEnd w:id="48"/>
    </w:p>
    <w:p w14:paraId="721A4FB7" w14:textId="49B05F69" w:rsidR="00AD42F1" w:rsidRPr="0076589C" w:rsidRDefault="1C8D6E3A" w:rsidP="00C8505C">
      <w:pPr>
        <w:pStyle w:val="TextoPrincipal"/>
        <w:rPr>
          <w:lang w:val="es-HN"/>
        </w:rPr>
      </w:pPr>
      <w:r w:rsidRPr="0076589C">
        <w:rPr>
          <w:lang w:val="es-HN"/>
        </w:rPr>
        <w:t xml:space="preserve">La cobranza es un proceso que juega un papel fundamental dentro de la empresa, el cual consiste en el cobro de una cuenta por concepto de la adquisición de un producto o servicio. Al momento de realizarse el cobro las empresas pueden optar por cobrar de contado o brindar plazos de pago a créditos a sus clientes. </w:t>
      </w:r>
    </w:p>
    <w:p w14:paraId="479AAF48" w14:textId="3D42723C" w:rsidR="57F42588" w:rsidRPr="0076589C" w:rsidRDefault="1C8D6E3A" w:rsidP="00C8505C">
      <w:pPr>
        <w:pStyle w:val="TextoPrincipal"/>
        <w:rPr>
          <w:lang w:val="es-HN"/>
        </w:rPr>
      </w:pPr>
      <w:r w:rsidRPr="0076589C">
        <w:rPr>
          <w:lang w:val="es-HN"/>
        </w:rPr>
        <w:t xml:space="preserve">Los empresarios reconocen la importancia de brindar créditos a sus clientes, ya que la consideran como una estrategia para incrementar sus ventas y al igual la mayoría de los clientes optan por adquirir crédito al momento de realizar sus compras. </w:t>
      </w:r>
    </w:p>
    <w:p w14:paraId="3219CAA7" w14:textId="51CCC273" w:rsidR="00FB48E5" w:rsidRPr="0076589C" w:rsidRDefault="1C8D6E3A" w:rsidP="000A04B8">
      <w:pPr>
        <w:pStyle w:val="CitaLarga"/>
      </w:pPr>
      <w:r w:rsidRPr="0076589C">
        <w:t xml:space="preserve">El papel que desempeña el crédito dentro de la economía es de gran importancia, debido a que, entre otras cosas, es un instrumento muy eficaz en el proceso de reactivación económica, ya que es mediante el crédito una de las formas más eficaces en cómo puede impulsarse el desarrollo de una economía. </w:t>
      </w:r>
      <w:r w:rsidR="7A54A044" w:rsidRPr="0076589C">
        <w:fldChar w:fldCharType="begin"/>
      </w:r>
      <w:r w:rsidR="00E77DDB" w:rsidRPr="0076589C">
        <w:instrText xml:space="preserve"> ADDIN ZOTERO_ITEM CSL_CITATION {"citationID":"EEaK6OUl","properties":{"formattedCitation":"(Ayala Villegas, 2005)","plainCitation":"(Ayala Villegas, 2005)","noteIndex":0},"citationItems":[{"id":"CsHtuMjx/1xxmpTOy","uris":["http://zotero.org/users/12108825/items/UL8IKSPK"],"itemData":{"id":27,"type":"webpage","title":"Créditos financieros","URL":"https://www.gestiopolis.com/creditos-financieros/","author":[{"family":"Ayala Villegas","given":"Sabino"}],"accessed":{"date-parts":[["2023",8,5]]},"issued":{"date-parts":[["2005"]]}}}],"schema":"https://github.com/citation-style-language/schema/raw/master/csl-citation.json"} </w:instrText>
      </w:r>
      <w:r w:rsidR="7A54A044" w:rsidRPr="0076589C">
        <w:fldChar w:fldCharType="separate"/>
      </w:r>
      <w:r w:rsidRPr="0076589C">
        <w:t>(Ayala Villegas, 2005)</w:t>
      </w:r>
      <w:r w:rsidR="7A54A044" w:rsidRPr="0076589C">
        <w:fldChar w:fldCharType="end"/>
      </w:r>
    </w:p>
    <w:p w14:paraId="37920B1A" w14:textId="330049AE" w:rsidR="5088334F" w:rsidRPr="0076589C" w:rsidRDefault="1C8D6E3A" w:rsidP="00C8505C">
      <w:pPr>
        <w:pStyle w:val="TextoPrincipal"/>
        <w:rPr>
          <w:lang w:val="es-HN"/>
        </w:rPr>
      </w:pPr>
      <w:r w:rsidRPr="0076589C">
        <w:rPr>
          <w:lang w:val="es-HN"/>
        </w:rPr>
        <w:t xml:space="preserve">Para comprender el concepto de cobranza es fundamental entender el significado del crédito. La palabra “crédito” se origina del verbo latín creditum, “credere”, cuyo significado es creer, tener confianza. Para que alguien se vea beneficiado con un crédito, es necesario que la entidad confié y conozca que están dispuestos a proporcionarles sus recursos, No obstante, cuando el acreedor no es capaz de cumplir con su deuda, surge el proceso de la cobranza. </w:t>
      </w:r>
      <w:r w:rsidR="7A54A044" w:rsidRPr="0076589C">
        <w:rPr>
          <w:lang w:val="es-HN"/>
        </w:rPr>
        <w:fldChar w:fldCharType="begin"/>
      </w:r>
      <w:r w:rsidR="7A54A044" w:rsidRPr="0076589C">
        <w:rPr>
          <w:lang w:val="es-HN"/>
        </w:rPr>
        <w:instrText xml:space="preserve"> ADDIN ZOTERO_ITEM CSL_CITATION {"citationID":"qCpUGakp","properties":{"formattedCitation":"(Peralta et\\uc0\\u160{}al., 2021)","plainCitation":"(Peralta et al., 2021)","noteIndex":0},"citationItems":[{"id":105,"uris":["http://zotero.org/users/12108825/items/QUHLX9PX"],"itemData":{"id":105,"type":"article-journal","abstract":"The purpose of this research work is to determine the incidence of credit and collection policies in the portfolio of Súper Las Segovias S.A. during the first semester of the year 2020; the responsibility of the portfolio management falls on the credit and collection department, structured according to the needs of the supermarket, it is the responsibility of this area to define the credit and collection policies and all the process that must be applied to grant credits. The type of research is applied, with a qualitative approach, because it is carried out by means of data collection methods without numerical measurement. In order to obtain information it was necessary to apply three instruments such as: interviews with the general manager and the person in responsible of the credit and collection area, observation guides in the company and documentary review. Some of the main results found in the research process are that the policies are applied without the guidance of a specific manual, in addition to the fact that they affect delinquency by not correctly analyzing the credit subjects and not clearly determining the limits and responsibilities of the debtor in the contract; The application of a manual of credit and collection policies is required, in which management processes and practical procedures are proposed, its application allows a better control in the client’s qualification, reduce their delinquency rates and achieve the correct process of credit granting and portfolio recovery management.","container-title":"Revista Científica de FAREM-Estelí","DOI":"10.5377/farem.v0i38.11949","ISSN":"2305-5790","issue":"38","language":"es","license":"Derechos de autor 2021 Revista Científica de FAREM-Estelí","note":"number: 38","page":"149-165","source":"camjol.info","title":"Incidencia de la aplicación de las políticas de crédito y cobranza en la recuperación de cartera del Súper Las Segovias, S.A. de la ciudad de Estelí, Nicaragua, durante el primer semestre del año 2020","author":[{"family":"Peralta","given":"Stephanie Dayana Gutiérrez"},{"family":"Castillo","given":"Alexandra Lisbeth Peralta"},{"family":"Bellorín","given":"Milton Ulises Mayrena"}],"issued":{"date-parts":[["2021",7,6]]}}}],"schema":"https://github.com/citation-style-language/schema/raw/master/csl-citation.json"} </w:instrText>
      </w:r>
      <w:r w:rsidR="7A54A044" w:rsidRPr="0076589C">
        <w:rPr>
          <w:lang w:val="es-HN"/>
        </w:rPr>
        <w:fldChar w:fldCharType="separate"/>
      </w:r>
      <w:r w:rsidRPr="0076589C">
        <w:rPr>
          <w:lang w:val="es-HN"/>
        </w:rPr>
        <w:t>(Peralta et al., 2021)</w:t>
      </w:r>
      <w:r w:rsidR="7A54A044" w:rsidRPr="0076589C">
        <w:rPr>
          <w:lang w:val="es-HN"/>
        </w:rPr>
        <w:fldChar w:fldCharType="end"/>
      </w:r>
    </w:p>
    <w:p w14:paraId="02669F91" w14:textId="2233480D" w:rsidR="00674601" w:rsidRPr="0076589C" w:rsidRDefault="1C8D6E3A" w:rsidP="00C8505C">
      <w:pPr>
        <w:pStyle w:val="TextoPrincipal"/>
        <w:rPr>
          <w:lang w:val="es-HN"/>
        </w:rPr>
      </w:pPr>
      <w:r w:rsidRPr="0076589C">
        <w:rPr>
          <w:lang w:val="es-HN"/>
        </w:rPr>
        <w:t>Con el propósito de atraer clientes y fidelizarlos las empresas brindan plazos de pago al crédito, por lo tanto, es necesario manejar una gestión eficiente de la cobranza, donde se refiere al control, estrategias, acciones financieras que se deben tomar para poder garantizar un flujo de efectivo estable y predecible, asegurando la liquidez necesaria para enfrentar imprevistos y oportunidades de crecimiento.</w:t>
      </w:r>
    </w:p>
    <w:p w14:paraId="7D78E54D" w14:textId="4C2B80E6" w:rsidR="57DF03D2" w:rsidRPr="0076589C" w:rsidRDefault="1C8D6E3A" w:rsidP="00C8505C">
      <w:pPr>
        <w:pStyle w:val="TextoPrincipal"/>
        <w:rPr>
          <w:lang w:val="es-HN"/>
        </w:rPr>
      </w:pPr>
      <w:r w:rsidRPr="0076589C">
        <w:rPr>
          <w:lang w:val="es-HN"/>
        </w:rPr>
        <w:t xml:space="preserve">Existen varias definiciones que se pueden mencionar sobre la gestión de cobranza: </w:t>
      </w:r>
    </w:p>
    <w:p w14:paraId="504B0A3A" w14:textId="2E69CB53" w:rsidR="00495BCF" w:rsidRPr="0076589C" w:rsidRDefault="1C8D6E3A" w:rsidP="000A04B8">
      <w:pPr>
        <w:pStyle w:val="CitaLarga"/>
      </w:pPr>
      <w:r w:rsidRPr="0076589C">
        <w:t xml:space="preserve">Es una herramienta importante para la gerencia financiera la cual permite mejorar el capital de trabajo y maximizar el valor de la empresa, por lo tanto, su objetivo es garantizar que el proceso sea concluido de manera oportuna y total, rigiéndose por el principio básico que una venta al crédito solo está realizada cuando el valor de la misma ingresa a la caja.  </w:t>
      </w:r>
      <w:r w:rsidR="7A54A044" w:rsidRPr="0076589C">
        <w:fldChar w:fldCharType="begin"/>
      </w:r>
      <w:r w:rsidR="7A54A044" w:rsidRPr="0076589C">
        <w:instrText xml:space="preserve"> ADDIN ZOTERO_ITEM CSL_CITATION {"citationID":"zMu2otYW","properties":{"formattedCitation":"(Mogoll\\uc0\\u243{}n G\\uc0\\u243{}mez, 2021)","plainCitation":"(Mogollón Gómez, 2021)","noteIndex":0},"citationItems":[{"id":21,"uris":["http://zotero.org/users/12108825/items/QKKAEZHG"],"itemData":{"id":21,"type":"thesis","abstract":"El objetivo de la investigación es determinar el impacto de la gestión de cobranza en la gerencia financiera de la empresa, tomando como referente la eficiencia del personal que la realiza, la identificación de los procesos deficientes que ocasionan riesgos internos relevantes e impactan de forma negativa en la consecución de objetivos y la implementación de políticas de cobranza para salvaguardar los recursos financieros de la empresa. El diseño de la investigación es no experimental. De enfoque cuantitativo recurriendo al análisis de los estados financieros de la empresa y para constatar las hipótesis se aplicó el coeficiente de correlación de Spearman. Del análisis se demostró que existe una alta correlación que impacta positivamente entre las variables principales gestión de cobranza y gerencia financiera. Sin embargo, el impacto de la eficiencia del personal respecto a las cuentas por cobrar es negativo debido a que el mayor porcentaje de este rubro corresponde a deudas vigentes mientras que el restante recae sobre las deudas vencidas mayor a los plazos otorgados a los clientes, siendo un antecedente para la investigación. Se concluyó que la gestión de cobranza impacta sobre los resultados financieros de la empresa en relación a las cuentas por cobrar y su antigüedad.","language":"es","source":"DOI.org (Crossref)","title":"Gestión de Cobranza y su impacto en la Gerencia Financiera de la empresa PP S.A: Periodo 2014-2016","title-short":"Gestión de Cobranza y su impacto en la Gerencia Financiera de la empresa PP S.A","URL":"https://www.revistas.unah.edu.pe/index.php/puriq/article/view/121","author":[{"family":"Mogollón Gómez","given":"Juliet"}],"accessed":{"date-parts":[["2023",8,5]]},"issued":{"date-parts":[["2021",1,4]]}}}],"schema":"https://github.com/citation-style-language/schema/raw/master/csl-citation.json"} </w:instrText>
      </w:r>
      <w:r w:rsidR="7A54A044" w:rsidRPr="0076589C">
        <w:fldChar w:fldCharType="separate"/>
      </w:r>
      <w:r w:rsidRPr="0076589C">
        <w:t>(Mogollón Gómez, 2021)</w:t>
      </w:r>
      <w:r w:rsidR="7A54A044" w:rsidRPr="0076589C">
        <w:fldChar w:fldCharType="end"/>
      </w:r>
    </w:p>
    <w:p w14:paraId="57B1AA15" w14:textId="754F1B5D" w:rsidR="002E5DA6" w:rsidRPr="0076589C" w:rsidRDefault="1C8D6E3A" w:rsidP="00C8505C">
      <w:pPr>
        <w:pStyle w:val="TextoPrincipal"/>
        <w:rPr>
          <w:lang w:val="es-HN"/>
        </w:rPr>
      </w:pPr>
      <w:r w:rsidRPr="0076589C">
        <w:rPr>
          <w:lang w:val="es-HN"/>
        </w:rPr>
        <w:t xml:space="preserve">La gestión de cobranza comprende un conjunto coordinado de acciones aplicadas de manera adecuada y oportuna a los clientes, con el objetivo de recuperar los créditos pendientes. El propósito es convertir los activos exigibles de la institución en activos líquidos lo más rápida y </w:t>
      </w:r>
      <w:r w:rsidRPr="0076589C">
        <w:rPr>
          <w:lang w:val="es-HN"/>
        </w:rPr>
        <w:lastRenderedPageBreak/>
        <w:t>eficientemente posible, al mismo tiempo que se mantiene una buena disposición de los clientes para futuras negociaciones.</w:t>
      </w:r>
    </w:p>
    <w:p w14:paraId="2938CE32" w14:textId="6C49B721" w:rsidR="00CC6BCE" w:rsidRPr="0076589C" w:rsidRDefault="1C8D6E3A" w:rsidP="00C8505C">
      <w:pPr>
        <w:pStyle w:val="TextoPrincipal"/>
        <w:rPr>
          <w:lang w:val="es-HN"/>
        </w:rPr>
      </w:pPr>
      <w:r w:rsidRPr="0076589C">
        <w:rPr>
          <w:lang w:val="es-HN"/>
        </w:rPr>
        <w:t xml:space="preserve">Según </w:t>
      </w:r>
      <w:r w:rsidR="7A54A044" w:rsidRPr="0076589C">
        <w:rPr>
          <w:lang w:val="es-HN"/>
        </w:rPr>
        <w:fldChar w:fldCharType="begin"/>
      </w:r>
      <w:r w:rsidR="7A54A044" w:rsidRPr="0076589C">
        <w:rPr>
          <w:lang w:val="es-HN"/>
        </w:rPr>
        <w:instrText xml:space="preserve"> ADDIN ZOTERO_ITEM CSL_CITATION {"citationID":"aH6t3on8","properties":{"formattedCitation":"(Chavez Fernandez &amp; Loconi Leon, 2018)","plainCitation":"(Chavez Fernandez &amp; Loconi Leon, 2018)","dontUpdate":true,"noteIndex":0},"citationItems":[{"id":30,"uris":["http://zotero.org/users/12108825/items/KAIIFB4I"],"itemData":{"id":30,"type":"thesis","abstract":"For this reason, it is necessary to propose improvements in policies and procedures of credits and collections, which will be very useful for management since the accounts receivable represent important assets of the company, allowing in a practical and timely manner the proper functioning of the credit and collections area.","language":"es","source":"Zotero","title":"Evaluación de la gestion de cuentas por cobrar comerciales para determinar la eficiencia de las políticas en créditos y cobranzas en la empresa FERRONOR SAC, 2015. Propuesta de mejora.","URL":"https://tesis.usat.edu.pe/bitstream/20.500.12423/2141/1/TL_ChavezFernandezYsela_LoconiLeonJenny.pdf","author":[{"family":"Chavez Fernandez","given":"Ysela de Jesus"},{"family":"Loconi Leon","given":"Jenny Karina"}],"issued":{"date-parts":[["2018"]]}}}],"schema":"https://github.com/citation-style-language/schema/raw/master/csl-citation.json"} </w:instrText>
      </w:r>
      <w:r w:rsidR="7A54A044" w:rsidRPr="0076589C">
        <w:rPr>
          <w:lang w:val="es-HN"/>
        </w:rPr>
        <w:fldChar w:fldCharType="separate"/>
      </w:r>
      <w:r w:rsidRPr="0076589C">
        <w:rPr>
          <w:lang w:val="es-HN"/>
        </w:rPr>
        <w:t>Chávez Fernández &amp; Loconi León, (2018)</w:t>
      </w:r>
      <w:r w:rsidR="7A54A044" w:rsidRPr="0076589C">
        <w:rPr>
          <w:lang w:val="es-HN"/>
        </w:rPr>
        <w:fldChar w:fldCharType="end"/>
      </w:r>
      <w:r w:rsidRPr="0076589C">
        <w:rPr>
          <w:lang w:val="es-HN"/>
        </w:rPr>
        <w:t xml:space="preserve"> afirman: “La gestión de cuentas por cobrar con la administración del capital de trabajo es clave en las organizaciones por cuanto tiene impacto en sus medidas de rentabilidad, liquidez y riesgo” (pág. 19)</w:t>
      </w:r>
    </w:p>
    <w:p w14:paraId="263D158E" w14:textId="015BDC88" w:rsidR="00087351" w:rsidRPr="0076589C" w:rsidRDefault="1DD29A53" w:rsidP="00C8505C">
      <w:pPr>
        <w:pStyle w:val="TextoPrincipal"/>
        <w:rPr>
          <w:b/>
          <w:bCs/>
          <w:lang w:val="es-HN"/>
        </w:rPr>
      </w:pPr>
      <w:r w:rsidRPr="0076589C">
        <w:rPr>
          <w:lang w:val="es-HN"/>
        </w:rPr>
        <w:t xml:space="preserve">La mayoría de las empresas a nivel mundial manejan créditos con sus clientes para poder incrementar sus ventas y fortalecer su relación comercial, por lo cual todas las empresas se ven con el </w:t>
      </w:r>
      <w:r w:rsidR="0512D758" w:rsidRPr="0076589C">
        <w:rPr>
          <w:lang w:val="es-HN"/>
        </w:rPr>
        <w:t>interés</w:t>
      </w:r>
      <w:r w:rsidRPr="0076589C">
        <w:rPr>
          <w:lang w:val="es-HN"/>
        </w:rPr>
        <w:t xml:space="preserve"> </w:t>
      </w:r>
      <w:r w:rsidR="47D7B9DD" w:rsidRPr="0076589C">
        <w:rPr>
          <w:lang w:val="es-HN"/>
        </w:rPr>
        <w:t>e por tratar</w:t>
      </w:r>
      <w:r w:rsidRPr="0076589C">
        <w:rPr>
          <w:lang w:val="es-HN"/>
        </w:rPr>
        <w:t xml:space="preserve"> </w:t>
      </w:r>
      <w:r w:rsidR="6ABD9CEF" w:rsidRPr="0076589C">
        <w:rPr>
          <w:lang w:val="es-HN"/>
        </w:rPr>
        <w:t xml:space="preserve">que la </w:t>
      </w:r>
      <w:r w:rsidR="003FFDAD" w:rsidRPr="0076589C">
        <w:rPr>
          <w:lang w:val="es-HN"/>
        </w:rPr>
        <w:t xml:space="preserve">gestión de cobros sea de </w:t>
      </w:r>
      <w:r w:rsidR="49F3F6FF" w:rsidRPr="0076589C">
        <w:rPr>
          <w:lang w:val="es-HN"/>
        </w:rPr>
        <w:t xml:space="preserve">la manera </w:t>
      </w:r>
      <w:r w:rsidR="153F60F8" w:rsidRPr="0076589C">
        <w:rPr>
          <w:lang w:val="es-HN"/>
        </w:rPr>
        <w:t>más</w:t>
      </w:r>
      <w:r w:rsidR="49F3F6FF" w:rsidRPr="0076589C">
        <w:rPr>
          <w:lang w:val="es-HN"/>
        </w:rPr>
        <w:t xml:space="preserve"> optima </w:t>
      </w:r>
      <w:r w:rsidR="08EA98FD" w:rsidRPr="0076589C">
        <w:rPr>
          <w:lang w:val="es-HN"/>
        </w:rPr>
        <w:t>posible</w:t>
      </w:r>
      <w:r w:rsidR="08A63986" w:rsidRPr="0076589C">
        <w:rPr>
          <w:lang w:val="es-HN"/>
        </w:rPr>
        <w:t>; en</w:t>
      </w:r>
      <w:r w:rsidR="72753F95" w:rsidRPr="0076589C">
        <w:rPr>
          <w:lang w:val="es-HN"/>
        </w:rPr>
        <w:t xml:space="preserve"> Europa </w:t>
      </w:r>
      <w:r w:rsidR="75AC48DF" w:rsidRPr="0076589C">
        <w:rPr>
          <w:lang w:val="es-HN"/>
        </w:rPr>
        <w:t xml:space="preserve">según el artículo </w:t>
      </w:r>
      <w:r w:rsidR="7B1FDAE5" w:rsidRPr="0076589C">
        <w:rPr>
          <w:lang w:val="es-HN"/>
        </w:rPr>
        <w:t>publicado en el</w:t>
      </w:r>
      <w:r w:rsidR="39AA49EE" w:rsidRPr="0076589C">
        <w:rPr>
          <w:lang w:val="es-HN"/>
        </w:rPr>
        <w:t xml:space="preserve"> 2009</w:t>
      </w:r>
      <w:r w:rsidR="463D186C" w:rsidRPr="0076589C">
        <w:rPr>
          <w:lang w:val="es-HN"/>
        </w:rPr>
        <w:t xml:space="preserve">, </w:t>
      </w:r>
      <w:r w:rsidR="1C1E9DB4" w:rsidRPr="0076589C">
        <w:rPr>
          <w:lang w:val="es-HN"/>
        </w:rPr>
        <w:t xml:space="preserve">habla sobre </w:t>
      </w:r>
      <w:r w:rsidR="53F60339" w:rsidRPr="0076589C">
        <w:rPr>
          <w:lang w:val="es-HN"/>
        </w:rPr>
        <w:t xml:space="preserve">que el cobro de deudas </w:t>
      </w:r>
      <w:r w:rsidR="5E4C48FB" w:rsidRPr="0076589C">
        <w:rPr>
          <w:lang w:val="es-HN"/>
        </w:rPr>
        <w:t xml:space="preserve">en un trabajo </w:t>
      </w:r>
      <w:r w:rsidR="5F46C989" w:rsidRPr="0076589C">
        <w:rPr>
          <w:lang w:val="es-HN"/>
        </w:rPr>
        <w:t>duro</w:t>
      </w:r>
      <w:r w:rsidR="178A6204" w:rsidRPr="0076589C">
        <w:rPr>
          <w:lang w:val="es-HN"/>
        </w:rPr>
        <w:t xml:space="preserve"> </w:t>
      </w:r>
      <w:r w:rsidR="51A2B000" w:rsidRPr="0076589C">
        <w:rPr>
          <w:lang w:val="es-HN"/>
        </w:rPr>
        <w:t>y</w:t>
      </w:r>
      <w:r w:rsidR="5E357E7E" w:rsidRPr="0076589C">
        <w:rPr>
          <w:lang w:val="es-HN"/>
        </w:rPr>
        <w:t xml:space="preserve"> </w:t>
      </w:r>
      <w:r w:rsidR="18D7BA59" w:rsidRPr="0076589C">
        <w:rPr>
          <w:lang w:val="es-HN"/>
        </w:rPr>
        <w:t xml:space="preserve">se han obligados </w:t>
      </w:r>
      <w:r w:rsidR="0312F35E" w:rsidRPr="0076589C">
        <w:rPr>
          <w:lang w:val="es-HN"/>
        </w:rPr>
        <w:t xml:space="preserve">a ceder sus </w:t>
      </w:r>
      <w:r w:rsidR="34374F60" w:rsidRPr="0076589C">
        <w:rPr>
          <w:lang w:val="es-HN"/>
        </w:rPr>
        <w:t xml:space="preserve">cuentas por cobrar a </w:t>
      </w:r>
      <w:r w:rsidR="4DC3FDEF" w:rsidRPr="0076589C">
        <w:rPr>
          <w:lang w:val="es-HN"/>
        </w:rPr>
        <w:t>empresas que</w:t>
      </w:r>
      <w:r w:rsidR="0607966A" w:rsidRPr="0076589C">
        <w:rPr>
          <w:lang w:val="es-HN"/>
        </w:rPr>
        <w:t xml:space="preserve"> se especializan en </w:t>
      </w:r>
      <w:r w:rsidR="3B822799" w:rsidRPr="0076589C">
        <w:rPr>
          <w:lang w:val="es-HN"/>
        </w:rPr>
        <w:t xml:space="preserve">una buena gestión </w:t>
      </w:r>
      <w:r w:rsidR="0EFE1915" w:rsidRPr="0076589C">
        <w:rPr>
          <w:lang w:val="es-HN"/>
        </w:rPr>
        <w:t xml:space="preserve">de cuentas por cobrar </w:t>
      </w:r>
      <w:r w:rsidR="5D94C623" w:rsidRPr="0076589C">
        <w:rPr>
          <w:lang w:val="es-HN"/>
        </w:rPr>
        <w:t xml:space="preserve">para poder </w:t>
      </w:r>
      <w:r w:rsidR="6BDA2F7F" w:rsidRPr="0076589C">
        <w:rPr>
          <w:lang w:val="es-HN"/>
        </w:rPr>
        <w:t>recuperar</w:t>
      </w:r>
      <w:r w:rsidR="55C6F078" w:rsidRPr="0076589C">
        <w:rPr>
          <w:lang w:val="es-HN"/>
        </w:rPr>
        <w:t xml:space="preserve"> esas cuentas </w:t>
      </w:r>
      <w:r w:rsidR="128109BA" w:rsidRPr="0076589C">
        <w:rPr>
          <w:lang w:val="es-HN"/>
        </w:rPr>
        <w:t>vencidas.</w:t>
      </w:r>
      <w:r w:rsidR="00087351" w:rsidRPr="0076589C">
        <w:rPr>
          <w:rFonts w:eastAsia="Times New Roman"/>
          <w:kern w:val="36"/>
          <w:sz w:val="48"/>
          <w:szCs w:val="48"/>
          <w:lang w:val="es-HN"/>
        </w:rPr>
        <w:t xml:space="preserve"> </w:t>
      </w:r>
      <w:r w:rsidR="00087351" w:rsidRPr="0076589C">
        <w:rPr>
          <w:b/>
          <w:bCs/>
          <w:lang w:val="es-HN"/>
        </w:rPr>
        <w:fldChar w:fldCharType="begin"/>
      </w:r>
      <w:r w:rsidR="00CB5FD9" w:rsidRPr="0076589C">
        <w:rPr>
          <w:b/>
          <w:bCs/>
          <w:lang w:val="es-HN"/>
        </w:rPr>
        <w:instrText xml:space="preserve"> ADDIN ZOTERO_ITEM CSL_CITATION {"citationID":"2RwMh3FH","properties":{"formattedCitation":"(Mesco, 2013)","plainCitation":"(Mesco, 2013)","noteIndex":0},"citationItems":[{"id":33,"uris":["http://zotero.org/users/12108825/items/YCU9YF5F"],"itemData":{"id":33,"type":"article-newspaper","abstract":"En Europa, las deudas tóxicas aumentan, la economía se contrae y los dueños de negocios recurren a agencias de cobranza para ir detrás de clientes morosos.","container-title":"Wall Street Journal","ISSN":"0099-9660","language":"en-US","section":"Spanish","source":"www.wsj.com","title":"En Europa, el cobro de deudas es un trabajo arduo y poco rentable","URL":"http://online.wsj.com/article/SB10001424127887324425204578600323637163986.html","author":[{"family":"Mesco","given":"Manuela"}],"accessed":{"date-parts":[["2023",8,5]]},"issued":{"date-parts":[["2013",7,13]]}}}],"schema":"https://github.com/citation-style-language/schema/raw/master/csl-citation.json"} </w:instrText>
      </w:r>
      <w:r w:rsidR="00087351" w:rsidRPr="0076589C">
        <w:rPr>
          <w:b/>
          <w:bCs/>
          <w:lang w:val="es-HN"/>
        </w:rPr>
        <w:fldChar w:fldCharType="separate"/>
      </w:r>
      <w:r w:rsidR="00FA0AF3" w:rsidRPr="0076589C">
        <w:rPr>
          <w:lang w:val="es-HN"/>
        </w:rPr>
        <w:t>(Mesco, 2013)</w:t>
      </w:r>
      <w:r w:rsidR="00087351" w:rsidRPr="0076589C">
        <w:rPr>
          <w:b/>
          <w:bCs/>
          <w:lang w:val="es-HN"/>
        </w:rPr>
        <w:fldChar w:fldCharType="end"/>
      </w:r>
    </w:p>
    <w:p w14:paraId="06EE9D5D" w14:textId="56C70D77" w:rsidR="00E83D7C" w:rsidRPr="0076589C" w:rsidRDefault="1C8D6E3A" w:rsidP="00C8505C">
      <w:pPr>
        <w:pStyle w:val="TextoPrincipal"/>
        <w:rPr>
          <w:lang w:val="es-HN"/>
        </w:rPr>
      </w:pPr>
      <w:r w:rsidRPr="0076589C">
        <w:rPr>
          <w:lang w:val="es-HN"/>
        </w:rPr>
        <w:t>En Europa, así como en varias partes del mundo se ha visto la necesidad de optar a las Agencias de cobro en la actualidad, debido a que las empresas no se quieren ver con la obligación de estar lidiando con sus clientes morosos, así como no tener el conocimiento de una buena gestión de cobros.</w:t>
      </w:r>
    </w:p>
    <w:p w14:paraId="360D088C" w14:textId="684FE069" w:rsidR="4EBC984D" w:rsidRPr="0076589C" w:rsidRDefault="1C8D6E3A" w:rsidP="00C8505C">
      <w:pPr>
        <w:pStyle w:val="TextoPrincipal"/>
        <w:rPr>
          <w:lang w:val="es-HN"/>
        </w:rPr>
      </w:pPr>
      <w:r w:rsidRPr="0076589C">
        <w:rPr>
          <w:lang w:val="es-HN"/>
        </w:rPr>
        <w:t xml:space="preserve">Aon coporation Colombia un proveedor líder a nivel mundial de gestión de riesgos se realizó una investigación acerca del mejoramiento de gestión de cartera de cobros tanto al día como la morosa, denotando que debe ser controlada y evaluada, representando el 53% de insatisfacción en sus procesos de cobranza, según el análisis realizado de los agentes de cobro se propuso ciertas herramientas para una mejor gestión como alarmas para enviar los estados de cuentas a los clientes, reportes de las cuentas vencidas a 30 y mayores a 45 días para poder tener un mejor control de ellas,  la distribución de los agentes de cobro para poder darles mejor atención a los clientes. </w:t>
      </w:r>
      <w:r w:rsidR="7A54A044" w:rsidRPr="0076589C">
        <w:rPr>
          <w:lang w:val="es-HN"/>
        </w:rPr>
        <w:fldChar w:fldCharType="begin"/>
      </w:r>
      <w:r w:rsidR="7A54A044" w:rsidRPr="0076589C">
        <w:rPr>
          <w:lang w:val="es-HN"/>
        </w:rPr>
        <w:instrText xml:space="preserve"> ADDIN ZOTERO_ITEM CSL_CITATION {"citationID":"u2pyMsaY","properties":{"formattedCitation":"(Arevalo, 2012)","plainCitation":"(Arevalo, 2012)","dontUpdate":true,"noteIndex":0},"citationItems":[{"id":38,"uris":["http://zotero.org/users/12108825/items/CDBBPFJN"],"itemData":{"id":38,"type":"thesis","language":"es","source":"Zotero","title":"DESARROLLAR UN PROGRAMA DE COBRANZA LÍDER EN RECAUDO DE CARTERA PARA LOS CLIENTES ACTUALES Y POTENCIALES DE AON COLOMBIA.","author":[{"family":"Arevalo","given":"Cindy Viviana Camacho"}],"issued":{"date-parts":[["2012"]]}}}],"schema":"https://github.com/citation-style-language/schema/raw/master/csl-citation.json"} </w:instrText>
      </w:r>
      <w:r w:rsidR="7A54A044" w:rsidRPr="0076589C">
        <w:rPr>
          <w:lang w:val="es-HN"/>
        </w:rPr>
        <w:fldChar w:fldCharType="separate"/>
      </w:r>
      <w:r w:rsidRPr="0076589C">
        <w:rPr>
          <w:lang w:val="es-HN"/>
        </w:rPr>
        <w:t>(Arévalo, 2012)</w:t>
      </w:r>
      <w:r w:rsidR="7A54A044" w:rsidRPr="0076589C">
        <w:rPr>
          <w:lang w:val="es-HN"/>
        </w:rPr>
        <w:fldChar w:fldCharType="end"/>
      </w:r>
    </w:p>
    <w:p w14:paraId="0C28EC8F" w14:textId="190343D4" w:rsidR="3E9F5146" w:rsidRPr="0076589C" w:rsidRDefault="1C8D6E3A" w:rsidP="00C8505C">
      <w:pPr>
        <w:pStyle w:val="TextoPrincipal"/>
        <w:rPr>
          <w:lang w:val="es-HN"/>
        </w:rPr>
      </w:pPr>
      <w:r w:rsidRPr="0076589C">
        <w:rPr>
          <w:lang w:val="es-HN"/>
        </w:rPr>
        <w:t>Una de las debilidades de la empresa recae en las medidas correctivas son realizadas cuando han ocurrido inconvenientes que han afectado los resultados financieros, en cambio, la participación proactiva prevé y se anticipa a situaciones adversas, bajo este enfoque debe establecer medidas necesarias para controlar la gestión de cobranza y la toma decisiones oportunas.</w:t>
      </w:r>
    </w:p>
    <w:p w14:paraId="6710B7AB" w14:textId="561FF94A" w:rsidR="79FA98F7" w:rsidRPr="0076589C" w:rsidRDefault="1C8D6E3A" w:rsidP="00C8505C">
      <w:pPr>
        <w:pStyle w:val="TextoPrincipal"/>
        <w:rPr>
          <w:lang w:val="es-HN"/>
        </w:rPr>
      </w:pPr>
      <w:r w:rsidRPr="0076589C">
        <w:rPr>
          <w:lang w:val="es-HN"/>
        </w:rPr>
        <w:t xml:space="preserve">Al realizarse la investigación de la gestión de cobros y su impacto en la gerencia financiera de la empresa Petroperú del periodo 2014-2016 se establecieron que, por procesos deficientes no </w:t>
      </w:r>
      <w:r w:rsidRPr="0076589C">
        <w:rPr>
          <w:lang w:val="es-HN"/>
        </w:rPr>
        <w:lastRenderedPageBreak/>
        <w:t xml:space="preserve">detectados oportunamente, es decir, el incremento de las cuentas por cobrar promedio desde el año 2012 al 2016 que proviene del 85 % de las deudas vigentes, mientras que el 15 % corresponde a deuda vencida mayor a los plazos establecidos a los clientes. Cabe indicar que solo se gestiona la deuda vigente, así como una existe una alta y significativa correlación entre las políticas de cobranza y su impacto en las cuentas por cobrar asociadas por la ausencia indicadores financieros siendo una herramienta clave para medir el logro de los objetivos y a su vez permiten diagnosticar la situación financiera de la empresa, la detección de inconsistencias y retroalimentación de operaciones no previstas. </w:t>
      </w:r>
      <w:r w:rsidR="7A54A044" w:rsidRPr="0076589C">
        <w:rPr>
          <w:lang w:val="es-HN"/>
        </w:rPr>
        <w:fldChar w:fldCharType="begin"/>
      </w:r>
      <w:r w:rsidR="7A54A044" w:rsidRPr="0076589C">
        <w:rPr>
          <w:lang w:val="es-HN"/>
        </w:rPr>
        <w:instrText xml:space="preserve"> ADDIN ZOTERO_ITEM CSL_CITATION {"citationID":"y2VQxBIt","properties":{"formattedCitation":"(Mogoll\\uc0\\u243{}n G\\uc0\\u243{}mez, 2021)","plainCitation":"(Mogollón Gómez, 2021)","noteIndex":0},"citationItems":[{"id":21,"uris":["http://zotero.org/users/12108825/items/QKKAEZHG"],"itemData":{"id":21,"type":"thesis","abstract":"El objetivo de la investigación es determinar el impacto de la gestión de cobranza en la gerencia financiera de la empresa, tomando como referente la eficiencia del personal que la realiza, la identificación de los procesos deficientes que ocasionan riesgos internos relevantes e impactan de forma negativa en la consecución de objetivos y la implementación de políticas de cobranza para salvaguardar los recursos financieros de la empresa. El diseño de la investigación es no experimental. De enfoque cuantitativo recurriendo al análisis de los estados financieros de la empresa y para constatar las hipótesis se aplicó el coeficiente de correlación de Spearman. Del análisis se demostró que existe una alta correlación que impacta positivamente entre las variables principales gestión de cobranza y gerencia financiera. Sin embargo, el impacto de la eficiencia del personal respecto a las cuentas por cobrar es negativo debido a que el mayor porcentaje de este rubro corresponde a deudas vigentes mientras que el restante recae sobre las deudas vencidas mayor a los plazos otorgados a los clientes, siendo un antecedente para la investigación. Se concluyó que la gestión de cobranza impacta sobre los resultados financieros de la empresa en relación a las cuentas por cobrar y su antigüedad.","language":"es","source":"DOI.org (Crossref)","title":"Gestión de Cobranza y su impacto en la Gerencia Financiera de la empresa PP S.A: Periodo 2014-2016","title-short":"Gestión de Cobranza y su impacto en la Gerencia Financiera de la empresa PP S.A","URL":"https://www.revistas.unah.edu.pe/index.php/puriq/article/view/121","author":[{"family":"Mogollón Gómez","given":"Juliet"}],"accessed":{"date-parts":[["2023",8,5]]},"issued":{"date-parts":[["2021",1,4]]}}}],"schema":"https://github.com/citation-style-language/schema/raw/master/csl-citation.json"} </w:instrText>
      </w:r>
      <w:r w:rsidR="7A54A044" w:rsidRPr="0076589C">
        <w:rPr>
          <w:lang w:val="es-HN"/>
        </w:rPr>
        <w:fldChar w:fldCharType="separate"/>
      </w:r>
      <w:r w:rsidRPr="0076589C">
        <w:rPr>
          <w:lang w:val="es-HN"/>
        </w:rPr>
        <w:t>(Mogollón Gómez, 2021)</w:t>
      </w:r>
      <w:r w:rsidR="7A54A044" w:rsidRPr="0076589C">
        <w:rPr>
          <w:lang w:val="es-HN"/>
        </w:rPr>
        <w:fldChar w:fldCharType="end"/>
      </w:r>
    </w:p>
    <w:p w14:paraId="2CF4FCBD" w14:textId="33C48D22" w:rsidR="4E1EDFE2" w:rsidRPr="0076589C" w:rsidRDefault="1C8D6E3A" w:rsidP="00C8505C">
      <w:pPr>
        <w:pStyle w:val="TextoPrincipal"/>
        <w:rPr>
          <w:lang w:val="es-HN"/>
        </w:rPr>
      </w:pPr>
      <w:r w:rsidRPr="0076589C">
        <w:rPr>
          <w:lang w:val="es-HN"/>
        </w:rPr>
        <w:t xml:space="preserve">En Ecuador, la gestión de créditos y cobranzas es un desafío para numerosas organizaciones de diversos sectores económicos, esto se debe a que el pago a créditos es uno de los métodos de pago que resulta más atractivo para los clientes. Sin embargo, el inconveniente se encuentra en el retorno del efectivo no es inmediato puede conllevar a que las entidades se enfrenten a otros problemas como la incapacidad para cumplir con sus obligaciones hacia los acreedores. Según un artículo presentado en </w:t>
      </w:r>
      <w:r w:rsidR="7A54A044" w:rsidRPr="0076589C">
        <w:rPr>
          <w:lang w:val="es-HN"/>
        </w:rPr>
        <w:fldChar w:fldCharType="begin"/>
      </w:r>
      <w:r w:rsidR="7A54A044" w:rsidRPr="0076589C">
        <w:rPr>
          <w:lang w:val="es-HN"/>
        </w:rPr>
        <w:instrText xml:space="preserve"> ADDIN ZOTERO_ITEM CSL_CITATION {"citationID":"CmIGtyhS","properties":{"formattedCitation":"(Primicias, 2020)","plainCitation":"(Primicias, 2020)","dontUpdate":true,"noteIndex":0},"citationItems":[{"id":39,"uris":["http://zotero.org/users/12108825/items/F282SUBB"],"itemData":{"id":39,"type":"post-weblog","abstract":"Las empresas industriales y de construcción son las que más dificultades han tenido a la hora pagar sus créditos en bancos y cooperativas de ahorro.","container-title":"Primicias","language":"es-MX","title":"El 31% de las empresas ha tenido dificultades para pagar créditos","URL":"https://www.primicias.ec/noticias/economia/empresas-creditos-dificultades-pago-pandemia-ecuador/","author":[{"family":"Primicias","given":""}],"accessed":{"date-parts":[["2023",8,5]]},"issued":{"date-parts":[["2020"]]}}}],"schema":"https://github.com/citation-style-language/schema/raw/master/csl-citation.json"} </w:instrText>
      </w:r>
      <w:r w:rsidR="7A54A044" w:rsidRPr="0076589C">
        <w:rPr>
          <w:lang w:val="es-HN"/>
        </w:rPr>
        <w:fldChar w:fldCharType="separate"/>
      </w:r>
      <w:r w:rsidRPr="0076589C">
        <w:rPr>
          <w:lang w:val="es-HN"/>
        </w:rPr>
        <w:t>Primicias, (2020)</w:t>
      </w:r>
      <w:r w:rsidR="7A54A044" w:rsidRPr="0076589C">
        <w:rPr>
          <w:lang w:val="es-HN"/>
        </w:rPr>
        <w:fldChar w:fldCharType="end"/>
      </w:r>
      <w:r w:rsidRPr="0076589C">
        <w:rPr>
          <w:lang w:val="es-HN"/>
        </w:rPr>
        <w:t xml:space="preserve">: “Los problemas a la hora de recuperar las cuentas por cobrar son las principales razones por las que el sector productivo sufre al momento de pagar sus créditos, según 2.284 encuestas realizadas por el Banco Central entre empresas grandes, medianas y pequeñas”. </w:t>
      </w:r>
    </w:p>
    <w:p w14:paraId="25378978" w14:textId="2FF0E0AA" w:rsidR="00756069" w:rsidRPr="0076589C" w:rsidRDefault="1C8D6E3A" w:rsidP="00C8505C">
      <w:pPr>
        <w:pStyle w:val="TextoPrincipal"/>
        <w:rPr>
          <w:lang w:val="es-HN"/>
        </w:rPr>
      </w:pPr>
      <w:r w:rsidRPr="0076589C">
        <w:rPr>
          <w:lang w:val="es-HN"/>
        </w:rPr>
        <w:t>En la tesis “La Administración del Departamento de Créditos y Cobranzas en empresas Farmacéuticas” realizada en México D.F. en el año 2005, menciona en su investigación que se presentan dificultades en la recuperación de las ventas al crédito, carencia en los procesos de cobranza para mantenerlos actualizados de forma inmediata, por lo cual concluyo acerca de la importancia de las políticas de crédito, en la cual define:</w:t>
      </w:r>
    </w:p>
    <w:p w14:paraId="0131D1BC" w14:textId="67A8362C" w:rsidR="00BA7196" w:rsidRPr="0076589C" w:rsidRDefault="1C8D6E3A" w:rsidP="00BA7196">
      <w:pPr>
        <w:pStyle w:val="CitaLarga"/>
      </w:pPr>
      <w:r w:rsidRPr="0076589C">
        <w:t xml:space="preserve">Entendiéndose este como un conjunto de métodos y procedimientos establecidos en una empresa, que en forma coordinada tiene por objetivos, la protección de los activos, la obtención correcta de la información financiera, la promoción y eficiencia de la operación y la adhesión a las políticas establecidas para cada área. </w:t>
      </w:r>
      <w:r w:rsidR="7A54A044" w:rsidRPr="0076589C">
        <w:fldChar w:fldCharType="begin"/>
      </w:r>
      <w:r w:rsidR="7A54A044" w:rsidRPr="0076589C">
        <w:instrText xml:space="preserve"> ADDIN ZOTERO_ITEM CSL_CITATION {"citationID":"Kf6jgFuA","properties":{"formattedCitation":"(Montes Chino, 2005)","plainCitation":"(Montes Chino, 2005)","dontUpdate":true,"noteIndex":0},"citationItems":[{"id":43,"uris":["http://zotero.org/users/12108825/items/G6HTBH8B"],"itemData":{"id":43,"type":"thesis","language":"es","source":"Zotero","title":"La adminitracion del Departamento de Credito y cobranza en empresas farmaceuticas","URL":"http://www.bib.uia.mx/tesis/pdf/014610/014610.pdf","author":[{"family":"Montes Chino","given":"Aurelia Amelia Montes"}],"issued":{"date-parts":[["2005"]]}}}],"schema":"https://github.com/citation-style-language/schema/raw/master/csl-citation.json"} </w:instrText>
      </w:r>
      <w:r w:rsidR="7A54A044" w:rsidRPr="0076589C">
        <w:fldChar w:fldCharType="separate"/>
      </w:r>
      <w:r w:rsidRPr="0076589C">
        <w:t>(Montes Chino, 2005, pág.39)</w:t>
      </w:r>
      <w:r w:rsidR="7A54A044" w:rsidRPr="0076589C">
        <w:fldChar w:fldCharType="end"/>
      </w:r>
    </w:p>
    <w:p w14:paraId="3A0A0E3A" w14:textId="101498AD" w:rsidR="000B7BF3" w:rsidRPr="0076589C" w:rsidRDefault="1C8D6E3A" w:rsidP="00C8505C">
      <w:pPr>
        <w:pStyle w:val="TextoPrincipal"/>
        <w:rPr>
          <w:lang w:val="es-HN"/>
        </w:rPr>
      </w:pPr>
      <w:r w:rsidRPr="0076589C">
        <w:rPr>
          <w:lang w:val="es-HN"/>
        </w:rPr>
        <w:t xml:space="preserve">La tesis menciona que el establecer límites de crédito, ofrece seguridad a la organización, así como una herramienta de control, ya que es un medidor entre las ventas y cuentas por cobrar del cliente; este se convertirá en un indicador de la efectividad del departamento de cobros, ya que al tener un límite de crédito bien establecido y si el cliente al realizar un pedido no supera su límite asignado es una señal que el departamento realiza una labor adecuada y oportuna. </w:t>
      </w:r>
    </w:p>
    <w:p w14:paraId="709395BB" w14:textId="62508C0C" w:rsidR="056D704F" w:rsidRPr="0076589C" w:rsidRDefault="1C8D6E3A" w:rsidP="00C8505C">
      <w:pPr>
        <w:pStyle w:val="TextoPrincipal"/>
        <w:rPr>
          <w:lang w:val="es-HN"/>
        </w:rPr>
      </w:pPr>
      <w:r w:rsidRPr="0076589C">
        <w:rPr>
          <w:lang w:val="es-HN"/>
        </w:rPr>
        <w:lastRenderedPageBreak/>
        <w:t xml:space="preserve">En un estudio realizado en la Universidad Tecnológico de Costa Rica dirigido para una empresa en el rubro de repuestos automotrices, </w:t>
      </w:r>
      <w:r w:rsidR="7A54A044" w:rsidRPr="0076589C">
        <w:rPr>
          <w:lang w:val="es-HN"/>
        </w:rPr>
        <w:fldChar w:fldCharType="begin"/>
      </w:r>
      <w:r w:rsidR="7A54A044" w:rsidRPr="0076589C">
        <w:rPr>
          <w:lang w:val="es-HN"/>
        </w:rPr>
        <w:instrText xml:space="preserve"> ADDIN ZOTERO_ITEM CSL_CITATION {"citationID":"NUyuCIje","properties":{"formattedCitation":"(Campos et\\uc0\\u160{}al., 2012)","plainCitation":"(Campos et al., 2012)","dontUpdate":true,"noteIndex":0},"citationItems":[{"id":47,"uris":["http://zotero.org/users/12108825/items/MQSMZKKI"],"itemData":{"id":47,"type":"thesis","language":"es","source":"Zotero","title":"Estrategias para la disminución de cuentas por cobrar en la industria de repuestos automotrices","author":[{"family":"Campos","given":"Marianela Castrillo"},{"family":"Ku","given":"Carmen Chang"},{"family":"Giraudy","given":"Agnes Jiménez"},{"family":"Chaves","given":"Jorge Salas"},{"family":"Gatjens","given":"Esteban Villalobos"}],"issued":{"date-parts":[["2012"]]}}}],"schema":"https://github.com/citation-style-language/schema/raw/master/csl-citation.json"} </w:instrText>
      </w:r>
      <w:r w:rsidR="7A54A044" w:rsidRPr="0076589C">
        <w:rPr>
          <w:lang w:val="es-HN"/>
        </w:rPr>
        <w:fldChar w:fldCharType="separate"/>
      </w:r>
      <w:r w:rsidRPr="0076589C">
        <w:rPr>
          <w:lang w:val="es-HN"/>
        </w:rPr>
        <w:t>Campos et al., (2012)</w:t>
      </w:r>
      <w:r w:rsidR="7A54A044" w:rsidRPr="0076589C">
        <w:rPr>
          <w:lang w:val="es-HN"/>
        </w:rPr>
        <w:fldChar w:fldCharType="end"/>
      </w:r>
      <w:r w:rsidRPr="0076589C">
        <w:rPr>
          <w:lang w:val="es-HN"/>
        </w:rPr>
        <w:t xml:space="preserve"> se determinó el nivel de eficiencia en la recuperación de las cuentas por cobrar en dicha industria donde: “Según las empresas encuestadas, el 76% consideran que poseen un nivel de eficiencia regular en la recuperación de sus cuentas por cobrar; mientras que un 24% la consideran mala” (pág.96). Lo cual demuestra que la mayoría de las empresas consideran de gran importancia la pronta recuperación de las cuentas por cobrar vencidas, ya que entre más tiempo transcurra el atraso de una cuenta, más difícil será su recuperación, afectando de manera negativa el nivel de liquidez de la empresa.</w:t>
      </w:r>
    </w:p>
    <w:p w14:paraId="1A00594B" w14:textId="453B1CCB" w:rsidR="4B171BCF" w:rsidRPr="0076589C" w:rsidRDefault="1C8D6E3A" w:rsidP="00C8505C">
      <w:pPr>
        <w:pStyle w:val="TextoPrincipal"/>
        <w:rPr>
          <w:lang w:val="es-HN"/>
        </w:rPr>
      </w:pPr>
      <w:r w:rsidRPr="0076589C">
        <w:rPr>
          <w:lang w:val="es-HN"/>
        </w:rPr>
        <w:t xml:space="preserve">En Honduras, en una tesis realizada </w:t>
      </w:r>
      <w:r w:rsidR="7A54A044" w:rsidRPr="0076589C">
        <w:rPr>
          <w:lang w:val="es-HN"/>
        </w:rPr>
        <w:fldChar w:fldCharType="begin"/>
      </w:r>
      <w:r w:rsidR="7A54A044" w:rsidRPr="0076589C">
        <w:rPr>
          <w:lang w:val="es-HN"/>
        </w:rPr>
        <w:instrText xml:space="preserve"> ADDIN ZOTERO_ITEM CSL_CITATION {"citationID":"4eKr3eXW","properties":{"formattedCitation":"(Mendoza &amp; Maldonado, 2020)","plainCitation":"(Mendoza &amp; Maldonado, 2020)","dontUpdate":true,"noteIndex":0},"citationItems":[{"id":45,"uris":["http://zotero.org/users/12108825/items/YKH8V269"],"itemData":{"id":45,"type":"thesis","abstract":"This thesis is entitled \"Project to improve the management of accounts receivable in Distribuidora Comercial Valladares (DICOVA)\". The company is located in Tegucigalpa, Honduras. Company dedicated to the purchase, sale and distribution of lubricants, filters, spare parts and additives for motor vehicles.","language":"es","source":"Zotero","title":"PROPUESTA DE MEJORA PARA MANEJO DE CUENTAS POR COBRAR EN DISTRIBUIDORA COMERCIAL VALLADARES (DICOVA)","author":[{"family":"Mendoza","given":"Eliany Nicole Elwin"},{"family":"Maldonado","given":"Naún Gabriel Godoy"}],"issued":{"date-parts":[["2020"]]}}}],"schema":"https://github.com/citation-style-language/schema/raw/master/csl-citation.json"} </w:instrText>
      </w:r>
      <w:r w:rsidR="7A54A044" w:rsidRPr="0076589C">
        <w:rPr>
          <w:lang w:val="es-HN"/>
        </w:rPr>
        <w:fldChar w:fldCharType="separate"/>
      </w:r>
      <w:r w:rsidRPr="0076589C">
        <w:rPr>
          <w:lang w:val="es-HN"/>
        </w:rPr>
        <w:t>Mendoza &amp; Maldonado, (2020)</w:t>
      </w:r>
      <w:r w:rsidR="7A54A044" w:rsidRPr="0076589C">
        <w:rPr>
          <w:lang w:val="es-HN"/>
        </w:rPr>
        <w:fldChar w:fldCharType="end"/>
      </w:r>
      <w:r w:rsidRPr="0076589C">
        <w:rPr>
          <w:lang w:val="es-HN"/>
        </w:rPr>
        <w:t xml:space="preserve"> que tiene como título “Propuesta de mejora para majeo de cuentas por cobrar en Distribuidora Comercial Valladares (DICOVA)” identifican factores claves en la gestión del cobro así como, alrededor del 96% del total de sus ventas son al crédito, más de un 54% de las cuentas por cobrar están en un rango superior a los 30 días que es plazo máximo otorgado por la empresa, un 12% del total de las cuentas por cobrar de empresa se encuentran bajo la categoría de incobrables entre otros. Se menciona la importancia de aplicar estrategias que permitan que la gestión financiera de la empresa sea la adecuada con el objetivo de minimizar los riesgos al otorgar créditos a los clientes y asegurar la pronta recuperación de sus cuentas por cobrar.</w:t>
      </w:r>
    </w:p>
    <w:p w14:paraId="66DFD38E" w14:textId="555A01E2" w:rsidR="50DFF48F" w:rsidRPr="0076589C" w:rsidRDefault="1C8D6E3A" w:rsidP="00C8505C">
      <w:pPr>
        <w:pStyle w:val="TextoPrincipal"/>
        <w:rPr>
          <w:lang w:val="es-HN"/>
        </w:rPr>
      </w:pPr>
      <w:r w:rsidRPr="0076589C">
        <w:rPr>
          <w:color w:val="000000" w:themeColor="text1"/>
          <w:lang w:val="es-HN"/>
        </w:rPr>
        <w:t>Las</w:t>
      </w:r>
      <w:r w:rsidRPr="0076589C">
        <w:rPr>
          <w:lang w:val="es-HN"/>
        </w:rPr>
        <w:t xml:space="preserve"> empresas generalmente cobran sus facturas al crédito utilizando métodos tradicionales como envío de facturas impresas por correo postal, llamadas telefónicas, y a veces, visitas en persona para recordar y gestionar los pagos. Estos procesos suelen requerir una comunicación más directa y personalizada con los clientes, lo que podría implicar mayor tiempo y esfuerzo.</w:t>
      </w:r>
    </w:p>
    <w:p w14:paraId="5A56E67F" w14:textId="299EF89A" w:rsidR="0765DB07" w:rsidRPr="0076589C" w:rsidRDefault="0765DB07" w:rsidP="006208FA">
      <w:pPr>
        <w:spacing w:line="360" w:lineRule="auto"/>
      </w:pPr>
      <w:r w:rsidRPr="0076589C">
        <w:br w:type="page"/>
      </w:r>
    </w:p>
    <w:p w14:paraId="0F8BCF0F" w14:textId="7A8BC279" w:rsidR="002C704B" w:rsidRPr="0076589C" w:rsidRDefault="1C8D6E3A" w:rsidP="00494616">
      <w:pPr>
        <w:pStyle w:val="Prrafodelista"/>
        <w:numPr>
          <w:ilvl w:val="1"/>
          <w:numId w:val="3"/>
        </w:numPr>
        <w:spacing w:after="120" w:line="360" w:lineRule="auto"/>
        <w:outlineLvl w:val="1"/>
        <w:rPr>
          <w:rStyle w:val="Ttulo2Car"/>
          <w:rFonts w:eastAsiaTheme="minorEastAsia"/>
        </w:rPr>
      </w:pPr>
      <w:bookmarkStart w:id="49" w:name="_Toc474331179"/>
      <w:bookmarkStart w:id="50" w:name="_Toc474331378"/>
      <w:bookmarkStart w:id="51" w:name="_Toc133044387"/>
      <w:bookmarkStart w:id="52" w:name="_Toc142766493"/>
      <w:bookmarkStart w:id="53" w:name="_Toc158365446"/>
      <w:r w:rsidRPr="0076589C">
        <w:rPr>
          <w:rStyle w:val="Ttulo2Car"/>
          <w:rFonts w:eastAsiaTheme="minorEastAsia"/>
        </w:rPr>
        <w:lastRenderedPageBreak/>
        <w:t>DEFINICIÓN DEL PROBLEMA</w:t>
      </w:r>
      <w:bookmarkEnd w:id="49"/>
      <w:bookmarkEnd w:id="50"/>
      <w:bookmarkEnd w:id="51"/>
      <w:bookmarkEnd w:id="52"/>
      <w:bookmarkEnd w:id="53"/>
    </w:p>
    <w:p w14:paraId="12924CA4" w14:textId="5CF43CC0" w:rsidR="00442CAF" w:rsidRPr="0076589C" w:rsidRDefault="1C8D6E3A" w:rsidP="004D432E">
      <w:pPr>
        <w:pStyle w:val="TextoPrincipal"/>
        <w:spacing w:after="0"/>
        <w:rPr>
          <w:lang w:val="es-HN"/>
        </w:rPr>
      </w:pPr>
      <w:r w:rsidRPr="0076589C">
        <w:rPr>
          <w:lang w:val="es-HN"/>
        </w:rPr>
        <w:t>En esta sección se indica el enunciado del problema que corresponde a la presente investigación, así como la formulación de las preguntas investigación.</w:t>
      </w:r>
    </w:p>
    <w:p w14:paraId="2A2090E4" w14:textId="77777777" w:rsidR="004D432E" w:rsidRPr="0076589C" w:rsidRDefault="004D432E" w:rsidP="004D432E">
      <w:pPr>
        <w:pStyle w:val="TextoPrincipal"/>
        <w:spacing w:after="0"/>
        <w:rPr>
          <w:lang w:val="es-HN"/>
        </w:rPr>
      </w:pPr>
    </w:p>
    <w:p w14:paraId="0C0D5D30" w14:textId="4FBCAED5" w:rsidR="002C704B" w:rsidRPr="0076589C" w:rsidRDefault="1C8D6E3A" w:rsidP="00494616">
      <w:pPr>
        <w:pStyle w:val="Ttulonivel3"/>
        <w:numPr>
          <w:ilvl w:val="0"/>
          <w:numId w:val="9"/>
        </w:numPr>
      </w:pPr>
      <w:bookmarkStart w:id="54" w:name="_Toc142766494"/>
      <w:bookmarkStart w:id="55" w:name="_Toc158365447"/>
      <w:r w:rsidRPr="0076589C">
        <w:t>ENUNCIADO</w:t>
      </w:r>
      <w:bookmarkEnd w:id="54"/>
      <w:bookmarkEnd w:id="55"/>
    </w:p>
    <w:p w14:paraId="27233D6F" w14:textId="168BE695" w:rsidR="345C50A7" w:rsidRPr="0076589C" w:rsidRDefault="1C8D6E3A" w:rsidP="00C8505C">
      <w:pPr>
        <w:pStyle w:val="TextoPrincipal"/>
        <w:rPr>
          <w:lang w:val="es-HN"/>
        </w:rPr>
      </w:pPr>
      <w:r w:rsidRPr="0076589C">
        <w:rPr>
          <w:lang w:val="es-HN"/>
        </w:rPr>
        <w:t xml:space="preserve">Industria Procesadora de Alimentos (IPRA) es una empresa que inicio como productora de concentrado de animales en Amarateca, distribuía al mercado local alimento bovino y avícola, posteriormente estuvo inactiva por dos a tres años. Para el año 2001, la empresa inicio con la comercialización de los productos de la línea NOVAlife, los cuales son suplementos alimenticios ligados a línea de la salud, ubicada en la cuidad de Tegucigalpa, atendiendo a farmacias, supermercados, tiendas nutricionales, entre otras. En el año 2007 se obtiene la distribución exclusiva de la línea Phillips Avent, producto para el cuidado de la madre y el bebé, a medida fue avanzando el tiempo sus clientes fueron creciendo en un 15% anualmente, así como los productos que ofertaban y sus ventas al crédito. </w:t>
      </w:r>
    </w:p>
    <w:p w14:paraId="26557E63" w14:textId="3391FA24" w:rsidR="00BF2B20" w:rsidRPr="0076589C" w:rsidRDefault="1C8D6E3A" w:rsidP="00C8505C">
      <w:pPr>
        <w:pStyle w:val="TextoPrincipal"/>
        <w:rPr>
          <w:lang w:val="es-HN"/>
        </w:rPr>
      </w:pPr>
      <w:r w:rsidRPr="0076589C">
        <w:rPr>
          <w:lang w:val="es-HN"/>
        </w:rPr>
        <w:t>Actualmente la cartera de cliente al crédito de IPRA representa un porcentaje dé 90% del total de sus clientes, generando cuentas por cobrar al crédito de L32,400,000 millones para el año 2022.</w:t>
      </w:r>
    </w:p>
    <w:p w14:paraId="40A319EE" w14:textId="501A91BA" w:rsidR="4D7EECB8" w:rsidRPr="0076589C" w:rsidRDefault="1C8D6E3A" w:rsidP="00C8505C">
      <w:pPr>
        <w:pStyle w:val="TextoPrincipal"/>
        <w:rPr>
          <w:lang w:val="es-HN"/>
        </w:rPr>
      </w:pPr>
      <w:r w:rsidRPr="0076589C">
        <w:rPr>
          <w:lang w:val="es-HN"/>
        </w:rPr>
        <w:t>El proceso de la gestión de cobro de IPRA continúa siendo empírico, no se tiene una actualización automática del pago de los clientes, este se hace de forma manual debido a que el encargado realiza el proceso de cobro de las facturas vencidas a 60 días, el cual es el plazo máximo otorgado por la empresa.</w:t>
      </w:r>
    </w:p>
    <w:p w14:paraId="2B1EB64D" w14:textId="77780886" w:rsidR="3C6B85D9" w:rsidRPr="0076589C" w:rsidRDefault="1C8D6E3A" w:rsidP="00C8505C">
      <w:pPr>
        <w:pStyle w:val="TextoPrincipal"/>
        <w:rPr>
          <w:lang w:val="es-HN"/>
        </w:rPr>
      </w:pPr>
      <w:r w:rsidRPr="0076589C">
        <w:rPr>
          <w:lang w:val="es-HN"/>
        </w:rPr>
        <w:t>Cuando el cliente realiza el pago, el encargado de cobro le genera un recibido de pago al cliente, entregándole su factura y recibo original. Posteriormente realizar la liquidación y lo remite a la empresa en físico para que se proceda a postear en sistema. El proceso de posteo se tarda en promedio un mes para que las facturas ya no aparezcan en sistema; esto debido al atraso de envío de las liquidaciones por los agentes de cobro, por la persona que postea y también porque para ciertas liquidaciones que vienen con copia de depósitos el Departamento de Contabilidad solicita que pasen por una revisión preliminar antes de ser posteados en el sistema.</w:t>
      </w:r>
    </w:p>
    <w:p w14:paraId="6DC6FCAB" w14:textId="1D0A2A3D" w:rsidR="3C6B85D9" w:rsidRPr="0076589C" w:rsidRDefault="1C8D6E3A" w:rsidP="00C8505C">
      <w:pPr>
        <w:pStyle w:val="TextoPrincipal"/>
        <w:rPr>
          <w:lang w:val="es-HN"/>
        </w:rPr>
      </w:pPr>
      <w:r w:rsidRPr="0076589C">
        <w:rPr>
          <w:lang w:val="es-HN"/>
        </w:rPr>
        <w:lastRenderedPageBreak/>
        <w:t xml:space="preserve">Por ende, los límites de crédito rebasan la cuenta por cobrar del cliente, lo que hace que siempre se tenga que autorizar créditos en la empresa antes de facturar, así como llamar al encargado para saber si el cliente efectuó su pago, si no se ha remitido la liquidación o lo tiene el encargado de posteo pendiente por liquidar en sistema. </w:t>
      </w:r>
    </w:p>
    <w:p w14:paraId="61939282" w14:textId="767EC35F" w:rsidR="19DA72CC" w:rsidRPr="0076589C" w:rsidRDefault="1C8D6E3A" w:rsidP="00C8505C">
      <w:pPr>
        <w:pStyle w:val="TextoPrincipal"/>
        <w:rPr>
          <w:lang w:val="es-HN"/>
        </w:rPr>
      </w:pPr>
      <w:r w:rsidRPr="0076589C">
        <w:rPr>
          <w:lang w:val="es-HN"/>
        </w:rPr>
        <w:t xml:space="preserve">Se concluye que el proceso de gestión de cobro de IPRA sigue siendo manual y con retrasos en el registro de pagos en el sistema, lo que puede generar desafíos en el control de cuentas por cobrar y la necesidad de automatizar este proceso. </w:t>
      </w:r>
    </w:p>
    <w:p w14:paraId="520DCB68" w14:textId="2FDC68ED" w:rsidR="00A058FE" w:rsidRPr="0076589C" w:rsidRDefault="1C8D6E3A" w:rsidP="004D432E">
      <w:pPr>
        <w:pStyle w:val="TextoPrincipal"/>
        <w:spacing w:after="0"/>
        <w:rPr>
          <w:lang w:val="es-HN"/>
        </w:rPr>
      </w:pPr>
      <w:r w:rsidRPr="0076589C">
        <w:rPr>
          <w:lang w:val="es-HN"/>
        </w:rPr>
        <w:t>El propósito de este trabajo es analizar cuál es el impacto del manejo de una eficiente gestión de cobros a través de los años, conociendo el comportamiento de las cuentas vencidas, buscando examinar cómo el manejo efectivo de los cobros ha afectado la reducción de las cuentas por cobrar vencidas, así como su impacto en el flujo de efectivo, la liquidez y la estabilidad financiera de la empresa.</w:t>
      </w:r>
    </w:p>
    <w:p w14:paraId="397D7DB3" w14:textId="77777777" w:rsidR="004D432E" w:rsidRPr="0076589C" w:rsidRDefault="004D432E" w:rsidP="004D432E">
      <w:pPr>
        <w:pStyle w:val="TextoPrincipal"/>
        <w:spacing w:after="0"/>
        <w:rPr>
          <w:lang w:val="es-HN"/>
        </w:rPr>
      </w:pPr>
    </w:p>
    <w:p w14:paraId="4B34FDFB" w14:textId="11D235A1" w:rsidR="002C704B" w:rsidRPr="0076589C" w:rsidRDefault="1C8D6E3A" w:rsidP="00494616">
      <w:pPr>
        <w:pStyle w:val="Ttulonivel3"/>
        <w:numPr>
          <w:ilvl w:val="0"/>
          <w:numId w:val="9"/>
        </w:numPr>
      </w:pPr>
      <w:bookmarkStart w:id="56" w:name="_Toc142766495"/>
      <w:bookmarkStart w:id="57" w:name="_Toc158365448"/>
      <w:r w:rsidRPr="0076589C">
        <w:t>FORMULACION DEL PROBLEMA</w:t>
      </w:r>
      <w:bookmarkEnd w:id="56"/>
      <w:bookmarkEnd w:id="57"/>
    </w:p>
    <w:p w14:paraId="68484797" w14:textId="01C561F7" w:rsidR="001A3BA3" w:rsidRPr="0076589C" w:rsidRDefault="1C8D6E3A" w:rsidP="004D432E">
      <w:pPr>
        <w:pStyle w:val="TextoPrincipal"/>
        <w:spacing w:after="0"/>
        <w:rPr>
          <w:lang w:val="es-HN"/>
        </w:rPr>
      </w:pPr>
      <w:r w:rsidRPr="0076589C">
        <w:rPr>
          <w:lang w:val="es-HN"/>
        </w:rPr>
        <w:t>¿Cómo una inadecuada política de concesión de crédito, sumado a la deficiente gestión de cobranza ejecutado por la empresa Industria Procesadora de Alimentos (IPRA), ubicada en la cuidad de Tegucigalpa, Honduras dentro del periodo 2019-2022, incide en su situación financiera y capacidad para afrontar sus obligaciones de pago en el corto y mediano plazo?</w:t>
      </w:r>
    </w:p>
    <w:p w14:paraId="643C7885" w14:textId="77777777" w:rsidR="004D432E" w:rsidRPr="0076589C" w:rsidRDefault="004D432E" w:rsidP="004D432E">
      <w:pPr>
        <w:pStyle w:val="TextoPrincipal"/>
        <w:spacing w:after="0"/>
        <w:rPr>
          <w:lang w:val="es-HN"/>
        </w:rPr>
      </w:pPr>
    </w:p>
    <w:p w14:paraId="3227B3A9" w14:textId="2EAAE105" w:rsidR="002C704B" w:rsidRPr="0076589C" w:rsidRDefault="1C8D6E3A" w:rsidP="00BD748E">
      <w:pPr>
        <w:pStyle w:val="Ttulonivel4"/>
        <w:rPr>
          <w:rFonts w:eastAsia="Calibri"/>
        </w:rPr>
      </w:pPr>
      <w:bookmarkStart w:id="58" w:name="_Toc142766496"/>
      <w:r w:rsidRPr="0076589C">
        <w:t>1.3.2.1 PREGUNTAS DE INVESTIGACIÓN</w:t>
      </w:r>
      <w:bookmarkEnd w:id="58"/>
      <w:r w:rsidRPr="0076589C">
        <w:t xml:space="preserve"> </w:t>
      </w:r>
      <w:r w:rsidRPr="0076589C">
        <w:rPr>
          <w:rFonts w:eastAsia="Calibri"/>
        </w:rPr>
        <w:t xml:space="preserve"> </w:t>
      </w:r>
    </w:p>
    <w:p w14:paraId="5823EBED" w14:textId="60C5F5E1" w:rsidR="00057757" w:rsidRPr="0076589C" w:rsidRDefault="00564591" w:rsidP="00564591">
      <w:pPr>
        <w:pStyle w:val="TextoPrincipal"/>
        <w:rPr>
          <w:lang w:val="es-HN"/>
        </w:rPr>
      </w:pPr>
      <w:r w:rsidRPr="0076589C">
        <w:rPr>
          <w:lang w:val="es-HN"/>
        </w:rPr>
        <w:t xml:space="preserve">1. </w:t>
      </w:r>
      <w:r w:rsidR="1C8D6E3A" w:rsidRPr="0076589C">
        <w:rPr>
          <w:lang w:val="es-HN"/>
        </w:rPr>
        <w:t xml:space="preserve">¿En qué porcentaje </w:t>
      </w:r>
      <w:r w:rsidR="003404FE" w:rsidRPr="0076589C">
        <w:rPr>
          <w:lang w:val="es-HN"/>
        </w:rPr>
        <w:t>evolucionó</w:t>
      </w:r>
      <w:r w:rsidR="1C8D6E3A" w:rsidRPr="0076589C">
        <w:rPr>
          <w:lang w:val="es-HN"/>
        </w:rPr>
        <w:t xml:space="preserve"> la cartera de crédito en IPRA para el periodo 2019-2022?</w:t>
      </w:r>
    </w:p>
    <w:p w14:paraId="3F7F6193" w14:textId="19E0D131" w:rsidR="00057757" w:rsidRPr="0076589C" w:rsidRDefault="00564591" w:rsidP="00564591">
      <w:pPr>
        <w:pStyle w:val="TextoPrincipal"/>
        <w:rPr>
          <w:lang w:val="es-HN"/>
        </w:rPr>
      </w:pPr>
      <w:r w:rsidRPr="0076589C">
        <w:rPr>
          <w:lang w:val="es-HN"/>
        </w:rPr>
        <w:t xml:space="preserve">2. </w:t>
      </w:r>
      <w:r w:rsidR="1C8D6E3A" w:rsidRPr="0076589C">
        <w:rPr>
          <w:lang w:val="es-HN"/>
        </w:rPr>
        <w:t>¿Cuáles han sido las políticas de crédito y cobro implementadas por IPRA en el periodo 2019-2022?</w:t>
      </w:r>
    </w:p>
    <w:p w14:paraId="0E11402F" w14:textId="70FD867F" w:rsidR="00057757" w:rsidRPr="0076589C" w:rsidRDefault="00564591" w:rsidP="00564591">
      <w:pPr>
        <w:pStyle w:val="TextoPrincipal"/>
        <w:rPr>
          <w:lang w:val="es-HN"/>
        </w:rPr>
      </w:pPr>
      <w:r w:rsidRPr="0076589C">
        <w:rPr>
          <w:lang w:val="es-HN"/>
        </w:rPr>
        <w:t xml:space="preserve">3. </w:t>
      </w:r>
      <w:r w:rsidR="1C8D6E3A" w:rsidRPr="0076589C">
        <w:rPr>
          <w:lang w:val="es-HN"/>
        </w:rPr>
        <w:t xml:space="preserve">¿Qué </w:t>
      </w:r>
      <w:bookmarkStart w:id="59" w:name="_Hlk142723293"/>
      <w:r w:rsidR="1C8D6E3A" w:rsidRPr="0076589C">
        <w:rPr>
          <w:lang w:val="es-HN"/>
        </w:rPr>
        <w:t>resultados muestran los indicadores de rentabilidad, liquidez, endeudamiento y la estructura de capital de la empresa IPRA ante el aumento en los niveles de crédito otorgado por la empresa en el periodo del 2019 - 2022</w:t>
      </w:r>
      <w:bookmarkEnd w:id="59"/>
      <w:r w:rsidR="1C8D6E3A" w:rsidRPr="0076589C">
        <w:rPr>
          <w:lang w:val="es-HN"/>
        </w:rPr>
        <w:t>?</w:t>
      </w:r>
    </w:p>
    <w:p w14:paraId="28BD2F8B" w14:textId="272FD21C" w:rsidR="2B6E4942" w:rsidRPr="0076589C" w:rsidRDefault="00564591" w:rsidP="00564591">
      <w:pPr>
        <w:pStyle w:val="TextoPrincipal"/>
        <w:rPr>
          <w:lang w:val="es-HN"/>
        </w:rPr>
      </w:pPr>
      <w:r w:rsidRPr="0076589C">
        <w:rPr>
          <w:lang w:val="es-HN"/>
        </w:rPr>
        <w:t xml:space="preserve">4. </w:t>
      </w:r>
      <w:r w:rsidR="1C8D6E3A" w:rsidRPr="0076589C">
        <w:rPr>
          <w:lang w:val="es-HN"/>
        </w:rPr>
        <w:t xml:space="preserve">¿Qué propuestas se pueden implementar en IPRA que ayuden a mejorar la gestión de cobros de su cartera crediticia y con ello los límites de crédito para la toma de decisiones oportuna cuando se brinde un crédito a sus clientes? </w:t>
      </w:r>
      <w:r w:rsidR="2B6E4942" w:rsidRPr="0076589C">
        <w:rPr>
          <w:lang w:val="es-HN"/>
        </w:rPr>
        <w:br w:type="page"/>
      </w:r>
    </w:p>
    <w:p w14:paraId="38242E64" w14:textId="0A6FD987" w:rsidR="002C704B" w:rsidRPr="0076589C" w:rsidRDefault="1C8D6E3A" w:rsidP="00494616">
      <w:pPr>
        <w:pStyle w:val="Ttulo2"/>
        <w:numPr>
          <w:ilvl w:val="0"/>
          <w:numId w:val="5"/>
        </w:numPr>
        <w:ind w:left="360"/>
      </w:pPr>
      <w:bookmarkStart w:id="60" w:name="_Toc474331180"/>
      <w:bookmarkStart w:id="61" w:name="_Toc474331379"/>
      <w:bookmarkStart w:id="62" w:name="_Toc133044388"/>
      <w:bookmarkStart w:id="63" w:name="_Toc142766497"/>
      <w:bookmarkStart w:id="64" w:name="_Toc158365449"/>
      <w:r w:rsidRPr="0076589C">
        <w:lastRenderedPageBreak/>
        <w:t>OBJETIVOS DEL PROYECTO</w:t>
      </w:r>
      <w:bookmarkEnd w:id="60"/>
      <w:bookmarkEnd w:id="61"/>
      <w:bookmarkEnd w:id="62"/>
      <w:bookmarkEnd w:id="63"/>
      <w:bookmarkEnd w:id="64"/>
    </w:p>
    <w:p w14:paraId="16DDCF63" w14:textId="5BE708BC" w:rsidR="0083032E" w:rsidRPr="0076589C" w:rsidRDefault="1C8D6E3A" w:rsidP="00494616">
      <w:pPr>
        <w:pStyle w:val="Ttulonivel3"/>
        <w:numPr>
          <w:ilvl w:val="0"/>
          <w:numId w:val="10"/>
        </w:numPr>
      </w:pPr>
      <w:bookmarkStart w:id="65" w:name="_Toc142766498"/>
      <w:bookmarkStart w:id="66" w:name="_Toc158365450"/>
      <w:r w:rsidRPr="0076589C">
        <w:t>OBJETIVO GENERAL</w:t>
      </w:r>
      <w:bookmarkEnd w:id="65"/>
      <w:bookmarkEnd w:id="66"/>
    </w:p>
    <w:p w14:paraId="0ED19A2D" w14:textId="7310FE2C" w:rsidR="00C715AC" w:rsidRPr="0076589C" w:rsidRDefault="1C8D6E3A" w:rsidP="00D24DDD">
      <w:pPr>
        <w:pStyle w:val="TextoPrincipal"/>
        <w:spacing w:after="0"/>
        <w:rPr>
          <w:lang w:val="es-HN"/>
        </w:rPr>
      </w:pPr>
      <w:bookmarkStart w:id="67" w:name="_Hlk157980364"/>
      <w:r w:rsidRPr="0076589C">
        <w:rPr>
          <w:lang w:val="es-HN"/>
        </w:rPr>
        <w:t>Analizar la inadecuada política de concesión de crédito, sumado a la deficiente gestión de cobranza ejecutado por la empresa Industria Procesadora de Alimentos (IPRA), ubicada en la ci</w:t>
      </w:r>
      <w:r w:rsidR="00794627" w:rsidRPr="0076589C">
        <w:rPr>
          <w:lang w:val="es-HN"/>
        </w:rPr>
        <w:t>u</w:t>
      </w:r>
      <w:r w:rsidRPr="0076589C">
        <w:rPr>
          <w:lang w:val="es-HN"/>
        </w:rPr>
        <w:t xml:space="preserve">dad de Tegucigalpa, Honduras dentro del periodo 2019-2022 y su incidencia en la situación financiera y capacidad para afrontar sus obligaciones de pago en el corto y mediano plazo, a través de una evaluación de la gestión financiera de la empresa. </w:t>
      </w:r>
    </w:p>
    <w:p w14:paraId="7F68376F" w14:textId="77777777" w:rsidR="00D24DDD" w:rsidRPr="0076589C" w:rsidRDefault="00D24DDD" w:rsidP="00D24DDD">
      <w:pPr>
        <w:pStyle w:val="TextoPrincipal"/>
        <w:spacing w:after="0"/>
        <w:rPr>
          <w:lang w:val="es-HN"/>
        </w:rPr>
      </w:pPr>
    </w:p>
    <w:p w14:paraId="04A65610" w14:textId="04A2F9EA" w:rsidR="002C704B" w:rsidRPr="0076589C" w:rsidRDefault="1C8D6E3A" w:rsidP="00494616">
      <w:pPr>
        <w:pStyle w:val="Ttulonivel3"/>
        <w:numPr>
          <w:ilvl w:val="0"/>
          <w:numId w:val="10"/>
        </w:numPr>
      </w:pPr>
      <w:bookmarkStart w:id="68" w:name="_Toc142766499"/>
      <w:bookmarkStart w:id="69" w:name="_Toc158365451"/>
      <w:r w:rsidRPr="0076589C">
        <w:t>OBJETIVOS ESPECIFICOS</w:t>
      </w:r>
      <w:bookmarkEnd w:id="68"/>
      <w:bookmarkEnd w:id="69"/>
    </w:p>
    <w:p w14:paraId="4338E09E" w14:textId="42FD6B14" w:rsidR="00CC0D61" w:rsidRPr="0076589C" w:rsidRDefault="00564591" w:rsidP="00564591">
      <w:pPr>
        <w:pStyle w:val="TextoPrincipal"/>
        <w:rPr>
          <w:lang w:val="es-HN"/>
        </w:rPr>
      </w:pPr>
      <w:r w:rsidRPr="0076589C">
        <w:rPr>
          <w:lang w:val="es-HN"/>
        </w:rPr>
        <w:t xml:space="preserve">1. </w:t>
      </w:r>
      <w:r w:rsidR="1C8D6E3A" w:rsidRPr="0076589C">
        <w:rPr>
          <w:lang w:val="es-HN"/>
        </w:rPr>
        <w:t xml:space="preserve">Identificar el porcentaje en que </w:t>
      </w:r>
      <w:r w:rsidR="00FC1F93" w:rsidRPr="0076589C">
        <w:rPr>
          <w:lang w:val="es-HN"/>
        </w:rPr>
        <w:t>evolucionó</w:t>
      </w:r>
      <w:r w:rsidR="1C8D6E3A" w:rsidRPr="0076589C">
        <w:rPr>
          <w:lang w:val="es-HN"/>
        </w:rPr>
        <w:t xml:space="preserve"> la cartera de crédito en IPRA para el periodo 2019-2022.</w:t>
      </w:r>
    </w:p>
    <w:p w14:paraId="64DDFC68" w14:textId="4F89F03D" w:rsidR="00CC0D61" w:rsidRPr="0076589C" w:rsidRDefault="00564591" w:rsidP="00564591">
      <w:pPr>
        <w:pStyle w:val="TextoPrincipal"/>
        <w:rPr>
          <w:lang w:val="es-HN"/>
        </w:rPr>
      </w:pPr>
      <w:r w:rsidRPr="0076589C">
        <w:rPr>
          <w:lang w:val="es-HN"/>
        </w:rPr>
        <w:t xml:space="preserve">2. </w:t>
      </w:r>
      <w:r w:rsidR="1C8D6E3A" w:rsidRPr="0076589C">
        <w:rPr>
          <w:lang w:val="es-HN"/>
        </w:rPr>
        <w:t>Verificar las políticas de crédito y cobro implementadas por IPRA en el periodo 2019-2022.</w:t>
      </w:r>
    </w:p>
    <w:p w14:paraId="6F7F4F09" w14:textId="640B127F" w:rsidR="00CC0D61" w:rsidRPr="0076589C" w:rsidRDefault="00564591" w:rsidP="00564591">
      <w:pPr>
        <w:pStyle w:val="TextoPrincipal"/>
        <w:rPr>
          <w:lang w:val="es-HN"/>
        </w:rPr>
      </w:pPr>
      <w:r w:rsidRPr="0076589C">
        <w:rPr>
          <w:lang w:val="es-HN"/>
        </w:rPr>
        <w:t xml:space="preserve">3. </w:t>
      </w:r>
      <w:r w:rsidR="1C8D6E3A" w:rsidRPr="0076589C">
        <w:rPr>
          <w:lang w:val="es-HN"/>
        </w:rPr>
        <w:t>Analizar los resultados que muestran los indicadores de rentabilidad, liquidez, endeudamiento y la estructura de capital de la empresa IPRA ante el aumento en los niveles de crédito otorgado en el periodo del 2019 – 2022.</w:t>
      </w:r>
    </w:p>
    <w:p w14:paraId="60C20799" w14:textId="759646AF" w:rsidR="007E0042" w:rsidRPr="0076589C" w:rsidRDefault="00564591" w:rsidP="00564591">
      <w:pPr>
        <w:pStyle w:val="TextoPrincipal"/>
        <w:rPr>
          <w:lang w:val="es-HN"/>
        </w:rPr>
      </w:pPr>
      <w:bookmarkStart w:id="70" w:name="_Hlk151799851"/>
      <w:r w:rsidRPr="0076589C">
        <w:rPr>
          <w:lang w:val="es-HN"/>
        </w:rPr>
        <w:t xml:space="preserve">4. </w:t>
      </w:r>
      <w:r w:rsidR="1C8D6E3A" w:rsidRPr="0076589C">
        <w:rPr>
          <w:lang w:val="es-HN"/>
        </w:rPr>
        <w:t xml:space="preserve">Establecer propuestas que se pueden implementar en IPRA que ayude a mejorar la gestión de cobros de su cartera crediticia y con ello los límites de crédito para la toma de decisiones oportuna cuando se brinde un crédito a sus clientes. </w:t>
      </w:r>
      <w:bookmarkStart w:id="71" w:name="_Toc143790254"/>
      <w:bookmarkStart w:id="72" w:name="_Toc143791031"/>
      <w:bookmarkStart w:id="73" w:name="_Toc143791315"/>
      <w:bookmarkStart w:id="74" w:name="_Toc143970090"/>
      <w:bookmarkStart w:id="75" w:name="_Toc143987572"/>
      <w:bookmarkStart w:id="76" w:name="_Toc144501838"/>
      <w:bookmarkStart w:id="77" w:name="_Toc145007950"/>
      <w:bookmarkStart w:id="78" w:name="_Toc145008045"/>
      <w:bookmarkStart w:id="79" w:name="_Toc145013974"/>
      <w:bookmarkStart w:id="80" w:name="_Toc143790255"/>
      <w:bookmarkStart w:id="81" w:name="_Toc143791032"/>
      <w:bookmarkStart w:id="82" w:name="_Toc143791316"/>
      <w:bookmarkStart w:id="83" w:name="_Toc143970091"/>
      <w:bookmarkStart w:id="84" w:name="_Toc143987573"/>
      <w:bookmarkStart w:id="85" w:name="_Toc144501839"/>
      <w:bookmarkStart w:id="86" w:name="_Toc145007951"/>
      <w:bookmarkStart w:id="87" w:name="_Toc145008046"/>
      <w:bookmarkStart w:id="88" w:name="_Toc145013975"/>
      <w:bookmarkStart w:id="89" w:name="_Toc143790256"/>
      <w:bookmarkStart w:id="90" w:name="_Toc143791033"/>
      <w:bookmarkStart w:id="91" w:name="_Toc143791317"/>
      <w:bookmarkStart w:id="92" w:name="_Toc143970092"/>
      <w:bookmarkStart w:id="93" w:name="_Toc143987574"/>
      <w:bookmarkStart w:id="94" w:name="_Toc144501840"/>
      <w:bookmarkStart w:id="95" w:name="_Toc145007952"/>
      <w:bookmarkStart w:id="96" w:name="_Toc145008047"/>
      <w:bookmarkStart w:id="97" w:name="_Toc145013976"/>
      <w:bookmarkStart w:id="98" w:name="_Toc143790257"/>
      <w:bookmarkStart w:id="99" w:name="_Toc143791034"/>
      <w:bookmarkStart w:id="100" w:name="_Toc143791318"/>
      <w:bookmarkStart w:id="101" w:name="_Toc143970093"/>
      <w:bookmarkStart w:id="102" w:name="_Toc143987575"/>
      <w:bookmarkStart w:id="103" w:name="_Toc144501841"/>
      <w:bookmarkStart w:id="104" w:name="_Toc145007953"/>
      <w:bookmarkStart w:id="105" w:name="_Toc145008048"/>
      <w:bookmarkStart w:id="106" w:name="_Toc145013977"/>
      <w:bookmarkStart w:id="107" w:name="_Toc474331181"/>
      <w:bookmarkStart w:id="108" w:name="_Toc474331380"/>
      <w:bookmarkStart w:id="109" w:name="_Toc133044389"/>
      <w:bookmarkStart w:id="110" w:name="_Toc14276650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p>
    <w:bookmarkEnd w:id="67"/>
    <w:p w14:paraId="0C42E92C" w14:textId="77777777" w:rsidR="001D7BD7" w:rsidRPr="0076589C" w:rsidRDefault="001D7BD7" w:rsidP="001D7BD7">
      <w:pPr>
        <w:pStyle w:val="TextoPrincipal"/>
        <w:spacing w:after="0"/>
        <w:ind w:firstLine="0"/>
        <w:rPr>
          <w:lang w:val="es-HN"/>
        </w:rPr>
      </w:pPr>
    </w:p>
    <w:p w14:paraId="716B28F7" w14:textId="0DD9348F" w:rsidR="002C704B" w:rsidRPr="0076589C" w:rsidRDefault="1C8D6E3A" w:rsidP="00494616">
      <w:pPr>
        <w:pStyle w:val="Prrafodelista"/>
        <w:numPr>
          <w:ilvl w:val="1"/>
          <w:numId w:val="24"/>
        </w:numPr>
        <w:spacing w:after="120" w:line="360" w:lineRule="auto"/>
        <w:outlineLvl w:val="1"/>
        <w:rPr>
          <w:rFonts w:eastAsia="Times New Roman" w:cs="Times New Roman"/>
          <w:b/>
          <w:bCs/>
        </w:rPr>
      </w:pPr>
      <w:bookmarkStart w:id="111" w:name="_Toc158365452"/>
      <w:bookmarkEnd w:id="70"/>
      <w:r w:rsidRPr="0076589C">
        <w:rPr>
          <w:rFonts w:eastAsia="Times New Roman" w:cs="Times New Roman"/>
          <w:b/>
          <w:bCs/>
        </w:rPr>
        <w:t>JUSTIFICACIÓN</w:t>
      </w:r>
      <w:bookmarkEnd w:id="107"/>
      <w:bookmarkEnd w:id="108"/>
      <w:bookmarkEnd w:id="109"/>
      <w:bookmarkEnd w:id="110"/>
      <w:bookmarkEnd w:id="111"/>
    </w:p>
    <w:p w14:paraId="5F34D88A" w14:textId="612976A9" w:rsidR="005D26C7" w:rsidRPr="0076589C" w:rsidRDefault="1C8D6E3A" w:rsidP="00C8505C">
      <w:pPr>
        <w:pStyle w:val="TextoPrincipal"/>
        <w:rPr>
          <w:lang w:val="es-HN"/>
        </w:rPr>
      </w:pPr>
      <w:r w:rsidRPr="0076589C">
        <w:rPr>
          <w:lang w:val="es-HN"/>
        </w:rPr>
        <w:t>La investigación sobre el impacto del manejo de una eficiente gestión de cobros a lo largo de los años es de vital importancia para la empresa. Al comprender cómo estas prácticas influyen en el comportamiento de la cartera de crédito, se podrá mejorar el flujo de efectivo y la salud financiera de la empresa. Además, permitirá tomar decisiones informadas para optimizar recursos y diseñar estrategias de cobro más efectivas y personalizadas para distintos clientes.</w:t>
      </w:r>
    </w:p>
    <w:p w14:paraId="183B4E6B" w14:textId="2686E837" w:rsidR="3D4177B8" w:rsidRPr="0076589C" w:rsidRDefault="1C8D6E3A" w:rsidP="00C8505C">
      <w:pPr>
        <w:pStyle w:val="TextoPrincipal"/>
        <w:rPr>
          <w:lang w:val="es-HN"/>
        </w:rPr>
      </w:pPr>
      <w:r w:rsidRPr="0076589C">
        <w:rPr>
          <w:lang w:val="es-HN"/>
        </w:rPr>
        <w:t>El estudio brind</w:t>
      </w:r>
      <w:r w:rsidR="00B9568E" w:rsidRPr="0076589C">
        <w:rPr>
          <w:lang w:val="es-HN"/>
        </w:rPr>
        <w:t>ó</w:t>
      </w:r>
      <w:r w:rsidRPr="0076589C">
        <w:rPr>
          <w:lang w:val="es-HN"/>
        </w:rPr>
        <w:t xml:space="preserve"> un amplio conocimiento para el análisis del control y la gestión las cuentas por cobrar que actualmente se maneja en la empresa Industria Procesadora de Alimentos (IPRA) con la finalidad de poder proponer políticas y procesos tanto de crédito como de cobranza </w:t>
      </w:r>
      <w:r w:rsidRPr="0076589C">
        <w:rPr>
          <w:lang w:val="es-HN"/>
        </w:rPr>
        <w:lastRenderedPageBreak/>
        <w:t>que permitan aportar soluciones a los problemas más comunes que puedan surgir del análisis de la información recabada.</w:t>
      </w:r>
    </w:p>
    <w:p w14:paraId="1DF17BD3" w14:textId="288D9235" w:rsidR="005D26C7" w:rsidRPr="0076589C" w:rsidRDefault="1C8D6E3A" w:rsidP="00C8505C">
      <w:pPr>
        <w:pStyle w:val="TextoPrincipal"/>
        <w:rPr>
          <w:lang w:val="es-HN"/>
        </w:rPr>
      </w:pPr>
      <w:r w:rsidRPr="0076589C">
        <w:rPr>
          <w:lang w:val="es-HN"/>
        </w:rPr>
        <w:t>Así mismo contribuirá a fortalecer la competitividad de la empresa en el mercado. Una gestión de cobros exitosa puede ser un factor diferenciador y atractivo para socios comerciales, proveedores e inversores potenciales. La investigación explor</w:t>
      </w:r>
      <w:r w:rsidR="005D6EE8" w:rsidRPr="0076589C">
        <w:rPr>
          <w:lang w:val="es-HN"/>
        </w:rPr>
        <w:t>ó</w:t>
      </w:r>
      <w:r w:rsidRPr="0076589C">
        <w:rPr>
          <w:lang w:val="es-HN"/>
        </w:rPr>
        <w:t xml:space="preserve"> cómo un enfoque proactivo y profesional en el proceso de cobro impacta la satisfacción del cliente, lo que puede mejorar la retención y la percepción positiva de la empresa.</w:t>
      </w:r>
    </w:p>
    <w:p w14:paraId="769E35B9" w14:textId="4C5D56D3" w:rsidR="005D26C7" w:rsidRPr="0076589C" w:rsidRDefault="1C8D6E3A" w:rsidP="00C8505C">
      <w:pPr>
        <w:pStyle w:val="TextoPrincipal"/>
        <w:rPr>
          <w:lang w:val="es-HN"/>
        </w:rPr>
      </w:pPr>
      <w:r w:rsidRPr="0076589C">
        <w:rPr>
          <w:lang w:val="es-HN"/>
        </w:rPr>
        <w:t>En un entorno económico cambiante, esta investigación también brind</w:t>
      </w:r>
      <w:r w:rsidR="00074386" w:rsidRPr="0076589C">
        <w:rPr>
          <w:lang w:val="es-HN"/>
        </w:rPr>
        <w:t>o</w:t>
      </w:r>
      <w:r w:rsidRPr="0076589C">
        <w:rPr>
          <w:lang w:val="es-HN"/>
        </w:rPr>
        <w:t xml:space="preserve"> la posibilidad de adaptarse mejor a situaciones diversas, asegurando la sostenibilidad y el crecimiento a largo plazo.</w:t>
      </w:r>
    </w:p>
    <w:p w14:paraId="50ABAB6E" w14:textId="77777777" w:rsidR="00901C90" w:rsidRPr="0076589C" w:rsidRDefault="00901C90" w:rsidP="00C8505C">
      <w:pPr>
        <w:pStyle w:val="TextoPrincipal"/>
        <w:rPr>
          <w:lang w:val="es-HN"/>
        </w:rPr>
        <w:sectPr w:rsidR="00901C90" w:rsidRPr="0076589C" w:rsidSect="008C6BD1">
          <w:footerReference w:type="default" r:id="rId13"/>
          <w:footerReference w:type="first" r:id="rId14"/>
          <w:pgSz w:w="12240" w:h="15840" w:code="1"/>
          <w:pgMar w:top="1440" w:right="1440" w:bottom="1440" w:left="1440" w:header="720" w:footer="720" w:gutter="0"/>
          <w:pgNumType w:start="1"/>
          <w:cols w:space="720"/>
          <w:docGrid w:linePitch="360"/>
        </w:sectPr>
      </w:pPr>
    </w:p>
    <w:p w14:paraId="739D2BD0" w14:textId="5AC64DA2" w:rsidR="002461EE" w:rsidRPr="0076589C" w:rsidRDefault="1C8D6E3A" w:rsidP="00D6114F">
      <w:pPr>
        <w:pStyle w:val="Ttulo1"/>
      </w:pPr>
      <w:bookmarkStart w:id="112" w:name="_Toc474331182"/>
      <w:bookmarkStart w:id="113" w:name="_Toc474331381"/>
      <w:bookmarkStart w:id="114" w:name="_Toc133044390"/>
      <w:bookmarkStart w:id="115" w:name="_Toc142766501"/>
      <w:bookmarkStart w:id="116" w:name="_Toc158365453"/>
      <w:r w:rsidRPr="0076589C">
        <w:lastRenderedPageBreak/>
        <w:t>CAPÍTULO II. MARCO TEÓRICO</w:t>
      </w:r>
      <w:bookmarkEnd w:id="112"/>
      <w:bookmarkEnd w:id="113"/>
      <w:bookmarkEnd w:id="114"/>
      <w:bookmarkEnd w:id="115"/>
      <w:bookmarkEnd w:id="116"/>
    </w:p>
    <w:p w14:paraId="39C7C86C" w14:textId="00329562" w:rsidR="41C8DA9C" w:rsidRPr="0076589C" w:rsidRDefault="1C8D6E3A" w:rsidP="00C8505C">
      <w:pPr>
        <w:pStyle w:val="TextoPrincipal"/>
        <w:rPr>
          <w:lang w:val="es-HN"/>
        </w:rPr>
      </w:pPr>
      <w:r w:rsidRPr="0076589C">
        <w:rPr>
          <w:lang w:val="es-HN"/>
        </w:rPr>
        <w:t>En una investigación el marco teórico es un componente esencial que establece el contexto intelectual y conceptual en el que se enmarca el problema a desarrollar</w:t>
      </w:r>
      <w:r w:rsidR="009E4A1C" w:rsidRPr="0076589C">
        <w:rPr>
          <w:lang w:val="es-HN"/>
        </w:rPr>
        <w:t xml:space="preserve"> </w:t>
      </w:r>
      <w:r w:rsidRPr="0076589C">
        <w:rPr>
          <w:lang w:val="es-HN"/>
        </w:rPr>
        <w:t xml:space="preserve">describe los elementos teóricos planteados por diferentes autores y que permiten al investigador fundamentar su proceso de investigación. Su importancia radica en proporcionar un fundamento sólido para la comprensión y exploración del problema en cuestión. </w:t>
      </w:r>
    </w:p>
    <w:p w14:paraId="0DC68BC3" w14:textId="2B44AB3E" w:rsidR="00E816D8" w:rsidRPr="0076589C" w:rsidRDefault="1C8D6E3A" w:rsidP="001D7BD7">
      <w:pPr>
        <w:pStyle w:val="TextoPrincipal"/>
        <w:spacing w:after="0"/>
        <w:rPr>
          <w:lang w:val="es-HN"/>
        </w:rPr>
      </w:pPr>
      <w:r w:rsidRPr="0076589C">
        <w:rPr>
          <w:lang w:val="es-HN"/>
        </w:rPr>
        <w:t>El siguiente capitulo consta de cuatro secciones: la situación actual la cual se compone de un macroentorno donde describirá la gestión financiera, incluyendo procesos de créditos, cobros y de indicadores que ayudan a determinar la situación actual de una empresa a nivel internacional y el microentorno a nivel nacional. Conceptualización; se definirán los términos que son necesarios para la comprensión del problema de investigación. Las teorías de sustento; se detallan las bases teóricas y las metodologías en las que se basa el estudio. El marco legal, donde se describen las referencias legales que aplican al tema de investigación.</w:t>
      </w:r>
    </w:p>
    <w:p w14:paraId="688A09A6" w14:textId="77777777" w:rsidR="001D7BD7" w:rsidRPr="0076589C" w:rsidRDefault="001D7BD7" w:rsidP="001D7BD7">
      <w:pPr>
        <w:pStyle w:val="TextoPrincipal"/>
        <w:spacing w:after="0"/>
        <w:rPr>
          <w:lang w:val="es-HN"/>
        </w:rPr>
      </w:pPr>
    </w:p>
    <w:p w14:paraId="7913367C" w14:textId="77777777" w:rsidR="002461EE" w:rsidRPr="0076589C" w:rsidRDefault="002461EE" w:rsidP="002F1006">
      <w:pPr>
        <w:spacing w:after="120" w:line="360" w:lineRule="auto"/>
        <w:ind w:left="0"/>
        <w:jc w:val="both"/>
        <w:rPr>
          <w:rFonts w:eastAsia="Calibri" w:cs="Times New Roman"/>
          <w:sz w:val="2"/>
          <w:szCs w:val="2"/>
        </w:rPr>
      </w:pPr>
    </w:p>
    <w:p w14:paraId="711E21B7" w14:textId="362BC91E" w:rsidR="002461EE" w:rsidRPr="0076589C" w:rsidRDefault="1C8D6E3A" w:rsidP="00494616">
      <w:pPr>
        <w:pStyle w:val="Ttulo2"/>
        <w:numPr>
          <w:ilvl w:val="0"/>
          <w:numId w:val="7"/>
        </w:numPr>
        <w:ind w:left="360"/>
      </w:pPr>
      <w:bookmarkStart w:id="117" w:name="_Toc474331183"/>
      <w:bookmarkStart w:id="118" w:name="_Toc474331382"/>
      <w:bookmarkStart w:id="119" w:name="_Toc133044391"/>
      <w:bookmarkStart w:id="120" w:name="_Toc142766502"/>
      <w:bookmarkStart w:id="121" w:name="_Toc158365454"/>
      <w:r w:rsidRPr="0076589C">
        <w:t>ANÁLISIS DE LA SITUACIÓN ACTUAL</w:t>
      </w:r>
      <w:bookmarkEnd w:id="117"/>
      <w:bookmarkEnd w:id="118"/>
      <w:bookmarkEnd w:id="119"/>
      <w:bookmarkEnd w:id="120"/>
      <w:bookmarkEnd w:id="121"/>
    </w:p>
    <w:p w14:paraId="2747C197" w14:textId="1CC410A4" w:rsidR="0096287E" w:rsidRPr="0076589C" w:rsidRDefault="1C8D6E3A" w:rsidP="00494616">
      <w:pPr>
        <w:pStyle w:val="Ttulonivel3"/>
        <w:numPr>
          <w:ilvl w:val="0"/>
          <w:numId w:val="12"/>
        </w:numPr>
      </w:pPr>
      <w:bookmarkStart w:id="122" w:name="_Toc158365455"/>
      <w:bookmarkStart w:id="123" w:name="_Toc142766503"/>
      <w:r w:rsidRPr="0076589C">
        <w:t>MACROENTORNO</w:t>
      </w:r>
      <w:bookmarkEnd w:id="122"/>
      <w:r w:rsidRPr="0076589C">
        <w:t xml:space="preserve"> </w:t>
      </w:r>
    </w:p>
    <w:bookmarkEnd w:id="123"/>
    <w:p w14:paraId="0B37E853" w14:textId="607C2FB9" w:rsidR="00F51C81" w:rsidRPr="0076589C" w:rsidRDefault="1C8D6E3A" w:rsidP="00C8505C">
      <w:pPr>
        <w:pStyle w:val="TextoPrincipal"/>
        <w:rPr>
          <w:lang w:val="es-HN"/>
        </w:rPr>
      </w:pPr>
      <w:r w:rsidRPr="0076589C">
        <w:rPr>
          <w:lang w:val="es-HN"/>
        </w:rPr>
        <w:t xml:space="preserve">Hoy en día las empresas deben estar informadas sobre la gestión financiera de manera oportuna, debido a los cambios constantes que se vive en el mundo, es decir las innovaciones que existen en todo ámbito, en este caso cuando se enfoca en la parte financiera, las empresas se han visto en la obligación de innovar, gestionando cambios de manera constante dentro de la misma, ayudando a la gerencia tener un mayor control de las funciones administrativas. </w:t>
      </w:r>
    </w:p>
    <w:p w14:paraId="051675D5" w14:textId="3D88BFC1" w:rsidR="00FA5ED9" w:rsidRPr="0076589C" w:rsidRDefault="1C8D6E3A" w:rsidP="00C8505C">
      <w:pPr>
        <w:pStyle w:val="TextoPrincipal"/>
        <w:rPr>
          <w:lang w:val="es-HN"/>
        </w:rPr>
      </w:pPr>
      <w:r w:rsidRPr="0076589C">
        <w:rPr>
          <w:lang w:val="es-HN"/>
        </w:rPr>
        <w:t xml:space="preserve">En la investigación realizada en Jordania por </w:t>
      </w:r>
      <w:r w:rsidR="7A54A044" w:rsidRPr="0076589C">
        <w:rPr>
          <w:lang w:val="es-HN"/>
        </w:rPr>
        <w:fldChar w:fldCharType="begin"/>
      </w:r>
      <w:r w:rsidR="7A54A044" w:rsidRPr="0076589C">
        <w:rPr>
          <w:lang w:val="es-HN"/>
        </w:rPr>
        <w:instrText xml:space="preserve"> ADDIN ZOTERO_ITEM CSL_CITATION {"citationID":"qrXhD6LP","properties":{"formattedCitation":"(AL-Zararee et\\uc0\\u160{}al., 2022)","plainCitation":"(AL-Zararee et al., 2022)","dontUpdate":true,"noteIndex":0},"citationItems":[{"id":94,"uris":["http://zotero.org/users/12108825/items/BQ23SPUS"],"itemData":{"id":94,"type":"article-journal","abstract":"This study investigated the impact of Working Capital Management (WCM) and Credit Management Policy (CMP) on the Financial Performance (FP) of Jordanian banks (JB). The study data were obtained from 16 Jordanian banks listed on the Amman Stock Exchange (ASE) between 2017 and 2020. The study used panel data to investigate the relationship between the two independent variables, WCM and CMP, and the dependent variable FP; 64 financial reports to Jordanian banks were analyzed to measure this relationship. To test hypotheses, multiple regression was used. The study found a statistically significant relationship between WCM and FP, and the independent variable was able to explain 34.1% of the changes that occur in the dependent variable. In addition, the outcome approved that there is a statistically significant relationship between CMP and FP. Furthermore, CMP explained about 41.8% of changes in the dependent variable. The findings of this study indicate support for the banks’ performance; a bank may need to lengthen client credit terms, prolong the cash transfer cycle, and require a more extended payment period when judging on WCM.","container-title":"Banks and Bank Systems","DOI":"10.21511/bbs.16(4).2021.19","ISSN":"18167403, 19917074","issue":"4","journalAbbreviation":"Banks and Bank Systems","language":"en","page":"229-239","source":"DOI.org (Crossref)","title":"The effect of working capital management and credit management policy on Jordanian banks’ financial performance","volume":"16","author":[{"family":"AL-Zararee","given":"Abdulnafea"},{"family":"Ali Almasria","given":"Nashat"},{"family":"Ahmad Alawaqleh","given":"Qasim"}],"issued":{"date-parts":[["2022",1,5]]}}}],"schema":"https://github.com/citation-style-language/schema/raw/master/csl-citation.json"} </w:instrText>
      </w:r>
      <w:r w:rsidR="7A54A044" w:rsidRPr="0076589C">
        <w:rPr>
          <w:lang w:val="es-HN"/>
        </w:rPr>
        <w:fldChar w:fldCharType="separate"/>
      </w:r>
      <w:r w:rsidRPr="0076589C">
        <w:rPr>
          <w:lang w:val="es-HN"/>
        </w:rPr>
        <w:t>AL-Zararee et al., (2022)</w:t>
      </w:r>
      <w:r w:rsidR="7A54A044" w:rsidRPr="0076589C">
        <w:rPr>
          <w:lang w:val="es-HN"/>
        </w:rPr>
        <w:fldChar w:fldCharType="end"/>
      </w:r>
      <w:r w:rsidRPr="0076589C">
        <w:rPr>
          <w:lang w:val="es-HN"/>
        </w:rPr>
        <w:t xml:space="preserve"> sobre el efecto de la gestión capital circulante y la política de gestión de crédito en el rendimiento financiero de los bancos, menciona que la gestión financiera es fundamental para el éxito de los bancos y las instituciones, y que las ineficiencias en la gestión financiera pueden tener un efecto negativo en su desempeño. Además, cuando la gestión financiera de una empresa es efectiva, crea valor para sus accionistas, lo cual es un aspecto crítico de su estrategia general. </w:t>
      </w:r>
    </w:p>
    <w:p w14:paraId="50146782" w14:textId="6C0A8C9B" w:rsidR="005C3198" w:rsidRPr="0076589C" w:rsidRDefault="1C8D6E3A" w:rsidP="00C8505C">
      <w:pPr>
        <w:pStyle w:val="TextoPrincipal"/>
        <w:rPr>
          <w:lang w:val="es-HN"/>
        </w:rPr>
      </w:pPr>
      <w:r w:rsidRPr="0076589C">
        <w:rPr>
          <w:lang w:val="es-HN"/>
        </w:rPr>
        <w:t xml:space="preserve">Es importante que las empresas conozcan los beneficios al tener una buena gestión financiera, ya que les permite la óptima toma de decisiones informadas sobre cómo utilizar sus </w:t>
      </w:r>
      <w:r w:rsidRPr="0076589C">
        <w:rPr>
          <w:lang w:val="es-HN"/>
        </w:rPr>
        <w:lastRenderedPageBreak/>
        <w:t xml:space="preserve">recursos financieros de manera efectiva para lograr sus objetivos y maximizar su valor. Una gestión financiera efectiva puede ayudar a las empresas a mejorar su rentabilidad, reducir sus costos, aumentar su eficiencia y mejorar su posición financiera en general. Además de identificar y mitigar los riesgos financieros así aprovechando las oportunidades financieras que se presenten. </w:t>
      </w:r>
      <w:r w:rsidR="7A54A044" w:rsidRPr="0076589C">
        <w:rPr>
          <w:lang w:val="es-HN"/>
        </w:rPr>
        <w:fldChar w:fldCharType="begin"/>
      </w:r>
      <w:r w:rsidR="7A54A044" w:rsidRPr="0076589C">
        <w:rPr>
          <w:lang w:val="es-HN"/>
        </w:rPr>
        <w:instrText xml:space="preserve"> ADDIN ZOTERO_ITEM CSL_CITATION {"citationID":"sbSLZseT","properties":{"formattedCitation":"(Tacuri Malla, 2019)","plainCitation":"(Tacuri Malla, 2019)","noteIndex":0},"citationItems":[{"id":232,"uris":["http://zotero.org/users/12108825/items/TT54IVVH"],"itemData":{"id":232,"type":"article-journal","abstract":"La presente investigación tiene por objeto aplicar las herramientas financieras en la empresa MERIBAN SA, de tal manera que contribuya en la toma de decisiones gerenciales al medir su nivel liquidez, endeudamiento, actividad y rentabilidad, para evitar errores pasados, evaluar riesgos u oportunidades futuras y analizar la situación económica-financiera actual que permitan lograr mayores niveles de rentabilidad y beneficios. El tipo de investigación a utilizarse será descriptivo, documental y de campo; la metodología de investigación será a través del método deductivo-inductivo y analíticosintético que ayudarán a la consecución de los objetivos propuestos con la aplicación de las herramientas financieras. Dentro de las técnicas utilizadas está el análisis de los documentos ya que mediante esta técnica se estudiarán los procesos e identificarán los problemas en la entidad y también se realizará entrevistas al gerente y contador para recabar información respecto a la gestión contable-financiera. Con la utilización de las herramientas financieras, se busca que la empresa tenga una mejor gestión empresarial al tomar decisiones de forma eficiente y eficaz, ya que al contar con información válida y precisa se podrá predecir el éxito o fracaso de la misma. PALABRAS CLAVE: Gestión financiera, análisis financiero, toma de decisiones, finanzas, gestión empresarial.","language":"spa","note":"publisher: Quevedo-UTEQ","source":"repositorio.uteq.edu.ec","title":"Gestión financiera y su efecto en el proceso de toma de decisiones de la empresa Meriban S.A. periodo 2016-2018","URL":"http://repositorio.uteq.edu.ec/handle/43000/6053","author":[{"family":"Tacuri Malla","given":"Cinthia Nataly"}],"accessed":{"date-parts":[["2023",8,27]]},"issued":{"date-parts":[["2019"]]}}}],"schema":"https://github.com/citation-style-language/schema/raw/master/csl-citation.json"} </w:instrText>
      </w:r>
      <w:r w:rsidR="7A54A044" w:rsidRPr="0076589C">
        <w:rPr>
          <w:lang w:val="es-HN"/>
        </w:rPr>
        <w:fldChar w:fldCharType="separate"/>
      </w:r>
      <w:r w:rsidRPr="0076589C">
        <w:rPr>
          <w:lang w:val="es-HN"/>
        </w:rPr>
        <w:t>(Tacuri Malla, 2019)</w:t>
      </w:r>
      <w:r w:rsidR="7A54A044" w:rsidRPr="0076589C">
        <w:rPr>
          <w:lang w:val="es-HN"/>
        </w:rPr>
        <w:fldChar w:fldCharType="end"/>
      </w:r>
      <w:r w:rsidRPr="0076589C">
        <w:rPr>
          <w:lang w:val="es-HN"/>
        </w:rPr>
        <w:t xml:space="preserve">  </w:t>
      </w:r>
    </w:p>
    <w:p w14:paraId="3E8CAB3A" w14:textId="3D07A6C6" w:rsidR="1168E1A1" w:rsidRPr="0076589C" w:rsidRDefault="1C8D6E3A" w:rsidP="00C8505C">
      <w:pPr>
        <w:pStyle w:val="TextoPrincipal"/>
        <w:rPr>
          <w:lang w:val="es-HN"/>
        </w:rPr>
      </w:pPr>
      <w:r w:rsidRPr="0076589C">
        <w:rPr>
          <w:lang w:val="es-HN"/>
        </w:rPr>
        <w:t xml:space="preserve">Una eficiente gestión financiera hoy en día cuenta con diversas metodologías que ayudan a las empresas a lograrlo, algunos pueden ser realizar análisis financieros este método puede ayudar a identificar áreas de fortaleza y debilidad para poder tomar futuras decisiones; al realizar presupuestos permite planificar y controlar los gastos, así mismo es necesario que las empresas cuenten con una gestión de riesgos, esto con el objetivo de poner evaluarlos para saber si se pueden mitigar o eliminar, estos riesgos pueden ser de créditos, riesgo del mercado, riesgo de liquidez, entre otros. </w:t>
      </w:r>
      <w:r w:rsidR="7A54A044" w:rsidRPr="0076589C">
        <w:rPr>
          <w:lang w:val="es-HN"/>
        </w:rPr>
        <w:fldChar w:fldCharType="begin"/>
      </w:r>
      <w:r w:rsidR="7A54A044" w:rsidRPr="0076589C">
        <w:rPr>
          <w:lang w:val="es-HN"/>
        </w:rPr>
        <w:instrText xml:space="preserve"> ADDIN ZOTERO_ITEM CSL_CITATION {"citationID":"dT6ZSf0S","properties":{"formattedCitation":"(Angarita Dominguez, 2023)","plainCitation":"(Angarita Dominguez, 2023)","dontUpdate":true,"noteIndex":0},"citationItems":[{"id":236,"uris":["http://zotero.org/users/12108825/items/Q378TK95"],"itemData":{"id":236,"type":"article-journal","abstract":"This thesis addresses the issue of inadequate financial management in a medium-sized hardware company in the city of Palmira. The methodology used was based on the analysis of the company's financial statements in order to identify financial management problems.","container-title":"instname:Universidad Antonio Nariño","language":"spa","license":"openAccess","note":"Accepted: 2023-08-14T20:53:17Z\npublisher: Universidad Antonio Nariño","source":"repositorio.uan.edu.co","title":"Planeación Financiera para una empresa mediana del Sector Ferretero de Palmira","URL":"http://repositorio.uan.edu.co/handle/123456789/8455","author":[{"family":"Angarita Dominguez","given":"Claudia Ximena"}],"accessed":{"date-parts":[["2023",8,27]]},"issued":{"date-parts":[["2023"]]}}}],"schema":"https://github.com/citation-style-language/schema/raw/master/csl-citation.json"} </w:instrText>
      </w:r>
      <w:r w:rsidR="7A54A044" w:rsidRPr="0076589C">
        <w:rPr>
          <w:lang w:val="es-HN"/>
        </w:rPr>
        <w:fldChar w:fldCharType="separate"/>
      </w:r>
      <w:r w:rsidRPr="0076589C">
        <w:rPr>
          <w:lang w:val="es-HN"/>
        </w:rPr>
        <w:t>(Angarita Domínguez, 2023)</w:t>
      </w:r>
      <w:r w:rsidR="7A54A044" w:rsidRPr="0076589C">
        <w:rPr>
          <w:lang w:val="es-HN"/>
        </w:rPr>
        <w:fldChar w:fldCharType="end"/>
      </w:r>
    </w:p>
    <w:p w14:paraId="05D1E69D" w14:textId="07DF9683" w:rsidR="000E7D00" w:rsidRPr="0076589C" w:rsidRDefault="1C8D6E3A" w:rsidP="00C8505C">
      <w:pPr>
        <w:pStyle w:val="TextoPrincipal"/>
        <w:rPr>
          <w:lang w:val="es-HN"/>
        </w:rPr>
      </w:pPr>
      <w:r w:rsidRPr="0076589C">
        <w:rPr>
          <w:lang w:val="es-HN"/>
        </w:rPr>
        <w:t xml:space="preserve">La gestión de capital de trabajo permite a las empresas que cuenten con suficiente liquidez para cumplir con sus obligaciones, con esto se incluyen buenos temas como la gestión de créditos y cobranzas, indicadores de desempeño, optimización del ciclo de conversión de efectivo, gestión de inventarios, planificación financiera, estrategias de financiamiento, entre otras. </w:t>
      </w:r>
      <w:r w:rsidR="7A54A044" w:rsidRPr="0076589C">
        <w:rPr>
          <w:lang w:val="es-HN"/>
        </w:rPr>
        <w:fldChar w:fldCharType="begin"/>
      </w:r>
      <w:r w:rsidR="7A54A044" w:rsidRPr="0076589C">
        <w:rPr>
          <w:lang w:val="es-HN"/>
        </w:rPr>
        <w:instrText xml:space="preserve"> ADDIN ZOTERO_ITEM CSL_CITATION {"citationID":"d1HRzzOC","properties":{"formattedCitation":"(Riva Tafur &amp; Farje Hidalgo, 2020)","plainCitation":"(Riva Tafur &amp; Farje Hidalgo, 2020)","noteIndex":0},"citationItems":[{"id":240,"uris":["http://zotero.org/users/12108825/items/Q9C6RG2Y"],"itemData":{"id":240,"type":"thesis","abstract":"El presente trabajo fue orientado a proponer una solución de mejora a una problemática común de muchas empresas: deficiencias en su liquidez. Y es que, la liquidez representa la capacidad de una empresa para generar solvencia y poder cubrir sus obligaciones operando en condiciones normales. Para la siguiente investigación se evaluó la gestión de capital de trabajo y la liquidez de la empresa MUSALAB MED S.A.C. de San Juan de Lurigancho, período 2017 – 2018. \nEl objetivo de la tesis fue demostrar cómo la optimización del capital de trabajo mejora la liquidez de la empresa. La investigación es de tipo aplicada y descriptivo correlacional. Su diseño es no experimental y de corte longitudinal, La información materia de estudio fueron los estados financieros anuales y semestrales, estado de resultados, flujo de caja, estructura interna del personal, cronogramas de obligaciones financieras de los períodos 2017-2018. Se consideró antecedentes de tesis nacionales como Internacionales a fin de respaldar y contrastar el trabajo de investigación \nFinalmente se concluyó que una buena administración del capital de trabajo, acompañado de políticas y procedimientos adecuados, inciden directamente en la liquidez de la empresa, otorgándole estabilidad económica, eficiencia y competitividad. Para comprobar los resultados se usó indicadores de rentabilidad, liquidez y gestión que fueron comparados con el período donde la empresa no contaba con una adecuada administración del capital de trabajo, mostrando resultados positivos que sustentaron las hipótesis formuladas primigeniamente.","language":"spa","license":"info:eu-repo/semantics/openAccess","note":"Accepted: 2021-09-10T20:30:21Z\npublisher: Universidad Nacional del Callao","source":"repositorio.unac.edu.pe","title":"La gestión del capital de trabajo y la liquidez de la empresa Musalab Med S.A.C. de San Juan de Lurigancho – periodo 2017 – 2018","URL":"http://repositorio.unac.edu.pe/handle/20.500.12952/5787","author":[{"family":"Riva Tafur","given":"Danitsa"},{"family":"Farje Hidalgo","given":"Carmen","dropping-particle":"lluliana"}],"accessed":{"date-parts":[["2023",8,27]]},"issued":{"date-parts":[["2020"]]}}}],"schema":"https://github.com/citation-style-language/schema/raw/master/csl-citation.json"} </w:instrText>
      </w:r>
      <w:r w:rsidR="7A54A044" w:rsidRPr="0076589C">
        <w:rPr>
          <w:lang w:val="es-HN"/>
        </w:rPr>
        <w:fldChar w:fldCharType="separate"/>
      </w:r>
      <w:r w:rsidRPr="0076589C">
        <w:rPr>
          <w:lang w:val="es-HN"/>
        </w:rPr>
        <w:t>(Riva Tafur &amp; Farje Hidalgo, 2020)</w:t>
      </w:r>
      <w:r w:rsidR="7A54A044" w:rsidRPr="0076589C">
        <w:rPr>
          <w:lang w:val="es-HN"/>
        </w:rPr>
        <w:fldChar w:fldCharType="end"/>
      </w:r>
    </w:p>
    <w:p w14:paraId="4F4B91E7" w14:textId="1FD9362F" w:rsidR="78795404" w:rsidRPr="0076589C" w:rsidRDefault="1C8D6E3A" w:rsidP="00C8505C">
      <w:pPr>
        <w:pStyle w:val="TextoPrincipal"/>
        <w:rPr>
          <w:lang w:val="es-HN"/>
        </w:rPr>
      </w:pPr>
      <w:r w:rsidRPr="0076589C">
        <w:rPr>
          <w:lang w:val="es-HN"/>
        </w:rPr>
        <w:t>Tal y como se menciona en la investigación realizada en Kenia de los determinantes del desempeño financiero de los bancos de microfinanzas:</w:t>
      </w:r>
    </w:p>
    <w:p w14:paraId="4D469598" w14:textId="24E7760C" w:rsidR="45697708" w:rsidRPr="0076589C" w:rsidRDefault="1C8D6E3A" w:rsidP="00C8505C">
      <w:pPr>
        <w:pStyle w:val="TextoPrincipal"/>
        <w:rPr>
          <w:lang w:val="es-HN"/>
        </w:rPr>
      </w:pPr>
      <w:r w:rsidRPr="0076589C">
        <w:rPr>
          <w:lang w:val="es-HN"/>
        </w:rPr>
        <w:t xml:space="preserve">El desempeño financiero es la medida del logro de las organizaciones en las metas, políticas y operaciones estipuladas en términos monetarios. Se trata de la salud financiera y se puede comparar entre empresas similares en la misma industria. El desempeño financiero de una empresa, siendo una de las principales características, define la competitividad, las potencialidades del negocio y los intereses económicos de la gestión de la empresa y la confiabilidad de los actuales o futuros contratistas. </w:t>
      </w:r>
      <w:r w:rsidR="7A54A044" w:rsidRPr="0076589C">
        <w:rPr>
          <w:lang w:val="es-HN"/>
        </w:rPr>
        <w:fldChar w:fldCharType="begin"/>
      </w:r>
      <w:r w:rsidR="7A54A044" w:rsidRPr="0076589C">
        <w:rPr>
          <w:lang w:val="es-HN"/>
        </w:rPr>
        <w:instrText xml:space="preserve"> ADDIN ZOTERO_ITEM CSL_CITATION {"citationID":"YuKrGw8R","properties":{"formattedCitation":"(Ngumo et\\uc0\\u160{}al., 2020)","plainCitation":"(Ngumo et al., 2020)","dontUpdate":true,"noteIndex":0},"citationItems":[{"id":89,"uris":["http://zotero.org/users/12108825/items/IIRWMB98"],"itemData":{"id":89,"type":"article","abstract":"Microfinance provides strength to boost the economic activities of low-income earners and thus contributes to eradication of poverty. However, microfinance institutions face stringent competition from commercial banks; the growth of microloan activities of commercial banks may confront microfinance institutions with increased competition for borrowers. In Kenya, the micro finance sector has extremely high competition indicated by the shifting market share and profitability. This study sought to examine the determinants of financial performance of Microfinance banks in Kenya. The study adopted a descriptive research design and used secondary data from 7 Microfinance banks for a period of 5 years from 2011 to 2015. The data collected was analyzed using correlation and regression analysis. The study found a positive and statistically significant relationship between operational efficiency, capital adequacy, firm size and financial performance of microfinance banks in Kenya. However, the study found an insignificant negative relationship between liquidity risk, credit risk and financial performance of microfinance banks in Kenya. The study concluded that there is direct relationship between operational efficiency, capital adequacy, firm size and financial performance of microfinance banks in Kenya.","DOI":"10.48550/arXiv.2010.12569","note":"arXiv:2010.12569 [q-fin]","number":"arXiv:2010.12569","publisher":"arXiv","source":"arXiv.org","title":"Determinants of Financial Performance of Microfinance Banks in Kenya","URL":"http://arxiv.org/abs/2010.12569","author":[{"family":"Ngumo","given":"King'ori S."},{"family":"Collins","given":"Kioko W."},{"family":"David","given":"Shikumo H."}],"accessed":{"date-parts":[["2023",8,12]]},"issued":{"date-parts":[["2020",10,23]]}}}],"schema":"https://github.com/citation-style-language/schema/raw/master/csl-citation.json"} </w:instrText>
      </w:r>
      <w:r w:rsidR="7A54A044" w:rsidRPr="0076589C">
        <w:rPr>
          <w:lang w:val="es-HN"/>
        </w:rPr>
        <w:fldChar w:fldCharType="separate"/>
      </w:r>
      <w:r w:rsidRPr="0076589C">
        <w:rPr>
          <w:lang w:val="es-HN"/>
        </w:rPr>
        <w:t>(Ngumo et al., 2020, pág.)</w:t>
      </w:r>
      <w:r w:rsidR="7A54A044" w:rsidRPr="0076589C">
        <w:rPr>
          <w:lang w:val="es-HN"/>
        </w:rPr>
        <w:fldChar w:fldCharType="end"/>
      </w:r>
      <w:r w:rsidRPr="0076589C">
        <w:rPr>
          <w:lang w:val="es-HN"/>
        </w:rPr>
        <w:t xml:space="preserve"> </w:t>
      </w:r>
    </w:p>
    <w:p w14:paraId="526F37A0" w14:textId="1E60B5F3" w:rsidR="4BDDE157" w:rsidRPr="0076589C" w:rsidRDefault="1C8D6E3A" w:rsidP="00C8505C">
      <w:pPr>
        <w:pStyle w:val="TextoPrincipal"/>
        <w:rPr>
          <w:lang w:val="es-HN"/>
        </w:rPr>
      </w:pPr>
      <w:r w:rsidRPr="0076589C">
        <w:rPr>
          <w:lang w:val="es-HN"/>
        </w:rPr>
        <w:t xml:space="preserve">Dicho lo anterior se puede concluir que la gestión financiera es un aspecto clave en cualquier empresa o institución financiera. Se refiere a la planificación, organización, dirección y control de los recursos financieros de una organización para lograr sus objetivos y metas. La gestión financiera implica la toma de decisiones financieras importantes, como la inversión de </w:t>
      </w:r>
      <w:r w:rsidRPr="0076589C">
        <w:rPr>
          <w:lang w:val="es-HN"/>
        </w:rPr>
        <w:lastRenderedPageBreak/>
        <w:t xml:space="preserve">fondos, la obtención de financiamiento, la gestión de riesgos y la evaluación del desempeño financiero. </w:t>
      </w:r>
    </w:p>
    <w:p w14:paraId="323F3BF3" w14:textId="65A9C2E8" w:rsidR="1E0DDFFB" w:rsidRPr="0076589C" w:rsidRDefault="1C8D6E3A" w:rsidP="00C8505C">
      <w:pPr>
        <w:pStyle w:val="TextoPrincipal"/>
        <w:rPr>
          <w:lang w:val="es-HN"/>
        </w:rPr>
      </w:pPr>
      <w:r w:rsidRPr="0076589C">
        <w:rPr>
          <w:lang w:val="es-HN"/>
        </w:rPr>
        <w:t>En la investigación realizada en el año 2020 en acerca de la gestión de cobros en pymes de Riohacha D.E.T.C defin</w:t>
      </w:r>
      <w:r w:rsidR="000D44D4" w:rsidRPr="0076589C">
        <w:rPr>
          <w:lang w:val="es-HN"/>
        </w:rPr>
        <w:t>ió</w:t>
      </w:r>
      <w:r w:rsidRPr="0076589C">
        <w:rPr>
          <w:lang w:val="es-HN"/>
        </w:rPr>
        <w:t xml:space="preserve"> que</w:t>
      </w:r>
    </w:p>
    <w:p w14:paraId="5EA08502" w14:textId="6BEEF7D2" w:rsidR="1E0DDFFB" w:rsidRPr="0076589C" w:rsidRDefault="1C8D6E3A" w:rsidP="4009B408">
      <w:pPr>
        <w:pStyle w:val="CitaLarga"/>
      </w:pPr>
      <w:r w:rsidRPr="0076589C">
        <w:t xml:space="preserve">Es importante entender que los factores que inciden en la gestión financiera, tales como, la gestión del efectivo, la gestión de pago, las inversiones financieras, con el fin de generar rentabilidad, productividad y calidad, facilita la posibilidad de hacer una planificación de las políticas y las estrategias a seguir para alcanzar los objetivos que aseguren la perdurabilidad del negocio. Esa planificación debe de ir acompañada de los datos económicos que la avalen. </w:t>
      </w:r>
      <w:r w:rsidR="7A54A044" w:rsidRPr="0076589C">
        <w:fldChar w:fldCharType="begin"/>
      </w:r>
      <w:r w:rsidR="7A54A044" w:rsidRPr="0076589C">
        <w:instrText xml:space="preserve"> ADDIN ZOTERO_ITEM CSL_CITATION {"citationID":"01IonOxX","properties":{"formattedCitation":"(Lubo et\\uc0\\u160{}al., 2020)","plainCitation":"(Lubo et al., 2020)","dontUpdate":true,"noteIndex":0},"citationItems":[{"id":77,"uris":["http://zotero.org/users/12108825/items/BUJTUW5W"],"itemData":{"id":77,"type":"article-journal","abstract":"The objective of the investigation was to determine the treasury management in the SMEs of Riohacha D.E.T.C, specifically the collection management. Methodologically, it has a positivist paradigm, a quantitative approach, a descriptive type with a non-experimental, cross-sectional field design. The population corresponds to 15 administration and finance coordinators of the SMEs of Riohacha D.E.T.C. A questionnaire of sixteen (16) items was applied, with a scale Always (5), Almost Always (4),&amp;nbsp;Sometimes (3), Almost Never (2), Never (1). The reliability was 0.87. The results show that these companies establish collection policies based on credit sales, respecting the fundamental principle of finance. Concluding that companies have a policy to retain their customers, through favorable credit conditions, which allow them to extend their demands.","container-title":"Renovat: Revista de Estudios Interdisciplinarios en Ciencias Sociales, Tecnología e Innovación","ISSN":"2619-2896","issue":"2","language":"es","license":"Derechos de autor 2020 Kenny Jamir  Pinto Lubo, Edier Edir  Mendoza Medina, Karine Adelaida  Pinto Lubo","note":"number: 2","page":"85-96","source":"revistas.sena.edu.co","title":"Gestión de tesorería en las pymes de Riohacha D.E.T.C.: caso gestión de cobros","title-short":"Gestión de tesorería en las pymes de Riohacha D.E.T.C.","volume":"5","author":[{"family":"Lubo","given":"Kenny Jamir Pinto"},{"family":"Medina","given":"Edier Edir Mendoza"},{"family":"Lubo","given":"Karine Adelaida Pinto"}],"issued":{"date-parts":[["2020",12,9]]}}}],"schema":"https://github.com/citation-style-language/schema/raw/master/csl-citation.json"} </w:instrText>
      </w:r>
      <w:r w:rsidR="7A54A044" w:rsidRPr="0076589C">
        <w:fldChar w:fldCharType="separate"/>
      </w:r>
      <w:r w:rsidRPr="0076589C">
        <w:t>(Lubo et al., 2020, pág</w:t>
      </w:r>
      <w:r w:rsidR="7A54A044" w:rsidRPr="0076589C">
        <w:fldChar w:fldCharType="end"/>
      </w:r>
      <w:r w:rsidRPr="0076589C">
        <w:t>. 86)</w:t>
      </w:r>
    </w:p>
    <w:p w14:paraId="01939776" w14:textId="54C01E41" w:rsidR="00063204" w:rsidRPr="0076589C" w:rsidRDefault="1C8D6E3A" w:rsidP="00C8505C">
      <w:pPr>
        <w:pStyle w:val="TextoPrincipal"/>
        <w:rPr>
          <w:lang w:val="es-HN"/>
        </w:rPr>
      </w:pPr>
      <w:r w:rsidRPr="0076589C">
        <w:rPr>
          <w:lang w:val="es-HN"/>
        </w:rPr>
        <w:t>Tal y como se menciona en párrafos anteriores uno de los temas importantes en la gestión financiera es el tema de cobranza, el cual es clave para obtener mayor liquidez y rentabilidad dentro de las empresas.</w:t>
      </w:r>
    </w:p>
    <w:p w14:paraId="0E4E1FA1" w14:textId="27F7A400" w:rsidR="00FA5ED9" w:rsidRPr="0076589C" w:rsidRDefault="1C8D6E3A" w:rsidP="00C8505C">
      <w:pPr>
        <w:pStyle w:val="TextoPrincipal"/>
        <w:rPr>
          <w:lang w:val="es-HN"/>
        </w:rPr>
      </w:pPr>
      <w:r w:rsidRPr="0076589C">
        <w:rPr>
          <w:lang w:val="es-HN"/>
        </w:rPr>
        <w:t>Se puede definir que el proceso de cobranza es uno de los más complejo dentro de las empresas, pues requiere un importante y constante seguimiento de las acciones para poder recuperar en tiempo y forma el monto de las cuentas por cobrar y así generar mayor liquidez, tomando en cuenta siempre que los clientes no se sientan perseguidos a la hora de su cobro.</w:t>
      </w:r>
    </w:p>
    <w:p w14:paraId="03711599" w14:textId="6EE78916" w:rsidR="00086574" w:rsidRPr="0076589C" w:rsidRDefault="1C8D6E3A" w:rsidP="00C8505C">
      <w:pPr>
        <w:pStyle w:val="TextoPrincipal"/>
        <w:rPr>
          <w:lang w:val="es-HN"/>
        </w:rPr>
      </w:pPr>
      <w:r w:rsidRPr="0076589C">
        <w:rPr>
          <w:lang w:val="es-HN"/>
        </w:rPr>
        <w:t xml:space="preserve">En España se desarrolló una investigación por </w:t>
      </w:r>
      <w:r w:rsidR="7A54A044" w:rsidRPr="0076589C">
        <w:rPr>
          <w:lang w:val="es-HN"/>
        </w:rPr>
        <w:fldChar w:fldCharType="begin"/>
      </w:r>
      <w:r w:rsidR="7A54A044" w:rsidRPr="0076589C">
        <w:rPr>
          <w:lang w:val="es-HN"/>
        </w:rPr>
        <w:instrText xml:space="preserve"> ADDIN ZOTERO_ITEM CSL_CITATION {"citationID":"IGTPlowV","properties":{"formattedCitation":"(Rey-Ares et\\uc0\\u160{}al., 2021)","plainCitation":"(Rey-Ares et al., 2021)","dontUpdate":true,"noteIndex":0},"citationItems":[{"id":84,"uris":["http://zotero.org/users/12108825/items/XQ38ZMZU"],"itemData":{"id":84,"type":"article-journal","abstract":"Credit restrictions, such as those happening in the current context shaped by the crisis derived from COVID-19, make working capital management (WCM) a driving force behind SME performance. This paper analyses whether WCM policies affect the economic and financial profitability of Spanish companies in the fish canning industry. Spain leads the EU’s production of canned seafood and the seafood industry is a key sector for the Spanish economy. To assess the WCM-profitability relationship, we applied a dynamic panel data methodology in a sample consisting of 377 companies during the period 2010–2018. We can conclude that the economic profitability of fish canning companies is related to the collection period (Days Sales Outstanding or DSO) and the inventory conversion period (Days Inventory Outstanding or DIO). Moreover, empirical evidence reveals the existence of an optimal level of receivables that balances the benefits of increasing sales and the opportunity costs of customer funding. The findings also identify a convex relationship between investment in inventory and economic profitability.","container-title":"Marine Policy","DOI":"10.1016/j.marpol.2021.104583","ISSN":"0308-597X","journalAbbreviation":"Marine Policy","language":"en","page":"104583","source":"ScienceDirect","title":"Impact of working capital management on profitability for Spanish fish canning companies","volume":"130","author":[{"family":"Rey-Ares","given":"Lucía"},{"family":"Fernández-López","given":"Sara"},{"family":"Rodeiro-Pazos","given":"David"}],"issued":{"date-parts":[["2021",8,1]]}}}],"schema":"https://github.com/citation-style-language/schema/raw/master/csl-citation.json"} </w:instrText>
      </w:r>
      <w:r w:rsidR="7A54A044" w:rsidRPr="0076589C">
        <w:rPr>
          <w:lang w:val="es-HN"/>
        </w:rPr>
        <w:fldChar w:fldCharType="separate"/>
      </w:r>
      <w:r w:rsidRPr="0076589C">
        <w:rPr>
          <w:lang w:val="es-HN"/>
        </w:rPr>
        <w:t>Rey-Ares et al., (2021)</w:t>
      </w:r>
      <w:r w:rsidR="7A54A044" w:rsidRPr="0076589C">
        <w:rPr>
          <w:lang w:val="es-HN"/>
        </w:rPr>
        <w:fldChar w:fldCharType="end"/>
      </w:r>
      <w:r w:rsidRPr="0076589C">
        <w:rPr>
          <w:lang w:val="es-HN"/>
        </w:rPr>
        <w:t xml:space="preserve"> en la cual se quería conocer el impacto de la gestión de capital circulante en la rentabilidad de las empresas españolas, se analizó la relación que se tenía entre el período de cobro y la rentabilidad económica de las empresas conserveras de pescado, donde se concluyó que otorgar crédito comercial y mantener el inventario afecta la rentabilidad económica de las empresas; Se reveló que el punto óptimo de cuentas por cobrar se alcanza alrededor de los 190 días; una vez superados estos 190 días, el alto riesgo de impago disminuye la rentabilidad de la empresa; en cuanto a las metodologías que utilizaron para reducir el período de cobro, se mencionan varias; una de ellas fue la de datos de panel para contrastar las hipótesis de los efectos de gestión de capital de trabajo en la rentabilidad económica y financiera de las empresas conserveras españolas; también se utilizaron políticas que permitirían aumentar la rotación del crédito y así reducir el período de cobro, como por ejemplo: reducir el período estándar de pago de las facturas; exigir, siempre que sea posible, un depósito inicial al comienzo de la obra o la firma del pedido; establecer incentivos reales para el pago anticipado; establecer políticas especiales para agilizar el cobro a nuevos clientes; y/o automatizar el proceso de facturación para que las facturas se generen y envíen lo más rápido posible. </w:t>
      </w:r>
    </w:p>
    <w:p w14:paraId="41BDD49F" w14:textId="07180BE3" w:rsidR="001E7469" w:rsidRPr="0076589C" w:rsidRDefault="1C8D6E3A" w:rsidP="00C8505C">
      <w:pPr>
        <w:pStyle w:val="TextoPrincipal"/>
        <w:rPr>
          <w:lang w:val="es-HN"/>
        </w:rPr>
      </w:pPr>
      <w:r w:rsidRPr="0076589C">
        <w:rPr>
          <w:lang w:val="es-HN"/>
        </w:rPr>
        <w:lastRenderedPageBreak/>
        <w:t xml:space="preserve">Según </w:t>
      </w:r>
      <w:r w:rsidR="7A54A044" w:rsidRPr="0076589C">
        <w:rPr>
          <w:lang w:val="es-HN"/>
        </w:rPr>
        <w:fldChar w:fldCharType="begin"/>
      </w:r>
      <w:r w:rsidR="7A54A044" w:rsidRPr="0076589C">
        <w:rPr>
          <w:lang w:val="es-HN"/>
        </w:rPr>
        <w:instrText xml:space="preserve"> ADDIN ZOTERO_ITEM CSL_CITATION {"citationID":"XSK0Yy7s","properties":{"formattedCitation":"(Acevedo, 2019)","plainCitation":"(Acevedo, 2019)","dontUpdate":true,"noteIndex":0},"citationItems":[{"id":56,"uris":["http://zotero.org/users/12108825/items/PM9EPRNL"],"itemData":{"id":56,"type":"thesis","source":"Zotero","title":"Gestión de cobro y recuperación de cartera de la empresa Francisco Murillo S.A.S","author":[{"family":"Acevedo","given":"Flor Edith Muriel"}],"issued":{"date-parts":[["2019"]]}}}],"schema":"https://github.com/citation-style-language/schema/raw/master/csl-citation.json"} </w:instrText>
      </w:r>
      <w:r w:rsidR="7A54A044" w:rsidRPr="0076589C">
        <w:rPr>
          <w:lang w:val="es-HN"/>
        </w:rPr>
        <w:fldChar w:fldCharType="separate"/>
      </w:r>
      <w:r w:rsidRPr="0076589C">
        <w:rPr>
          <w:lang w:val="es-HN"/>
        </w:rPr>
        <w:t>Acevedo, (2019)</w:t>
      </w:r>
      <w:r w:rsidR="7A54A044" w:rsidRPr="0076589C">
        <w:rPr>
          <w:lang w:val="es-HN"/>
        </w:rPr>
        <w:fldChar w:fldCharType="end"/>
      </w:r>
      <w:r w:rsidRPr="0076589C">
        <w:rPr>
          <w:lang w:val="es-HN"/>
        </w:rPr>
        <w:t xml:space="preserve">: “Las cuentas por cobrar en las empresas tienen un papel terminante ya que representan la liquidez de la empresa, estas entonces deben ser controlables y administradas de manera eficaz mediante la implementación de un apropiado sistema de cobro y recuperación.” </w:t>
      </w:r>
    </w:p>
    <w:p w14:paraId="11DA96DC" w14:textId="45FA8EDC" w:rsidR="00BD2EA6" w:rsidRPr="0076589C" w:rsidRDefault="00BD2EA6" w:rsidP="00C8505C">
      <w:pPr>
        <w:pStyle w:val="TextoPrincipal"/>
        <w:rPr>
          <w:lang w:val="es-HN"/>
        </w:rPr>
      </w:pPr>
      <w:r w:rsidRPr="0076589C">
        <w:rPr>
          <w:lang w:val="es-HN"/>
        </w:rPr>
        <w:fldChar w:fldCharType="begin"/>
      </w:r>
      <w:r w:rsidRPr="0076589C">
        <w:rPr>
          <w:lang w:val="es-HN"/>
        </w:rPr>
        <w:instrText xml:space="preserve"> ADDIN ZOTERO_ITEM CSL_CITATION {"citationID":"geStSVgv","properties":{"formattedCitation":"(Mogoll\\uc0\\u243{}n G\\uc0\\u243{}mez, 2021)","plainCitation":"(Mogollón Gómez, 2021)","dontUpdate":true,"noteIndex":0},"citationItems":[{"id":21,"uris":["http://zotero.org/users/12108825/items/QKKAEZHG"],"itemData":{"id":21,"type":"thesis","abstract":"El objetivo de la investigación es determinar el impacto de la gestión de cobranza en la gerencia financiera de la empresa, tomando como referente la eficiencia del personal que la realiza, la identificación de los procesos deficientes que ocasionan riesgos internos relevantes e impactan de forma negativa en la consecución de objetivos y la implementación de políticas de cobranza para salvaguardar los recursos financieros de la empresa. El diseño de la investigación es no experimental. De enfoque cuantitativo recurriendo al análisis de los estados financieros de la empresa y para constatar las hipótesis se aplicó el coeficiente de correlación de Spearman. Del análisis se demostró que existe una alta correlación que impacta positivamente entre las variables principales gestión de cobranza y gerencia financiera. Sin embargo, el impacto de la eficiencia del personal respecto a las cuentas por cobrar es negativo debido a que el mayor porcentaje de este rubro corresponde a deudas vigentes mientras que el restante recae sobre las deudas vencidas mayor a los plazos otorgados a los clientes, siendo un antecedente para la investigación. Se concluyó que la gestión de cobranza impacta sobre los resultados financieros de la empresa en relación a las cuentas por cobrar y su antigüedad.","language":"es","source":"DOI.org (Crossref)","title":"Gestión de Cobranza y su impacto en la Gerencia Financiera de la empresa PP S.A: Periodo 2014-2016","title-short":"Gestión de Cobranza y su impacto en la Gerencia Financiera de la empresa PP S.A","URL":"https://www.revistas.unah.edu.pe/index.php/puriq/article/view/121","author":[{"family":"Mogollón Gómez","given":"Juliet"}],"accessed":{"date-parts":[["2023",8,5]]},"issued":{"date-parts":[["2021",1,4]]}}}],"schema":"https://github.com/citation-style-language/schema/raw/master/csl-citation.json"} </w:instrText>
      </w:r>
      <w:r w:rsidRPr="0076589C">
        <w:rPr>
          <w:lang w:val="es-HN"/>
        </w:rPr>
        <w:fldChar w:fldCharType="separate"/>
      </w:r>
      <w:r w:rsidR="1C8D6E3A" w:rsidRPr="0076589C">
        <w:rPr>
          <w:lang w:val="es-HN"/>
        </w:rPr>
        <w:t>Mogollón Gómez, (2021)</w:t>
      </w:r>
      <w:r w:rsidRPr="0076589C">
        <w:rPr>
          <w:lang w:val="es-HN"/>
        </w:rPr>
        <w:fldChar w:fldCharType="end"/>
      </w:r>
      <w:r w:rsidR="1C8D6E3A" w:rsidRPr="0076589C">
        <w:rPr>
          <w:lang w:val="es-HN"/>
        </w:rPr>
        <w:t xml:space="preserve"> afirma que, “La gestión de cobranza es una herramienta importante para la gerencia financiera la cual permite mejorar el capital de trabajo y maximizar el valor de la empresa, su objetivo es garantizar que el proceso sea concluido de manera oportuna y total.” </w:t>
      </w:r>
    </w:p>
    <w:p w14:paraId="3A1443A8" w14:textId="2E530AB8" w:rsidR="6C65AE27" w:rsidRPr="0076589C" w:rsidRDefault="1C8D6E3A" w:rsidP="00C8505C">
      <w:pPr>
        <w:pStyle w:val="TextoPrincipal"/>
        <w:rPr>
          <w:lang w:val="es-HN"/>
        </w:rPr>
      </w:pPr>
      <w:r w:rsidRPr="0076589C">
        <w:rPr>
          <w:lang w:val="es-HN"/>
        </w:rPr>
        <w:t>Uno de los factores claves a considerar en la gestión de cobros es la lealtad de los clientes, ya que consigo trae múltiples beneficios fundamentados en la alta rentabilidad, considerando que un cliente feliz no necesita de tácticas para poder pagar sus facturas de crédito, ya que el mismo por su fidelidad cumplirá con sus obligaciones financieras oportunamente.</w:t>
      </w:r>
    </w:p>
    <w:p w14:paraId="2FC7AE1F" w14:textId="6AC6F51D" w:rsidR="006906CB" w:rsidRPr="0076589C" w:rsidRDefault="1C8D6E3A" w:rsidP="00C8505C">
      <w:pPr>
        <w:pStyle w:val="TextoPrincipal"/>
        <w:rPr>
          <w:lang w:val="es-HN"/>
        </w:rPr>
      </w:pPr>
      <w:r w:rsidRPr="0076589C">
        <w:rPr>
          <w:lang w:val="es-HN"/>
        </w:rPr>
        <w:t xml:space="preserve">En el 2018 se realizó un estudio titulado “Gestión de riesgo crediticio y financiera desempeño de las instituciones microfinancieras” en Kampala, Uganda; el cual se enfocaba en la gestión del riesgo de crédito en el contexto de las microfinanzas y cómo las técnicas de gestión del riesgo de crédito pueden afectar el desempeño financiero, se hace énfasis que es importante para la estimación antes de conceder préstamos o créditos a los clientes; Se utilizó un instrumento de investigación confiable y válido para recopilar datos de 60 encuestados, incluidos gerentes de riesgo de crédito, oficiales de crédito, auditores, contadores y otros investigadores. En cuanto a los resultados, el estudio encontró una relación positiva y significativa entre la gestión del riesgo de crédito y el desempeño financiero de las instituciones microfinancieras en Kampala, Uganda; para poder determinarlo se utilizó el coeficiente de correlación lineal de Pearson para el análisis de regresión utilizado entre la mitigación del riesgo de crédito y el desempeño financiero en las IMF (Instituciones Microfinancieras) en el condado de Baringo, Kenia, el valor p (0.011) es menor que el nivel de significación de (0.05). Esto significa que hay una relación significativa entre la mitigación del riesgo de crédito y el desempeño financiero en las IMF. En otras palabras, la mitigación del riesgo de crédito tiene un impacto positivo en el desempeño financiero de las IMF.  </w:t>
      </w:r>
      <w:r w:rsidR="7A54A044" w:rsidRPr="0076589C">
        <w:rPr>
          <w:lang w:val="es-HN"/>
        </w:rPr>
        <w:fldChar w:fldCharType="begin"/>
      </w:r>
      <w:r w:rsidR="7A54A044" w:rsidRPr="0076589C">
        <w:rPr>
          <w:lang w:val="es-HN"/>
        </w:rPr>
        <w:instrText xml:space="preserve"> ADDIN ZOTERO_ITEM CSL_CITATION {"citationID":"rhgPxxYF","properties":{"formattedCitation":"(Kalu et\\uc0\\u160{}al., 2018)","plainCitation":"(Kalu et al., 2018)","noteIndex":0},"citationItems":[{"id":87,"uris":["http://zotero.org/users/12108825/items/RGD4F2NZ"],"itemData":{"id":87,"type":"article-journal","abstract":"The objective of this study was to evaluate whether relationship exist between credit risk management techniques and financial performance of microfinance institutions in Kampala, Uganda. Specifically, the study examined whether there is a relationship between credit risk identification, credit risk appraisal, credit risk monitoring, credit risk mitigation and financial performance of microfinance institutions in Kampala using sample of 60 members of staff in finance and credit departments of three licensed microfinance institutions in Kampala, Uganda namely Finca Uganda Ltd, Pride Microfinance Ltd, UGAFODE Microfinance Ltd. Primary data was collected using questionnaires and it comprised of closed ended questions. Secondary data was collected from the microfinance institutions (MDI’s) annual reports (2011 - 2015).  Frequencies and descriptive statistics were used to analyse the population. Pearson linear correlation coefficient was adopted to examine relationship between credit risk management techniques and financial performance.  The findings indicate that credit risk identification and credit risk appraisal has a strong positive relationship on financial performance of MDIs, while credit risk monitoring and credit risk mitigation have moderate significant positive relationship on financial performance of MDIs. The study recommends, among others, that the credit risk appraisal process should identify and analyse all loss exposures, and measure such loss exposures. This should guide in selection of technique or combination of techniques to handle each exposure.  The study concludes that MDIs should continually emphasise effective credit risk identification, credit risk appraisal, credit risk monitoring, and credit risk mitigation techniques to enhance maximum financial performance.","container-title":"Independent Journal of Management &amp; Production","DOI":"10.14807/ijmp.v9i1.658","ISSN":"2236-269X","issue":"1","language":"en","license":"Copyright (c) 2018 Emenike O. Kalu, Bashabe Shieler, Christian U. Amu","note":"number: 1","page":"153-169","source":"www.paulorodrigues.pro.br","title":"Credit Risk Management and Financial Performance of Microfinance Institutions in Kampala, Uganda","volume":"9","author":[{"family":"Kalu","given":"Emenike O."},{"family":"Shieler","given":"Bashabe"},{"family":"Amu","given":"Christian U."}],"issued":{"date-parts":[["2018",3,2]]}}}],"schema":"https://github.com/citation-style-language/schema/raw/master/csl-citation.json"} </w:instrText>
      </w:r>
      <w:r w:rsidR="7A54A044" w:rsidRPr="0076589C">
        <w:rPr>
          <w:lang w:val="es-HN"/>
        </w:rPr>
        <w:fldChar w:fldCharType="separate"/>
      </w:r>
      <w:r w:rsidRPr="0076589C">
        <w:rPr>
          <w:lang w:val="es-HN"/>
        </w:rPr>
        <w:t>(Kalu et al., 2018)</w:t>
      </w:r>
      <w:r w:rsidR="7A54A044" w:rsidRPr="0076589C">
        <w:rPr>
          <w:lang w:val="es-HN"/>
        </w:rPr>
        <w:fldChar w:fldCharType="end"/>
      </w:r>
    </w:p>
    <w:p w14:paraId="169D2C79" w14:textId="40599A4C" w:rsidR="72C01076" w:rsidRPr="0076589C" w:rsidRDefault="1C8D6E3A" w:rsidP="00C8505C">
      <w:pPr>
        <w:pStyle w:val="TextoPrincipal"/>
        <w:rPr>
          <w:lang w:val="es-HN"/>
        </w:rPr>
      </w:pPr>
      <w:r w:rsidRPr="0076589C">
        <w:rPr>
          <w:lang w:val="es-HN"/>
        </w:rPr>
        <w:t xml:space="preserve">Una empresa adquiere un riesgo cuando otorga créditos a sus clientes, ya que tiene la desventaja que si el cliente quiebra o queda en bancarrota no podrá cancelar la cuenta por cobrar </w:t>
      </w:r>
      <w:r w:rsidRPr="0076589C">
        <w:rPr>
          <w:lang w:val="es-HN"/>
        </w:rPr>
        <w:lastRenderedPageBreak/>
        <w:t>pendiente, sin embargo, es una medida necesaria porque apoya y estimula las ventas, se debe tomar en cuenta que las empresas se desarrollan en un entorno complejo y sumamente dinámico, por ende, requieren un alto nivel de adaptación si quieren ser competitivas; hoy en día el brindar crédito a sus clientes es una manera de ser competitivos, ya que por lo general los consumidores o clientes siempre requieren créditos en sus compras.</w:t>
      </w:r>
      <w:r w:rsidR="7A54A044" w:rsidRPr="0076589C">
        <w:rPr>
          <w:lang w:val="es-HN"/>
        </w:rPr>
        <w:fldChar w:fldCharType="begin"/>
      </w:r>
      <w:r w:rsidR="7A54A044" w:rsidRPr="0076589C">
        <w:rPr>
          <w:lang w:val="es-HN"/>
        </w:rPr>
        <w:instrText xml:space="preserve"> ADDIN ZOTERO_ITEM CSL_CITATION {"citationID":"P7JcKjEl","properties":{"formattedCitation":"(Gordillo Cabezas, 2022)","plainCitation":"(Gordillo Cabezas, 2022)","noteIndex":0},"citationItems":[{"id":238,"uris":["http://zotero.org/users/12108825/items/T49VUN4Y"],"itemData":{"id":238,"type":"thesis","abstract":"The purpose of the proposed research is the elaboration of a fraud prevention plan with the use of forensic audit techniques for the savings and credit cooperative COOPCENTRO LTDA. We worked on the processes and the flow of information used by the entity in the areas of credit, deposits, and operations that served as the basis for structuring the Fraud Prevention Commission, which was created and authorized by the Board of Directors to control the value chain, its stages, and the activities that are generated in it. The institution has a solid structure in its flows and processes that facilitated the application of the deductive method by starting from the general to \nthe particular in order that the conclusions of this work be a consequence of the comparison between these two elements. The aim of this investigation is the design of a prevention plan for which the control template to evaluate the stages and activities of the value chain to report the novelties was designed. Finally, the plan encourages the use of personal and collective ethical standards, permanent training, and it serves as support to evaluate processes and to strengthen controls.","genre":"bachelorThesis","language":"spa","license":"http://creativecommons.org/licenses/by-nc-sa/3.0/ec/","note":"Accepted: 2023-05-25T15:30:40Z","publisher":"Quito : UCE","source":"www.dspace.uce.edu.ec","title":"Plan de prevención de fraudes para cooperativas de ahorro y crédito utilizando técnicas de auditoría forense.","URL":"http://www.dspace.uce.edu.ec/handle/25000/30150","author":[{"family":"Gordillo Cabezas","given":"George Washington"}],"accessed":{"date-parts":[["2023",8,27]]},"issued":{"date-parts":[["2022"]]}}}],"schema":"https://github.com/citation-style-language/schema/raw/master/csl-citation.json"} </w:instrText>
      </w:r>
      <w:r w:rsidR="7A54A044" w:rsidRPr="0076589C">
        <w:rPr>
          <w:lang w:val="es-HN"/>
        </w:rPr>
        <w:fldChar w:fldCharType="separate"/>
      </w:r>
      <w:r w:rsidRPr="0076589C">
        <w:rPr>
          <w:lang w:val="es-HN"/>
        </w:rPr>
        <w:t>(Gordillo Cabezas, 2022)</w:t>
      </w:r>
      <w:r w:rsidR="7A54A044" w:rsidRPr="0076589C">
        <w:rPr>
          <w:lang w:val="es-HN"/>
        </w:rPr>
        <w:fldChar w:fldCharType="end"/>
      </w:r>
    </w:p>
    <w:p w14:paraId="09951928" w14:textId="0CA6C28F" w:rsidR="00E37F3B" w:rsidRPr="0076589C" w:rsidRDefault="1C8D6E3A" w:rsidP="00C8505C">
      <w:pPr>
        <w:pStyle w:val="TextoPrincipal"/>
        <w:rPr>
          <w:lang w:val="es-HN"/>
        </w:rPr>
      </w:pPr>
      <w:r w:rsidRPr="0076589C">
        <w:rPr>
          <w:lang w:val="es-HN"/>
        </w:rPr>
        <w:t>En la actualidad, cualquier empresa que tenga como objetivo sea permanecer en el mercado ha adoptado la estrategia de ofrecer ventas a través de créditos. Por lo tanto, es esencial que la empresa cuente con un manejo efectivo de las deudas pendientes de cobro y comprenda los plazos en los que estas serán recuperadas. Para lograr esto, los miembros de la organización deben desarrollar políticas y procesos que les permitan supervisar de cerca estas cuentas y, de esta manera, prevenir posibles riesgos. (</w:t>
      </w:r>
      <w:r w:rsidR="7A54A044" w:rsidRPr="0076589C">
        <w:rPr>
          <w:lang w:val="es-HN"/>
        </w:rPr>
        <w:fldChar w:fldCharType="begin"/>
      </w:r>
      <w:r w:rsidR="7A54A044" w:rsidRPr="0076589C">
        <w:rPr>
          <w:lang w:val="es-HN"/>
        </w:rPr>
        <w:instrText xml:space="preserve"> ADDIN ZOTERO_ITEM CSL_CITATION {"citationID":"fbSNxavV","properties":{"formattedCitation":"(Zambrano et\\uc0\\u160{}al., 2019)","plainCitation":"(Zambrano et al., 2019)","dontUpdate":true,"noteIndex":0},"citationItems":[{"id":67,"uris":["http://zotero.org/users/12108825/items/DW5Y94JQ"],"itemData":{"id":67,"type":"article-journal","DOI":"https://doi.org/10.34070/rif.v7i1","page":"9","title":"LA GESTIÓN DE CRÉDITOS Y COBRANZAS CASO EMPRESA “MULTILLANTA RAMÍREZ”","author":[{"family":"Zambrano","given":"Ximena"},{"family":"Galarza","given":"Cynthia"},{"family":"Grijalva","given":"Gabriela"}],"issued":{"date-parts":[["2019"]]}}}],"schema":"https://github.com/citation-style-language/schema/raw/master/csl-citation.json"} </w:instrText>
      </w:r>
      <w:r w:rsidR="7A54A044" w:rsidRPr="0076589C">
        <w:rPr>
          <w:lang w:val="es-HN"/>
        </w:rPr>
        <w:fldChar w:fldCharType="separate"/>
      </w:r>
      <w:r w:rsidRPr="0076589C">
        <w:rPr>
          <w:lang w:val="es-HN"/>
        </w:rPr>
        <w:t>Zambrano et al., 2019)</w:t>
      </w:r>
      <w:r w:rsidR="7A54A044" w:rsidRPr="0076589C">
        <w:rPr>
          <w:lang w:val="es-HN"/>
        </w:rPr>
        <w:fldChar w:fldCharType="end"/>
      </w:r>
    </w:p>
    <w:p w14:paraId="2EA556D4" w14:textId="76375E4B" w:rsidR="00FF0862" w:rsidRPr="0076589C" w:rsidRDefault="1C8D6E3A" w:rsidP="00C8505C">
      <w:pPr>
        <w:pStyle w:val="TextoPrincipal"/>
        <w:rPr>
          <w:lang w:val="es-HN"/>
        </w:rPr>
      </w:pPr>
      <w:r w:rsidRPr="0076589C">
        <w:rPr>
          <w:lang w:val="es-HN"/>
        </w:rPr>
        <w:t>Previo a otorgar créditos es fundamental que la empresa considere ciertas directrices que le permitan evaluar la capacidad del cliente para cubrir un préstamo, para establecer los montos y plazos en los que se realizara la recuperación. Tener un crédito significa que se poseen las características o cualidades necesarias para que una persona o institución otorgue su confianza.</w:t>
      </w:r>
    </w:p>
    <w:p w14:paraId="74AD3E13" w14:textId="0F917DE2" w:rsidR="00E37F3B" w:rsidRPr="0076589C" w:rsidRDefault="1C8D6E3A" w:rsidP="00C8505C">
      <w:pPr>
        <w:pStyle w:val="TextoPrincipal"/>
        <w:rPr>
          <w:lang w:val="es-HN"/>
        </w:rPr>
      </w:pPr>
      <w:r w:rsidRPr="0076589C">
        <w:rPr>
          <w:lang w:val="es-HN"/>
        </w:rPr>
        <w:t xml:space="preserve">Es necesario conocer en que consiste una cartera de créditos que en una investigación en la Universidad de Ecuador la </w:t>
      </w:r>
      <w:r w:rsidR="000D44D4" w:rsidRPr="0076589C">
        <w:rPr>
          <w:lang w:val="es-HN"/>
        </w:rPr>
        <w:t xml:space="preserve">definieron </w:t>
      </w:r>
      <w:r w:rsidRPr="0076589C">
        <w:rPr>
          <w:lang w:val="es-HN"/>
        </w:rPr>
        <w:t>como:</w:t>
      </w:r>
    </w:p>
    <w:p w14:paraId="7D73C2A8" w14:textId="405465BD" w:rsidR="005D5C42" w:rsidRPr="0076589C" w:rsidRDefault="1C8D6E3A" w:rsidP="00A73BB3">
      <w:pPr>
        <w:pStyle w:val="CitaLarga"/>
      </w:pPr>
      <w:r w:rsidRPr="0076589C">
        <w:t xml:space="preserve">La cartera de créditos es un instrumento financiero de las organizaciones solidarias compuesto por operaciones de crédito otorgadas y desembolsadas a sus asociados bajo distintas modalidades, aprobadas de acuerdo con los reglamentos de cada institución y expuesta a un riesgo crediticio que debe ser permanentemente evaluado, con el propósito de registrar dicho deterioro. </w:t>
      </w:r>
      <w:r w:rsidR="7A54A044" w:rsidRPr="0076589C">
        <w:fldChar w:fldCharType="begin"/>
      </w:r>
      <w:r w:rsidR="7A54A044" w:rsidRPr="0076589C">
        <w:instrText xml:space="preserve"> ADDIN ZOTERO_ITEM CSL_CITATION {"citationID":"6XqjQIYH","properties":{"formattedCitation":"(Zambrano et\\uc0\\u160{}al., 2019)","plainCitation":"(Zambrano et al., 2019)","dontUpdate":true,"noteIndex":0},"citationItems":[{"id":67,"uris":["http://zotero.org/users/12108825/items/DW5Y94JQ"],"itemData":{"id":67,"type":"article-journal","DOI":"https://doi.org/10.34070/rif.v7i1","page":"9","title":"LA GESTIÓN DE CRÉDITOS Y COBRANZAS CASO EMPRESA “MULTILLANTA RAMÍREZ”","author":[{"family":"Zambrano","given":"Ximena"},{"family":"Galarza","given":"Cynthia"},{"family":"Grijalva","given":"Gabriela"}],"issued":{"date-parts":[["2019"]]}}}],"schema":"https://github.com/citation-style-language/schema/raw/master/csl-citation.json"} </w:instrText>
      </w:r>
      <w:r w:rsidR="7A54A044" w:rsidRPr="0076589C">
        <w:fldChar w:fldCharType="separate"/>
      </w:r>
      <w:r w:rsidRPr="0076589C">
        <w:t>(Zambrano et al., 2019, pág.3)</w:t>
      </w:r>
      <w:r w:rsidR="7A54A044" w:rsidRPr="0076589C">
        <w:fldChar w:fldCharType="end"/>
      </w:r>
      <w:r w:rsidRPr="0076589C">
        <w:t xml:space="preserve"> </w:t>
      </w:r>
    </w:p>
    <w:p w14:paraId="51FCAAF9" w14:textId="1C71188A" w:rsidR="00F7305A" w:rsidRPr="0076589C" w:rsidRDefault="1C8D6E3A" w:rsidP="00C8505C">
      <w:pPr>
        <w:pStyle w:val="TextoPrincipal"/>
        <w:rPr>
          <w:lang w:val="es-HN"/>
        </w:rPr>
      </w:pPr>
      <w:r w:rsidRPr="0076589C">
        <w:rPr>
          <w:lang w:val="es-HN"/>
        </w:rPr>
        <w:t>Uno de los grandes problemas hoy en día con las empresas que ofrecen bienes o servicios a crédito, es la misma recuperación de esté, esta razón es importante que las empresas comerciales prevengan el riesgo de no pago y sobre todo cuenten con una cartera sana.</w:t>
      </w:r>
    </w:p>
    <w:p w14:paraId="07CCAC5A" w14:textId="58B8AF33" w:rsidR="00F7305A" w:rsidRPr="0076589C" w:rsidRDefault="1C8D6E3A" w:rsidP="00C8505C">
      <w:pPr>
        <w:pStyle w:val="TextoPrincipal"/>
        <w:rPr>
          <w:lang w:val="es-HN"/>
        </w:rPr>
      </w:pPr>
      <w:r w:rsidRPr="0076589C">
        <w:rPr>
          <w:lang w:val="es-HN"/>
        </w:rPr>
        <w:t>La recuperación de cartera implica que el prestamista realice acciones para que los deudores salden las deudas que han excedido el plazo establecido de su pago. Estas deudas pueden influir de manera negativa en la organización debido a las pérdidas financieras o demoras en la recuperación de fondos en efectivo.</w:t>
      </w:r>
    </w:p>
    <w:p w14:paraId="75A4D671" w14:textId="456F92E7" w:rsidR="17A1F7A7" w:rsidRPr="0076589C" w:rsidRDefault="1C8D6E3A" w:rsidP="00C8505C">
      <w:pPr>
        <w:pStyle w:val="TextoPrincipal"/>
        <w:rPr>
          <w:lang w:val="es-HN"/>
        </w:rPr>
      </w:pPr>
      <w:r w:rsidRPr="0076589C">
        <w:rPr>
          <w:lang w:val="es-HN"/>
        </w:rPr>
        <w:t xml:space="preserve">Cuando se le otorga crédito a un cliente se debe tener muy presente la buena gestión de su cartera y su recuperación, </w:t>
      </w:r>
      <w:r w:rsidR="7A54A044" w:rsidRPr="0076589C">
        <w:rPr>
          <w:lang w:val="es-HN"/>
        </w:rPr>
        <w:fldChar w:fldCharType="begin"/>
      </w:r>
      <w:r w:rsidR="7A54A044" w:rsidRPr="0076589C">
        <w:rPr>
          <w:lang w:val="es-HN"/>
        </w:rPr>
        <w:instrText xml:space="preserve"> ADDIN ZOTERO_ITEM CSL_CITATION {"citationID":"44sacse7","properties":{"formattedCitation":"(Acevedo, 2019)","plainCitation":"(Acevedo, 2019)","dontUpdate":true,"noteIndex":0},"citationItems":[{"id":56,"uris":["http://zotero.org/users/12108825/items/PM9EPRNL"],"itemData":{"id":56,"type":"thesis","source":"Zotero","title":"Gestión de cobro y recuperación de cartera de la empresa Francisco Murillo S.A.S","author":[{"family":"Acevedo","given":"Flor Edith Muriel"}],"issued":{"date-parts":[["2019"]]}}}],"schema":"https://github.com/citation-style-language/schema/raw/master/csl-citation.json"} </w:instrText>
      </w:r>
      <w:r w:rsidR="7A54A044" w:rsidRPr="0076589C">
        <w:rPr>
          <w:lang w:val="es-HN"/>
        </w:rPr>
        <w:fldChar w:fldCharType="separate"/>
      </w:r>
      <w:r w:rsidRPr="0076589C">
        <w:rPr>
          <w:lang w:val="es-HN"/>
        </w:rPr>
        <w:t>Acevedo, (2019)</w:t>
      </w:r>
      <w:r w:rsidR="7A54A044" w:rsidRPr="0076589C">
        <w:rPr>
          <w:lang w:val="es-HN"/>
        </w:rPr>
        <w:fldChar w:fldCharType="end"/>
      </w:r>
      <w:r w:rsidRPr="0076589C">
        <w:rPr>
          <w:lang w:val="es-HN"/>
        </w:rPr>
        <w:t xml:space="preserve"> menciona que la clave para la gestión de cobro sea </w:t>
      </w:r>
      <w:r w:rsidRPr="0076589C">
        <w:rPr>
          <w:lang w:val="es-HN"/>
        </w:rPr>
        <w:lastRenderedPageBreak/>
        <w:t>exitosa es desde un principio haciendo un análisis minucioso sobre la capacidad de endeudamiento de los clientes nuevos, lo que permitirá medir su capacidad de pago y conocer su frecuencia de compra, que se entiende como el tiempo que tarda en volver a requerir de los productos o servicios que presta una empresa, de esa forma se conocerá al cliente y cuando solicite su línea de crédito o un servicio para ser pagado en el mediano plazo, ya se sabrá hasta por cuánto ofrecerle a crédito y por cuántos días en base a su frecuencia de compra o de uso del servicio, combinada con las necesidades del giro de la empresa.</w:t>
      </w:r>
    </w:p>
    <w:p w14:paraId="56E3693D" w14:textId="6B40EB86" w:rsidR="00C51517" w:rsidRPr="0076589C" w:rsidRDefault="1C8D6E3A" w:rsidP="00C8505C">
      <w:pPr>
        <w:pStyle w:val="TextoPrincipal"/>
        <w:rPr>
          <w:lang w:val="es-HN"/>
        </w:rPr>
      </w:pPr>
      <w:r w:rsidRPr="0076589C">
        <w:rPr>
          <w:lang w:val="es-HN"/>
        </w:rPr>
        <w:t xml:space="preserve">Según </w:t>
      </w:r>
      <w:r w:rsidR="7A54A044" w:rsidRPr="0076589C">
        <w:rPr>
          <w:lang w:val="es-HN"/>
        </w:rPr>
        <w:fldChar w:fldCharType="begin"/>
      </w:r>
      <w:r w:rsidR="7A54A044" w:rsidRPr="0076589C">
        <w:rPr>
          <w:lang w:val="es-HN"/>
        </w:rPr>
        <w:instrText xml:space="preserve"> ADDIN ZOTERO_ITEM CSL_CITATION {"citationID":"YWOzFjWi","properties":{"formattedCitation":"(Zambrano et\\uc0\\u160{}al., 2019)","plainCitation":"(Zambrano et al., 2019)","dontUpdate":true,"noteIndex":0},"citationItems":[{"id":67,"uris":["http://zotero.org/users/12108825/items/DW5Y94JQ"],"itemData":{"id":67,"type":"article-journal","DOI":"https://doi.org/10.34070/rif.v7i1","page":"9","title":"LA GESTIÓN DE CRÉDITOS Y COBRANZAS CASO EMPRESA “MULTILLANTA RAMÍREZ”","author":[{"family":"Zambrano","given":"Ximena"},{"family":"Galarza","given":"Cynthia"},{"family":"Grijalva","given":"Gabriela"}],"issued":{"date-parts":[["2019"]]}}}],"schema":"https://github.com/citation-style-language/schema/raw/master/csl-citation.json"} </w:instrText>
      </w:r>
      <w:r w:rsidR="7A54A044" w:rsidRPr="0076589C">
        <w:rPr>
          <w:lang w:val="es-HN"/>
        </w:rPr>
        <w:fldChar w:fldCharType="separate"/>
      </w:r>
      <w:r w:rsidRPr="0076589C">
        <w:rPr>
          <w:lang w:val="es-HN"/>
        </w:rPr>
        <w:t>Zambrano et al., (2019)</w:t>
      </w:r>
      <w:r w:rsidR="7A54A044" w:rsidRPr="0076589C">
        <w:rPr>
          <w:lang w:val="es-HN"/>
        </w:rPr>
        <w:fldChar w:fldCharType="end"/>
      </w:r>
      <w:r w:rsidRPr="0076589C">
        <w:rPr>
          <w:lang w:val="es-HN"/>
        </w:rPr>
        <w:t>, en investigación “La gestión de créditos y cobranzas, caso empresa: Multillanta Ramírez” presentó como objetivo principal la evaluación del sistema de control interno de la gestión de créditos y cobranza de la empresa. La metodología empleada consistió en la aplicación de herramientas como ser las encuestas dirigidas a los clientes de las empresas. Como conclusión de la investigación, la empresa realiza sus actividades de manera empírica, ya que no tiene políticas y procedimientos establecidos para realizar las activades de crédito y recuperación de cartera, la existencia de duplicidad de funciones y documentación sin uso por parte del personal del área de la empresa. Como propuesta de políticas de recuperación de cartera, el analista de créditos se encargue de llamar al cliente cuando tenga atraso en el pago al igual que visitas, luego de un tiempo considerable de retraso en el pago tome acciones legales con una lera de cambia; una nueva política de concesión de créditos como la utilización de una solicitud de crédito y el constante análisis del buro de créditos por cliente para dar mayor seguimiento y seguridad al proceso.</w:t>
      </w:r>
    </w:p>
    <w:p w14:paraId="661565FE" w14:textId="3C1D3C7F" w:rsidR="00C51517" w:rsidRPr="0076589C" w:rsidRDefault="1C8D6E3A" w:rsidP="00C8505C">
      <w:pPr>
        <w:pStyle w:val="TextoPrincipal"/>
        <w:rPr>
          <w:lang w:val="es-HN"/>
        </w:rPr>
      </w:pPr>
      <w:r w:rsidRPr="0076589C">
        <w:rPr>
          <w:lang w:val="es-HN"/>
        </w:rPr>
        <w:t xml:space="preserve">La situación planteada en la investigación realizada por </w:t>
      </w:r>
      <w:r w:rsidR="7A54A044" w:rsidRPr="0076589C">
        <w:rPr>
          <w:lang w:val="es-HN"/>
        </w:rPr>
        <w:fldChar w:fldCharType="begin"/>
      </w:r>
      <w:r w:rsidR="7A54A044" w:rsidRPr="0076589C">
        <w:rPr>
          <w:lang w:val="es-HN"/>
        </w:rPr>
        <w:instrText xml:space="preserve"> ADDIN ZOTERO_ITEM CSL_CITATION {"citationID":"gMu199Nz","properties":{"formattedCitation":"(Padilla, 2021)","plainCitation":"(Padilla, 2021)","dontUpdate":true,"noteIndex":0},"citationItems":[{"id":58,"uris":["http://zotero.org/users/12108825/items/XRXLM9S9"],"itemData":{"id":58,"type":"article-journal","language":"es","source":"Zotero","title":"Propuesta de mejora para el proceso de gestión Cobranza de la cartera de exvinculados en la empresa Enel-Codensa S.A ESP y Emgesa.","author":[{"family":"Padilla","given":"Nicolás Merchán"}],"issued":{"date-parts":[["2021"]]}}}],"schema":"https://github.com/citation-style-language/schema/raw/master/csl-citation.json"} </w:instrText>
      </w:r>
      <w:r w:rsidR="7A54A044" w:rsidRPr="0076589C">
        <w:rPr>
          <w:lang w:val="es-HN"/>
        </w:rPr>
        <w:fldChar w:fldCharType="separate"/>
      </w:r>
      <w:r w:rsidRPr="0076589C">
        <w:rPr>
          <w:lang w:val="es-HN"/>
        </w:rPr>
        <w:t>Padilla, (2021)</w:t>
      </w:r>
      <w:r w:rsidR="7A54A044" w:rsidRPr="0076589C">
        <w:rPr>
          <w:lang w:val="es-HN"/>
        </w:rPr>
        <w:fldChar w:fldCharType="end"/>
      </w:r>
      <w:r w:rsidRPr="0076589C">
        <w:rPr>
          <w:lang w:val="es-HN"/>
        </w:rPr>
        <w:t xml:space="preserve"> en Colombia abordó la problemática en Enel-Codensa S.A ESP y Emgesa, destacando la desactualización de procedimientos y la falta de gestión de la cartera de exvinculados. Esta situación generaba acumulación de deudas vencidas y morosidad prolongada, impactando negativamente la salud financiera. La cartera vencida afectaba la liquidez al inmovilizar recursos esenciales. En respuesta, se reestructuraron los procedimientos, se establecieron plazos claros de cobro y se adoptaron tecnologías modernas para agilizar el proceso de recuperación. La metodología combinó enfoques cualitativos y cuantitativos. El enfoque cualitativo involucró interacción directa con los exvinculados para recopilar información detallada, mientras que el cuantitativo analizó patrones numéricos en las deudas y pagos. Esta intervención mejoró la salud financiera de la empresa al </w:t>
      </w:r>
      <w:r w:rsidRPr="0076589C">
        <w:rPr>
          <w:lang w:val="es-HN"/>
        </w:rPr>
        <w:lastRenderedPageBreak/>
        <w:t>optimizar la gestión de la cartera de deudas pendientes, resultando en una mayor eficiencia operativa y una liquidez mejorada.</w:t>
      </w:r>
    </w:p>
    <w:p w14:paraId="2D799E83" w14:textId="28DEFA78" w:rsidR="00C51517" w:rsidRPr="0076589C" w:rsidRDefault="1C8D6E3A" w:rsidP="00C8505C">
      <w:pPr>
        <w:pStyle w:val="TextoPrincipal"/>
        <w:rPr>
          <w:lang w:val="es-HN"/>
        </w:rPr>
      </w:pPr>
      <w:r w:rsidRPr="0076589C">
        <w:rPr>
          <w:lang w:val="es-HN"/>
        </w:rPr>
        <w:t xml:space="preserve">El caso de investigación sobre la gestión de cobranzas, rentabilidad y liquidez de MIPYMES comercializadoras de construcción de la empresa Importadora de Suministros para la Construcción Espinoza Andrade ISCEA CIA. Ltda.  realizada en Ecuador </w:t>
      </w:r>
      <w:r w:rsidR="00724603" w:rsidRPr="0076589C">
        <w:rPr>
          <w:lang w:val="es-HN"/>
        </w:rPr>
        <w:t>definió</w:t>
      </w:r>
      <w:r w:rsidRPr="0076589C">
        <w:rPr>
          <w:lang w:val="es-HN"/>
        </w:rPr>
        <w:t xml:space="preserve"> que la mayoría de las empresas MIPYMES no se imagen el nivel de crecimiento que pueden llegar a tener, en este caso ISCEA posee una rotación alta de inventarios por sus ventas, pero no mantiene una buena gestión de retorno de capital de ventas efectuadas, lo que da como resultado falta de liquidez, lo que provoca que carezcan de personal designado para gestionar créditos y cobranzas, además de no contar con un manual de procedimiento o pautas establecidas para llevar una gestión  adecuada, se realizó un análisis de los estados financieros de la empresa ISCEA con el propósito de explorar la relación entre la rentabilidad y la liquidez. Utilizando el modelo de las Necesidades Operativas de Fondo y Fondo de Maniobra (NOF-FM), que ofrece herramientas para diagnosticar, gestionar y tomar decisiones financieras, se llegó a la conclusión de que el manejo del capital es crucial. Se encontró que los beneficios netos en relación con los activos son mínimos debido a que la utilidad generada no justifica la inversión en activos fijos ni la acumulación de inventario. </w:t>
      </w:r>
      <w:r w:rsidR="7A54A044" w:rsidRPr="0076589C">
        <w:rPr>
          <w:lang w:val="es-HN"/>
        </w:rPr>
        <w:fldChar w:fldCharType="begin"/>
      </w:r>
      <w:r w:rsidR="7A54A044" w:rsidRPr="0076589C">
        <w:rPr>
          <w:lang w:val="es-HN"/>
        </w:rPr>
        <w:instrText xml:space="preserve"> ADDIN ZOTERO_ITEM CSL_CITATION {"citationID":"mQHInrRQ","properties":{"formattedCitation":"(Espinoza Z\\uc0\\u250{}\\uc0\\u241{}iga, 2020)","plainCitation":"(Espinoza Zúñiga, 2020)","noteIndex":0},"citationItems":[{"id":82,"uris":["http://zotero.org/users/12108825/items/JI6Q472L"],"itemData":{"id":82,"type":"thesis","abstract":"One of the main functions of the company, is the correct management of the funds in order to get a financial stability. The proposal presented is based on the application of the NOF-FM model. The objective is to facilitate the diagnostic, handling and decision-making at the same time as to improve the system of recovery and to collect the credit and overdue portfolio.","genre":"masterThesis","language":"spa","license":"openAccess","note":"Accepted: 2021-02-22T14:44:38Z","source":"dspace.ups.edu.ec","title":"Gestión de cobranzas, rentabilidad y liquidez de MIPYMES comercializadoras de materiales de construcción en Cuenca, caso ISCEA Cia. Ltda.","URL":"http://dspace.ups.edu.ec/handle/123456789/19795","author":[{"family":"Espinoza Zúñiga","given":"Ana Belén"}],"accessed":{"date-parts":[["2023",8,12]]},"issued":{"date-parts":[["2020"]]}}}],"schema":"https://github.com/citation-style-language/schema/raw/master/csl-citation.json"} </w:instrText>
      </w:r>
      <w:r w:rsidR="7A54A044" w:rsidRPr="0076589C">
        <w:rPr>
          <w:lang w:val="es-HN"/>
        </w:rPr>
        <w:fldChar w:fldCharType="separate"/>
      </w:r>
      <w:r w:rsidRPr="0076589C">
        <w:t>(Espinoza Zúñiga, 2020)</w:t>
      </w:r>
      <w:r w:rsidR="7A54A044" w:rsidRPr="0076589C">
        <w:rPr>
          <w:lang w:val="es-HN"/>
        </w:rPr>
        <w:fldChar w:fldCharType="end"/>
      </w:r>
    </w:p>
    <w:p w14:paraId="47A410D3" w14:textId="6DE69AEB" w:rsidR="00B46662" w:rsidRPr="0076589C" w:rsidRDefault="00E17B05" w:rsidP="00C8505C">
      <w:pPr>
        <w:pStyle w:val="TextoPrincipal"/>
        <w:rPr>
          <w:lang w:val="es-HN"/>
        </w:rPr>
      </w:pPr>
      <w:r w:rsidRPr="0076589C">
        <w:rPr>
          <w:lang w:val="es-HN"/>
        </w:rPr>
        <w:fldChar w:fldCharType="begin"/>
      </w:r>
      <w:r w:rsidRPr="0076589C">
        <w:rPr>
          <w:lang w:val="es-HN"/>
        </w:rPr>
        <w:instrText xml:space="preserve"> ADDIN ZOTERO_ITEM CSL_CITATION {"citationID":"pOWqCnDP","properties":{"formattedCitation":"(Maron Callo, 2019)","plainCitation":"(Maron Callo, 2019)","dontUpdate":true,"noteIndex":0},"citationItems":[{"id":148,"uris":["http://zotero.org/users/12108825/items/LZPW3XSA"],"itemData":{"id":148,"type":"article-journal","abstract":"El presente trabajo de investigación, analiza la gestión de cuentas por cobrar en la empresa Falcón Alimentos Corporación SAC, de los periodos comprendidos 2012 -2018; bajo el enfoque cuantitativo y nivel descriptivo; se aplicó los ratios de gestión, para descifrar las falencias en el proceso de gestión de cobro. Los resultados reflejan que la gestión de cobro fue más efectiva en los 3 primeros periodos que en los últimos 4 periodos, debido al incremento de días de rotación de cuentas por cobrar, rotación de inventarios y días de conversión; puesto que los días de rotación de cuentas por cobrar no superan a los días de inventario y para los días de conversión fueron de forma ascendente para cada periodo. Por tanto, la gestión de las cuentas por cobrar ha ido empeorando en la empresa y para la recuperación oportuna de carteras es necesario que la empresa mejore el control del otorgamiento de créditos y el manejo de políticas de cobranza","container-title":"Universidad Peruana Unión","language":"spa","license":"info:eu-repo/semantics/openAccess","note":"Accepted: 2019-12-04T21:22:55Z\npublisher: Universidad Peruana Unión","source":"repositorio.upeu.edu.pe","title":"Gestión de cuentas por cobrar de la empresa Falcón Alimentos Corporación SAC, San Juan de Miraflores 2012 - 2018","URL":"https://repositorio.upeu.edu.pe/handle/20.500.12840/2346","author":[{"family":"Maron Callo","given":"Sayda Lilis"}],"accessed":{"date-parts":[["2023",8,16]]},"issued":{"date-parts":[["2019",12,1]]}}}],"schema":"https://github.com/citation-style-language/schema/raw/master/csl-citation.json"} </w:instrText>
      </w:r>
      <w:r w:rsidRPr="0076589C">
        <w:rPr>
          <w:lang w:val="es-HN"/>
        </w:rPr>
        <w:fldChar w:fldCharType="separate"/>
      </w:r>
      <w:r w:rsidR="1C8D6E3A" w:rsidRPr="0076589C">
        <w:rPr>
          <w:lang w:val="es-HN"/>
        </w:rPr>
        <w:t>Maron Callo, (2019)</w:t>
      </w:r>
      <w:r w:rsidRPr="0076589C">
        <w:rPr>
          <w:lang w:val="es-HN"/>
        </w:rPr>
        <w:fldChar w:fldCharType="end"/>
      </w:r>
      <w:r w:rsidR="1C8D6E3A" w:rsidRPr="0076589C">
        <w:rPr>
          <w:lang w:val="es-HN"/>
        </w:rPr>
        <w:t xml:space="preserve"> realizó una investigación en Perú sobre “Gestión de cuentas por cobrar de la empresa Falcón Alimentos Corporación SAC, San Juan de Miraflores 2012 – 2018”. Con un enfoque cuantitativo de tipo descriptivo ya que intenta describir las cuentas por cobrar y las ratios de gestión sin manipulación alguna, donde se analizó el estado de situación financiera de la empresa. Los resultados de la investigación demuestran que la gestión de cobro fue más efectiva en los tres primeros periodos, en comparación al último periodo y esto se debe al incremento de los días de rotación de cuentas por cobrar (rapidez de los cobros en un ciclo determinado por las ventas netas divididas entre las cuentas por cobrar, que significa la cuantía de días que la empresa ejecuta una cobranza), la rotación de inventarios (el número de veces en los inventarios son convertidos en activos líquidos) y los días de conversión. Se concluye que la gestión de las cuentas por cobrar en la empresa ha ido empeorando, por lo tanto, es necesario que la empresa tome medidas para mejorar el control de otorgamientos de créditos y el manejo de las políticas de cobranza y así tener una gestión eficiente y adecuada. </w:t>
      </w:r>
    </w:p>
    <w:p w14:paraId="541E2E1E" w14:textId="26463B16" w:rsidR="004B5504" w:rsidRPr="0076589C" w:rsidRDefault="00F40B31" w:rsidP="00C8505C">
      <w:pPr>
        <w:pStyle w:val="TextoPrincipal"/>
        <w:rPr>
          <w:lang w:val="es-HN"/>
        </w:rPr>
      </w:pPr>
      <w:r w:rsidRPr="0076589C">
        <w:rPr>
          <w:lang w:val="es-HN"/>
        </w:rPr>
        <w:lastRenderedPageBreak/>
        <w:fldChar w:fldCharType="begin"/>
      </w:r>
      <w:r w:rsidRPr="0076589C">
        <w:rPr>
          <w:lang w:val="es-HN"/>
        </w:rPr>
        <w:instrText xml:space="preserve"> ADDIN ZOTERO_ITEM CSL_CITATION {"citationID":"zowf0nRl","properties":{"formattedCitation":"(Mires Perez, 2022)","plainCitation":"(Mires Perez, 2022)","dontUpdate":true,"noteIndex":0},"citationItems":[{"id":150,"uris":["http://zotero.org/users/12108825/items/UXW4INF6"],"itemData":{"id":150,"type":"thesis","abstract":"La empresa Alimentos Balanceados S.A.C., presenta riesgos asociados con la falta de capital de trabajo , aumento en sus gastos administrativos debido al exceso de autorización de créditos, incumplimientos de sus clientes, no tienen políticas de crédito y cobranza, por ello en la presente investigación  se  planteó el siguiente objetivo Diseñar políticas de créditos y cobranzas para la gestión de cuentas por cobrar y disminución del riesgo de iliquidez y capital de trabajo  en la empresa Alimentos Balanceados S.A.C., con los respectivos objetivos específicos. Se elaboró un diagnóstico sobre la situación actual de la gestión de las cuentas por cobrar y capital de trabajo en la empresa Alimentos Balanceados S.A.C.; se calculó los \nindicadores de liquidez estableciendo los términos de crédito y pago para cada tipo de cliente en la empresa Alimentos Balanceados S.A.C.; se describió los procesos de créditos y cobranzas y; determinar las deficiencias, causas y efectos en la empresa Alimentos Balanceados S.A.C.","language":"spa","license":"info:eu-repo/semantics/openAccess","note":"Accepted: 2022-10-10T13:53:49Z\npublisher: Universidad Católica Santo Toribio de Mogrovejo","source":"tesis.usat.edu.pe","title":"Evaluación de la gestión de las cuentas por cobrar, para medir el riesgo de iliquidez y falta de capital de trabajo y diseñar política de crédito y cobranza de la Empresa Alimentos Balanceados S.A.C., periodo 2018-2019","URL":"http://tesis.usat.edu.pe/handle/20.500.12423/5153","author":[{"family":"Mires Perez","given":"Liseth"}],"accessed":{"date-parts":[["2023",8,16]]},"issued":{"date-parts":[["2022"]]}}}],"schema":"https://github.com/citation-style-language/schema/raw/master/csl-citation.json"} </w:instrText>
      </w:r>
      <w:r w:rsidRPr="0076589C">
        <w:rPr>
          <w:lang w:val="es-HN"/>
        </w:rPr>
        <w:fldChar w:fldCharType="separate"/>
      </w:r>
      <w:r w:rsidR="1C8D6E3A" w:rsidRPr="0076589C">
        <w:rPr>
          <w:lang w:val="es-HN"/>
        </w:rPr>
        <w:t>Mires Pérez, (2022)</w:t>
      </w:r>
      <w:r w:rsidRPr="0076589C">
        <w:rPr>
          <w:lang w:val="es-HN"/>
        </w:rPr>
        <w:fldChar w:fldCharType="end"/>
      </w:r>
      <w:r w:rsidR="1C8D6E3A" w:rsidRPr="0076589C">
        <w:rPr>
          <w:lang w:val="es-HN"/>
        </w:rPr>
        <w:t xml:space="preserve"> con la tesis titulada “Evaluación de la gestión de las cuentas por cobrar para medir el riesgo de iliquidez y falta de capital de trabajo y diseñar política de crédito y cobranza de la empresa Alimentos Balanceados S.A.C. La empresa de estudio presenta riesgos asociados a la falta de capital de trabajo, un incremento en los gastos operativos lo cual se debe al exceso de otorgamiento de créditos, incumplimiento del pago de los clientes, por lo tanto, su objetivo general es diseñar políticas de créditos y cobranzas para disminuir el riesgo de iliquidez y capital de trabajo. Por medio de un análisis de la situación financiera de la empresa, se calcularon los indicadores de liquidez. Las conclusiones de la investigación consisten en que, de las ventas totales de la empresa un 70% lo realizan por medio de crédito lo que implica un riesgo en la recuperación de este, la liquidez ha disminuido porque las cuentas de pendientes de cobro incrementaron a un 30% y el promedio de recuperación es lento en un promedio de 25 días para hacer efectivo una de estas cuentas, la empresa no maneja límites al momento de generar nuevos créditos a clientes. Surge la necesidad de desarrollar políticas de crédito y cobranza que permitan un mejor control y prevenir el riesgo de la liquidez y la no sostenibilidad de la organización a través del tiempo.</w:t>
      </w:r>
    </w:p>
    <w:p w14:paraId="21BF59DA" w14:textId="5F9A9A5B" w:rsidR="007F3E32" w:rsidRPr="0076589C" w:rsidRDefault="1C8D6E3A" w:rsidP="00C8505C">
      <w:pPr>
        <w:pStyle w:val="TextoPrincipal"/>
        <w:rPr>
          <w:lang w:val="es-HN"/>
        </w:rPr>
      </w:pPr>
      <w:r w:rsidRPr="0076589C">
        <w:rPr>
          <w:lang w:val="es-HN"/>
        </w:rPr>
        <w:t xml:space="preserve"> En la investigación de Alza</w:t>
      </w:r>
      <w:r w:rsidR="7A54A044" w:rsidRPr="0076589C">
        <w:rPr>
          <w:lang w:val="es-HN"/>
        </w:rPr>
        <w:fldChar w:fldCharType="begin"/>
      </w:r>
      <w:r w:rsidR="7A54A044" w:rsidRPr="0076589C">
        <w:rPr>
          <w:lang w:val="es-HN"/>
        </w:rPr>
        <w:instrText xml:space="preserve"> ADDIN ZOTERO_ITEM CSL_CITATION {"citationID":"nutXXvQC","properties":{"formattedCitation":"(Alza Wong et\\uc0\\u160{}al., 2022)","plainCitation":"(Alza Wong et al., 2022)","dontUpdate":true,"noteIndex":0},"citationItems":[{"id":74,"uris":["http://zotero.org/users/12108825/items/PU2W87LA"],"itemData":{"id":74,"type":"thesis","event-place":"Perú","publisher-place":"Perú","title":"LAS CUENTAS POR COBRAR Y LA LIQUIDEZ DE LAS EMPRESAS MANUFACTURERAS DE METALES Y ALUMINIO","author":[{"family":"Alza Wong","given":"César Eduardo"},{"family":"Curahua Marrujo","given":"Carmen Nathaly"},{"family":"Portugal Manzaneda","given":"Renson Percy"}],"issued":{"date-parts":[["2022"]]}}}],"schema":"https://github.com/citation-style-language/schema/raw/master/csl-citation.json"} </w:instrText>
      </w:r>
      <w:r w:rsidR="7A54A044" w:rsidRPr="0076589C">
        <w:rPr>
          <w:lang w:val="es-HN"/>
        </w:rPr>
        <w:fldChar w:fldCharType="separate"/>
      </w:r>
      <w:r w:rsidRPr="0076589C">
        <w:rPr>
          <w:lang w:val="es-HN"/>
        </w:rPr>
        <w:t xml:space="preserve"> Wong et al., (2022)</w:t>
      </w:r>
      <w:r w:rsidR="7A54A044" w:rsidRPr="0076589C">
        <w:rPr>
          <w:lang w:val="es-HN"/>
        </w:rPr>
        <w:fldChar w:fldCharType="end"/>
      </w:r>
      <w:r w:rsidRPr="0076589C">
        <w:rPr>
          <w:lang w:val="es-HN"/>
        </w:rPr>
        <w:t xml:space="preserve"> de “Las cuentas por cobrar y la liquidez de las empresas manufactureras de metales y aluminio” realizada en Perú aborda la relación entre la gestión de cuentas por cobrar y la liquidez en empresas manufactureras de metales y aluminio. El estudio busca comprender cómo la ineficiente gestión de cuentas por cobrar impacta la liquidez empresarial. Los hallazgos revelan que el periodo promedio de cobro aumenta con el tiempo, indicando problemas en la gestión de cobranzas. La rotación de cuentas por cobrar es lenta, afectando la disponibilidad de efectivo a corto plazo. Los indicadores de liquidez, como la ratio de liquidez corriente y la ratio de prueba ácida, señalan exceso de recursos no invertidos y limitada capacidad de cumplir obligaciones inmediatas. Además, la empresa incrementa su endeudamiento debido a la falta de liquidez. La investigación resalta la conexión entre una gestión eficiente de cuentas por cobrar y una adecuada liquidez, subrayando la importancia de optimizar estas áreas para mantener la salud financiera de la empresa.</w:t>
      </w:r>
    </w:p>
    <w:p w14:paraId="0CF690FB" w14:textId="7E6258B9" w:rsidR="002422CA" w:rsidRPr="0076589C" w:rsidRDefault="1C8D6E3A" w:rsidP="00C8505C">
      <w:pPr>
        <w:pStyle w:val="TextoPrincipal"/>
        <w:rPr>
          <w:lang w:val="es-HN"/>
        </w:rPr>
      </w:pPr>
      <w:r w:rsidRPr="0076589C">
        <w:rPr>
          <w:lang w:val="es-HN"/>
        </w:rPr>
        <w:t xml:space="preserve">La investigación realizada en Colombia, </w:t>
      </w:r>
      <w:r w:rsidR="7A54A044" w:rsidRPr="0076589C">
        <w:rPr>
          <w:lang w:val="es-HN"/>
        </w:rPr>
        <w:fldChar w:fldCharType="begin"/>
      </w:r>
      <w:r w:rsidR="7A54A044" w:rsidRPr="0076589C">
        <w:rPr>
          <w:lang w:val="es-HN"/>
        </w:rPr>
        <w:instrText xml:space="preserve"> ADDIN ZOTERO_ITEM CSL_CITATION {"citationID":"2oqgUDHa","properties":{"formattedCitation":"(Lubo et\\uc0\\u160{}al., 2020)","plainCitation":"(Lubo et al., 2020)","dontUpdate":true,"noteIndex":0},"citationItems":[{"id":77,"uris":["http://zotero.org/users/12108825/items/BUJTUW5W"],"itemData":{"id":77,"type":"article-journal","abstract":"The objective of the investigation was to determine the treasury management in the SMEs of Riohacha D.E.T.C, specifically the collection management. Methodologically, it has a positivist paradigm, a quantitative approach, a descriptive type with a non-experimental, cross-sectional field design. The population corresponds to 15 administration and finance coordinators of the SMEs of Riohacha D.E.T.C. A questionnaire of sixteen (16) items was applied, with a scale Always (5), Almost Always (4),&amp;nbsp;Sometimes (3), Almost Never (2), Never (1). The reliability was 0.87. The results show that these companies establish collection policies based on credit sales, respecting the fundamental principle of finance. Concluding that companies have a policy to retain their customers, through favorable credit conditions, which allow them to extend their demands.","container-title":"Renovat: Revista de Estudios Interdisciplinarios en Ciencias Sociales, Tecnología e Innovación","ISSN":"2619-2896","issue":"2","language":"es","license":"Derechos de autor 2020 Kenny Jamir  Pinto Lubo, Edier Edir  Mendoza Medina, Karine Adelaida  Pinto Lubo","note":"number: 2","page":"85-96","source":"revistas.sena.edu.co","title":"Gestión de tesorería en las pymes de Riohacha D.E.T.C.: caso gestión de cobros","title-short":"Gestión de tesorería en las pymes de Riohacha D.E.T.C.","volume":"5","author":[{"family":"Lubo","given":"Kenny Jamir Pinto"},{"family":"Medina","given":"Edier Edir Mendoza"},{"family":"Lubo","given":"Karine Adelaida Pinto"}],"issued":{"date-parts":[["2020",12,9]]}}}],"schema":"https://github.com/citation-style-language/schema/raw/master/csl-citation.json"} </w:instrText>
      </w:r>
      <w:r w:rsidR="7A54A044" w:rsidRPr="0076589C">
        <w:rPr>
          <w:lang w:val="es-HN"/>
        </w:rPr>
        <w:fldChar w:fldCharType="separate"/>
      </w:r>
      <w:r w:rsidRPr="0076589C">
        <w:rPr>
          <w:lang w:val="es-HN"/>
        </w:rPr>
        <w:t>Lubo et al., (2020)</w:t>
      </w:r>
      <w:r w:rsidR="7A54A044" w:rsidRPr="0076589C">
        <w:rPr>
          <w:lang w:val="es-HN"/>
        </w:rPr>
        <w:fldChar w:fldCharType="end"/>
      </w:r>
      <w:r w:rsidRPr="0076589C">
        <w:rPr>
          <w:lang w:val="es-HN"/>
        </w:rPr>
        <w:t xml:space="preserve"> resalta las deficiencias financieras en las pymes, evidenciando carencias en el control de gestión de efectivo, políticas de pago y cobro. Estas deficiencias aumentan la incertidumbre y limitan la toma de decisiones financieras y la comprensión de la rentabilidad del negocio. La metodología descriptiva empleada se centró en el desarrollo de un modelo de gestión y recuperación de cartera. Entrevistas con </w:t>
      </w:r>
      <w:r w:rsidRPr="0076589C">
        <w:rPr>
          <w:lang w:val="es-HN"/>
        </w:rPr>
        <w:lastRenderedPageBreak/>
        <w:t>responsables de la cartera y el director comercial revelaron que el éxito del cobro depende de políticas, gestión y control efectivos. La propuesta enfocada consistió en establecer procedimientos de cobranza que dieran estructura al sistema de recuperación de cartera, con énfasis en actualizar guiones de cobranza. La clasificación de deudores por período de mora permitió adaptar guiones para gestionar eficazmente a través de diferentes medios de comunicación. La estrategia se centró en aplicar presión y promover respuestas rápidas de los deudores para lograr una gestión de cobranza más efectiva.</w:t>
      </w:r>
    </w:p>
    <w:p w14:paraId="0AFC798B" w14:textId="187347F3" w:rsidR="000B263C" w:rsidRPr="0076589C" w:rsidRDefault="000B263C" w:rsidP="00C8505C">
      <w:pPr>
        <w:pStyle w:val="TextoPrincipal"/>
        <w:rPr>
          <w:lang w:val="es-HN"/>
        </w:rPr>
      </w:pPr>
      <w:r w:rsidRPr="0076589C">
        <w:rPr>
          <w:lang w:val="es-HN"/>
        </w:rPr>
        <w:fldChar w:fldCharType="begin"/>
      </w:r>
      <w:r w:rsidRPr="0076589C">
        <w:rPr>
          <w:lang w:val="es-HN"/>
        </w:rPr>
        <w:instrText xml:space="preserve"> ADDIN ZOTERO_ITEM CSL_CITATION {"citationID":"W5wpXRk1","properties":{"formattedCitation":"(Guti\\uc0\\u233{}rrez Viguera, 2013)","plainCitation":"(Gutiérrez Viguera, 2013)","dontUpdate":true,"noteIndex":0},"citationItems":[{"id":71,"uris":["http://zotero.org/users/12108825/items/I7JTYPWP"],"itemData":{"id":71,"type":"book","abstract":"258 p. : 24 cm; Actualmente el conocimiento de la contabilidad no solo es de interés, como es obvio, para los profesionales de dicha materia, sino que por diversos motivos puede resultar también interesante, con distintos grados de conocimiento, desde otras vertientes. El objetivo del presente libro es el de ofrecer una iniciación al conocimiento de la contabilidad partiendo desde cero, con el fin de poder alcanzarse las nociones suficientes para entender los fundamentos y el significado de dicha materia y, además, posibilitar el seguir profundizando en el conocimiento de la contabilidad. Al tratarse de una iniciación a la contabilidad se comienza por recoger los fundamentos básicos del procedimiento de registro contable conocido como de partida doble, que constituye el lenguaje de la contabilidad. El lenguaje contable, se sustenta en una serie de convenios previamente establecidos que son de general aceptación y universalidad. La casuística contable más habitual se recoge en la presente publicación a través de numerosos ejemplos debidamente resueltos con explicación de su estructura en base al procedimiento de partida doble. También se recoge una concisa descripción de los estados contables en los que, de una forma resumida, se plasma la situación económica y financiera de la empresa en un momento dado; Índice","ISBN":"978-84-9964-233-8","language":"spa","number-of-pages":"266","publisher":"Paracuellos de Jarama (Madrid) : Ra-Ma","source":"Internet Archive","title":"Iniciación a la contabilidad desde cero","URL":"http://archive.org/details/iniciacionlacont0000guti","author":[{"family":"Gutiérrez Viguera","given":"Manuel"}],"contributor":[{"literal":"Internet Archive"}],"accessed":{"date-parts":[["2023",8,10]]},"issued":{"date-parts":[["2013"]]}}}],"schema":"https://github.com/citation-style-language/schema/raw/master/csl-citation.json"} </w:instrText>
      </w:r>
      <w:r w:rsidRPr="0076589C">
        <w:rPr>
          <w:lang w:val="es-HN"/>
        </w:rPr>
        <w:fldChar w:fldCharType="separate"/>
      </w:r>
      <w:r w:rsidR="1C8D6E3A" w:rsidRPr="0076589C">
        <w:rPr>
          <w:lang w:val="es-HN"/>
        </w:rPr>
        <w:t>Gutiérrez Viguera, (2013)</w:t>
      </w:r>
      <w:r w:rsidRPr="0076589C">
        <w:rPr>
          <w:lang w:val="es-HN"/>
        </w:rPr>
        <w:fldChar w:fldCharType="end"/>
      </w:r>
      <w:r w:rsidR="1C8D6E3A" w:rsidRPr="0076589C">
        <w:rPr>
          <w:lang w:val="es-HN"/>
        </w:rPr>
        <w:t xml:space="preserve"> </w:t>
      </w:r>
      <w:r w:rsidR="00724603" w:rsidRPr="0076589C">
        <w:rPr>
          <w:lang w:val="es-HN"/>
        </w:rPr>
        <w:t>definió</w:t>
      </w:r>
      <w:r w:rsidR="1C8D6E3A" w:rsidRPr="0076589C">
        <w:rPr>
          <w:lang w:val="es-HN"/>
        </w:rPr>
        <w:t xml:space="preserve"> en su libro “Iniciación a la contabilidad desde cero” a un: “Un cliente moroso se considera el que pasado el vencimiento no ha satisfecho su deuda a la empresa. Mientras que un cliente insolvente es del que la empresa no va a cobrar definitivamente la deuda del mismo.” (pág.120)</w:t>
      </w:r>
    </w:p>
    <w:p w14:paraId="12CF75DB" w14:textId="3763A584" w:rsidR="000B263C" w:rsidRPr="0076589C" w:rsidRDefault="1C8D6E3A" w:rsidP="00C8505C">
      <w:pPr>
        <w:pStyle w:val="TextoPrincipal"/>
        <w:rPr>
          <w:lang w:val="es-HN"/>
        </w:rPr>
      </w:pPr>
      <w:r w:rsidRPr="0076589C">
        <w:rPr>
          <w:lang w:val="es-HN"/>
        </w:rPr>
        <w:t xml:space="preserve">Cuando se ha vencido el plazo para recuperar la cartera, se categoriza como cuentas incobrables y si se han agotado las opciones, se registra como una perdida que afecta el valor acumulado de la cartera. </w:t>
      </w:r>
    </w:p>
    <w:p w14:paraId="46046F0E" w14:textId="27F699EF" w:rsidR="000C3C97" w:rsidRPr="0076589C" w:rsidRDefault="1C8D6E3A" w:rsidP="00C8505C">
      <w:pPr>
        <w:pStyle w:val="TextoPrincipal"/>
        <w:rPr>
          <w:lang w:val="es-HN"/>
        </w:rPr>
      </w:pPr>
      <w:r w:rsidRPr="0076589C">
        <w:rPr>
          <w:lang w:val="es-HN"/>
        </w:rPr>
        <w:t xml:space="preserve">En una investigación para una empresa de Nicaragua, el autor </w:t>
      </w:r>
      <w:r w:rsidR="7A54A044" w:rsidRPr="0076589C">
        <w:rPr>
          <w:lang w:val="es-HN"/>
        </w:rPr>
        <w:fldChar w:fldCharType="begin"/>
      </w:r>
      <w:r w:rsidR="7A54A044" w:rsidRPr="0076589C">
        <w:rPr>
          <w:lang w:val="es-HN"/>
        </w:rPr>
        <w:instrText xml:space="preserve"> ADDIN ZOTERO_ITEM CSL_CITATION {"citationID":"fkwzgtj6","properties":{"formattedCitation":"(Lopez, 2019)","plainCitation":"(Lopez, 2019)","dontUpdate":true,"noteIndex":0},"citationItems":[{"id":69,"uris":["http://zotero.org/users/12108825/items/L69WVPDY"],"itemData":{"id":69,"type":"thesis","title":"Estrategia para la recuperación de la cartera morosa de ENACALMATAGALPA del periodo 2017-2018","URL":"https://repositorio.unan.edu.ni/7537/1/17986.pdf","author":[{"family":"Lopez","given":"Thelma"}],"issued":{"date-parts":[["2019"]]}}}],"schema":"https://github.com/citation-style-language/schema/raw/master/csl-citation.json"} </w:instrText>
      </w:r>
      <w:r w:rsidR="7A54A044" w:rsidRPr="0076589C">
        <w:rPr>
          <w:lang w:val="es-HN"/>
        </w:rPr>
        <w:fldChar w:fldCharType="separate"/>
      </w:r>
      <w:r w:rsidRPr="0076589C">
        <w:rPr>
          <w:lang w:val="es-HN"/>
        </w:rPr>
        <w:t>López, (2019)</w:t>
      </w:r>
      <w:r w:rsidR="7A54A044" w:rsidRPr="0076589C">
        <w:rPr>
          <w:lang w:val="es-HN"/>
        </w:rPr>
        <w:fldChar w:fldCharType="end"/>
      </w:r>
      <w:r w:rsidRPr="0076589C">
        <w:rPr>
          <w:lang w:val="es-HN"/>
        </w:rPr>
        <w:t xml:space="preserve"> presenta sobre la estrategia para la recuperación de la cartera morosa se aplicó una metodología con distintas herramientas como la encuesta, entrevista y la revisión documental, se realizó una auditoria al sistema de control interno en los procesos. Se concluyó que las causas de morosidad se deben en su mayoría a clientes de escasos recursos económicos, por desempleo o porque no reciben la factura a tiempo/no la reciben. La empresa tiene un déficit control interno en la gestión de créditos y cobranzas, por una falta de cumplimiento de las políticas establecidas, duplicidad de funciones y la información que no ha sido utilizado por el personal del área. También se identificó en el estudio que la cartera morosa de la empresa puede ocasionar un riesgo alto en la institución, ya que esto limita a la empresa a desarrollar nuevos proyectos  Como estrategia se planteó una política de recuperación de cartera, que implica que el analista de créditos le dé un seguimiento al cliente moroso, en la política de crédito que se realice una nueva solicitud de créditos y que se realice un análisis constante al buró de créditos de clientes para asegurar una pronta recuperación de los adeudos.</w:t>
      </w:r>
    </w:p>
    <w:p w14:paraId="6F8D4920" w14:textId="0426055D" w:rsidR="006251F6" w:rsidRPr="0076589C" w:rsidRDefault="1C8D6E3A" w:rsidP="00C8505C">
      <w:pPr>
        <w:pStyle w:val="TextoPrincipal"/>
        <w:rPr>
          <w:lang w:val="es-HN"/>
        </w:rPr>
      </w:pPr>
      <w:r w:rsidRPr="0076589C">
        <w:rPr>
          <w:lang w:val="es-HN"/>
        </w:rPr>
        <w:t xml:space="preserve">Algo muy importante de mencionar son las políticas de cobro que todas las empresas deben de tener, ya que, en función a las ventas de crédito, respetando el principio fundamental de las </w:t>
      </w:r>
      <w:r w:rsidRPr="0076589C">
        <w:rPr>
          <w:lang w:val="es-HN"/>
        </w:rPr>
        <w:lastRenderedPageBreak/>
        <w:t xml:space="preserve">finanzas “el valor en el tiempo” estas políticas deben realizarse en función a todos sus clientes debido a que cualquier cambio en las condiciones puede tener efectos en la rentabilidad de esta. Una de las decisiones más importantes de la política de cobranza es como se debe manejar las cuentas vencidas. </w:t>
      </w:r>
    </w:p>
    <w:p w14:paraId="7A0D9F7D" w14:textId="11ED5AE1" w:rsidR="00C42A83" w:rsidRPr="0076589C" w:rsidRDefault="002D0E4C" w:rsidP="00C8505C">
      <w:pPr>
        <w:pStyle w:val="TextoPrincipal"/>
        <w:rPr>
          <w:lang w:val="es-HN"/>
        </w:rPr>
      </w:pPr>
      <w:r w:rsidRPr="0076589C">
        <w:rPr>
          <w:lang w:val="es-HN"/>
        </w:rPr>
        <w:fldChar w:fldCharType="begin"/>
      </w:r>
      <w:r w:rsidRPr="0076589C">
        <w:rPr>
          <w:lang w:val="es-HN"/>
        </w:rPr>
        <w:instrText xml:space="preserve"> ADDIN ZOTERO_ITEM CSL_CITATION {"citationID":"Wtd3Qffq","properties":{"formattedCitation":"(Gamboa, 2018)","plainCitation":"(Gamboa, 2018)","dontUpdate":true,"noteIndex":0},"citationItems":[{"id":73,"uris":["http://zotero.org/users/12108825/items/J9V4QZK5"],"itemData":{"id":73,"type":"thesis","event-place":"Lima, Perú","publisher-place":"Lima, Perú","title":"POLÍTICAS DE CRÉDITOS Y COBRANZAS Y LA LIQUIDEZ EN LA EMPREA GRÁFICA BIBLOS S.A. AÑO 2016- 2017","URL":"https://repositorio.autonoma.edu.pe/bitstream/handle/20.500.13067/609/NORMA%20PERALTA%2c%20GAMBOA.pdf?sequence=1&amp;isAllowed=y","author":[{"family":"Gamboa","given":"Norma"}],"issued":{"date-parts":[["2018"]]}}}],"schema":"https://github.com/citation-style-language/schema/raw/master/csl-citation.json"} </w:instrText>
      </w:r>
      <w:r w:rsidRPr="0076589C">
        <w:rPr>
          <w:lang w:val="es-HN"/>
        </w:rPr>
        <w:fldChar w:fldCharType="separate"/>
      </w:r>
      <w:r w:rsidR="1C8D6E3A" w:rsidRPr="0076589C">
        <w:rPr>
          <w:lang w:val="es-HN"/>
        </w:rPr>
        <w:t>Gamboa, (2018)</w:t>
      </w:r>
      <w:r w:rsidRPr="0076589C">
        <w:rPr>
          <w:lang w:val="es-HN"/>
        </w:rPr>
        <w:fldChar w:fldCharType="end"/>
      </w:r>
      <w:r w:rsidR="1C8D6E3A" w:rsidRPr="0076589C">
        <w:rPr>
          <w:lang w:val="es-HN"/>
        </w:rPr>
        <w:t xml:space="preserve"> en su trabajo de investigación Políticas de créditos y cobranzas y la liquidez en la Empresa Gráfica Biblios S.A año 2016-2017 en Perú, que tiene como objetivo general determinar la relación que tienen las políticas de créditos y cobranzas con la liquidez. Con un análisis a los estados de situación financiera y un análisis comparativo de distintos años, en el que obtuvo distintas ratios financieras. Se concluyó que la empresa ha gestionado sus cuentas por cobrar de manera deficiente lo que ha afectado la liquidez de la empresa, con el establecimiento de políticas verbales de créditos y cobranzas mejoro levemente la ratio de liquidez de la empresa. La deficiencia de la liquidez se debe por falta de control en otorgamiento de créditos y la falta de negociación proveedores, por lo que fue necesario recurrir a un mayor apalancamiento financiero, es debido que al otorgamiento de créditos los determina en el área financiera.</w:t>
      </w:r>
    </w:p>
    <w:p w14:paraId="69842909" w14:textId="55B7176F" w:rsidR="56AD709D" w:rsidRPr="0076589C" w:rsidRDefault="1C8D6E3A" w:rsidP="00EF37E4">
      <w:pPr>
        <w:pStyle w:val="TextoPrincipal"/>
        <w:spacing w:after="0"/>
        <w:rPr>
          <w:lang w:val="es-HN"/>
        </w:rPr>
      </w:pPr>
      <w:r w:rsidRPr="0076589C">
        <w:rPr>
          <w:lang w:val="es-HN"/>
        </w:rPr>
        <w:t xml:space="preserve">Según una investigación de </w:t>
      </w:r>
      <w:r w:rsidR="7A54A044" w:rsidRPr="0076589C">
        <w:rPr>
          <w:lang w:val="es-HN"/>
        </w:rPr>
        <w:fldChar w:fldCharType="begin"/>
      </w:r>
      <w:r w:rsidR="7A54A044" w:rsidRPr="0076589C">
        <w:rPr>
          <w:lang w:val="es-HN"/>
        </w:rPr>
        <w:instrText xml:space="preserve"> ADDIN ZOTERO_ITEM CSL_CITATION {"citationID":"IDrdI2Zf","properties":{"formattedCitation":"(Castillo, 2022)","plainCitation":"(Castillo, 2022)","dontUpdate":true,"noteIndex":0},"citationItems":[{"id":64,"uris":["http://zotero.org/users/12108825/items/8H2AM3LU"],"itemData":{"id":64,"type":"thesis","title":"CONTROL DE ESTRATEGIAS Y POLÍTICAS PARA DISMINUIR LOS RIESGOS EN LAS CUENTAS POR COBRAR","URL":"http://portal.amelica.org/ameli/journal/221/2213811006/","author":[{"family":"Castillo","given":"Sonia"}],"issued":{"date-parts":[["2022"]]}}}],"schema":"https://github.com/citation-style-language/schema/raw/master/csl-citation.json"} </w:instrText>
      </w:r>
      <w:r w:rsidR="7A54A044" w:rsidRPr="0076589C">
        <w:rPr>
          <w:lang w:val="es-HN"/>
        </w:rPr>
        <w:fldChar w:fldCharType="separate"/>
      </w:r>
      <w:r w:rsidRPr="0076589C">
        <w:rPr>
          <w:lang w:val="es-HN"/>
        </w:rPr>
        <w:t>Castillo, (2022)</w:t>
      </w:r>
      <w:r w:rsidR="7A54A044" w:rsidRPr="0076589C">
        <w:rPr>
          <w:lang w:val="es-HN"/>
        </w:rPr>
        <w:fldChar w:fldCharType="end"/>
      </w:r>
      <w:r w:rsidRPr="0076589C">
        <w:rPr>
          <w:lang w:val="es-HN"/>
        </w:rPr>
        <w:t xml:space="preserve"> en una empresa en Panamá que tiene como objetivo establecer el control de estrategias y políticas para disminuir los riesgos en las cuentas por cobrar. Por medio de una metodología </w:t>
      </w:r>
      <w:r w:rsidR="00715FB9" w:rsidRPr="0076589C">
        <w:rPr>
          <w:lang w:val="es-HN"/>
        </w:rPr>
        <w:t>realizó</w:t>
      </w:r>
      <w:r w:rsidRPr="0076589C">
        <w:rPr>
          <w:lang w:val="es-HN"/>
        </w:rPr>
        <w:t xml:space="preserve"> un estudio a los administrativos y recurso humano de la empresa para identificar y comprender los sucesos y factores, las causas y los efectos de los problemas que afronta la empresa. Se concluyó la investigación que en el área de crédito y cobranza existe un bajo control interno debido a la falta de una metodología especifica o marco integrado de control interno, el que permita desarrollar adecuados controles sobre el proceso. No manejan controles para combatir los riesgos, estos son atendidos por la gerencia cuando sea necesario. También se identificó que no manejan un banco de datos organizado de la cartera de clientes, lo que dificulta la medición eficiente estos clientes afectando la gestión financiera de la empresa. Los colaboradores presentaron disponibilidad para participar en un proceso de mejora de la gestión de crédito y cobranza.</w:t>
      </w:r>
    </w:p>
    <w:p w14:paraId="3ADAC4E6" w14:textId="77777777" w:rsidR="00EF37E4" w:rsidRPr="0076589C" w:rsidRDefault="00EF37E4" w:rsidP="00EF37E4">
      <w:pPr>
        <w:pStyle w:val="TextoPrincipal"/>
        <w:spacing w:after="0"/>
        <w:rPr>
          <w:lang w:val="es-HN"/>
        </w:rPr>
      </w:pPr>
    </w:p>
    <w:p w14:paraId="35E866B8" w14:textId="71F57252" w:rsidR="002461EE" w:rsidRPr="0076589C" w:rsidRDefault="1C8D6E3A" w:rsidP="00494616">
      <w:pPr>
        <w:pStyle w:val="Ttulonivel3"/>
        <w:numPr>
          <w:ilvl w:val="0"/>
          <w:numId w:val="12"/>
        </w:numPr>
      </w:pPr>
      <w:bookmarkStart w:id="124" w:name="_Toc158365456"/>
      <w:r w:rsidRPr="0076589C">
        <w:t>MICROENTORNO</w:t>
      </w:r>
      <w:bookmarkEnd w:id="124"/>
    </w:p>
    <w:p w14:paraId="3ACB3F5C" w14:textId="456F8A59" w:rsidR="481B09B1" w:rsidRPr="0076589C" w:rsidRDefault="1C8D6E3A" w:rsidP="00C8505C">
      <w:pPr>
        <w:pStyle w:val="TextoPrincipal"/>
        <w:rPr>
          <w:lang w:val="es-HN"/>
        </w:rPr>
      </w:pPr>
      <w:r w:rsidRPr="0076589C">
        <w:rPr>
          <w:lang w:val="es-HN"/>
        </w:rPr>
        <w:t xml:space="preserve">La gestión financiera en Honduras desempeña un papel crucial en la dirección y el desarrollo de las actividades económicas y empresariales del país. Como una nación ubicada en </w:t>
      </w:r>
      <w:r w:rsidRPr="0076589C">
        <w:rPr>
          <w:lang w:val="es-HN"/>
        </w:rPr>
        <w:lastRenderedPageBreak/>
        <w:t>América Central, Honduras se enfrenta a una serie de desafíos y oportunidades en su entorno financiero, influenciados por factores internos y externos; los cuales influyen tanto en el sector público como privado.</w:t>
      </w:r>
    </w:p>
    <w:p w14:paraId="6FAD920B" w14:textId="2300EE10" w:rsidR="402FDDC4" w:rsidRPr="0076589C" w:rsidRDefault="1C8D6E3A" w:rsidP="00C8505C">
      <w:pPr>
        <w:pStyle w:val="TextoPrincipal"/>
        <w:rPr>
          <w:lang w:val="es-HN"/>
        </w:rPr>
      </w:pPr>
      <w:r w:rsidRPr="0076589C">
        <w:rPr>
          <w:lang w:val="es-HN"/>
        </w:rPr>
        <w:t xml:space="preserve">En un estudio realizado en el 2021 titulado “Causas del fracaso de las MiPymes en San Pedro Sula, Honduras, </w:t>
      </w:r>
      <w:r w:rsidR="004E3976" w:rsidRPr="0076589C">
        <w:rPr>
          <w:lang w:val="es-HN"/>
        </w:rPr>
        <w:t>definió</w:t>
      </w:r>
      <w:r w:rsidRPr="0076589C">
        <w:rPr>
          <w:lang w:val="es-HN"/>
        </w:rPr>
        <w:t xml:space="preserve"> que “La planeación financiera es el pilar fundamental de la administración financiera empresarial, y abarca aspectos como liquidez, capital de trabajo, inventarios, presupuestos de capital, estructura de capital y dividendos”. </w:t>
      </w:r>
      <w:r w:rsidR="7A54A044" w:rsidRPr="0076589C">
        <w:rPr>
          <w:lang w:val="es-HN"/>
        </w:rPr>
        <w:fldChar w:fldCharType="begin"/>
      </w:r>
      <w:r w:rsidR="7A54A044" w:rsidRPr="0076589C">
        <w:rPr>
          <w:lang w:val="es-HN"/>
        </w:rPr>
        <w:instrText xml:space="preserve"> ADDIN ZOTERO_ITEM CSL_CITATION {"citationID":"CxzQVGAh","properties":{"formattedCitation":"(Banegas &amp; Madrid, 2023)","plainCitation":"(Banegas &amp; Madrid, 2023)","dontUpdate":true,"noteIndex":0},"citationItems":[{"id":100,"uris":["http://zotero.org/users/12108825/items/RVWF5N96"],"itemData":{"id":100,"type":"thesis","abstract":"Esta investigación analiza y describe la gestión administrativa y planificación financiera de las Mipymes en San Pedro Sula, Cortés, Honduras, así como las causas del fracaso de estos negocios en el mercado. En Honduras el 85% de las empresas, están representadas por las Micro, Pequeñas y Medianas empresas (Mipymes) y estas, contribuyen altamente a la economía del país, de igual manera a la economía familiar de los hondureños. Es de interés social y económico, ahondar sobre la problemática que las rodea (Mipymes) debido a su corta permanencia en el mercado. En este sentido esta tesis tiene como propósito, conocer las causas del fracaso de estas empresas en la ciudad de San Pedro Sula, Cortés, Honduras en el cuarto trimestre del 2020. El diseño de la investigación aplicado fue no experimental, transversal, y alcance descriptivo. El instrumento de investigación utilizado fue, el cuestionario aplicado a dos técnicas, uno para la técnica de encuesta y el segundo completamente diferente al primero para un panel de expertos validado por método Delphi, ambos para la recopilación de datos. La hipótesis de investigación, plantea que, más del 50% de las Mipymes que fracasaron tienen como causa la falta de administración básica y planificación financiera. Los resultados obtenidos fueron que un 44% dijeron haber cerrado sus negocios por causas mencionadas en la hipótesis, por lo cual se acepta la hipótesis nula y se rechaza la hipótesis de investigación.","language":"es-HN","license":"Atribución-NoComercial-SinDerivadas 4.0 Internacional","note":"Accepted: 2023-01-04T23:15:36Z\npublisher: Universidad Tecnológica Centroamericana UNITEC","source":"repositorio.unitec.edu","title":"Causas Del Fracaso De Las Mipymes En San Pedro Sula, Cortés, Honduras","URL":"https://repositorio.unitec.edu/xmlui/handle/123456789/8027","author":[{"family":"Banegas","given":"Karen Yakelin Guandique"},{"family":"Madrid","given":"Ever Danilo Santiago"}],"accessed":{"date-parts":[["2023",8,12]]},"issued":{"date-parts":[["2023",1,4]]}}}],"schema":"https://github.com/citation-style-language/schema/raw/master/csl-citation.json"} </w:instrText>
      </w:r>
      <w:r w:rsidR="7A54A044" w:rsidRPr="0076589C">
        <w:rPr>
          <w:lang w:val="es-HN"/>
        </w:rPr>
        <w:fldChar w:fldCharType="separate"/>
      </w:r>
      <w:r w:rsidRPr="0076589C">
        <w:rPr>
          <w:lang w:val="es-HN"/>
        </w:rPr>
        <w:t>(Banegas &amp; Madrid, 2023, pág.58)</w:t>
      </w:r>
      <w:r w:rsidR="7A54A044" w:rsidRPr="0076589C">
        <w:rPr>
          <w:lang w:val="es-HN"/>
        </w:rPr>
        <w:fldChar w:fldCharType="end"/>
      </w:r>
    </w:p>
    <w:p w14:paraId="2C6209BE" w14:textId="7596898B" w:rsidR="30C2F658" w:rsidRPr="0076589C" w:rsidRDefault="1C8D6E3A" w:rsidP="00C8505C">
      <w:pPr>
        <w:pStyle w:val="TextoPrincipal"/>
        <w:rPr>
          <w:lang w:val="es-HN"/>
        </w:rPr>
      </w:pPr>
      <w:r w:rsidRPr="0076589C">
        <w:rPr>
          <w:lang w:val="es-HN"/>
        </w:rPr>
        <w:t xml:space="preserve">Por ende, la gestión financiera es importante porque permite a las empresas hondureñas tomar decisiones informadas y estratégicas sobre cómo manejar su dinero y recursos. Una buena gestión financiera puede ayudar a maximizar sus ganancias, minimizar sus costos, mejorar su flujo de efectivo y asegurar su supervivencia a largo plazo. Además, la gestión financiera también puede ayudar a una empresa a obtener financiamiento y atractivo para los inversores, ya que demuestra que la empresa tiene un plan sólido y bien pensado para su futuro financiero. </w:t>
      </w:r>
    </w:p>
    <w:p w14:paraId="363175E6" w14:textId="77777777" w:rsidR="00DB171D" w:rsidRPr="0076589C" w:rsidRDefault="1C8D6E3A" w:rsidP="00C8505C">
      <w:pPr>
        <w:pStyle w:val="TextoPrincipal"/>
        <w:rPr>
          <w:lang w:val="es-HN"/>
        </w:rPr>
      </w:pPr>
      <w:r w:rsidRPr="0076589C">
        <w:rPr>
          <w:lang w:val="es-HN"/>
        </w:rPr>
        <w:t>Uno de los temas importantes en la gestión financiera es el manejo efectivo de cuentas por cobrar. Este proceso implica administrar deudas pendientes, optimizar plazos de pago y minimizar riesgos de incumplimiento. Una gestión ágil de cuentas por cobrar mejora el flujo de efectivo y fortalece relaciones comerciales.</w:t>
      </w:r>
    </w:p>
    <w:p w14:paraId="01253F9D" w14:textId="2CA0730F" w:rsidR="00BC5588" w:rsidRPr="0076589C" w:rsidRDefault="00A37E94" w:rsidP="00C8505C">
      <w:pPr>
        <w:pStyle w:val="TextoPrincipal"/>
        <w:rPr>
          <w:lang w:val="es-HN"/>
        </w:rPr>
      </w:pPr>
      <w:r w:rsidRPr="0076589C">
        <w:rPr>
          <w:lang w:val="es-HN"/>
        </w:rPr>
        <w:fldChar w:fldCharType="begin"/>
      </w:r>
      <w:r w:rsidRPr="0076589C">
        <w:rPr>
          <w:lang w:val="es-HN"/>
        </w:rPr>
        <w:instrText xml:space="preserve"> ADDIN ZOTERO_ITEM CSL_CITATION {"citationID":"7s7VL6qz","properties":{"formattedCitation":"(Mendoza &amp; Maldonado, 2020)","plainCitation":"(Mendoza &amp; Maldonado, 2020)","dontUpdate":true,"noteIndex":0},"citationItems":[{"id":45,"uris":["http://zotero.org/users/12108825/items/YKH8V269"],"itemData":{"id":45,"type":"thesis","abstract":"This thesis is entitled \"Project to improve the management of accounts receivable in Distribuidora Comercial Valladares (DICOVA)\". The company is located in Tegucigalpa, Honduras. Company dedicated to the purchase, sale and distribution of lubricants, filters, spare parts and additives for motor vehicles.","language":"es","source":"Zotero","title":"PROPUESTA DE MEJORA PARA MANEJO DE CUENTAS POR COBRAR EN DISTRIBUIDORA COMERCIAL VALLADARES (DICOVA)","author":[{"family":"Mendoza","given":"Eliany Nicole Elwin"},{"family":"Maldonado","given":"Naún Gabriel Godoy"}],"issued":{"date-parts":[["2020"]]}}}],"schema":"https://github.com/citation-style-language/schema/raw/master/csl-citation.json"} </w:instrText>
      </w:r>
      <w:r w:rsidRPr="0076589C">
        <w:rPr>
          <w:lang w:val="es-HN"/>
        </w:rPr>
        <w:fldChar w:fldCharType="separate"/>
      </w:r>
      <w:r w:rsidR="1C8D6E3A" w:rsidRPr="0076589C">
        <w:rPr>
          <w:lang w:val="es-HN"/>
        </w:rPr>
        <w:t>Mendoza &amp; Maldonado, (2020)</w:t>
      </w:r>
      <w:r w:rsidRPr="0076589C">
        <w:rPr>
          <w:lang w:val="es-HN"/>
        </w:rPr>
        <w:fldChar w:fldCharType="end"/>
      </w:r>
      <w:r w:rsidR="1C8D6E3A" w:rsidRPr="0076589C">
        <w:rPr>
          <w:lang w:val="es-HN"/>
        </w:rPr>
        <w:t xml:space="preserve"> en su investigación titulada “Proyecto de mejora para manejo de cuentas por cobrar en Distribuidora Comercial Valladares (DICOVA)”, la cual tiene como objetivo general la creación de una propuesta de control de cuentas por cobrar eficiente que apoye la gestión financiera y en la toma de decisiones de la empresa.  Para llevar a cabo la investigación fue necesario realizar un análisis de los proceso y políticas que realizaba la empresa en su momento, y distinta información financiera como ser las ventas totales y como son su paso si al crédito o al contado, las cuentas que son incobrables y la morosidad. Como herramienta de estudio aplicaron cuestionarios y entrevistas para la obtención de información. Como resultados de la investigación la empresa no contaba con ningún sistema organizado de cuentas por cobrar, por lo tanto, no mantenía una total credibilidad y un seguimiento de este ya que se manejaba por la experiencia obtenida a través de los años, no contaba con políticas de crédito y cobranza definidas. No contaba con un sistema clasificado de los clientes y sus pagos si eran al crédito o </w:t>
      </w:r>
      <w:r w:rsidR="1C8D6E3A" w:rsidRPr="0076589C">
        <w:rPr>
          <w:lang w:val="es-HN"/>
        </w:rPr>
        <w:lastRenderedPageBreak/>
        <w:t>contado, los saldos vencidos y próximos a vencer. La propuesta de una correcta gestión de los créditos y cobranza en la empresa tendría un beneficio financiero, una reducción significativa equivalente al 55% de su saldo promedio en las cuentas por cobrar.</w:t>
      </w:r>
    </w:p>
    <w:p w14:paraId="4FCC2E0A" w14:textId="53542AA2" w:rsidR="00AA7D1A" w:rsidRPr="0076589C" w:rsidRDefault="1C8D6E3A" w:rsidP="00C8505C">
      <w:pPr>
        <w:pStyle w:val="TextoPrincipal"/>
        <w:rPr>
          <w:lang w:val="es-HN"/>
        </w:rPr>
      </w:pPr>
      <w:r w:rsidRPr="0076589C">
        <w:rPr>
          <w:lang w:val="es-HN"/>
        </w:rPr>
        <w:t>En la actualidad, la situación que afronta el país de Honduras, en el sector comercial la mayor parte brinda la oportunidad de adquirir productos o servicios a través del crédito, lo que genera las cuentas por cobrar y así mantener liquidez a corto o largo plazo.</w:t>
      </w:r>
    </w:p>
    <w:p w14:paraId="17364D13" w14:textId="41E62609" w:rsidR="005D5849" w:rsidRPr="0076589C" w:rsidRDefault="00806D19" w:rsidP="00C8505C">
      <w:pPr>
        <w:pStyle w:val="TextoPrincipal"/>
        <w:rPr>
          <w:lang w:val="es-HN"/>
        </w:rPr>
      </w:pPr>
      <w:r w:rsidRPr="0076589C">
        <w:rPr>
          <w:lang w:val="es-HN"/>
        </w:rPr>
        <w:fldChar w:fldCharType="begin"/>
      </w:r>
      <w:r w:rsidRPr="0076589C">
        <w:rPr>
          <w:lang w:val="es-HN"/>
        </w:rPr>
        <w:instrText xml:space="preserve"> ADDIN ZOTERO_ITEM CSL_CITATION {"citationID":"MC601bGM","properties":{"formattedCitation":"(G. J. R. Castillo &amp; La\\uc0\\u237{}nez, 2018)","plainCitation":"(G. J. R. Castillo &amp; Laínez, 2018)","dontUpdate":true,"noteIndex":0},"citationItems":[{"id":78,"uris":["http://zotero.org/users/12108825/items/AVNBXAN3"],"itemData":{"id":78,"type":"thesis","abstract":"La Cooperativa de Ahorro y Crédito CACEENP Ltda., tiene como propósito principal brindar los mejores servicios financieros en el sector cooperativo, así mismo busca proveerles a sus afiliados una experiencia novedosa de la cual recibirán una excelente atención al cliente y productos y servicios adecuados a los intereses individuales y empresariales de cada uno. La cooperativa cuenta con grandes ventajas respecto a sus competidores debido a que las diferentes sucursales ocupan puntos estratégicos en la ciudad de Puerto Cortés, San Pedro Sula, San Lorenzo, Valle, Choloma y Villanueva.","language":"es-HN","license":"Atribución-NoComercial-SinDerivadas 4.0 Internacional","note":"Accepted: 2023-01-04T23:16:16Z\npublisher: Universidad Tecnológica Centroamericana UNITEC","source":"repositorio.unitec.edu","title":"Gestión de la cartera de crédito y su efecto en el crecimiento de cooperativa CACEENP LTDA","URL":"https://repositorio.unitec.edu/xmlui/handle/123456789/8052","author":[{"family":"Castillo","given":"German Joel Ríos"},{"family":"Laínez","given":"Jessica Carolina Espinoza"}],"accessed":{"date-parts":[["2023",8,11]]},"issued":{"date-parts":[["2018"]]}}}],"schema":"https://github.com/citation-style-language/schema/raw/master/csl-citation.json"} </w:instrText>
      </w:r>
      <w:r w:rsidRPr="0076589C">
        <w:rPr>
          <w:lang w:val="es-HN"/>
        </w:rPr>
        <w:fldChar w:fldCharType="separate"/>
      </w:r>
      <w:r w:rsidR="1C8D6E3A" w:rsidRPr="0076589C">
        <w:rPr>
          <w:lang w:val="es-HN"/>
        </w:rPr>
        <w:t>Castillo &amp; Laínez, (2018)</w:t>
      </w:r>
      <w:r w:rsidRPr="0076589C">
        <w:rPr>
          <w:lang w:val="es-HN"/>
        </w:rPr>
        <w:fldChar w:fldCharType="end"/>
      </w:r>
      <w:r w:rsidR="1C8D6E3A" w:rsidRPr="0076589C">
        <w:rPr>
          <w:lang w:val="es-HN"/>
        </w:rPr>
        <w:t xml:space="preserve"> como tema de investigación tomaron la gestión de la cartera de crédito y su efecto en el crecimiento de una cooperativa, que tiene como finalidad evaluar los procesos de gestión de la recuperación de la cartera crediticia y así poder identificar las causas por las cuales el índice de la morosidad y su cartera no disminuye como se espera. Con un enfoque cuantitativo con un estudio no experimental y el instrumento utilizado fue una encuesta con preguntas derivada de las variables independientes de evaluación, control, seguimiento, reservas y excedentes. Entre los resultados de la investigación, la cooperativa mostro un alto crecimiento en su cartera crediticia, pero carece del personal necesario para el Departamento de Recuperaciones, el cual sería de mejor apoyo a la gestión de cobro. Como propuesta se recomendó la contratación de un analista de crédito y riesgo por tipo de negocio para llevar un mejor control y seguimiento a los créditos otorgados. La implementación de un sistema especializado en gestión de cobro, para una mayor productividad en el Departamento de Recuperaciones.</w:t>
      </w:r>
    </w:p>
    <w:p w14:paraId="5BB5F923" w14:textId="6AE82C0C" w:rsidR="00A97851" w:rsidRPr="0076589C" w:rsidRDefault="1C8D6E3A" w:rsidP="00C8505C">
      <w:pPr>
        <w:pStyle w:val="TextoPrincipal"/>
        <w:rPr>
          <w:lang w:val="es-HN"/>
        </w:rPr>
      </w:pPr>
      <w:r w:rsidRPr="0076589C">
        <w:rPr>
          <w:lang w:val="es-HN"/>
        </w:rPr>
        <w:t xml:space="preserve">La finalidad de una adecuada gestión de las cuentas por cobrar es coordinar los activos de la empresa para lograr maximizar el patrimonio, reducir los riesgos de pérdidas en valor y asegurar las ventas. En ese sentido, es necesario implementar medidas como políticas de crédito y cobro y definir condiciones crediticias para asegurar un funcionamiento adecuado y lograr resultados deseados. </w:t>
      </w:r>
    </w:p>
    <w:p w14:paraId="35AFA430" w14:textId="0E2FA49C" w:rsidR="00BE202B" w:rsidRPr="0076589C" w:rsidRDefault="00EF2407" w:rsidP="00C8505C">
      <w:pPr>
        <w:pStyle w:val="TextoPrincipal"/>
        <w:rPr>
          <w:lang w:val="es-HN"/>
        </w:rPr>
      </w:pPr>
      <w:r w:rsidRPr="0076589C">
        <w:rPr>
          <w:lang w:val="es-HN"/>
        </w:rPr>
        <w:fldChar w:fldCharType="begin"/>
      </w:r>
      <w:r w:rsidRPr="0076589C">
        <w:rPr>
          <w:lang w:val="es-HN"/>
        </w:rPr>
        <w:instrText xml:space="preserve"> ADDIN ZOTERO_ITEM CSL_CITATION {"citationID":"xpwiytA9","properties":{"formattedCitation":"(Zelaya &amp; Huete, 2021)","plainCitation":"(Zelaya &amp; Huete, 2021)","dontUpdate":true,"noteIndex":0},"citationItems":[{"id":80,"uris":["http://zotero.org/users/12108825/items/B7LV7LRW","http://zotero.org/users/12108825/items/EXZSPR44"],"itemData":{"id":80,"type":"article-journal","abstract":"La presente tesis tiene por nombre: Mejora en los Procedimientos de las Cuentas por Cobrar de la Empresa Inversiones del Norte S. de R. L. de C.V., y tiene como objetivo establecer la política de crédito y los procedimientos en la gestión de las cuentas por cobrar de Inversiones del Norte, dicha empresa está ubicada en San Pedro Sula, Cortés, Honduras y se dedica a la distribución de productos de consumo masivo. En el presente trabajo se encontró que INVENO no cuenta con políticas de crédito que determinen los parámetros a seguir en la autorización de los créditos a los clientes, también se identificó que no existen procedimientos establecidos para la buena gestión en las cuentas por cobrar, es decir que no tienen controles que les permita minimizar el riesgo de pérdida de capital. Entre los hallazgos encontrados se destacan: que los saldos de la cartera de clientes  al mes de noviembre 2020 es por L.1,837,500.00 aproximadamente, no están soportados por ninguna garantía lo que pone en riesgo su recuperación; no cuentan con expedientes de clientes por lo tanto, se puede prestar para cometer fraude a través la existencia de un cliente falso; el retorno del capital no es eficiente ya que el índice de recuperación al mes de noviembre 2020 es de 65.31% aproximadamente, es decir que los valores no recuperados al cierre de noviembre de 2020 fueron de L.637,500.00 que representan el 34.69% de la cartera, lo cual denota una baja recuperación del crédito lo que afecta de forma negativa la liquidez de la empresa y reduce la capacidad de cumplir con sus obligaciones financieras.  Se propuso una política de créditos que contó con la aprobación del gerente general de la empresa lo que permitirá la formalización de los créditos y la garantía de su recuperación, se establecieron e implementaron los procedimientos para la recuperación de las cuentas por cobrar y se plantearon los lineamientos para alcanzar un 95% de cartera sana aproximadamente L.1,745,625.00, lo cual se logrará en un periodo de ocho a diez meses siempre que se apliquen las mejoras sugeridas.","container-title":"Centro Universitario Tecnológico CEUTEC","language":"es-HN","license":"Atribución-NoComercial-SinDerivadas 4.0 Internacional","note":"Accepted: 2023-01-05T17:24:15Z\npublisher: Centro Universitario Tecnológico CEUTEC","source":"repositorio.unitec.edu","title":"Mejora en los procedimientos de las cuentas por cobrar de la empresa Inversiones del Norte S. de R.L de C.V.","URL":"https://repositorio.unitec.edu/xmlui/handle/123456789/9971","author":[{"family":"Zelaya","given":"Ivis Johana Varela"},{"family":"Huete","given":"Alex Armando Figueroa"}],"accessed":{"date-parts":[["2023",8,11]]},"issued":{"date-parts":[["2020"]]}}}],"schema":"https://github.com/citation-style-language/schema/raw/master/csl-citation.json"} </w:instrText>
      </w:r>
      <w:r w:rsidRPr="0076589C">
        <w:rPr>
          <w:lang w:val="es-HN"/>
        </w:rPr>
        <w:fldChar w:fldCharType="separate"/>
      </w:r>
      <w:r w:rsidR="1C8D6E3A" w:rsidRPr="0076589C">
        <w:rPr>
          <w:lang w:val="es-HN"/>
        </w:rPr>
        <w:t>Zelaya &amp; Huete, (2021)</w:t>
      </w:r>
      <w:r w:rsidRPr="0076589C">
        <w:rPr>
          <w:lang w:val="es-HN"/>
        </w:rPr>
        <w:fldChar w:fldCharType="end"/>
      </w:r>
      <w:r w:rsidR="1C8D6E3A" w:rsidRPr="0076589C">
        <w:rPr>
          <w:lang w:val="es-HN"/>
        </w:rPr>
        <w:t xml:space="preserve"> abordó el tema de “Mejora en los procedimientos de las cuentas por cobrar de la empresa Inversiones del Norte S. de R.L de C.V”, la cual presenta con objetivo general el desarrollo de una propuesta de mejora de políticas y procedimientos a implementar en el manejo de las cuentas por cobrar en la empresa. El enfoque de la investigación es mixto ya que se permitirá identificar y discutir los métodos de cobranza para analizar los resultados de liquidez de la empresa. Como conclusiones de la investigación se determinó que el impacto de las cuentas por cobrar en la rentabilidad de la empresa, para aumentar la rentabilidad es necesario la </w:t>
      </w:r>
      <w:r w:rsidR="1C8D6E3A" w:rsidRPr="0076589C">
        <w:rPr>
          <w:lang w:val="es-HN"/>
        </w:rPr>
        <w:lastRenderedPageBreak/>
        <w:t xml:space="preserve">recuperación de todos los costos y márgenes de las ganancias de la empresa para el buen sostenimiento de la empresa. Una deficiencia identificada en los procesos de las cuentas por cobrar es que no contaban con políticas de crédito que definieron los parámetros necesarios para el otorgamiento adecuado de créditos a sus clientes ni la forma en que debían gestionar la recuperación de los mismo. </w:t>
      </w:r>
    </w:p>
    <w:p w14:paraId="6C37FA95" w14:textId="17F60157" w:rsidR="004A12C5" w:rsidRPr="0076589C" w:rsidRDefault="1C8D6E3A" w:rsidP="00C8505C">
      <w:pPr>
        <w:pStyle w:val="TextoPrincipal"/>
        <w:rPr>
          <w:lang w:val="es-HN"/>
        </w:rPr>
      </w:pPr>
      <w:r w:rsidRPr="0076589C">
        <w:rPr>
          <w:lang w:val="es-HN"/>
        </w:rPr>
        <w:t>Se identificó los beneficios de implementar una política de créditos y con los procesos de las cuentas por cobrar, entre ellos: una seguridad y aumento de la recuperación de las cuentas a través de garantías que avalen los créditos dados, el aumento de la liquidez para una buena gestión operativa de la empresa. Con una prueba piloto realizada implementando la propuesta de mejora de las cuentas por cobrar, se comprobó la efectividad con una proyección de ocho a 10 meses donde se alcanz</w:t>
      </w:r>
      <w:r w:rsidR="008E3760" w:rsidRPr="0076589C">
        <w:rPr>
          <w:lang w:val="es-HN"/>
        </w:rPr>
        <w:t>ó</w:t>
      </w:r>
      <w:r w:rsidRPr="0076589C">
        <w:rPr>
          <w:lang w:val="es-HN"/>
        </w:rPr>
        <w:t xml:space="preserve"> el índice de recuperación del 95%. </w:t>
      </w:r>
      <w:r w:rsidR="7A54A044" w:rsidRPr="0076589C">
        <w:rPr>
          <w:lang w:val="es-HN"/>
        </w:rPr>
        <w:fldChar w:fldCharType="begin"/>
      </w:r>
      <w:r w:rsidR="7A54A044" w:rsidRPr="0076589C">
        <w:rPr>
          <w:lang w:val="es-HN"/>
        </w:rPr>
        <w:instrText xml:space="preserve"> ADDIN ZOTERO_ITEM CSL_CITATION {"citationID":"DGBRWuUE","properties":{"formattedCitation":"(Zelaya &amp; Huete, 2020)","plainCitation":"(Zelaya &amp; Huete, 2020)","noteIndex":0},"citationItems":[{"id":80,"uris":["http://zotero.org/users/12108825/items/B7LV7LRW","http://zotero.org/users/12108825/items/EXZSPR44"],"itemData":{"id":80,"type":"article-journal","abstract":"La presente tesis tiene por nombre: Mejora en los Procedimientos de las Cuentas por Cobrar de la Empresa Inversiones del Norte S. de R. L. de C.V., y tiene como objetivo establecer la política de crédito y los procedimientos en la gestión de las cuentas por cobrar de Inversiones del Norte, dicha empresa está ubicada en San Pedro Sula, Cortés, Honduras y se dedica a la distribución de productos de consumo masivo. En el presente trabajo se encontró que INVENO no cuenta con políticas de crédito que determinen los parámetros a seguir en la autorización de los créditos a los clientes, también se identificó que no existen procedimientos establecidos para la buena gestión en las cuentas por cobrar, es decir que no tienen controles que les permita minimizar el riesgo de pérdida de capital. Entre los hallazgos encontrados se destacan: que los saldos de la cartera de clientes  al mes de noviembre 2020 es por L.1,837,500.00 aproximadamente, no están soportados por ninguna garantía lo que pone en riesgo su recuperación; no cuentan con expedientes de clientes por lo tanto, se puede prestar para cometer fraude a través la existencia de un cliente falso; el retorno del capital no es eficiente ya que el índice de recuperación al mes de noviembre 2020 es de 65.31% aproximadamente, es decir que los valores no recuperados al cierre de noviembre de 2020 fueron de L.637,500.00 que representan el 34.69% de la cartera, lo cual denota una baja recuperación del crédito lo que afecta de forma negativa la liquidez de la empresa y reduce la capacidad de cumplir con sus obligaciones financieras.  Se propuso una política de créditos que contó con la aprobación del gerente general de la empresa lo que permitirá la formalización de los créditos y la garantía de su recuperación, se establecieron e implementaron los procedimientos para la recuperación de las cuentas por cobrar y se plantearon los lineamientos para alcanzar un 95% de cartera sana aproximadamente L.1,745,625.00, lo cual se logrará en un periodo de ocho a diez meses siempre que se apliquen las mejoras sugeridas.","container-title":"Centro Universitario Tecnológico CEUTEC","language":"es-HN","license":"Atribución-NoComercial-SinDerivadas 4.0 Internacional","note":"Accepted: 2023-01-05T17:24:15Z\npublisher: Centro Universitario Tecnológico CEUTEC","source":"repositorio.unitec.edu","title":"Mejora en los procedimientos de las cuentas por cobrar de la empresa Inversiones del Norte S. de R.L de C.V.","URL":"https://repositorio.unitec.edu/xmlui/handle/123456789/9971","author":[{"family":"Zelaya","given":"Ivis Johana Varela"},{"family":"Huete","given":"Alex Armando Figueroa"}],"accessed":{"date-parts":[["2023",8,11]]},"issued":{"date-parts":[["2020"]]}}}],"schema":"https://github.com/citation-style-language/schema/raw/master/csl-citation.json"} </w:instrText>
      </w:r>
      <w:r w:rsidR="7A54A044" w:rsidRPr="0076589C">
        <w:rPr>
          <w:lang w:val="es-HN"/>
        </w:rPr>
        <w:fldChar w:fldCharType="separate"/>
      </w:r>
      <w:r w:rsidRPr="0076589C">
        <w:rPr>
          <w:lang w:val="es-HN"/>
        </w:rPr>
        <w:t>(Zelaya &amp; Huete, 2020)</w:t>
      </w:r>
      <w:r w:rsidR="7A54A044" w:rsidRPr="0076589C">
        <w:rPr>
          <w:lang w:val="es-HN"/>
        </w:rPr>
        <w:fldChar w:fldCharType="end"/>
      </w:r>
    </w:p>
    <w:p w14:paraId="061CF57F" w14:textId="097093AA" w:rsidR="00CB6617" w:rsidRPr="0076589C" w:rsidRDefault="1C8D6E3A" w:rsidP="00C8505C">
      <w:pPr>
        <w:pStyle w:val="TextoPrincipal"/>
        <w:rPr>
          <w:lang w:val="es-HN"/>
        </w:rPr>
      </w:pPr>
      <w:r w:rsidRPr="0076589C">
        <w:rPr>
          <w:lang w:val="es-HN"/>
        </w:rPr>
        <w:t xml:space="preserve">Una de las investigaciones hondureñas titulada “Análisis Control de mora de la asociación de investigación para el desarrollo ecológico y socioeconómico (ASIDE)” </w:t>
      </w:r>
      <w:r w:rsidR="7A54A044" w:rsidRPr="0076589C">
        <w:rPr>
          <w:lang w:val="es-HN"/>
        </w:rPr>
        <w:fldChar w:fldCharType="begin"/>
      </w:r>
      <w:r w:rsidR="00E77DDB" w:rsidRPr="0076589C">
        <w:rPr>
          <w:lang w:val="es-HN"/>
        </w:rPr>
        <w:instrText xml:space="preserve"> ADDIN ZOTERO_ITEM CSL_CITATION {"citationID":"hWFTaJXV","properties":{"formattedCitation":"(Flores &amp; Orellana, 2023)","plainCitation":"(Flores &amp; Orellana, 2023)","dontUpdate":true,"noteIndex":0},"citationItems":[{"id":"CsHtuMjx/xl14NRRF","uris":["http://zotero.org/users/local/5HHjoNhS/items/567KX5L5"],"itemData":{"id":17,"type":"article-journal","abstract":"ASIDE es una ONG fundada a finales de 1993, es una organización privada sin fines de lucro dedicada a la investigación ecológica, social y económica actualmente tiene cobertura en todo el país con sus diferentes programas. El estudio se desarrolló en el programa de lotificación que brinda lotes de terrenos a personas de escasos recursos, pero en los últimos meses se ha observado un incremento en la mora. Se desarrolló el estudio en base a un diseño cuantitativo, analizando los clientes mediante encuestas en las cuales se enfocaron en las variables definidas para la investigación. Los resultados reflejaron que el problema se genera en uno de sus procesos en específico en el proceso de gestión de cobro, por tanto, se recomienda a la empresa: rediseñar el proceso de gestión de cobro, capacitar al personal, evaluar su desempeño mediante metas para de esta forma lograr un proceso eficiente de cobro.","container-title":"Universidad Tecnológica Centroamericana UNITEC","language":"es-HN","license":"Atribución-NoComercial-SinDerivadas 4.0 Internacional","note":"Accepted: 2023-01-04T23:20:06Z\npublisher: Universidad Tecnológica Centroamericana UNITEC","source":"repositorio.unitec.edu","title":"Análisis control de mora de la asociación de investigación para el desarrollo ecológico y socioeconómico","URL":"https://repositorio.unitec.edu/xmlui/handle/123456789/8173","author":[{"family":"Flores","given":"Carlos Mauricio Villanueva"},{"family":"Orellana","given":"Dalyn Esther Turcios"}],"accessed":{"date-parts":[["2023",8,13]]},"issued":{"date-parts":[["2023",1,4]]}}}],"schema":"https://github.com/citation-style-language/schema/raw/master/csl-citation.json"} </w:instrText>
      </w:r>
      <w:r w:rsidR="7A54A044" w:rsidRPr="0076589C">
        <w:rPr>
          <w:lang w:val="es-HN"/>
        </w:rPr>
        <w:fldChar w:fldCharType="separate"/>
      </w:r>
      <w:r w:rsidRPr="0076589C">
        <w:rPr>
          <w:lang w:val="es-HN"/>
        </w:rPr>
        <w:t>Flores &amp; Orellana, (2023)</w:t>
      </w:r>
      <w:r w:rsidR="7A54A044" w:rsidRPr="0076589C">
        <w:rPr>
          <w:lang w:val="es-HN"/>
        </w:rPr>
        <w:fldChar w:fldCharType="end"/>
      </w:r>
      <w:r w:rsidRPr="0076589C">
        <w:rPr>
          <w:lang w:val="es-HN"/>
        </w:rPr>
        <w:t xml:space="preserve"> cuyo objetivo identificar los factores que influyen en la morosidad y proponer un plan de contingencia para mejorar la administración y los futuros proyecto; las herramientas utilizadas para determinar las propuestas de mejora se utilizaron encuestas y entrevistas, matriz metodológica y análisis de los resultados de los indicadores. Se utilizó una metodología cuantitativa, analizando los clientes mediante encuestas en las cuales se enfocaron en las variables definidas para la investigación. Con respecto a la gestión de cobros se identificó que el 50.27% que representa la proporción de encuestados que consideran que es el aspecto que ASIDE debería mejorar, ya que es un proceso en el que se genera el problema de morosidad. Se recomendó rediseñar el proceso de gestión de cobro, capacitar al personal y evaluar su desempeño mediante metas para lograr un proceso eficiente de cobro. </w:t>
      </w:r>
    </w:p>
    <w:p w14:paraId="3B315CAF" w14:textId="7DDE9109" w:rsidR="6EDF196A" w:rsidRPr="0076589C" w:rsidRDefault="00D646BA" w:rsidP="00513BD6">
      <w:pPr>
        <w:pStyle w:val="TextoPrincipal"/>
        <w:spacing w:after="0"/>
        <w:rPr>
          <w:lang w:val="es-HN"/>
        </w:rPr>
      </w:pPr>
      <w:r w:rsidRPr="0076589C">
        <w:rPr>
          <w:lang w:val="es-HN"/>
        </w:rPr>
        <w:fldChar w:fldCharType="begin"/>
      </w:r>
      <w:r w:rsidRPr="0076589C">
        <w:rPr>
          <w:lang w:val="es-HN"/>
        </w:rPr>
        <w:instrText xml:space="preserve"> ADDIN ZOTERO_ITEM CSL_CITATION {"citationID":"dwTZFtcv","properties":{"formattedCitation":"(Torres Rodr\\uc0\\u237{}guez &amp; Matute Paz, 2020)","plainCitation":"(Torres Rodríguez &amp; Matute Paz, 2020)","dontUpdate":true,"noteIndex":0},"citationItems":[{"id":144,"uris":["http://zotero.org/users/12108825/items/5UFAVFJT"],"itemData":{"id":144,"type":"article-journal","abstract":"En la actualidad uno de los mayores problemas que enfrentan las empresas familiares es la falta de ejecución de herramientas y procedimientos adecuados en su estructura financiera. Dicho problema se podría resumir como una débil gestión financiera. El objetivo de una gestión financiera radica en la correcta administración y asignación de los recursos de una empresa con el fin de maximizar sus beneficios futuros. Tomando lo anterior como referencia, el objetivo principal de este proyecto implico el desarrollo de una propuesta de un modelo de gestión financiera para la empresa Tiendas door´s, la cual le permitirá fortalecer su estructura financiera y mantener un buen control de sus recursos económicos. Para ello fue necesario la realización de un diagnóstico financiero para evaluar la situación económica-financiera de la empresa Tiendas door´s. Seguidamente se elaboró un análisis a partir de los resultados de la información evaluada tales como análisis vertical y horizontal de los estados financieros, las razones financieras aplicadas, valoración de la empresa y entrevistas y encuestas aplicadas al personal relacionado con procesos financieros. A partir de este análisis se logró identificar las principales debilidades que afectan la estructura financiera de Tiendas door´s por lo que fue posible desarrollar propuestas de estrategias y políticas para ayudar a reforzar su estructura interna.","container-title":"Universidad Tecnológica Centroaméricana UNITEC","language":"es-HN","license":"Atribución-NoComercial-SinDerivadas 4.0 Internacional","note":"Accepted: 2023-01-06T02:39:41Z\npublisher: Universidad Tecnológica Centroaméricana UNITEC","source":"repositorio.unitec.edu","title":"Propuesta de un modelo de gestión financiera para la empresa Tiendas Door´S","URL":"https://repositorio.unitec.edu/xmlui/handle/123456789/11462","author":[{"family":"Torres Rodríguez","given":"Hillary Carolina"},{"family":"Matute Paz","given":"Xenia Nicole"}],"accessed":{"date-parts":[["2023",8,16]]},"issued":{"date-parts":[["2020"]]}}}],"schema":"https://github.com/citation-style-language/schema/raw/master/csl-citation.json"} </w:instrText>
      </w:r>
      <w:r w:rsidRPr="0076589C">
        <w:rPr>
          <w:lang w:val="es-HN"/>
        </w:rPr>
        <w:fldChar w:fldCharType="separate"/>
      </w:r>
      <w:r w:rsidR="1C8D6E3A" w:rsidRPr="0076589C">
        <w:rPr>
          <w:lang w:val="es-HN"/>
        </w:rPr>
        <w:t>Torres &amp; Matute, (2020)</w:t>
      </w:r>
      <w:r w:rsidRPr="0076589C">
        <w:rPr>
          <w:lang w:val="es-HN"/>
        </w:rPr>
        <w:fldChar w:fldCharType="end"/>
      </w:r>
      <w:r w:rsidR="1C8D6E3A" w:rsidRPr="0076589C">
        <w:rPr>
          <w:lang w:val="es-HN"/>
        </w:rPr>
        <w:t xml:space="preserve"> desarrollaron una investigación donde tenía como objetivo la situación actual de la empresa, para poder proponer un modelo de gestión financiera que permita mejorar la eficiencia y eficacia en la toma de decisiones financieras; Para la recolección de la información necesaria del objeto de estudio, se utilizó un enfoque cualitativo mediante la aplicación de una encuesta y entrevista a los propietarios y colaboradores de la empresa. También se realizó una recolección de datos históricos como el Balance General y el Estado de Resultados de la empresa. De igual manera, se hizo uso de un enfoque cuantitativo, el cual permitió evaluar </w:t>
      </w:r>
      <w:r w:rsidR="1C8D6E3A" w:rsidRPr="0076589C">
        <w:rPr>
          <w:lang w:val="es-HN"/>
        </w:rPr>
        <w:lastRenderedPageBreak/>
        <w:t>resultados numéricos de los estados financieros mediante la aplicabilidad del análisis de razones financieras y una valoración del patrimonio de esa empresa. Se propuso un modelo de gestión de cobro que ayude a llevar un mejor control en el área de crédito comercial de Tiendas Door's. El objetivo de la política de crédito es establecer pasos a seguir para el otorgamiento, análisis y control de los créditos que se ceden a los clientes. Entre los objetivos específicos de esta política de crédito se encuentran mantener un periodo promedio de cobro de 20 días máximo, establecer un monto de crédito permitido a los clientes de hasta 6000 lempiras durante el periodo promedio de cobro, mantener menos de un 10% de cuentas de crédito vencidas al mes y tener menos del 2% de deudas incobrables al año.</w:t>
      </w:r>
    </w:p>
    <w:p w14:paraId="6DC37928" w14:textId="77777777" w:rsidR="00513BD6" w:rsidRPr="0076589C" w:rsidRDefault="00513BD6" w:rsidP="00513BD6">
      <w:pPr>
        <w:pStyle w:val="TextoPrincipal"/>
        <w:spacing w:after="0"/>
        <w:rPr>
          <w:lang w:val="es-HN"/>
        </w:rPr>
      </w:pPr>
    </w:p>
    <w:p w14:paraId="1FC16010" w14:textId="41C6B5CF" w:rsidR="002461EE" w:rsidRPr="0076589C" w:rsidRDefault="1C8D6E3A" w:rsidP="00494616">
      <w:pPr>
        <w:pStyle w:val="Ttulonivel3"/>
        <w:numPr>
          <w:ilvl w:val="0"/>
          <w:numId w:val="12"/>
        </w:numPr>
      </w:pPr>
      <w:bookmarkStart w:id="125" w:name="_Toc142766504"/>
      <w:r w:rsidRPr="0076589C">
        <w:t xml:space="preserve"> </w:t>
      </w:r>
      <w:bookmarkStart w:id="126" w:name="_Toc158365457"/>
      <w:r w:rsidRPr="0076589C">
        <w:t>ANÀLISIS INTERNO</w:t>
      </w:r>
      <w:bookmarkEnd w:id="125"/>
      <w:bookmarkEnd w:id="126"/>
    </w:p>
    <w:p w14:paraId="273CBFF2" w14:textId="332B423F" w:rsidR="0AD46494" w:rsidRPr="0076589C" w:rsidRDefault="1C8D6E3A" w:rsidP="00513BD6">
      <w:pPr>
        <w:pStyle w:val="TextoPrincipal"/>
        <w:spacing w:after="0"/>
        <w:rPr>
          <w:lang w:val="es-HN"/>
        </w:rPr>
      </w:pPr>
      <w:r w:rsidRPr="0076589C">
        <w:rPr>
          <w:lang w:val="es-HN"/>
        </w:rPr>
        <w:t>Se presenta información principal de la empresa, con el objetivo de conocer un poco más la gestión operativa y rasgos importantes que la caracterizan; dentro de la información contenida se describe los datos generales, ubicación, historia, sus valores, misión, visión, organigrama, FODA, entre otros y así tener un panorama más amplio de la empresa.</w:t>
      </w:r>
    </w:p>
    <w:p w14:paraId="249D65CD" w14:textId="77777777" w:rsidR="00513BD6" w:rsidRPr="0076589C" w:rsidRDefault="00513BD6" w:rsidP="00513BD6">
      <w:pPr>
        <w:pStyle w:val="TextoPrincipal"/>
        <w:spacing w:after="0"/>
        <w:rPr>
          <w:lang w:val="es-HN"/>
        </w:rPr>
      </w:pPr>
    </w:p>
    <w:p w14:paraId="01F846CC" w14:textId="04E44BA8" w:rsidR="002461EE" w:rsidRPr="0076589C" w:rsidRDefault="1C8D6E3A" w:rsidP="007C49CE">
      <w:pPr>
        <w:pStyle w:val="Ttulonivel4"/>
      </w:pPr>
      <w:bookmarkStart w:id="127" w:name="_Hlk142776819"/>
      <w:r w:rsidRPr="0076589C">
        <w:t xml:space="preserve">2.1.3.1 DATOS GENERALES DE LA EMPRESA </w:t>
      </w:r>
    </w:p>
    <w:p w14:paraId="3F057D64" w14:textId="1EA3BF4C" w:rsidR="08FBB4BD" w:rsidRPr="0076589C" w:rsidRDefault="1C8D6E3A" w:rsidP="00C8505C">
      <w:pPr>
        <w:pStyle w:val="TextoPrincipal"/>
        <w:rPr>
          <w:lang w:val="es-HN"/>
        </w:rPr>
      </w:pPr>
      <w:r w:rsidRPr="0076589C">
        <w:rPr>
          <w:lang w:val="es-HN"/>
        </w:rPr>
        <w:t>Industria Procesadora de Alimentos (IPRA) con su sede principal ubicada en la cuidad de Tegucigalpa, Honduras, dedicada a la distribución de la línea Novalife la cual son suplementos alimenticios ligados a línea de la salud y su línea Phillips Avent la cual cuenta con productos para el cuidado de la madre y el bebé.</w:t>
      </w:r>
    </w:p>
    <w:p w14:paraId="62D9E43D" w14:textId="61031813" w:rsidR="08FBB4BD" w:rsidRPr="0076589C" w:rsidRDefault="1C8D6E3A" w:rsidP="00C8505C">
      <w:pPr>
        <w:pStyle w:val="TextoPrincipal"/>
        <w:rPr>
          <w:lang w:val="es-HN"/>
        </w:rPr>
      </w:pPr>
      <w:r w:rsidRPr="0076589C">
        <w:rPr>
          <w:lang w:val="es-HN"/>
        </w:rPr>
        <w:t xml:space="preserve"> Actualmente su línea Novalife lleva 22 años de presencia en el mercado hondureño y su línea del cuidado materno lleva 16 años; ambas atendiendo a farmacias, supermercados, tiendas nutricionales, tiendas de bebé, entre otras. La empresa cuenta con 753 clientes activos hasta la fecha, IPRA realiza la distribución de todos sus productos a cada uno de sus clientes.</w:t>
      </w:r>
    </w:p>
    <w:p w14:paraId="1927ED88" w14:textId="15BCDADA" w:rsidR="08FBB4BD" w:rsidRPr="0076589C" w:rsidRDefault="1C8D6E3A" w:rsidP="00C8505C">
      <w:pPr>
        <w:pStyle w:val="TextoPrincipal"/>
        <w:rPr>
          <w:lang w:val="es-HN"/>
        </w:rPr>
      </w:pPr>
      <w:r w:rsidRPr="0076589C">
        <w:rPr>
          <w:lang w:val="es-HN"/>
        </w:rPr>
        <w:t>Cabe resaltar que IPRA es el distribuidor exclusivo de la línea Phillips Avent en Honduras, mientras que su línea Novalife cuenta con su producción total aquí en Tegucigalpa, por lo cual es un producto netamente hondureño, con el tiempo han ido innovando en sus fórmulas y creando nuevos productos para lograr ser más competitivo en el mercado hondureño.</w:t>
      </w:r>
    </w:p>
    <w:p w14:paraId="6553F561" w14:textId="3EF678C4" w:rsidR="0AD46494" w:rsidRPr="0076589C" w:rsidRDefault="1C8D6E3A" w:rsidP="003C74F2">
      <w:pPr>
        <w:pStyle w:val="TextoPrincipal"/>
        <w:spacing w:after="0"/>
        <w:rPr>
          <w:lang w:val="es-HN"/>
        </w:rPr>
      </w:pPr>
      <w:r w:rsidRPr="0076589C">
        <w:rPr>
          <w:lang w:val="es-HN"/>
        </w:rPr>
        <w:lastRenderedPageBreak/>
        <w:t>La línea Novalife cuenta con varias presentaciones como ser leche, capsulas y fibras, 11 productos en total, destacando Menopause por ser el más vendido, mientras que su línea Avent cuenta con 81 productos de diferente variedad, las Tetinas Flujo rápido es el más vendido a nivel nacional.</w:t>
      </w:r>
    </w:p>
    <w:p w14:paraId="729B549F" w14:textId="77777777" w:rsidR="003C74F2" w:rsidRPr="0076589C" w:rsidRDefault="003C74F2" w:rsidP="003C74F2">
      <w:pPr>
        <w:pStyle w:val="TextoPrincipal"/>
        <w:spacing w:after="0"/>
        <w:rPr>
          <w:lang w:val="es-HN"/>
        </w:rPr>
      </w:pPr>
    </w:p>
    <w:p w14:paraId="78242350" w14:textId="45371F82" w:rsidR="0088300D" w:rsidRPr="0076589C" w:rsidRDefault="1C8D6E3A" w:rsidP="00691519">
      <w:pPr>
        <w:pStyle w:val="Ttulonivel4"/>
      </w:pPr>
      <w:r w:rsidRPr="0076589C">
        <w:t>2.1.3.2 HISTORIA DE LA EMPRESA</w:t>
      </w:r>
    </w:p>
    <w:bookmarkEnd w:id="127"/>
    <w:p w14:paraId="753F4974" w14:textId="1EC39B2F" w:rsidR="4B51FF2E" w:rsidRPr="0076589C" w:rsidRDefault="1C8D6E3A" w:rsidP="003C74F2">
      <w:pPr>
        <w:pStyle w:val="TextoPrincipal"/>
        <w:spacing w:after="0"/>
        <w:rPr>
          <w:lang w:val="es-HN"/>
        </w:rPr>
      </w:pPr>
      <w:r w:rsidRPr="0076589C">
        <w:rPr>
          <w:lang w:val="es-HN"/>
        </w:rPr>
        <w:t>Industria Procesadora de Alimentos (IPRA) Comenzó con dos empleados, donde su rubro fue en primera instancia el concentrado de animales, ubicada en Amarateca, Tegucigalpa, contaban con una planta de procesamiento del concentrado, este de distribuía al mercado local. Se producía alimento para bovino, avícola y alimento para la Cámara de Cultura. Un inversionista les hizo una propuesta de compra y lograron vender la planta de procesamiento.</w:t>
      </w:r>
    </w:p>
    <w:p w14:paraId="1A308F32" w14:textId="15F4F337" w:rsidR="4B51FF2E" w:rsidRPr="0076589C" w:rsidRDefault="1C8D6E3A" w:rsidP="004F5210">
      <w:pPr>
        <w:pStyle w:val="TextoPrincipal"/>
        <w:spacing w:after="0"/>
        <w:rPr>
          <w:lang w:val="es-HN"/>
        </w:rPr>
      </w:pPr>
      <w:r w:rsidRPr="0076589C">
        <w:rPr>
          <w:lang w:val="es-HN"/>
        </w:rPr>
        <w:t>La empresa estuvo inactiva de dos a tres años, ya para el año 2001 se volvió a reactivar la empresa, cabe mencionar que existen otras dos empresas hermanas, una de ellas es Corporación Andifar quien es la encargada de producir todos los productos incluyendo los suplementos y medicinas, Droguería Andifar que es la empresa que distribuye todos los medicamentos que no generan impuestos sobre ventas e IPRA que se dejó para todos aquellos productos que generen impuestos sobre ventas comercializando así su línea Novalife atendiendo farmacias, supermercados, tiendas nutricionales. Ya para el año 2007 se obtiene la distribución exclusiva de la línea Phillips Avent para Honduras, con productos para el cuidado de la madre y el bebé.</w:t>
      </w:r>
    </w:p>
    <w:p w14:paraId="014BE2F5" w14:textId="77777777" w:rsidR="004F5210" w:rsidRPr="0076589C" w:rsidRDefault="004F5210" w:rsidP="004F5210">
      <w:pPr>
        <w:pStyle w:val="TextoPrincipal"/>
        <w:spacing w:after="0"/>
        <w:rPr>
          <w:lang w:val="es-HN"/>
        </w:rPr>
      </w:pPr>
    </w:p>
    <w:p w14:paraId="0D7A009C" w14:textId="6EC08FE5" w:rsidR="5E1A7507" w:rsidRPr="0076589C" w:rsidRDefault="1C8D6E3A" w:rsidP="003629D5">
      <w:pPr>
        <w:pStyle w:val="Ttulonivel4"/>
      </w:pPr>
      <w:r w:rsidRPr="0076589C">
        <w:t xml:space="preserve">2.1.3.3 UBICACIÓN DE LA EMPRESA </w:t>
      </w:r>
    </w:p>
    <w:p w14:paraId="6772A895" w14:textId="7A05E5D2" w:rsidR="5E1A7507" w:rsidRPr="0076589C" w:rsidRDefault="1C8D6E3A" w:rsidP="00C8505C">
      <w:pPr>
        <w:pStyle w:val="TextoPrincipal"/>
        <w:rPr>
          <w:lang w:val="es-HN"/>
        </w:rPr>
      </w:pPr>
      <w:r w:rsidRPr="0076589C">
        <w:rPr>
          <w:lang w:val="es-HN"/>
        </w:rPr>
        <w:t xml:space="preserve">La empresa Industria Procesadora de Alimentos actualmente cuenta con sus instalaciones principales en la cuidad de Tegucigalpa, Francisco Morazán, Honduras; su ubicación se encuentra a 200 metros adelante de leche sula, Colonia Kennedy, Zona Jacaleapa, Carretera a UNITEC.  </w:t>
      </w:r>
    </w:p>
    <w:p w14:paraId="635016B3" w14:textId="79780F5B" w:rsidR="5E1A7507" w:rsidRPr="0076589C" w:rsidRDefault="1C8D6E3A" w:rsidP="00C8505C">
      <w:pPr>
        <w:pStyle w:val="TextoPrincipal"/>
        <w:rPr>
          <w:lang w:val="es-HN"/>
        </w:rPr>
      </w:pPr>
      <w:r w:rsidRPr="0076589C">
        <w:rPr>
          <w:lang w:val="es-HN"/>
        </w:rPr>
        <w:t xml:space="preserve">Además, cuenta con una sucursal en la ciudad de San Pedro Sula, Cortes, Honduras; su ubicación se encuentra 1 Calle, entre 1- 2 Ave., Blvd. Medina Concepción Edificio Metro centro, Locales # 9 y 10. </w:t>
      </w:r>
    </w:p>
    <w:p w14:paraId="1F18BCBD" w14:textId="6C5D43F1" w:rsidR="5E1A7507" w:rsidRPr="0076589C" w:rsidRDefault="1C8D6E3A" w:rsidP="003629D5">
      <w:pPr>
        <w:pStyle w:val="Ttulonivel4"/>
      </w:pPr>
      <w:r w:rsidRPr="0076589C">
        <w:lastRenderedPageBreak/>
        <w:t xml:space="preserve">2.1.3.4 RADIO DE ACCIÓN  </w:t>
      </w:r>
    </w:p>
    <w:p w14:paraId="4F0F81D1" w14:textId="631C9152" w:rsidR="37890389" w:rsidRPr="0076589C" w:rsidRDefault="1C8D6E3A" w:rsidP="002B2F92">
      <w:pPr>
        <w:pStyle w:val="TextoPrincipal"/>
        <w:spacing w:after="0"/>
        <w:rPr>
          <w:lang w:val="es-HN"/>
        </w:rPr>
      </w:pPr>
      <w:r w:rsidRPr="0076589C">
        <w:rPr>
          <w:lang w:val="es-HN"/>
        </w:rPr>
        <w:t xml:space="preserve">Industria Procesadora de Alimentos brinda sus productos de la línea Novalife y Avent en todo Honduras, Gracias a que la empresa cuenta con dos sucursales en Honduras pueden realizar la distribución a nivel Nacional de sus productos. </w:t>
      </w:r>
    </w:p>
    <w:p w14:paraId="5E94D911" w14:textId="77777777" w:rsidR="002B2F92" w:rsidRPr="0076589C" w:rsidRDefault="002B2F92" w:rsidP="002B2F92">
      <w:pPr>
        <w:pStyle w:val="TextoPrincipal"/>
        <w:spacing w:after="0"/>
        <w:rPr>
          <w:lang w:val="es-HN"/>
        </w:rPr>
      </w:pPr>
    </w:p>
    <w:p w14:paraId="5CCC4FA9" w14:textId="51046937" w:rsidR="00375F2C" w:rsidRPr="0076589C" w:rsidRDefault="1C8D6E3A" w:rsidP="003629D5">
      <w:pPr>
        <w:pStyle w:val="Ttulonivel4"/>
      </w:pPr>
      <w:r w:rsidRPr="0076589C">
        <w:t>2.1.3.5 MISIÓN DE LA EMPRESA</w:t>
      </w:r>
    </w:p>
    <w:p w14:paraId="4A6EF100" w14:textId="2566A04E" w:rsidR="002B2F92" w:rsidRPr="0076589C" w:rsidRDefault="1C8D6E3A" w:rsidP="002B2F92">
      <w:pPr>
        <w:pStyle w:val="TextoPrincipal"/>
        <w:spacing w:after="0"/>
        <w:rPr>
          <w:lang w:val="es-HN"/>
        </w:rPr>
      </w:pPr>
      <w:r w:rsidRPr="0076589C">
        <w:rPr>
          <w:lang w:val="es-HN"/>
        </w:rPr>
        <w:t>Somos una empresa familiar dedicada a la industria Farmacéutica que desarrolla, fabrica y comercializa productos destinados a mantener y mejorar la salud de nuestros clientes. Apoyados por nuestro personal altamente calificado y comprometido, cumplimos con los estándares de calidad exigidos por la Organización Mundial de la Salud, sumado a nuestros valores, compromiso social y ética profesional, brindamos el mejor producto a nuestros consumidores.</w:t>
      </w:r>
    </w:p>
    <w:p w14:paraId="063B4CFD" w14:textId="77777777" w:rsidR="002B2F92" w:rsidRPr="0076589C" w:rsidRDefault="002B2F92" w:rsidP="002B2F92">
      <w:pPr>
        <w:pStyle w:val="TextoPrincipal"/>
        <w:spacing w:after="0"/>
        <w:rPr>
          <w:lang w:val="es-HN"/>
        </w:rPr>
      </w:pPr>
    </w:p>
    <w:p w14:paraId="2518DFA3" w14:textId="5D66E506" w:rsidR="00375F2C" w:rsidRPr="0076589C" w:rsidRDefault="1C8D6E3A" w:rsidP="003629D5">
      <w:pPr>
        <w:pStyle w:val="Ttulonivel4"/>
      </w:pPr>
      <w:r w:rsidRPr="0076589C">
        <w:t xml:space="preserve">2.1.3.6 VISIÓN DE LA EMPRESA </w:t>
      </w:r>
    </w:p>
    <w:p w14:paraId="32995FF2" w14:textId="4626F6E2" w:rsidR="52C7DDD0" w:rsidRPr="0076589C" w:rsidRDefault="1C8D6E3A" w:rsidP="00A44DBF">
      <w:pPr>
        <w:pStyle w:val="TextoPrincipal"/>
        <w:spacing w:after="0"/>
        <w:rPr>
          <w:lang w:val="es-HN"/>
        </w:rPr>
      </w:pPr>
      <w:r w:rsidRPr="0076589C">
        <w:rPr>
          <w:lang w:val="es-HN"/>
        </w:rPr>
        <w:t>Convertirse en una de las empresas farmacéuticas más innovadoras y exitosas en las áreas de desarrollo, calidad y manufactura a nivel regional; ofreciendo medicamentos ético-genéricos de calidad, satisfaciendo la demanda y necesidades del mercado Centroamericano y del Caribe, para mejorar la salud de nuestra comunidad y la economía del país.  Comprometidos a seguir trabajando de generación en generación, basados en nuestros valores y tradiciones familiares-empresariales.</w:t>
      </w:r>
    </w:p>
    <w:p w14:paraId="44757811" w14:textId="77777777" w:rsidR="00A44DBF" w:rsidRPr="0076589C" w:rsidRDefault="00A44DBF" w:rsidP="00A44DBF">
      <w:pPr>
        <w:pStyle w:val="TextoPrincipal"/>
        <w:spacing w:after="0"/>
        <w:rPr>
          <w:lang w:val="es-HN"/>
        </w:rPr>
      </w:pPr>
    </w:p>
    <w:p w14:paraId="03E6B22A" w14:textId="4F6CECAC" w:rsidR="00375F2C" w:rsidRPr="0076589C" w:rsidRDefault="1C8D6E3A" w:rsidP="003629D5">
      <w:pPr>
        <w:pStyle w:val="Ttulonivel4"/>
      </w:pPr>
      <w:r w:rsidRPr="0076589C">
        <w:t xml:space="preserve">2.1.3.7 VALORES DE LA EMPRESA </w:t>
      </w:r>
    </w:p>
    <w:p w14:paraId="7BE7EAF0" w14:textId="3A534087" w:rsidR="52C7DDD0" w:rsidRPr="0076589C" w:rsidRDefault="1C8D6E3A" w:rsidP="00C8505C">
      <w:pPr>
        <w:pStyle w:val="TextoPrincipal"/>
        <w:rPr>
          <w:lang w:val="es-HN"/>
        </w:rPr>
      </w:pPr>
      <w:r w:rsidRPr="0076589C">
        <w:t>Valores específicos fundamentales:</w:t>
      </w:r>
    </w:p>
    <w:p w14:paraId="14098B83" w14:textId="22B165B8" w:rsidR="009B29D5" w:rsidRPr="0076589C" w:rsidRDefault="1C8D6E3A" w:rsidP="00494616">
      <w:pPr>
        <w:pStyle w:val="TextoPrincipal"/>
        <w:numPr>
          <w:ilvl w:val="1"/>
          <w:numId w:val="2"/>
        </w:numPr>
        <w:ind w:left="360"/>
        <w:rPr>
          <w:lang w:val="es-HN"/>
        </w:rPr>
      </w:pPr>
      <w:r w:rsidRPr="0076589C">
        <w:rPr>
          <w:lang w:val="es-HN"/>
        </w:rPr>
        <w:t>Estamos comprometidos con el trabajo que se realice</w:t>
      </w:r>
      <w:r w:rsidR="00463A8A" w:rsidRPr="0076589C">
        <w:rPr>
          <w:lang w:val="es-HN"/>
        </w:rPr>
        <w:t>.</w:t>
      </w:r>
    </w:p>
    <w:p w14:paraId="7F4E42CF" w14:textId="77777777" w:rsidR="009B29D5" w:rsidRPr="0076589C" w:rsidRDefault="1C8D6E3A" w:rsidP="00494616">
      <w:pPr>
        <w:pStyle w:val="TextoPrincipal"/>
        <w:numPr>
          <w:ilvl w:val="1"/>
          <w:numId w:val="2"/>
        </w:numPr>
        <w:ind w:left="360"/>
        <w:rPr>
          <w:lang w:val="es-HN"/>
        </w:rPr>
      </w:pPr>
      <w:r w:rsidRPr="0076589C">
        <w:rPr>
          <w:lang w:val="es-HN"/>
        </w:rPr>
        <w:t>Ser respetuosos con la familia, colaboradores y con las personas con quienes nos relacionamos.</w:t>
      </w:r>
    </w:p>
    <w:p w14:paraId="41060916" w14:textId="77777777" w:rsidR="009B29D5" w:rsidRPr="0076589C" w:rsidRDefault="1C8D6E3A" w:rsidP="00494616">
      <w:pPr>
        <w:pStyle w:val="TextoPrincipal"/>
        <w:numPr>
          <w:ilvl w:val="1"/>
          <w:numId w:val="2"/>
        </w:numPr>
        <w:ind w:left="360"/>
        <w:rPr>
          <w:lang w:val="es-HN"/>
        </w:rPr>
      </w:pPr>
      <w:r w:rsidRPr="0076589C">
        <w:rPr>
          <w:lang w:val="es-HN"/>
        </w:rPr>
        <w:t>Honrados en todos nuestros actos, manteniendo la honestidad y cuentas claras en el manejo de los recursos.</w:t>
      </w:r>
    </w:p>
    <w:p w14:paraId="0770985D" w14:textId="77777777" w:rsidR="009B29D5" w:rsidRPr="0076589C" w:rsidRDefault="1C8D6E3A" w:rsidP="00494616">
      <w:pPr>
        <w:pStyle w:val="TextoPrincipal"/>
        <w:numPr>
          <w:ilvl w:val="1"/>
          <w:numId w:val="2"/>
        </w:numPr>
        <w:ind w:left="360"/>
        <w:rPr>
          <w:lang w:val="es-HN"/>
        </w:rPr>
      </w:pPr>
      <w:r w:rsidRPr="0076589C">
        <w:rPr>
          <w:lang w:val="es-HN"/>
        </w:rPr>
        <w:t>Ser emprendedores, dinámicos e innovadores en el desempeño como miembros de la empresa-familiar.</w:t>
      </w:r>
    </w:p>
    <w:p w14:paraId="04426ADF" w14:textId="77777777" w:rsidR="009B29D5" w:rsidRPr="0076589C" w:rsidRDefault="1C8D6E3A" w:rsidP="00494616">
      <w:pPr>
        <w:pStyle w:val="TextoPrincipal"/>
        <w:numPr>
          <w:ilvl w:val="1"/>
          <w:numId w:val="2"/>
        </w:numPr>
        <w:ind w:left="360"/>
        <w:rPr>
          <w:lang w:val="es-HN"/>
        </w:rPr>
      </w:pPr>
      <w:r w:rsidRPr="0076589C">
        <w:rPr>
          <w:lang w:val="es-HN"/>
        </w:rPr>
        <w:lastRenderedPageBreak/>
        <w:t>Aplicar principios de austeridad en el manejo de los recursos.</w:t>
      </w:r>
    </w:p>
    <w:p w14:paraId="3342530C" w14:textId="77777777" w:rsidR="009B29D5" w:rsidRPr="0076589C" w:rsidRDefault="1C8D6E3A" w:rsidP="00494616">
      <w:pPr>
        <w:pStyle w:val="TextoPrincipal"/>
        <w:numPr>
          <w:ilvl w:val="1"/>
          <w:numId w:val="2"/>
        </w:numPr>
        <w:ind w:left="360"/>
        <w:rPr>
          <w:lang w:val="es-HN"/>
        </w:rPr>
      </w:pPr>
      <w:r w:rsidRPr="0076589C">
        <w:rPr>
          <w:lang w:val="es-HN"/>
        </w:rPr>
        <w:t>Manejamos nuestros negocios con ética y responsabilidad.</w:t>
      </w:r>
    </w:p>
    <w:p w14:paraId="36C4621C" w14:textId="77777777" w:rsidR="009B29D5" w:rsidRPr="0076589C" w:rsidRDefault="1C8D6E3A" w:rsidP="00494616">
      <w:pPr>
        <w:pStyle w:val="TextoPrincipal"/>
        <w:numPr>
          <w:ilvl w:val="1"/>
          <w:numId w:val="2"/>
        </w:numPr>
        <w:ind w:left="360"/>
        <w:rPr>
          <w:lang w:val="es-HN"/>
        </w:rPr>
      </w:pPr>
      <w:r w:rsidRPr="0076589C">
        <w:rPr>
          <w:lang w:val="es-HN"/>
        </w:rPr>
        <w:t>Mantener permanentemente la comunicación oportuna al grupo familiar involucrado en los negocios.</w:t>
      </w:r>
    </w:p>
    <w:p w14:paraId="731D8438" w14:textId="77777777" w:rsidR="009B29D5" w:rsidRPr="0076589C" w:rsidRDefault="1C8D6E3A" w:rsidP="00494616">
      <w:pPr>
        <w:pStyle w:val="TextoPrincipal"/>
        <w:numPr>
          <w:ilvl w:val="1"/>
          <w:numId w:val="2"/>
        </w:numPr>
        <w:ind w:left="360"/>
        <w:rPr>
          <w:lang w:val="es-HN"/>
        </w:rPr>
      </w:pPr>
      <w:r w:rsidRPr="0076589C">
        <w:rPr>
          <w:lang w:val="es-HN"/>
        </w:rPr>
        <w:t>Respeto. Nos caracterizamos por cumplir con nuestros compromisos y queremos que las futuras generaciones lo continúen haciendo, estamos conscientes que la comunicación es importante para la toma de decisiones, por lo que mantendremos debidamente informados a los hijos sobre los proyectos y resultados de la/s empresa/s en función de su grado de madurez, de su edad y circunstancias. Buscaremos los medios necesarios para conseguir que los hijos valoren y aprendan el amor por la empresa para que constantemente evolucione y se adapte a las exigencias de cada momento, analizando experiencias propias y ajenas.</w:t>
      </w:r>
    </w:p>
    <w:p w14:paraId="57A333C6" w14:textId="450F32D2" w:rsidR="52C7DDD0" w:rsidRPr="0076589C" w:rsidRDefault="1C8D6E3A" w:rsidP="00494616">
      <w:pPr>
        <w:pStyle w:val="TextoPrincipal"/>
        <w:numPr>
          <w:ilvl w:val="1"/>
          <w:numId w:val="2"/>
        </w:numPr>
        <w:ind w:left="360"/>
        <w:rPr>
          <w:lang w:val="es-HN"/>
        </w:rPr>
      </w:pPr>
      <w:r w:rsidRPr="0076589C">
        <w:rPr>
          <w:lang w:val="es-HN"/>
        </w:rPr>
        <w:t xml:space="preserve">Unidad y consenso. El mecanismo primario para tomar decisiones será el consenso en una primera instancia, por lo que será necesario realizar los mayores esfuerzos para llegar a establecer acuerdos que se ajusten a los intereses de la familia y de la empresa por sobre intereses personales de sus miembros.  </w:t>
      </w:r>
    </w:p>
    <w:p w14:paraId="6A3E204A" w14:textId="36EE1B5E" w:rsidR="52C7DDD0" w:rsidRPr="0076589C" w:rsidRDefault="1C8D6E3A" w:rsidP="00C8505C">
      <w:pPr>
        <w:pStyle w:val="TextoPrincipal"/>
        <w:rPr>
          <w:lang w:val="es-HN"/>
        </w:rPr>
      </w:pPr>
      <w:r w:rsidRPr="0076589C">
        <w:rPr>
          <w:lang w:val="es-HN"/>
        </w:rPr>
        <w:t xml:space="preserve">Al presentarse situaciones irreconciliables sobre la Empresa entre los miembros de la familia luego de haberse esforzado por lograr acuerdos, los Firmantes se comprometen a someter el caso a mediación del Consejo de Familia y al no encontrar solución buscarán ayuda externa, contratando  a profesionales especializados en el campo relacionado, que puedan contribuir a dilucidar el tema o por lo menos brindar un sustento profesional objetivo que posibilite luego definir opciones representada por una mayoría simple. </w:t>
      </w:r>
    </w:p>
    <w:p w14:paraId="158CBF81" w14:textId="77777777" w:rsidR="009B29D5" w:rsidRPr="0076589C" w:rsidRDefault="1C8D6E3A" w:rsidP="00494616">
      <w:pPr>
        <w:pStyle w:val="TextoPrincipal"/>
        <w:numPr>
          <w:ilvl w:val="1"/>
          <w:numId w:val="1"/>
        </w:numPr>
        <w:ind w:left="360"/>
        <w:rPr>
          <w:lang w:val="es-HN"/>
        </w:rPr>
      </w:pPr>
      <w:r w:rsidRPr="0076589C">
        <w:rPr>
          <w:lang w:val="es-HN"/>
        </w:rPr>
        <w:t>Profesionalidad y solidaridad. La gestión de la/s empresa/s se regirá aplicando criterios estrictamente profesionales. La familia a través de la/s empresa/s, en la medida de las posibilidades económicas, podrá ayudar a un miembro familiar a conseguir sus aspiraciones profesionales cuando lo solicite y sea consistente con su conducta, comportamiento y esfuerzo personal hacia la empresa.</w:t>
      </w:r>
    </w:p>
    <w:p w14:paraId="734D4B93" w14:textId="7CFB2EC6" w:rsidR="52C7DDD0" w:rsidRPr="0076589C" w:rsidRDefault="1C8D6E3A" w:rsidP="00494616">
      <w:pPr>
        <w:pStyle w:val="TextoPrincipal"/>
        <w:numPr>
          <w:ilvl w:val="1"/>
          <w:numId w:val="1"/>
        </w:numPr>
        <w:ind w:left="360"/>
        <w:rPr>
          <w:lang w:val="es-HN"/>
        </w:rPr>
      </w:pPr>
      <w:r w:rsidRPr="0076589C">
        <w:rPr>
          <w:lang w:val="es-HN"/>
        </w:rPr>
        <w:t xml:space="preserve">Liderazgo y transparencia. La alta dirección de la/s empresa/s se </w:t>
      </w:r>
      <w:r w:rsidR="00FB1C01" w:rsidRPr="0076589C">
        <w:rPr>
          <w:lang w:val="es-HN"/>
        </w:rPr>
        <w:t xml:space="preserve">confía </w:t>
      </w:r>
      <w:r w:rsidR="009C3005" w:rsidRPr="0076589C">
        <w:rPr>
          <w:lang w:val="es-HN"/>
        </w:rPr>
        <w:t>en</w:t>
      </w:r>
      <w:r w:rsidRPr="0076589C">
        <w:rPr>
          <w:lang w:val="es-HN"/>
        </w:rPr>
        <w:t xml:space="preserve"> las personas más idóneas debido a sus competencias, experiencias, cualidades y otras capacidades exigidas. La delegación debe ir acompañada de un esquema sistemático de comunicación, que asegure la </w:t>
      </w:r>
      <w:r w:rsidRPr="0076589C">
        <w:rPr>
          <w:lang w:val="es-HN"/>
        </w:rPr>
        <w:lastRenderedPageBreak/>
        <w:t>transparencia en la toma de decisiones en los diferentes Ámbitos de Gobierno. Se lleva</w:t>
      </w:r>
      <w:r w:rsidR="00C919C0" w:rsidRPr="0076589C">
        <w:rPr>
          <w:lang w:val="es-HN"/>
        </w:rPr>
        <w:t>n</w:t>
      </w:r>
      <w:r w:rsidRPr="0076589C">
        <w:rPr>
          <w:lang w:val="es-HN"/>
        </w:rPr>
        <w:t xml:space="preserve"> a cabo reuniones formales y se levantan actas que serán firmadas por los asistentes. Los acuerdos tomados en el Consejo de Administración y en el Consejo de Familia, serán de estricto cumplimiento.</w:t>
      </w:r>
    </w:p>
    <w:p w14:paraId="02092555" w14:textId="4FCC5DA1" w:rsidR="00BF28E8" w:rsidRPr="0076589C" w:rsidRDefault="1C8D6E3A" w:rsidP="00A44DBF">
      <w:pPr>
        <w:pStyle w:val="TextoPrincipal"/>
        <w:spacing w:after="0"/>
        <w:rPr>
          <w:lang w:val="es-HN"/>
        </w:rPr>
      </w:pPr>
      <w:r w:rsidRPr="0076589C">
        <w:rPr>
          <w:lang w:val="es-HN"/>
        </w:rPr>
        <w:t>Para conservar la cultura y las tradiciones, los padres inculcarán el diálogo, el debate interno y enseñarán a sus descendientes la historia, principios y valores de la familia y la empresa.</w:t>
      </w:r>
    </w:p>
    <w:p w14:paraId="5959DEDB" w14:textId="77777777" w:rsidR="00A44DBF" w:rsidRPr="0076589C" w:rsidRDefault="00A44DBF" w:rsidP="00A44DBF">
      <w:pPr>
        <w:pStyle w:val="TextoPrincipal"/>
        <w:spacing w:after="0"/>
        <w:rPr>
          <w:lang w:val="es-HN"/>
        </w:rPr>
      </w:pPr>
    </w:p>
    <w:p w14:paraId="2ACE7844" w14:textId="236EACF0" w:rsidR="00DC7208" w:rsidRPr="0076589C" w:rsidRDefault="1C8D6E3A" w:rsidP="00083AAE">
      <w:pPr>
        <w:pStyle w:val="Ttulonivel4"/>
      </w:pPr>
      <w:r w:rsidRPr="0076589C">
        <w:t>2.1.3.8 ORGANIGRAMA DE LA EMPRESA</w:t>
      </w:r>
    </w:p>
    <w:p w14:paraId="6336DA02" w14:textId="726D2C59" w:rsidR="00083AAE" w:rsidRPr="0076589C" w:rsidRDefault="00083AAE" w:rsidP="00A53FF8">
      <w:pPr>
        <w:pStyle w:val="ImagenyTabla"/>
        <w:rPr>
          <w:noProof w:val="0"/>
        </w:rPr>
      </w:pPr>
      <w:r w:rsidRPr="0076589C">
        <w:drawing>
          <wp:inline distT="0" distB="0" distL="0" distR="0" wp14:anchorId="614B3E60" wp14:editId="436463EB">
            <wp:extent cx="5943507" cy="3801600"/>
            <wp:effectExtent l="0" t="0" r="635" b="8890"/>
            <wp:docPr id="821236930" name="Picture 821236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236930" name="Imagen 821236930"/>
                    <pic:cNvPicPr/>
                  </pic:nvPicPr>
                  <pic:blipFill rotWithShape="1">
                    <a:blip r:embed="rId15">
                      <a:extLst>
                        <a:ext uri="{28A0092B-C50C-407E-A947-70E740481C1C}">
                          <a14:useLocalDpi xmlns:a14="http://schemas.microsoft.com/office/drawing/2010/main" val="0"/>
                        </a:ext>
                      </a:extLst>
                    </a:blip>
                    <a:srcRect t="7107" b="7610"/>
                    <a:stretch/>
                  </pic:blipFill>
                  <pic:spPr bwMode="auto">
                    <a:xfrm>
                      <a:off x="0" y="0"/>
                      <a:ext cx="5943600" cy="3801660"/>
                    </a:xfrm>
                    <a:prstGeom prst="rect">
                      <a:avLst/>
                    </a:prstGeom>
                    <a:ln>
                      <a:noFill/>
                    </a:ln>
                    <a:extLst>
                      <a:ext uri="{53640926-AAD7-44D8-BBD7-CCE9431645EC}">
                        <a14:shadowObscured xmlns:a14="http://schemas.microsoft.com/office/drawing/2010/main"/>
                      </a:ext>
                    </a:extLst>
                  </pic:spPr>
                </pic:pic>
              </a:graphicData>
            </a:graphic>
          </wp:inline>
        </w:drawing>
      </w:r>
    </w:p>
    <w:p w14:paraId="24E15D2A" w14:textId="0893B37E" w:rsidR="006A39E8" w:rsidRPr="0076589C" w:rsidRDefault="1C8D6E3A" w:rsidP="006A39E8">
      <w:pPr>
        <w:pStyle w:val="ImagenyTabla"/>
        <w:rPr>
          <w:noProof w:val="0"/>
        </w:rPr>
      </w:pPr>
      <w:bookmarkStart w:id="128" w:name="_Toc138621209"/>
      <w:bookmarkStart w:id="129" w:name="_Toc158365586"/>
      <w:r w:rsidRPr="0076589C">
        <w:t xml:space="preserve">Figura </w:t>
      </w:r>
      <w:r w:rsidR="7A54A044" w:rsidRPr="0076589C">
        <w:rPr>
          <w:noProof w:val="0"/>
        </w:rPr>
        <w:fldChar w:fldCharType="begin"/>
      </w:r>
      <w:r w:rsidR="7A54A044" w:rsidRPr="0076589C">
        <w:rPr>
          <w:noProof w:val="0"/>
        </w:rPr>
        <w:instrText xml:space="preserve"> SEQ Figura \* ARABIC </w:instrText>
      </w:r>
      <w:r w:rsidR="7A54A044" w:rsidRPr="0076589C">
        <w:rPr>
          <w:noProof w:val="0"/>
        </w:rPr>
        <w:fldChar w:fldCharType="separate"/>
      </w:r>
      <w:r w:rsidR="009F171A">
        <w:t>1</w:t>
      </w:r>
      <w:r w:rsidR="7A54A044" w:rsidRPr="0076589C">
        <w:rPr>
          <w:noProof w:val="0"/>
        </w:rPr>
        <w:fldChar w:fldCharType="end"/>
      </w:r>
      <w:r w:rsidRPr="0076589C">
        <w:t xml:space="preserve">. </w:t>
      </w:r>
      <w:bookmarkEnd w:id="128"/>
      <w:r w:rsidRPr="0076589C">
        <w:t xml:space="preserve"> Organigrama de la empresa IPRA</w:t>
      </w:r>
      <w:bookmarkEnd w:id="129"/>
    </w:p>
    <w:p w14:paraId="69627D38" w14:textId="2700D02D" w:rsidR="006A39E8" w:rsidRPr="0076589C" w:rsidRDefault="1C8D6E3A" w:rsidP="00C8505C">
      <w:pPr>
        <w:pStyle w:val="Fuentes"/>
        <w:rPr>
          <w:lang w:val="es-HN"/>
        </w:rPr>
      </w:pPr>
      <w:r w:rsidRPr="0076589C">
        <w:rPr>
          <w:lang w:val="es-HN"/>
        </w:rPr>
        <w:t>Fuente: Elaboración propia con datos de IPRA.</w:t>
      </w:r>
    </w:p>
    <w:p w14:paraId="4CB35584" w14:textId="77777777" w:rsidR="004F2D72" w:rsidRPr="0076589C" w:rsidRDefault="004F2D72" w:rsidP="00C8505C">
      <w:pPr>
        <w:pStyle w:val="TextoPrincipal"/>
        <w:rPr>
          <w:lang w:val="es-HN"/>
        </w:rPr>
      </w:pPr>
    </w:p>
    <w:p w14:paraId="329135BC" w14:textId="77777777" w:rsidR="00394CF6" w:rsidRPr="0076589C" w:rsidRDefault="00394CF6" w:rsidP="00C8505C">
      <w:pPr>
        <w:pStyle w:val="TextoPrincipal"/>
        <w:rPr>
          <w:lang w:val="es-HN"/>
        </w:rPr>
      </w:pPr>
    </w:p>
    <w:p w14:paraId="01A7EAE9" w14:textId="77777777" w:rsidR="00270739" w:rsidRPr="0076589C" w:rsidRDefault="00270739" w:rsidP="00270739"/>
    <w:p w14:paraId="66B85EF3" w14:textId="77777777" w:rsidR="00270739" w:rsidRPr="0076589C" w:rsidRDefault="00270739" w:rsidP="00270739"/>
    <w:p w14:paraId="6AC90D92" w14:textId="77777777" w:rsidR="00270739" w:rsidRPr="0076589C" w:rsidRDefault="00270739" w:rsidP="00270739"/>
    <w:p w14:paraId="1E03899E" w14:textId="77777777" w:rsidR="00270739" w:rsidRPr="0076589C" w:rsidRDefault="00270739" w:rsidP="00270739"/>
    <w:p w14:paraId="256E2BE3" w14:textId="0E965F1C" w:rsidR="00270739" w:rsidRPr="0076589C" w:rsidRDefault="00270739" w:rsidP="00A567EE">
      <w:pPr>
        <w:tabs>
          <w:tab w:val="left" w:pos="4180"/>
        </w:tabs>
        <w:ind w:left="0"/>
        <w:rPr>
          <w:rFonts w:cs="Times New Roman"/>
        </w:rPr>
        <w:sectPr w:rsidR="00270739" w:rsidRPr="0076589C" w:rsidSect="008C6BD1">
          <w:pgSz w:w="12240" w:h="15840" w:code="1"/>
          <w:pgMar w:top="1440" w:right="1440" w:bottom="1440" w:left="1440" w:header="720" w:footer="720" w:gutter="0"/>
          <w:cols w:space="720"/>
          <w:docGrid w:linePitch="360"/>
        </w:sectPr>
      </w:pPr>
    </w:p>
    <w:p w14:paraId="4D7633DB" w14:textId="77777777" w:rsidR="00270739" w:rsidRPr="0076589C" w:rsidRDefault="1C8D6E3A" w:rsidP="00270739">
      <w:pPr>
        <w:pStyle w:val="Ttulonivel4"/>
      </w:pPr>
      <w:r w:rsidRPr="0076589C">
        <w:lastRenderedPageBreak/>
        <w:t>2.1.3.9 FODA</w:t>
      </w:r>
    </w:p>
    <w:p w14:paraId="68197BBA" w14:textId="63E37DCF" w:rsidR="00270739" w:rsidRPr="0076589C" w:rsidRDefault="00083AAE" w:rsidP="00836DD1">
      <w:pPr>
        <w:pStyle w:val="Fuentes"/>
        <w:rPr>
          <w:lang w:val="es-HN"/>
        </w:rPr>
      </w:pPr>
      <w:r w:rsidRPr="0076589C">
        <w:rPr>
          <w:noProof/>
          <w:lang w:val="es-HN" w:eastAsia="es-HN"/>
        </w:rPr>
        <w:drawing>
          <wp:inline distT="0" distB="0" distL="0" distR="0" wp14:anchorId="295E4FC2" wp14:editId="064597FF">
            <wp:extent cx="7428441" cy="5054600"/>
            <wp:effectExtent l="0" t="0" r="1270" b="0"/>
            <wp:docPr id="1911299316" name="Picture 1911299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1299316" name="Imagen 1911299316"/>
                    <pic:cNvPicPr/>
                  </pic:nvPicPr>
                  <pic:blipFill rotWithShape="1">
                    <a:blip r:embed="rId16">
                      <a:extLst>
                        <a:ext uri="{28A0092B-C50C-407E-A947-70E740481C1C}">
                          <a14:useLocalDpi xmlns:a14="http://schemas.microsoft.com/office/drawing/2010/main" val="0"/>
                        </a:ext>
                      </a:extLst>
                    </a:blip>
                    <a:srcRect t="4725" b="4542"/>
                    <a:stretch/>
                  </pic:blipFill>
                  <pic:spPr bwMode="auto">
                    <a:xfrm>
                      <a:off x="0" y="0"/>
                      <a:ext cx="7478308" cy="5088532"/>
                    </a:xfrm>
                    <a:prstGeom prst="rect">
                      <a:avLst/>
                    </a:prstGeom>
                    <a:ln>
                      <a:noFill/>
                    </a:ln>
                    <a:extLst>
                      <a:ext uri="{53640926-AAD7-44D8-BBD7-CCE9431645EC}">
                        <a14:shadowObscured xmlns:a14="http://schemas.microsoft.com/office/drawing/2010/main"/>
                      </a:ext>
                    </a:extLst>
                  </pic:spPr>
                </pic:pic>
              </a:graphicData>
            </a:graphic>
          </wp:inline>
        </w:drawing>
      </w:r>
    </w:p>
    <w:p w14:paraId="5CEC01E1" w14:textId="5D328ECB" w:rsidR="006A39E8" w:rsidRPr="0076589C" w:rsidRDefault="1C8D6E3A" w:rsidP="006A39E8">
      <w:pPr>
        <w:pStyle w:val="ImagenyTabla"/>
        <w:rPr>
          <w:noProof w:val="0"/>
        </w:rPr>
      </w:pPr>
      <w:bookmarkStart w:id="130" w:name="_Toc158365587"/>
      <w:bookmarkStart w:id="131" w:name="_Hlk143975721"/>
      <w:r w:rsidRPr="0076589C">
        <w:t xml:space="preserve">Figura </w:t>
      </w:r>
      <w:r w:rsidR="7A54A044" w:rsidRPr="0076589C">
        <w:rPr>
          <w:noProof w:val="0"/>
        </w:rPr>
        <w:fldChar w:fldCharType="begin"/>
      </w:r>
      <w:r w:rsidR="7A54A044" w:rsidRPr="0076589C">
        <w:rPr>
          <w:noProof w:val="0"/>
        </w:rPr>
        <w:instrText xml:space="preserve"> SEQ Figura \* ARABIC </w:instrText>
      </w:r>
      <w:r w:rsidR="7A54A044" w:rsidRPr="0076589C">
        <w:rPr>
          <w:noProof w:val="0"/>
        </w:rPr>
        <w:fldChar w:fldCharType="separate"/>
      </w:r>
      <w:r w:rsidR="009F171A">
        <w:t>2</w:t>
      </w:r>
      <w:r w:rsidR="7A54A044" w:rsidRPr="0076589C">
        <w:rPr>
          <w:noProof w:val="0"/>
        </w:rPr>
        <w:fldChar w:fldCharType="end"/>
      </w:r>
      <w:r w:rsidRPr="0076589C">
        <w:t>.  FODA de la empresa</w:t>
      </w:r>
      <w:bookmarkEnd w:id="130"/>
    </w:p>
    <w:p w14:paraId="61BE15A3" w14:textId="1C1D0E72" w:rsidR="00270739" w:rsidRPr="0076589C" w:rsidRDefault="1C8D6E3A" w:rsidP="00C8505C">
      <w:pPr>
        <w:pStyle w:val="Fuentes"/>
        <w:rPr>
          <w:lang w:val="es-HN"/>
        </w:rPr>
        <w:sectPr w:rsidR="00270739" w:rsidRPr="0076589C" w:rsidSect="008C6BD1">
          <w:pgSz w:w="15840" w:h="12240" w:orient="landscape" w:code="1"/>
          <w:pgMar w:top="1440" w:right="1440" w:bottom="1440" w:left="1440" w:header="720" w:footer="720" w:gutter="0"/>
          <w:cols w:space="720"/>
          <w:docGrid w:linePitch="360"/>
        </w:sectPr>
      </w:pPr>
      <w:r w:rsidRPr="0076589C">
        <w:rPr>
          <w:lang w:val="es-HN"/>
        </w:rPr>
        <w:t>Fuente: Elaboración propia</w:t>
      </w:r>
      <w:bookmarkEnd w:id="131"/>
      <w:r w:rsidRPr="0076589C">
        <w:rPr>
          <w:lang w:val="es-HN"/>
        </w:rPr>
        <w:t>.</w:t>
      </w:r>
    </w:p>
    <w:p w14:paraId="0F6318CE" w14:textId="68A02301" w:rsidR="00285CF5" w:rsidRPr="0076589C" w:rsidRDefault="1C8D6E3A" w:rsidP="00494616">
      <w:pPr>
        <w:numPr>
          <w:ilvl w:val="1"/>
          <w:numId w:val="4"/>
        </w:numPr>
        <w:spacing w:after="120" w:line="360" w:lineRule="auto"/>
        <w:ind w:left="360"/>
        <w:outlineLvl w:val="1"/>
        <w:rPr>
          <w:rFonts w:eastAsia="Times New Roman" w:cs="Times New Roman"/>
          <w:b/>
          <w:bCs/>
        </w:rPr>
      </w:pPr>
      <w:bookmarkStart w:id="132" w:name="_Toc133044392"/>
      <w:bookmarkStart w:id="133" w:name="_Toc158365458"/>
      <w:bookmarkStart w:id="134" w:name="_Toc142766505"/>
      <w:r w:rsidRPr="0076589C">
        <w:rPr>
          <w:rFonts w:eastAsia="Times New Roman" w:cs="Times New Roman"/>
          <w:b/>
          <w:bCs/>
        </w:rPr>
        <w:lastRenderedPageBreak/>
        <w:t>CONCEPTUALIZACIÓN</w:t>
      </w:r>
      <w:bookmarkEnd w:id="132"/>
      <w:bookmarkEnd w:id="133"/>
      <w:r w:rsidRPr="0076589C">
        <w:rPr>
          <w:rFonts w:eastAsia="Times New Roman" w:cs="Times New Roman"/>
          <w:b/>
          <w:bCs/>
        </w:rPr>
        <w:t xml:space="preserve"> </w:t>
      </w:r>
      <w:bookmarkEnd w:id="134"/>
    </w:p>
    <w:p w14:paraId="108E8AD4" w14:textId="7B30F817" w:rsidR="00574B15" w:rsidRPr="0076589C" w:rsidRDefault="1C8D6E3A" w:rsidP="00C8505C">
      <w:pPr>
        <w:pStyle w:val="TextoPrincipal"/>
        <w:rPr>
          <w:lang w:val="es-HN"/>
        </w:rPr>
      </w:pPr>
      <w:r w:rsidRPr="0076589C">
        <w:rPr>
          <w:lang w:val="es-HN"/>
        </w:rPr>
        <w:t>La terminología clave para el desarrollo de la investigación se presenta a continuación.</w:t>
      </w:r>
    </w:p>
    <w:p w14:paraId="04DBA8C2" w14:textId="77777777" w:rsidR="00554090" w:rsidRPr="0076589C" w:rsidRDefault="1C8D6E3A" w:rsidP="00265CDA">
      <w:pPr>
        <w:pStyle w:val="Ttulonivel3"/>
        <w:numPr>
          <w:ilvl w:val="0"/>
          <w:numId w:val="8"/>
        </w:numPr>
        <w:ind w:left="720" w:firstLine="0"/>
      </w:pPr>
      <w:bookmarkStart w:id="135" w:name="_Toc158365459"/>
      <w:r w:rsidRPr="0076589C">
        <w:t>ACREEDOR</w:t>
      </w:r>
      <w:bookmarkEnd w:id="135"/>
    </w:p>
    <w:p w14:paraId="44B28599" w14:textId="1A451103" w:rsidR="004D350B" w:rsidRPr="0076589C" w:rsidRDefault="1C8D6E3A" w:rsidP="00DE3D8C">
      <w:pPr>
        <w:pStyle w:val="CitaLarga"/>
      </w:pPr>
      <w:r w:rsidRPr="0076589C">
        <w:t xml:space="preserve">Toda persona física o moral que tiene derecho a exigir de otra una prestación cualquiera. Toda persona física o moral que en un negocio entrega valores, efectos, mercancías, derechos o bienes de cualquier clase y recibe en cambio una promesa de pago o un crédito que establezca o aumente un saldo a su favor. </w:t>
      </w:r>
      <w:r w:rsidR="7A54A044" w:rsidRPr="0076589C">
        <w:fldChar w:fldCharType="begin"/>
      </w:r>
      <w:r w:rsidR="7A54A044" w:rsidRPr="0076589C">
        <w:instrText xml:space="preserve"> ADDIN ZOTERO_ITEM CSL_CITATION {"citationID":"Wtw4n6Py","properties":{"formattedCitation":"(Rub\\uc0\\u237{}, 2003)","plainCitation":"(Rubí, 2003)","noteIndex":0},"citationItems":[{"id":112,"uris":["http://zotero.org/users/12108825/items/T95CDFZA"],"itemData":{"id":112,"type":"book","abstract":"Glosario de términos financieros son definiciones fáciles ante un tema difícil. El autor trata de apoyar el conocimiento en el área de finanzas ante el escaso material que existe en español, a través de herramientas que colaboren a la comprensión y discusión de temas. La obra está enfocada en el ámbito financiero pero abarca temas de economía, contabilidad, administración y computación que se relacionan muy directamente con lo financiero.Un glosario explica siempre en forma sucinta las descripciones a diferencia de un diccionario que profundiza en los temas, esto mismo lo hace ágil y fácil de consultar.","ISBN":"978-970-722-202-1","language":"es","note":"Google-Books-ID: Z_Eyqx6XPqYC","number-of-pages":"444","publisher":"Plaza y Valdes","source":"Google Books","title":"Glosario de términos financieros: términos financieros, contables, administrativos, económicos, computacionales y legales","title-short":"Glosario de términos financieros","author":[{"family":"Rubí","given":"Leonel Vidales"}],"issued":{"date-parts":[["2003"]]}}}],"schema":"https://github.com/citation-style-language/schema/raw/master/csl-citation.json"} </w:instrText>
      </w:r>
      <w:r w:rsidR="7A54A044" w:rsidRPr="0076589C">
        <w:fldChar w:fldCharType="separate"/>
      </w:r>
      <w:r w:rsidRPr="0076589C">
        <w:t>(Rubí, 2003)</w:t>
      </w:r>
      <w:r w:rsidR="7A54A044" w:rsidRPr="0076589C">
        <w:fldChar w:fldCharType="end"/>
      </w:r>
    </w:p>
    <w:p w14:paraId="009F155E" w14:textId="2E4A7201" w:rsidR="00554090" w:rsidRPr="0076589C" w:rsidRDefault="1C8D6E3A" w:rsidP="00C8505C">
      <w:pPr>
        <w:pStyle w:val="TextoPrincipal"/>
        <w:rPr>
          <w:lang w:val="es-HN"/>
        </w:rPr>
      </w:pPr>
      <w:r w:rsidRPr="0076589C">
        <w:rPr>
          <w:lang w:val="es-HN"/>
        </w:rPr>
        <w:t>En una de las definiciones más recientes del concepto de acreedor se plante</w:t>
      </w:r>
      <w:r w:rsidR="009E4A1C" w:rsidRPr="0076589C">
        <w:rPr>
          <w:lang w:val="es-HN"/>
        </w:rPr>
        <w:t>ó</w:t>
      </w:r>
      <w:r w:rsidRPr="0076589C">
        <w:rPr>
          <w:lang w:val="es-HN"/>
        </w:rPr>
        <w:t xml:space="preserve">: “Persona o institución que tiene derecho a pedir el cumplimiento de alguna obligación o la satisfacción de una deuda.” </w:t>
      </w:r>
      <w:r w:rsidR="090052DC" w:rsidRPr="0076589C">
        <w:rPr>
          <w:lang w:val="es-HN"/>
        </w:rPr>
        <w:fldChar w:fldCharType="begin"/>
      </w:r>
      <w:r w:rsidR="090052DC" w:rsidRPr="0076589C">
        <w:rPr>
          <w:lang w:val="es-HN"/>
        </w:rPr>
        <w:instrText xml:space="preserve"> ADDIN ZOTERO_ITEM CSL_CITATION {"citationID":"3ht4pYCw","properties":{"formattedCitation":"(Corporaci\\uc0\\u243{}n Financiera Nacional (CFN), 2018)","plainCitation":"(Corporación Financiera Nacional (CFN), 2018)","dontUpdate":true,"noteIndex":0},"citationItems":[{"id":135,"uris":["http://zotero.org/users/12108825/items/ECIDQNFG"],"itemData":{"id":135,"type":"report","title":"Glosario de Términos Financieros","URL":"https://www.cfn.fin.ec/wp-content/uploads/2018/08/GLOSARIO-DE-TERMINOS-FINANCIEROS.pdf","author":[{"family":"Corporación Financiera Nacional (CFN)","given":""}],"issued":{"date-parts":[["2018"]]}}}],"schema":"https://github.com/citation-style-language/schema/raw/master/csl-citation.json"} </w:instrText>
      </w:r>
      <w:r w:rsidR="090052DC" w:rsidRPr="0076589C">
        <w:rPr>
          <w:lang w:val="es-HN"/>
        </w:rPr>
        <w:fldChar w:fldCharType="separate"/>
      </w:r>
      <w:r w:rsidRPr="0076589C">
        <w:rPr>
          <w:lang w:val="es-HN"/>
        </w:rPr>
        <w:t>(Corporación Financiera Nacional (CFN), 2018, pág.1)</w:t>
      </w:r>
      <w:r w:rsidR="090052DC" w:rsidRPr="0076589C">
        <w:rPr>
          <w:lang w:val="es-HN"/>
        </w:rPr>
        <w:fldChar w:fldCharType="end"/>
      </w:r>
    </w:p>
    <w:p w14:paraId="45470855" w14:textId="77777777" w:rsidR="00554090" w:rsidRPr="0076589C" w:rsidRDefault="1C8D6E3A" w:rsidP="00265CDA">
      <w:pPr>
        <w:pStyle w:val="Ttulonivel3"/>
        <w:numPr>
          <w:ilvl w:val="0"/>
          <w:numId w:val="8"/>
        </w:numPr>
        <w:ind w:left="720" w:firstLine="0"/>
      </w:pPr>
      <w:bookmarkStart w:id="136" w:name="_Toc158365460"/>
      <w:r w:rsidRPr="0076589C">
        <w:t>ADMINISTRACIÓN</w:t>
      </w:r>
      <w:bookmarkEnd w:id="136"/>
    </w:p>
    <w:p w14:paraId="1A927942" w14:textId="39C38351" w:rsidR="090052DC" w:rsidRPr="0076589C" w:rsidRDefault="1C8D6E3A" w:rsidP="00812DCC">
      <w:pPr>
        <w:pStyle w:val="TextoPrincipal"/>
        <w:rPr>
          <w:lang w:val="es-HN"/>
        </w:rPr>
      </w:pPr>
      <w:r w:rsidRPr="0076589C">
        <w:rPr>
          <w:lang w:val="es-HN"/>
        </w:rPr>
        <w:t xml:space="preserve">En la antigüedad el término Administración </w:t>
      </w:r>
      <w:r w:rsidR="004E3976" w:rsidRPr="0076589C">
        <w:rPr>
          <w:lang w:val="es-HN"/>
        </w:rPr>
        <w:t>se definió</w:t>
      </w:r>
      <w:r w:rsidRPr="0076589C">
        <w:rPr>
          <w:lang w:val="es-HN"/>
        </w:rPr>
        <w:t xml:space="preserve"> cómo:</w:t>
      </w:r>
    </w:p>
    <w:p w14:paraId="4BFED3ED" w14:textId="24E16891" w:rsidR="72A91A42" w:rsidRPr="0076589C" w:rsidRDefault="1C8D6E3A" w:rsidP="72A91A42">
      <w:pPr>
        <w:pStyle w:val="TextoPrincipal"/>
        <w:rPr>
          <w:lang w:val="es-HN"/>
        </w:rPr>
      </w:pPr>
      <w:r w:rsidRPr="0076589C">
        <w:rPr>
          <w:lang w:val="es-HN"/>
        </w:rPr>
        <w:t xml:space="preserve">"Un proceso social que lleva consigo la responsabilidad de planear y regular en forma eficiente las operaciones de una empresa, para lograr un propósito dado" </w:t>
      </w:r>
      <w:r w:rsidR="090052DC" w:rsidRPr="0076589C">
        <w:rPr>
          <w:lang w:val="es-HN"/>
        </w:rPr>
        <w:fldChar w:fldCharType="begin"/>
      </w:r>
      <w:r w:rsidR="090052DC" w:rsidRPr="0076589C">
        <w:rPr>
          <w:lang w:val="es-HN"/>
        </w:rPr>
        <w:instrText xml:space="preserve"> ADDIN ZOTERO_ITEM CSL_CITATION {"citationID":"PSKwdrHd","properties":{"formattedCitation":"(Ponce, 1978)","plainCitation":"(Ponce, 1978)","dontUpdate":true,"noteIndex":0},"citationItems":[{"id":335,"uris":["http://zotero.org/users/12108825/items/8PX6S7CQ"],"itemData":{"id":335,"type":"book","abstract":"La presente obra, por su carácter primordial de texto para el estudio de la administración en el nivel universitario, reúne las características que suelen predominar en los estudios que constantemente aparecen sobre esa materia: algunos se dedican, básicamente, a reproducir reglas y describir instrumentos de la administración, constituyendo interesantes manuales para la resolución práctica de los problemas concretos que se presentan en una empresa; otros, tratan de ahondar principalmente en los supuestos sociológicos, filosóficos, psicológicos, etcétera, del fenómeno administrativo.","ISBN":"978-968-18-0059-8","language":"es","note":"Google-Books-ID: 92MVGpDDqn0C","number-of-pages":"196","publisher":"Editorial Limusa","source":"Google Books","title":"Administración de empresas: teoría y práctica","title-short":"Administración de empresas","author":[{"family":"Ponce","given":"Agustín Reyes"}],"issued":{"date-parts":[["1978"]]}}}],"schema":"https://github.com/citation-style-language/schema/raw/master/csl-citation.json"} </w:instrText>
      </w:r>
      <w:r w:rsidR="090052DC" w:rsidRPr="0076589C">
        <w:rPr>
          <w:lang w:val="es-HN"/>
        </w:rPr>
        <w:fldChar w:fldCharType="separate"/>
      </w:r>
      <w:r w:rsidRPr="0076589C">
        <w:rPr>
          <w:lang w:val="es-HN"/>
        </w:rPr>
        <w:t>(Ponce, 1978, pág.16)</w:t>
      </w:r>
      <w:r w:rsidR="090052DC" w:rsidRPr="0076589C">
        <w:rPr>
          <w:lang w:val="es-HN"/>
        </w:rPr>
        <w:fldChar w:fldCharType="end"/>
      </w:r>
      <w:r w:rsidRPr="0076589C">
        <w:rPr>
          <w:lang w:val="es-HN"/>
        </w:rPr>
        <w:t xml:space="preserve"> </w:t>
      </w:r>
    </w:p>
    <w:p w14:paraId="49D62DE5" w14:textId="39D57FF5" w:rsidR="090052DC" w:rsidRPr="0076589C" w:rsidRDefault="1C8D6E3A" w:rsidP="090052DC">
      <w:pPr>
        <w:pStyle w:val="TextoPrincipal"/>
        <w:rPr>
          <w:lang w:val="es-HN"/>
        </w:rPr>
      </w:pPr>
      <w:r w:rsidRPr="0076589C">
        <w:rPr>
          <w:lang w:val="es-HN"/>
        </w:rPr>
        <w:t>Posteriormente en el año 2018 se reformula según la Corporación Financiera Nacional como una:</w:t>
      </w:r>
    </w:p>
    <w:p w14:paraId="78417024" w14:textId="18FFB5C4" w:rsidR="00455738" w:rsidRPr="0076589C" w:rsidRDefault="1C8D6E3A" w:rsidP="00455738">
      <w:pPr>
        <w:pStyle w:val="TextoPrincipal"/>
        <w:rPr>
          <w:lang w:val="es-HN"/>
        </w:rPr>
      </w:pPr>
      <w:r w:rsidRPr="0076589C">
        <w:rPr>
          <w:lang w:val="es-HN"/>
        </w:rPr>
        <w:t xml:space="preserve">“Técnica que tiene por objeto la obtención de recursos financieros que requiere una persona o empresa, incluyendo el control y adecuado uso de los mismos, así como el control y protección de los activos” </w:t>
      </w:r>
      <w:r w:rsidR="7A54A044" w:rsidRPr="0076589C">
        <w:rPr>
          <w:lang w:val="es-HN"/>
        </w:rPr>
        <w:fldChar w:fldCharType="begin"/>
      </w:r>
      <w:r w:rsidR="7A54A044" w:rsidRPr="0076589C">
        <w:rPr>
          <w:lang w:val="es-HN"/>
        </w:rPr>
        <w:instrText xml:space="preserve"> ADDIN ZOTERO_ITEM CSL_CITATION {"citationID":"tusAm4Wt","properties":{"formattedCitation":"(Corporaci\\uc0\\u243{}n Financiera Nacional (CFN), 2018)","plainCitation":"(Corporación Financiera Nacional (CFN), 2018)","dontUpdate":true,"noteIndex":0},"citationItems":[{"id":135,"uris":["http://zotero.org/users/12108825/items/ECIDQNFG"],"itemData":{"id":135,"type":"report","title":"Glosario de Términos Financieros","URL":"https://www.cfn.fin.ec/wp-content/uploads/2018/08/GLOSARIO-DE-TERMINOS-FINANCIEROS.pdf","author":[{"family":"Corporación Financiera Nacional (CFN)","given":""}],"issued":{"date-parts":[["2018"]]}}}],"schema":"https://github.com/citation-style-language/schema/raw/master/csl-citation.json"} </w:instrText>
      </w:r>
      <w:r w:rsidR="7A54A044" w:rsidRPr="0076589C">
        <w:rPr>
          <w:lang w:val="es-HN"/>
        </w:rPr>
        <w:fldChar w:fldCharType="separate"/>
      </w:r>
      <w:r w:rsidRPr="0076589C">
        <w:rPr>
          <w:lang w:val="es-HN"/>
        </w:rPr>
        <w:t>(Corporación Financiera Nacional (CFN), 2018, pág.1)</w:t>
      </w:r>
      <w:r w:rsidR="7A54A044" w:rsidRPr="0076589C">
        <w:rPr>
          <w:lang w:val="es-HN"/>
        </w:rPr>
        <w:fldChar w:fldCharType="end"/>
      </w:r>
    </w:p>
    <w:p w14:paraId="67F564E0" w14:textId="77777777" w:rsidR="00455738" w:rsidRPr="0076589C" w:rsidRDefault="1C8D6E3A" w:rsidP="00265CDA">
      <w:pPr>
        <w:pStyle w:val="Ttulonivel3"/>
        <w:numPr>
          <w:ilvl w:val="0"/>
          <w:numId w:val="8"/>
        </w:numPr>
        <w:ind w:left="720" w:firstLine="0"/>
      </w:pPr>
      <w:bookmarkStart w:id="137" w:name="_Toc158365461"/>
      <w:r w:rsidRPr="0076589C">
        <w:t>ADMINISTRACIÓN FINANCIERA</w:t>
      </w:r>
      <w:bookmarkEnd w:id="137"/>
      <w:r w:rsidRPr="0076589C">
        <w:t xml:space="preserve">  </w:t>
      </w:r>
    </w:p>
    <w:p w14:paraId="629FBC91" w14:textId="402A0E2B" w:rsidR="090052DC" w:rsidRPr="0076589C" w:rsidRDefault="1C8D6E3A" w:rsidP="00812DCC">
      <w:pPr>
        <w:pStyle w:val="TextoPrincipal"/>
        <w:rPr>
          <w:lang w:val="es-HN"/>
        </w:rPr>
      </w:pPr>
      <w:r w:rsidRPr="0076589C">
        <w:rPr>
          <w:lang w:val="es-HN"/>
        </w:rPr>
        <w:t>El concepto de Administración Financiera ha evolucionado conforme el tiempo, donde en 1980 según el autor Aldena lo definió de la siguiente manera:</w:t>
      </w:r>
    </w:p>
    <w:p w14:paraId="431779B0" w14:textId="56E7AE88" w:rsidR="72A91A42" w:rsidRPr="0076589C" w:rsidRDefault="1C8D6E3A" w:rsidP="72A91A42">
      <w:pPr>
        <w:pStyle w:val="CitaLarga"/>
      </w:pPr>
      <w:r w:rsidRPr="0076589C">
        <w:t>Se sitúa así dentro del marco de un proceso racional de toma de decisiones. Si bien las etapas que cumplen un proceso racional de toma de decisiones pueden describirse de distintas formas, entendemos que podemos reunirlas del siguiente modo: Fijación por objetivos, Diagnóstico de problemas, Búsqueda de alternativas, Evaluación de alternativa, Selección de la mejor, Puesta en práctica, Control de resultados. (</w:t>
      </w:r>
      <w:r w:rsidR="0DF523A2" w:rsidRPr="0076589C">
        <w:fldChar w:fldCharType="begin"/>
      </w:r>
      <w:r w:rsidR="0DF523A2" w:rsidRPr="0076589C">
        <w:instrText xml:space="preserve"> ADDIN ZOTERO_ITEM CSL_CITATION {"citationID":"KRSt3aMe","properties":{"formattedCitation":"(Aldena, 1980)","plainCitation":"(Aldena, 1980)","dontUpdate":true,"noteIndex":0},"citationItems":[{"id":337,"uris":["http://zotero.org/users/12108825/items/ZQGCNSFM"],"itemData":{"id":337,"type":"book","event-place":"Colombia","publisher-place":"Colombia","title":"Manual para Maneja Contable y Control de las Formas Associativas (FAS)","URL":"https://www.google.hn/books/edition/Manual_para_Maneja_Contable_y_Control_de/NliTpwybHJYC?hl=es&amp;gbpv=1","author":[{"family":"Aldena","given":"Hugo"}],"accessed":{"date-parts":[["2023",9,15]]},"issued":{"date-parts":[["1980"]]}}}],"schema":"https://github.com/citation-style-language/schema/raw/master/csl-citation.json"} </w:instrText>
      </w:r>
      <w:r w:rsidR="0DF523A2" w:rsidRPr="0076589C">
        <w:fldChar w:fldCharType="separate"/>
      </w:r>
      <w:r w:rsidRPr="0076589C">
        <w:t>Aldena, 1980, pág.1)</w:t>
      </w:r>
      <w:r w:rsidR="0DF523A2" w:rsidRPr="0076589C">
        <w:fldChar w:fldCharType="end"/>
      </w:r>
      <w:r w:rsidRPr="0076589C">
        <w:t xml:space="preserve"> </w:t>
      </w:r>
    </w:p>
    <w:p w14:paraId="6DB0583D" w14:textId="63E86095" w:rsidR="0DF523A2" w:rsidRPr="0076589C" w:rsidRDefault="1C8D6E3A" w:rsidP="00812DCC">
      <w:pPr>
        <w:pStyle w:val="TextoPrincipal"/>
        <w:rPr>
          <w:lang w:val="es-HN"/>
        </w:rPr>
      </w:pPr>
      <w:r w:rsidRPr="0076589C">
        <w:rPr>
          <w:lang w:val="es-HN"/>
        </w:rPr>
        <w:t xml:space="preserve">En el 2003, según el autor Rubí destaca casi las mismas actividades que se habían mencionado en 1980, pero con otros nombres, que se muestran a continuación: </w:t>
      </w:r>
    </w:p>
    <w:p w14:paraId="2E9282DB" w14:textId="75C3F072" w:rsidR="00455738" w:rsidRPr="0076589C" w:rsidRDefault="1C8D6E3A" w:rsidP="00455738">
      <w:pPr>
        <w:pStyle w:val="CitaLarga"/>
      </w:pPr>
      <w:r w:rsidRPr="0076589C">
        <w:t xml:space="preserve">Técnica que tiene por objeto la obtención de recursos monetarios que requiere una empresa, incluyendo el control y adecuado uso de los mismo, así como el control y protección de los activos </w:t>
      </w:r>
      <w:r w:rsidRPr="0076589C">
        <w:lastRenderedPageBreak/>
        <w:t xml:space="preserve">de la empresa. Comprende las siguientes actividades: planificación y control financiero, administración del capital de trabajo, inversiones en activo fijo y soluciones sobre estructura de capital. </w:t>
      </w:r>
      <w:r w:rsidR="7A54A044" w:rsidRPr="0076589C">
        <w:fldChar w:fldCharType="begin"/>
      </w:r>
      <w:r w:rsidR="7A54A044" w:rsidRPr="0076589C">
        <w:instrText xml:space="preserve"> ADDIN ZOTERO_ITEM CSL_CITATION {"citationID":"ToteDhIU","properties":{"formattedCitation":"(Rub\\uc0\\u237{}, 2003)","plainCitation":"(Rubí, 2003)","dontUpdate":true,"noteIndex":0},"citationItems":[{"id":112,"uris":["http://zotero.org/users/12108825/items/T95CDFZA"],"itemData":{"id":112,"type":"book","abstract":"Glosario de términos financieros son definiciones fáciles ante un tema difícil. El autor trata de apoyar el conocimiento en el área de finanzas ante el escaso material que existe en español, a través de herramientas que colaboren a la comprensión y discusión de temas. La obra está enfocada en el ámbito financiero pero abarca temas de economía, contabilidad, administración y computación que se relacionan muy directamente con lo financiero.Un glosario explica siempre en forma sucinta las descripciones a diferencia de un diccionario que profundiza en los temas, esto mismo lo hace ágil y fácil de consultar.","ISBN":"978-970-722-202-1","language":"es","note":"Google-Books-ID: Z_Eyqx6XPqYC","number-of-pages":"444","publisher":"Plaza y Valdes","source":"Google Books","title":"Glosario de términos financieros: términos financieros, contables, administrativos, económicos, computacionales y legales","title-short":"Glosario de términos financieros","author":[{"family":"Rubí","given":"Leonel Vidales"}],"issued":{"date-parts":[["2003"]]}}}],"schema":"https://github.com/citation-style-language/schema/raw/master/csl-citation.json"} </w:instrText>
      </w:r>
      <w:r w:rsidR="7A54A044" w:rsidRPr="0076589C">
        <w:fldChar w:fldCharType="separate"/>
      </w:r>
      <w:r w:rsidRPr="0076589C">
        <w:t>(Rubí, 2003, pág.29)</w:t>
      </w:r>
      <w:r w:rsidR="7A54A044" w:rsidRPr="0076589C">
        <w:fldChar w:fldCharType="end"/>
      </w:r>
    </w:p>
    <w:p w14:paraId="2DB34FAC" w14:textId="77777777" w:rsidR="001967CD" w:rsidRPr="0076589C" w:rsidRDefault="1C8D6E3A" w:rsidP="00265CDA">
      <w:pPr>
        <w:pStyle w:val="Ttulonivel3"/>
        <w:numPr>
          <w:ilvl w:val="0"/>
          <w:numId w:val="8"/>
        </w:numPr>
        <w:ind w:left="720" w:firstLine="0"/>
      </w:pPr>
      <w:bookmarkStart w:id="138" w:name="_Toc158365462"/>
      <w:r w:rsidRPr="0076589C">
        <w:t>ANÁLISIS DE CRÉDITO</w:t>
      </w:r>
      <w:bookmarkEnd w:id="138"/>
    </w:p>
    <w:p w14:paraId="22067FE5" w14:textId="2DE91CC8" w:rsidR="0DF523A2" w:rsidRPr="0076589C" w:rsidRDefault="1C8D6E3A" w:rsidP="00812DCC">
      <w:pPr>
        <w:pStyle w:val="TextoPrincipal"/>
        <w:rPr>
          <w:lang w:val="es-HN"/>
        </w:rPr>
      </w:pPr>
      <w:r w:rsidRPr="0076589C">
        <w:rPr>
          <w:lang w:val="es-HN"/>
        </w:rPr>
        <w:t>Sobre el análisis de crédito los conceptos tienen diferentes enfoques, el primero que se menciona es dirigido a la recuperación más de la cartera crediticia de una empresa, definido como:</w:t>
      </w:r>
    </w:p>
    <w:p w14:paraId="6123AD63" w14:textId="6964C42D" w:rsidR="006A166D" w:rsidRPr="0076589C" w:rsidRDefault="1C8D6E3A" w:rsidP="006A166D">
      <w:pPr>
        <w:pStyle w:val="CitaLarga"/>
      </w:pPr>
      <w:r w:rsidRPr="0076589C">
        <w:t xml:space="preserve">El análisis, evaluación o investigación de crédito, es la fase del estudio contable y económico-financiero que realiza un banco o instituto financiero. Hacen este estudio con el fin de apreciar y poner de manifiesto los factores que posibilitan o que impiden la recuperación normal del dinero que se está solicitando. Se busca, pues, evaluar la naturaleza y la extensión del riesgo, entendiéndose por éste la posibilidad de que no se puedan recuperar las cantidades dadas en préstamos o que se demore o se retarde su cancelación. </w:t>
      </w:r>
      <w:r w:rsidR="7A54A044" w:rsidRPr="0076589C">
        <w:fldChar w:fldCharType="begin"/>
      </w:r>
      <w:r w:rsidR="7A54A044" w:rsidRPr="0076589C">
        <w:instrText xml:space="preserve"> ADDIN ZOTERO_ITEM CSL_CITATION {"citationID":"LNUTminH","properties":{"formattedCitation":"({\\i{}Curso de formacion profesional bancaria}, s.\\uc0\\u160{}f.)","plainCitation":"(Curso de formacion profesional bancaria, s. f.)","dontUpdate":true,"noteIndex":0},"citationItems":[{"id":133,"uris":["http://zotero.org/users/12108825/items/EFDSPQIB"],"itemData":{"id":133,"type":"book","ISBN":"978-980-388-304-1","language":"es","note":"Google-Books-ID: 6BckYwV8tGsC","number-of-pages":"100","publisher":"El Nacional","source":"Google Books","title":"Curso de formacion profesional bancaria"}}],"schema":"https://github.com/citation-style-language/schema/raw/master/csl-citation.json"} </w:instrText>
      </w:r>
      <w:r w:rsidR="7A54A044" w:rsidRPr="0076589C">
        <w:fldChar w:fldCharType="separate"/>
      </w:r>
      <w:r w:rsidRPr="0076589C">
        <w:t>(</w:t>
      </w:r>
      <w:r w:rsidRPr="0076589C">
        <w:rPr>
          <w:i/>
          <w:iCs/>
        </w:rPr>
        <w:t>Curso de formación profesional bancaria</w:t>
      </w:r>
      <w:r w:rsidRPr="0076589C">
        <w:t>, s. f., pág.55)</w:t>
      </w:r>
      <w:r w:rsidR="7A54A044" w:rsidRPr="0076589C">
        <w:fldChar w:fldCharType="end"/>
      </w:r>
    </w:p>
    <w:p w14:paraId="752DCD62" w14:textId="2EC0BE72" w:rsidR="72A91A42" w:rsidRPr="0076589C" w:rsidRDefault="1C8D6E3A" w:rsidP="00812DCC">
      <w:pPr>
        <w:pStyle w:val="TextoPrincipal"/>
        <w:rPr>
          <w:lang w:val="es-HN"/>
        </w:rPr>
      </w:pPr>
      <w:r w:rsidRPr="0076589C">
        <w:rPr>
          <w:lang w:val="es-HN"/>
        </w:rPr>
        <w:t>Y así como lo menciona Horne &amp; Wachowicz en el 2002 es para realizar el análisis de crédito cuando se le quiere otorgar a un cliente:</w:t>
      </w:r>
    </w:p>
    <w:p w14:paraId="1E1E15BE" w14:textId="3378E133" w:rsidR="72A91A42" w:rsidRPr="0076589C" w:rsidRDefault="1C8D6E3A" w:rsidP="72A91A42">
      <w:pPr>
        <w:pStyle w:val="CitaLarga"/>
      </w:pPr>
      <w:r w:rsidRPr="0076589C">
        <w:t xml:space="preserve">Las empresas deben realizar un análisis de crédito de los solicitantes. En la práctica, la recopilación de datos y su análisis están muy relacionados. Si, con base en la información inicial de crédito, una cuenta importante parece relativamente riesgosa, el analista de crédito deseará obtener más datos. Es probable que el valor esperado de la información complementaria exceda el costo de adquirirla. Con base en los estados financieros de un solicitante de crédito, el analista de crédito debe estudiar las razones. </w:t>
      </w:r>
      <w:r w:rsidR="7A54A044" w:rsidRPr="0076589C">
        <w:fldChar w:fldCharType="begin"/>
      </w:r>
      <w:r w:rsidR="7A54A044" w:rsidRPr="0076589C">
        <w:instrText xml:space="preserve"> ADDIN ZOTERO_ITEM CSL_CITATION {"citationID":"OEdomlOZ","properties":{"formattedCitation":"(Horne &amp; Wachowicz, 2002)","plainCitation":"(Horne &amp; Wachowicz, 2002)","noteIndex":0},"citationItems":[{"id":339,"uris":["http://zotero.org/users/12108825/items/HBW5J8D9"],"itemData":{"id":339,"type":"book","ISBN":"978-970-26-0238-5","language":"es","note":"Google-Books-ID: ziiCVbfGK3UC","number-of-pages":"772","publisher":"Pearson Educación","source":"Google Books","title":"Fundamentos de administración financiera","author":[{"family":"Horne","given":"James C. Van"},{"family":"Wachowicz","given":"John Martin"}],"issued":{"date-parts":[["2002"]]}}}],"schema":"https://github.com/citation-style-language/schema/raw/master/csl-citation.json"} </w:instrText>
      </w:r>
      <w:r w:rsidR="7A54A044" w:rsidRPr="0076589C">
        <w:fldChar w:fldCharType="separate"/>
      </w:r>
      <w:r w:rsidRPr="0076589C">
        <w:t>(Horne &amp; Wachowicz, 2002)</w:t>
      </w:r>
      <w:r w:rsidR="7A54A044" w:rsidRPr="0076589C">
        <w:fldChar w:fldCharType="end"/>
      </w:r>
      <w:r w:rsidRPr="0076589C">
        <w:t xml:space="preserve"> </w:t>
      </w:r>
    </w:p>
    <w:p w14:paraId="57C49AA6" w14:textId="77777777" w:rsidR="006A166D" w:rsidRPr="0076589C" w:rsidRDefault="1C8D6E3A" w:rsidP="00211556">
      <w:pPr>
        <w:pStyle w:val="Ttulonivel3"/>
        <w:numPr>
          <w:ilvl w:val="0"/>
          <w:numId w:val="8"/>
        </w:numPr>
        <w:ind w:left="720" w:firstLine="0"/>
      </w:pPr>
      <w:bookmarkStart w:id="139" w:name="_Toc158365463"/>
      <w:r w:rsidRPr="0076589C">
        <w:t>ANÁLISIS FINANCIERO</w:t>
      </w:r>
      <w:bookmarkEnd w:id="139"/>
    </w:p>
    <w:p w14:paraId="569C1CDD" w14:textId="733D4F55" w:rsidR="0DF523A2" w:rsidRPr="0076589C" w:rsidRDefault="1C8D6E3A" w:rsidP="0DF523A2">
      <w:pPr>
        <w:pStyle w:val="TextoPrincipal"/>
        <w:rPr>
          <w:lang w:val="es-HN"/>
        </w:rPr>
      </w:pPr>
      <w:r w:rsidRPr="0076589C">
        <w:rPr>
          <w:lang w:val="es-HN"/>
        </w:rPr>
        <w:t>En los años 2000, plant</w:t>
      </w:r>
      <w:r w:rsidR="009E4A1C" w:rsidRPr="0076589C">
        <w:rPr>
          <w:lang w:val="es-HN"/>
        </w:rPr>
        <w:t>eó</w:t>
      </w:r>
      <w:r w:rsidRPr="0076589C">
        <w:rPr>
          <w:lang w:val="es-HN"/>
        </w:rPr>
        <w:t xml:space="preserve"> una definición del análisis financiero como:</w:t>
      </w:r>
    </w:p>
    <w:p w14:paraId="2C6DB5D0" w14:textId="0AE6BD10" w:rsidR="006A166D" w:rsidRPr="0076589C" w:rsidRDefault="1C8D6E3A" w:rsidP="006A166D">
      <w:pPr>
        <w:pStyle w:val="TextoPrincipal"/>
        <w:rPr>
          <w:lang w:val="es-HN"/>
        </w:rPr>
      </w:pPr>
      <w:r w:rsidRPr="0076589C">
        <w:rPr>
          <w:lang w:val="es-HN"/>
        </w:rPr>
        <w:t xml:space="preserve">“Procedimiento utilizado para evaluar la estructura de las fuentes y usos de los recursos monetarios. Se aplica para establecer las modalidades bajo las cuales se mueven los flujos de efectivo y explicar los problemas y circunstancias que en ellos influyen” </w:t>
      </w:r>
      <w:r w:rsidR="0DF523A2" w:rsidRPr="0076589C">
        <w:rPr>
          <w:lang w:val="es-HN"/>
        </w:rPr>
        <w:fldChar w:fldCharType="begin"/>
      </w:r>
      <w:r w:rsidR="0DF523A2" w:rsidRPr="0076589C">
        <w:rPr>
          <w:lang w:val="es-HN"/>
        </w:rPr>
        <w:instrText xml:space="preserve"> ADDIN ZOTERO_ITEM CSL_CITATION {"citationID":"q0GZwoXb","properties":{"formattedCitation":"(Rub\\uc0\\u237{}, 2003)","plainCitation":"(Rubí, 2003)","dontUpdate":true,"noteIndex":0},"citationItems":[{"id":112,"uris":["http://zotero.org/users/12108825/items/T95CDFZA"],"itemData":{"id":112,"type":"book","abstract":"Glosario de términos financieros son definiciones fáciles ante un tema difícil. El autor trata de apoyar el conocimiento en el área de finanzas ante el escaso material que existe en español, a través de herramientas que colaboren a la comprensión y discusión de temas. La obra está enfocada en el ámbito financiero pero abarca temas de economía, contabilidad, administración y computación que se relacionan muy directamente con lo financiero.Un glosario explica siempre en forma sucinta las descripciones a diferencia de un diccionario que profundiza en los temas, esto mismo lo hace ágil y fácil de consultar.","ISBN":"978-970-722-202-1","language":"es","note":"Google-Books-ID: Z_Eyqx6XPqYC","number-of-pages":"444","publisher":"Plaza y Valdes","source":"Google Books","title":"Glosario de términos financieros: términos financieros, contables, administrativos, económicos, computacionales y legales","title-short":"Glosario de términos financieros","author":[{"family":"Rubí","given":"Leonel Vidales"}],"issued":{"date-parts":[["2003"]]}}}],"schema":"https://github.com/citation-style-language/schema/raw/master/csl-citation.json"} </w:instrText>
      </w:r>
      <w:r w:rsidR="0DF523A2" w:rsidRPr="0076589C">
        <w:rPr>
          <w:lang w:val="es-HN"/>
        </w:rPr>
        <w:fldChar w:fldCharType="separate"/>
      </w:r>
      <w:r w:rsidRPr="0076589C">
        <w:rPr>
          <w:lang w:val="es-HN"/>
        </w:rPr>
        <w:t>(Rubí, 2003, pág.42)</w:t>
      </w:r>
      <w:r w:rsidR="0DF523A2" w:rsidRPr="0076589C">
        <w:rPr>
          <w:lang w:val="es-HN"/>
        </w:rPr>
        <w:fldChar w:fldCharType="end"/>
      </w:r>
    </w:p>
    <w:p w14:paraId="47D88A12" w14:textId="7551B10B" w:rsidR="0084175F" w:rsidRPr="0076589C" w:rsidRDefault="1C8D6E3A" w:rsidP="00812DCC">
      <w:pPr>
        <w:pStyle w:val="TextoPrincipal"/>
        <w:rPr>
          <w:lang w:val="es-HN"/>
        </w:rPr>
      </w:pPr>
      <w:r w:rsidRPr="0076589C">
        <w:rPr>
          <w:lang w:val="es-HN"/>
        </w:rPr>
        <w:t>En una versión más consolidada y actualizada de la definición de Análisis Financiero:</w:t>
      </w:r>
    </w:p>
    <w:p w14:paraId="73EF287E" w14:textId="67AC869C" w:rsidR="001967CD" w:rsidRPr="0076589C" w:rsidRDefault="1C8D6E3A" w:rsidP="0082371C">
      <w:pPr>
        <w:pStyle w:val="TextoPrincipal"/>
        <w:rPr>
          <w:lang w:val="es-HN"/>
        </w:rPr>
      </w:pPr>
      <w:r w:rsidRPr="0076589C">
        <w:rPr>
          <w:lang w:val="es-HN"/>
        </w:rPr>
        <w:t xml:space="preserve">“Podemos definir el análisis financiero como el conjunto de técnicas utilizadas para diagnosticar la situación y las perspectivas de la empresa.” </w:t>
      </w:r>
      <w:r w:rsidR="7A54A044" w:rsidRPr="0076589C">
        <w:rPr>
          <w:lang w:val="es-HN"/>
        </w:rPr>
        <w:fldChar w:fldCharType="begin"/>
      </w:r>
      <w:r w:rsidR="7A54A044" w:rsidRPr="0076589C">
        <w:rPr>
          <w:lang w:val="es-HN"/>
        </w:rPr>
        <w:instrText xml:space="preserve"> ADDIN ZOTERO_ITEM CSL_CITATION {"citationID":"FIUX6hS5","properties":{"formattedCitation":"(M. C. Padilla, 2014)","plainCitation":"(M. C. Padilla, 2014)","noteIndex":0},"citationItems":[{"id":103,"uris":["http://zotero.org/users/12108825/items/VM3W5ZDG"],"itemData":{"id":103,"type":"book","abstract":"El análisis financiero es de gran importancia para el correcto funcionamiento de la empresa, y básico en el control del cumplimiento de planes así como en el estudio de los resultados empresariales, pues posibilita la toma de decisiones eficientes con el fin de garantizar el empleo racional de los recursos materiales, humanos y financieros. Esta obra contribuye a que la administración de la empresa pueda interpretar la información financiera y medir el progreso, mediante la comparación de los resultados alcanzados con las operaciones planeadas y los controles aplicados; a su vez conocer la capacidad de endeudamiento, rentabilidad y fortaleza o debilidad financiera, lo cual facilita el análisis de la situación económica para la toma de decisiones.","ISBN":"978-958-771-118-9","language":"es","note":"Google-Books-ID: _dvDDQAAQBAJ","number-of-pages":"478","publisher":"Ecoe Ediciones","source":"Google Books","title":"Análisis financiero - 1ra edición","author":[{"family":"Padilla","given":"Marcial Córdoba"}],"issued":{"date-parts":[["2014",1,1]]}}}],"schema":"https://github.com/citation-style-language/schema/raw/master/csl-citation.json"} </w:instrText>
      </w:r>
      <w:r w:rsidR="7A54A044" w:rsidRPr="0076589C">
        <w:rPr>
          <w:lang w:val="es-HN"/>
        </w:rPr>
        <w:fldChar w:fldCharType="separate"/>
      </w:r>
      <w:r w:rsidRPr="0076589C">
        <w:t>(M. C. Padilla, 2014)</w:t>
      </w:r>
      <w:r w:rsidR="7A54A044" w:rsidRPr="0076589C">
        <w:rPr>
          <w:lang w:val="es-HN"/>
        </w:rPr>
        <w:fldChar w:fldCharType="end"/>
      </w:r>
    </w:p>
    <w:p w14:paraId="65401E83" w14:textId="10EC0386" w:rsidR="00045D43" w:rsidRPr="0076589C" w:rsidRDefault="1C8D6E3A" w:rsidP="00BC2983">
      <w:pPr>
        <w:pStyle w:val="Ttulonivel3"/>
        <w:numPr>
          <w:ilvl w:val="0"/>
          <w:numId w:val="8"/>
        </w:numPr>
        <w:ind w:left="720" w:firstLine="0"/>
      </w:pPr>
      <w:bookmarkStart w:id="140" w:name="_Toc158365464"/>
      <w:r w:rsidRPr="0076589C">
        <w:t>CALIFICACIÓN DE CRÉDITO</w:t>
      </w:r>
      <w:bookmarkEnd w:id="140"/>
      <w:r w:rsidRPr="0076589C">
        <w:t xml:space="preserve"> </w:t>
      </w:r>
    </w:p>
    <w:p w14:paraId="6C5DBC2C" w14:textId="7391913E" w:rsidR="00045D43" w:rsidRPr="0076589C" w:rsidRDefault="1C8D6E3A" w:rsidP="00C8505C">
      <w:pPr>
        <w:pStyle w:val="TextoPrincipal"/>
        <w:rPr>
          <w:lang w:val="es-HN"/>
        </w:rPr>
      </w:pPr>
      <w:r w:rsidRPr="0076589C">
        <w:rPr>
          <w:lang w:val="es-HN"/>
        </w:rPr>
        <w:t xml:space="preserve">“Evaluación de la solvencia moral y económica de los deudores a través de diversos mecanismos de apoyo.” </w:t>
      </w:r>
      <w:r w:rsidR="7A54A044" w:rsidRPr="0076589C">
        <w:rPr>
          <w:lang w:val="es-HN"/>
        </w:rPr>
        <w:fldChar w:fldCharType="begin"/>
      </w:r>
      <w:r w:rsidR="7A54A044" w:rsidRPr="0076589C">
        <w:rPr>
          <w:lang w:val="es-HN"/>
        </w:rPr>
        <w:instrText xml:space="preserve"> ADDIN ZOTERO_ITEM CSL_CITATION {"citationID":"FtaXJ7xJ","properties":{"formattedCitation":"(Corporaci\\uc0\\u243{}n Financiera Nacional (CFN), 2018)","plainCitation":"(Corporación Financiera Nacional (CFN), 2018)","dontUpdate":true,"noteIndex":0},"citationItems":[{"id":135,"uris":["http://zotero.org/users/12108825/items/ECIDQNFG"],"itemData":{"id":135,"type":"report","title":"Glosario de Términos Financieros","URL":"https://www.cfn.fin.ec/wp-content/uploads/2018/08/GLOSARIO-DE-TERMINOS-FINANCIEROS.pdf","author":[{"family":"Corporación Financiera Nacional (CFN)","given":""}],"issued":{"date-parts":[["2018"]]}}}],"schema":"https://github.com/citation-style-language/schema/raw/master/csl-citation.json"} </w:instrText>
      </w:r>
      <w:r w:rsidR="7A54A044" w:rsidRPr="0076589C">
        <w:rPr>
          <w:lang w:val="es-HN"/>
        </w:rPr>
        <w:fldChar w:fldCharType="separate"/>
      </w:r>
      <w:r w:rsidRPr="0076589C">
        <w:rPr>
          <w:lang w:val="es-HN"/>
        </w:rPr>
        <w:t>(Corporación Financiera Nacional (CFN), 2018, pág.2)</w:t>
      </w:r>
      <w:r w:rsidR="7A54A044" w:rsidRPr="0076589C">
        <w:rPr>
          <w:lang w:val="es-HN"/>
        </w:rPr>
        <w:fldChar w:fldCharType="end"/>
      </w:r>
    </w:p>
    <w:p w14:paraId="234772CB" w14:textId="08557E3B" w:rsidR="00D93FBC" w:rsidRPr="0076589C" w:rsidRDefault="1C8D6E3A" w:rsidP="00C8505C">
      <w:pPr>
        <w:pStyle w:val="TextoPrincipal"/>
        <w:rPr>
          <w:lang w:val="es-HN"/>
        </w:rPr>
      </w:pPr>
      <w:r w:rsidRPr="0076589C">
        <w:rPr>
          <w:lang w:val="es-HN"/>
        </w:rPr>
        <w:lastRenderedPageBreak/>
        <w:t xml:space="preserve">Según </w:t>
      </w:r>
      <w:r w:rsidR="00D93FBC" w:rsidRPr="0076589C">
        <w:rPr>
          <w:lang w:val="es-HN"/>
        </w:rPr>
        <w:fldChar w:fldCharType="begin"/>
      </w:r>
      <w:r w:rsidR="00D93FBC" w:rsidRPr="0076589C">
        <w:rPr>
          <w:lang w:val="es-HN"/>
        </w:rPr>
        <w:instrText xml:space="preserve"> ADDIN ZOTERO_ITEM CSL_CITATION {"citationID":"q6TgsCMb","properties":{"formattedCitation":"(Ospina, 2001)","plainCitation":"(Ospina, 2001)","dontUpdate":true,"noteIndex":0},"citationItems":[{"id":347,"uris":["http://zotero.org/users/12108825/items/XCGSVG59"],"itemData":{"id":347,"type":"chapter","title":"Calificación de cartera de crédito","author":[{"family":"Ospina","given":"Guillermo"}],"issued":{"date-parts":[["2001"]]}}}],"schema":"https://github.com/citation-style-language/schema/raw/master/csl-citation.json"} </w:instrText>
      </w:r>
      <w:r w:rsidR="00D93FBC" w:rsidRPr="0076589C">
        <w:rPr>
          <w:lang w:val="es-HN"/>
        </w:rPr>
        <w:fldChar w:fldCharType="separate"/>
      </w:r>
      <w:r w:rsidRPr="0076589C">
        <w:rPr>
          <w:lang w:val="es-HN"/>
        </w:rPr>
        <w:t>Ospina, (2001)</w:t>
      </w:r>
      <w:r w:rsidR="00D93FBC" w:rsidRPr="0076589C">
        <w:rPr>
          <w:lang w:val="es-HN"/>
        </w:rPr>
        <w:fldChar w:fldCharType="end"/>
      </w:r>
      <w:r w:rsidRPr="0076589C">
        <w:rPr>
          <w:lang w:val="es-HN"/>
        </w:rPr>
        <w:t xml:space="preserve"> se pueden clasificar de la siguiente manera: “Los créditos y contratos comerciales se calificarán como: crédito o contrato normal, crédito o contrato aceptable, crédito o contrato deficiente, crédito o contrato de difícil cobro, crédito o contrato incobrable”</w:t>
      </w:r>
    </w:p>
    <w:p w14:paraId="158AF57E" w14:textId="0D1B23FB" w:rsidR="00734082" w:rsidRPr="0076589C" w:rsidRDefault="1C8D6E3A" w:rsidP="00BC2983">
      <w:pPr>
        <w:pStyle w:val="Ttulonivel3"/>
        <w:numPr>
          <w:ilvl w:val="0"/>
          <w:numId w:val="8"/>
        </w:numPr>
        <w:ind w:left="720" w:firstLine="0"/>
      </w:pPr>
      <w:bookmarkStart w:id="141" w:name="_Toc158365465"/>
      <w:r w:rsidRPr="0076589C">
        <w:t>CARTERA DE CRÉDITO</w:t>
      </w:r>
      <w:bookmarkEnd w:id="141"/>
      <w:r w:rsidRPr="0076589C">
        <w:t xml:space="preserve"> </w:t>
      </w:r>
    </w:p>
    <w:p w14:paraId="22677801" w14:textId="02D3A272" w:rsidR="72A91A42" w:rsidRPr="0076589C" w:rsidRDefault="1C8D6E3A" w:rsidP="72A91A42">
      <w:pPr>
        <w:pStyle w:val="TextoPrincipal"/>
        <w:rPr>
          <w:lang w:val="es-HN"/>
        </w:rPr>
      </w:pPr>
      <w:r w:rsidRPr="0076589C">
        <w:rPr>
          <w:lang w:val="es-HN"/>
        </w:rPr>
        <w:t xml:space="preserve">“La cartera de créditos definida como el conjunto de valores activos (colocaciones representadas por títulos de crédito) que posee un intermediario financiero, constituye el mayor de los activos y la más importante fuente generadora de utilidades para la institución”. </w:t>
      </w:r>
      <w:r w:rsidR="7A54A044" w:rsidRPr="0076589C">
        <w:rPr>
          <w:lang w:val="es-HN"/>
        </w:rPr>
        <w:fldChar w:fldCharType="begin"/>
      </w:r>
      <w:r w:rsidR="7A54A044" w:rsidRPr="0076589C">
        <w:rPr>
          <w:lang w:val="es-HN"/>
        </w:rPr>
        <w:instrText xml:space="preserve"> ADDIN ZOTERO_ITEM CSL_CITATION {"citationID":"jjPaUMCA","properties":{"formattedCitation":"(Arias, 1993)","plainCitation":"(Arias, 1993)","noteIndex":0},"citationItems":[{"id":259,"uris":["http://zotero.org/users/12108825/items/ZBM6PQT7"],"itemData":{"id":259,"type":"book","ISBN":"978-9977-64-421-9","language":"es","note":"Google-Books-ID: Uuitt78YB8QC","number-of-pages":"264","publisher":"EUNED","source":"Google Books","title":"El crédito bancario en Costa Rica: una perspectiva de análisis","title-short":"El crédito bancario en Costa Rica","author":[{"family":"Arias","given":"Moisés Daniel Hernández"}],"issued":{"date-parts":[["1993"]]}}}],"schema":"https://github.com/citation-style-language/schema/raw/master/csl-citation.json"} </w:instrText>
      </w:r>
      <w:r w:rsidR="7A54A044" w:rsidRPr="0076589C">
        <w:rPr>
          <w:lang w:val="es-HN"/>
        </w:rPr>
        <w:fldChar w:fldCharType="separate"/>
      </w:r>
      <w:r w:rsidRPr="0076589C">
        <w:rPr>
          <w:lang w:val="es-HN"/>
        </w:rPr>
        <w:t>(Arias, 1993)</w:t>
      </w:r>
      <w:r w:rsidR="7A54A044" w:rsidRPr="0076589C">
        <w:rPr>
          <w:lang w:val="es-HN"/>
        </w:rPr>
        <w:fldChar w:fldCharType="end"/>
      </w:r>
    </w:p>
    <w:p w14:paraId="4B0C4F22" w14:textId="7588E064" w:rsidR="00734082" w:rsidRPr="0076589C" w:rsidRDefault="1C8D6E3A" w:rsidP="00C8505C">
      <w:pPr>
        <w:pStyle w:val="TextoPrincipal"/>
        <w:rPr>
          <w:lang w:val="es-HN"/>
        </w:rPr>
      </w:pPr>
      <w:r w:rsidRPr="0076589C">
        <w:rPr>
          <w:lang w:val="es-HN"/>
        </w:rPr>
        <w:t>En una definición más reciente se plante</w:t>
      </w:r>
      <w:r w:rsidR="009E4A1C" w:rsidRPr="0076589C">
        <w:rPr>
          <w:lang w:val="es-HN"/>
        </w:rPr>
        <w:t>ó</w:t>
      </w:r>
      <w:r w:rsidRPr="0076589C">
        <w:rPr>
          <w:lang w:val="es-HN"/>
        </w:rPr>
        <w:t xml:space="preserve"> como: “Monto total de los préstamos que hacen todos los intermediarios financieros.” </w:t>
      </w:r>
      <w:r w:rsidR="004D02CA" w:rsidRPr="0076589C">
        <w:rPr>
          <w:lang w:val="es-HN"/>
        </w:rPr>
        <w:fldChar w:fldCharType="begin"/>
      </w:r>
      <w:r w:rsidR="004D02CA" w:rsidRPr="0076589C">
        <w:rPr>
          <w:lang w:val="es-HN"/>
        </w:rPr>
        <w:instrText xml:space="preserve"> ADDIN ZOTERO_ITEM CSL_CITATION {"citationID":"DtzGVwvP","properties":{"formattedCitation":"(Gudino, 2011)","plainCitation":"(Gudino, 2011)","noteIndex":0},"citationItems":[{"id":120,"uris":["http://zotero.org/users/12108825/items/WLNW48RZ"],"itemData":{"id":120,"type":"book","abstract":"Texto de referencia para estudiantes y profesionales del área contable y financiera. Incluye mas de 300 términos usuales y especializados en diversos temas del proceso contable, las normas y conceptos muy actuales para hispanoamérica.","language":"es","note":"Google-Books-ID: XmchAwAAQBAJ","number-of-pages":"329","publisher":"Jorge Gudiño","source":"Google Books","title":"Glosario contable y financiero","author":[{"family":"Gudino","given":"Jorge"}],"issued":{"date-parts":[["2011",9,9]]}}}],"schema":"https://github.com/citation-style-language/schema/raw/master/csl-citation.json"} </w:instrText>
      </w:r>
      <w:r w:rsidR="004D02CA" w:rsidRPr="0076589C">
        <w:rPr>
          <w:lang w:val="es-HN"/>
        </w:rPr>
        <w:fldChar w:fldCharType="separate"/>
      </w:r>
      <w:r w:rsidRPr="0076589C">
        <w:rPr>
          <w:lang w:val="es-HN"/>
        </w:rPr>
        <w:t>(Gudino, 2011)</w:t>
      </w:r>
      <w:r w:rsidR="004D02CA" w:rsidRPr="0076589C">
        <w:rPr>
          <w:lang w:val="es-HN"/>
        </w:rPr>
        <w:fldChar w:fldCharType="end"/>
      </w:r>
    </w:p>
    <w:p w14:paraId="1E874EC1" w14:textId="51681DF4" w:rsidR="00923F9F" w:rsidRPr="0076589C" w:rsidRDefault="1C8D6E3A" w:rsidP="00BC2983">
      <w:pPr>
        <w:pStyle w:val="Ttulonivel3"/>
        <w:numPr>
          <w:ilvl w:val="0"/>
          <w:numId w:val="8"/>
        </w:numPr>
        <w:ind w:left="720" w:firstLine="0"/>
      </w:pPr>
      <w:bookmarkStart w:id="142" w:name="_Toc158365466"/>
      <w:r w:rsidRPr="0076589C">
        <w:t>CARTERA VENCIDA</w:t>
      </w:r>
      <w:bookmarkEnd w:id="142"/>
    </w:p>
    <w:p w14:paraId="53D7A726" w14:textId="2C1DAA7D" w:rsidR="00734082" w:rsidRPr="0076589C" w:rsidRDefault="1C8D6E3A" w:rsidP="00C8505C">
      <w:pPr>
        <w:pStyle w:val="TextoPrincipal"/>
        <w:rPr>
          <w:lang w:val="es-HN"/>
        </w:rPr>
      </w:pPr>
      <w:r w:rsidRPr="0076589C">
        <w:rPr>
          <w:lang w:val="es-HN"/>
        </w:rPr>
        <w:t xml:space="preserve">“Monto de la cartera bruta que se encuentra en mora de pagos.” </w:t>
      </w:r>
      <w:r w:rsidR="7A54A044" w:rsidRPr="0076589C">
        <w:rPr>
          <w:lang w:val="es-HN"/>
        </w:rPr>
        <w:fldChar w:fldCharType="begin"/>
      </w:r>
      <w:r w:rsidR="7A54A044" w:rsidRPr="0076589C">
        <w:rPr>
          <w:lang w:val="es-HN"/>
        </w:rPr>
        <w:instrText xml:space="preserve"> ADDIN ZOTERO_ITEM CSL_CITATION {"citationID":"t1NdASz1","properties":{"formattedCitation":"(Gudino, 2011)","plainCitation":"(Gudino, 2011)","noteIndex":0},"citationItems":[{"id":120,"uris":["http://zotero.org/users/12108825/items/WLNW48RZ"],"itemData":{"id":120,"type":"book","abstract":"Texto de referencia para estudiantes y profesionales del área contable y financiera. Incluye mas de 300 términos usuales y especializados en diversos temas del proceso contable, las normas y conceptos muy actuales para hispanoamérica.","language":"es","note":"Google-Books-ID: XmchAwAAQBAJ","number-of-pages":"329","publisher":"Jorge Gudiño","source":"Google Books","title":"Glosario contable y financiero","author":[{"family":"Gudino","given":"Jorge"}],"issued":{"date-parts":[["2011",9,9]]}}}],"schema":"https://github.com/citation-style-language/schema/raw/master/csl-citation.json"} </w:instrText>
      </w:r>
      <w:r w:rsidR="7A54A044" w:rsidRPr="0076589C">
        <w:rPr>
          <w:lang w:val="es-HN"/>
        </w:rPr>
        <w:fldChar w:fldCharType="separate"/>
      </w:r>
      <w:r w:rsidRPr="0076589C">
        <w:rPr>
          <w:lang w:val="es-HN"/>
        </w:rPr>
        <w:t>(Gudino, 2011)</w:t>
      </w:r>
      <w:r w:rsidR="7A54A044" w:rsidRPr="0076589C">
        <w:rPr>
          <w:lang w:val="es-HN"/>
        </w:rPr>
        <w:fldChar w:fldCharType="end"/>
      </w:r>
    </w:p>
    <w:p w14:paraId="7643CCF6" w14:textId="0DEB28DB" w:rsidR="00384892" w:rsidRPr="0076589C" w:rsidRDefault="1C8D6E3A" w:rsidP="00384892">
      <w:pPr>
        <w:pStyle w:val="TextoPrincipal"/>
        <w:rPr>
          <w:lang w:val="es-HN"/>
        </w:rPr>
      </w:pPr>
      <w:r w:rsidRPr="0076589C">
        <w:rPr>
          <w:lang w:val="es-HN"/>
        </w:rPr>
        <w:t>En una definición más reciente se plante</w:t>
      </w:r>
      <w:r w:rsidR="009E4A1C" w:rsidRPr="0076589C">
        <w:rPr>
          <w:lang w:val="es-HN"/>
        </w:rPr>
        <w:t>ó</w:t>
      </w:r>
      <w:r w:rsidRPr="0076589C">
        <w:rPr>
          <w:lang w:val="es-HN"/>
        </w:rPr>
        <w:t xml:space="preserve"> como:</w:t>
      </w:r>
    </w:p>
    <w:p w14:paraId="36F07999" w14:textId="048DCD45" w:rsidR="00384892" w:rsidRPr="0076589C" w:rsidRDefault="1C8D6E3A" w:rsidP="009243C4">
      <w:pPr>
        <w:pStyle w:val="CitaLarga"/>
      </w:pPr>
      <w:r w:rsidRPr="0076589C">
        <w:t>Las carteras de crédito vencidas son las cuentas por cobrar que tiene una institución bancaria, cooperativa u empresa cuya fecha de pago ya venció y no se han cobrado. Cuando un deudor tiene atraso de pago por más de un día en su fecha de vencimiento se le empieza a considerar como cliente moroso, pero dependiendo del tipo de crédito y de las condiciones de este, cuando el deudor se empieza a atrasar en promedio por más de dos o tres meses, el acreedor empieza a considerar que su dinero está en riesgo de pago. (Sades, 2019, pág.25)</w:t>
      </w:r>
    </w:p>
    <w:p w14:paraId="7C62206D" w14:textId="77777777" w:rsidR="00045D43" w:rsidRPr="0076589C" w:rsidRDefault="1C8D6E3A" w:rsidP="00BC2983">
      <w:pPr>
        <w:pStyle w:val="Ttulonivel3"/>
        <w:numPr>
          <w:ilvl w:val="0"/>
          <w:numId w:val="8"/>
        </w:numPr>
        <w:ind w:left="720" w:firstLine="0"/>
      </w:pPr>
      <w:bookmarkStart w:id="143" w:name="_Toc158365467"/>
      <w:r w:rsidRPr="0076589C">
        <w:t>COBRANZA</w:t>
      </w:r>
      <w:bookmarkEnd w:id="143"/>
      <w:r w:rsidRPr="0076589C">
        <w:t xml:space="preserve"> </w:t>
      </w:r>
    </w:p>
    <w:p w14:paraId="47CE9F0D" w14:textId="062ED5AD" w:rsidR="0DF523A2" w:rsidRPr="0076589C" w:rsidRDefault="1C8D6E3A" w:rsidP="0DF523A2">
      <w:pPr>
        <w:pStyle w:val="TextoPrincipal"/>
        <w:rPr>
          <w:lang w:val="es-HN"/>
        </w:rPr>
      </w:pPr>
      <w:r w:rsidRPr="0076589C">
        <w:rPr>
          <w:lang w:val="es-HN"/>
        </w:rPr>
        <w:t xml:space="preserve">Castro &amp; Castro (2014), </w:t>
      </w:r>
      <w:r w:rsidR="00687F3B" w:rsidRPr="0076589C">
        <w:rPr>
          <w:lang w:val="es-HN"/>
        </w:rPr>
        <w:t>definió que</w:t>
      </w:r>
      <w:r w:rsidRPr="0076589C">
        <w:rPr>
          <w:lang w:val="es-HN"/>
        </w:rPr>
        <w:t xml:space="preserve"> la cobranza más como los documentos que se generan para poder presentar los documentos para pago, como se explica a continuación:</w:t>
      </w:r>
    </w:p>
    <w:p w14:paraId="5B82DEDF" w14:textId="74C8828B" w:rsidR="00045D43" w:rsidRPr="0076589C" w:rsidRDefault="1C8D6E3A" w:rsidP="00C8505C">
      <w:pPr>
        <w:pStyle w:val="TextoPrincipal"/>
        <w:rPr>
          <w:lang w:val="es-HN"/>
        </w:rPr>
      </w:pPr>
      <w:r w:rsidRPr="0076589C">
        <w:rPr>
          <w:lang w:val="es-HN"/>
        </w:rPr>
        <w:t>“La cobranza es el proceso formal de presentar al girado un instrumento o documento para que los pague o acepte: pagaré, letras de cambio, documentos de embarque u otro título valor”. (Castro &amp; Castro, 2014, pág.61)</w:t>
      </w:r>
    </w:p>
    <w:p w14:paraId="53558EC4" w14:textId="5A4FE58B" w:rsidR="00C260B4" w:rsidRPr="0076589C" w:rsidRDefault="1C8D6E3A" w:rsidP="00C8505C">
      <w:pPr>
        <w:pStyle w:val="TextoPrincipal"/>
        <w:rPr>
          <w:lang w:val="es-HN"/>
        </w:rPr>
      </w:pPr>
      <w:r w:rsidRPr="0076589C">
        <w:rPr>
          <w:lang w:val="es-HN"/>
        </w:rPr>
        <w:t>El cobro de una cuenta pendiente de pago como resultado de una venta realiza a crédito, lleva la transacción a una conclusión adecuada.</w:t>
      </w:r>
    </w:p>
    <w:p w14:paraId="325F5209" w14:textId="16E657EC" w:rsidR="0DF523A2" w:rsidRPr="0076589C" w:rsidRDefault="1C8D6E3A" w:rsidP="0DF523A2">
      <w:pPr>
        <w:pStyle w:val="TextoPrincipal"/>
        <w:rPr>
          <w:lang w:val="es-HN"/>
        </w:rPr>
      </w:pPr>
      <w:r w:rsidRPr="0076589C">
        <w:rPr>
          <w:lang w:val="es-HN"/>
        </w:rPr>
        <w:t>En el año 2021, se hace una actualización al término definiendo que la cobranza es un proceso para cumplir sus compromisos:</w:t>
      </w:r>
    </w:p>
    <w:p w14:paraId="23468C78" w14:textId="73C44FC4" w:rsidR="72A91A42" w:rsidRPr="0076589C" w:rsidRDefault="1C8D6E3A" w:rsidP="72A91A42">
      <w:pPr>
        <w:pStyle w:val="TextoPrincipal"/>
        <w:rPr>
          <w:lang w:val="es-HN"/>
        </w:rPr>
      </w:pPr>
      <w:r w:rsidRPr="0076589C">
        <w:rPr>
          <w:lang w:val="es-HN"/>
        </w:rPr>
        <w:lastRenderedPageBreak/>
        <w:t xml:space="preserve">“Cobranza es el mecanismo para hacer cumplir los compromisos asumidos, bien sea en función de un crédito otorgado o simplemente en el pago de facturas. Asimismo, podría actuar como un proceso cancelatorio del crédito”. </w:t>
      </w:r>
      <w:r w:rsidR="7A54A044" w:rsidRPr="0076589C">
        <w:rPr>
          <w:lang w:val="es-HN"/>
        </w:rPr>
        <w:fldChar w:fldCharType="begin"/>
      </w:r>
      <w:r w:rsidR="7A54A044" w:rsidRPr="0076589C">
        <w:rPr>
          <w:lang w:val="es-HN"/>
        </w:rPr>
        <w:instrText xml:space="preserve"> ADDIN ZOTERO_ITEM CSL_CITATION {"citationID":"DVTog2Wu","properties":{"formattedCitation":"(G. Castillo, 2021)","plainCitation":"(G. Castillo, 2021)","dontUpdate":true,"noteIndex":0},"citationItems":[{"id":341,"uris":["http://zotero.org/users/12108825/items/HXUV49YG"],"itemData":{"id":341,"type":"book","abstract":"Tener éxito profesional en el área de créditos y cobranzas es una decisión personal. Si te adentras en las páginas de este libro, estarás en condiciones de preparar tu mente y crear tu estilo profesional, usando las estrategias adecuadas. Desarrolla habilidades de negociación que permitan manejar conflictos y revertirlos en oportunidades a tu favor. Ejerce la comunicación de manera efectiva, aprende a liderar y manejar las emociones para dirigir los recursos en el cumplimiento de objetivos, garantizando un alto nivel de proactividad en las finanzas organizacionales. Cuando aplicas los principios de acción contenidos en este libro, comenzarás a acumular pequeñas victorias, que se convertirán en el punto de partida para construir una carrera profesional exitosa y altamente efectiva. En un mundo lleno de desafíos, te invito a fortalecer tus conocimientos y a posicionar tu imagen.","ISBN":"978-987-41-1662-8","language":"es","note":"Google-Books-ID: a3wcEAAAQBAJ","number-of-pages":"73","publisher":"Tercero en discordia","source":"Google Books","title":"Créditos y cobranzas: Enfoque profesional","title-short":"Créditos y cobranzas","author":[{"family":"Castillo","given":"Glisvet"}],"issued":{"date-parts":[["2021",2,11]]}}}],"schema":"https://github.com/citation-style-language/schema/raw/master/csl-citation.json"} </w:instrText>
      </w:r>
      <w:r w:rsidR="7A54A044" w:rsidRPr="0076589C">
        <w:rPr>
          <w:lang w:val="es-HN"/>
        </w:rPr>
        <w:fldChar w:fldCharType="separate"/>
      </w:r>
      <w:r w:rsidRPr="0076589C">
        <w:rPr>
          <w:lang w:val="es-HN"/>
        </w:rPr>
        <w:t>(Castillo, 2021)</w:t>
      </w:r>
      <w:r w:rsidR="7A54A044" w:rsidRPr="0076589C">
        <w:rPr>
          <w:lang w:val="es-HN"/>
        </w:rPr>
        <w:fldChar w:fldCharType="end"/>
      </w:r>
      <w:r w:rsidRPr="0076589C">
        <w:rPr>
          <w:lang w:val="es-HN"/>
        </w:rPr>
        <w:t xml:space="preserve"> </w:t>
      </w:r>
    </w:p>
    <w:p w14:paraId="685FC57F" w14:textId="30F4FA09" w:rsidR="00C260B4" w:rsidRPr="0076589C" w:rsidRDefault="1C8D6E3A" w:rsidP="00BC2983">
      <w:pPr>
        <w:pStyle w:val="Ttulonivel3"/>
        <w:numPr>
          <w:ilvl w:val="0"/>
          <w:numId w:val="8"/>
        </w:numPr>
        <w:ind w:left="720" w:firstLine="0"/>
      </w:pPr>
      <w:bookmarkStart w:id="144" w:name="_Toc158365468"/>
      <w:r w:rsidRPr="0076589C">
        <w:t>CRÉDITO</w:t>
      </w:r>
      <w:bookmarkEnd w:id="144"/>
      <w:r w:rsidRPr="0076589C">
        <w:t xml:space="preserve">  </w:t>
      </w:r>
    </w:p>
    <w:p w14:paraId="47658316" w14:textId="2E4F3AA5" w:rsidR="0DF523A2" w:rsidRPr="0076589C" w:rsidRDefault="1C8D6E3A" w:rsidP="0DF523A2">
      <w:pPr>
        <w:pStyle w:val="TextoPrincipal"/>
        <w:spacing w:line="240" w:lineRule="auto"/>
        <w:rPr>
          <w:rStyle w:val="CitaLargaCar"/>
        </w:rPr>
      </w:pPr>
      <w:r w:rsidRPr="0076589C">
        <w:rPr>
          <w:rStyle w:val="CitaLargaCar"/>
        </w:rPr>
        <w:t>El término crédito ha mantenido su significado en el tiempo, así como l</w:t>
      </w:r>
      <w:r w:rsidR="005B2493" w:rsidRPr="0076589C">
        <w:rPr>
          <w:rStyle w:val="CitaLargaCar"/>
        </w:rPr>
        <w:t xml:space="preserve">a definió </w:t>
      </w:r>
      <w:r w:rsidRPr="0076589C">
        <w:rPr>
          <w:rStyle w:val="CitaLargaCar"/>
        </w:rPr>
        <w:t>Clainche en 1996:</w:t>
      </w:r>
    </w:p>
    <w:p w14:paraId="040341A5" w14:textId="3D1BF88A" w:rsidR="72A91A42" w:rsidRPr="0076589C" w:rsidRDefault="1C8D6E3A" w:rsidP="72A91A42">
      <w:pPr>
        <w:pStyle w:val="TextoPrincipal"/>
        <w:spacing w:line="240" w:lineRule="auto"/>
        <w:rPr>
          <w:sz w:val="20"/>
          <w:szCs w:val="20"/>
          <w:lang w:val="es-HN"/>
        </w:rPr>
      </w:pPr>
      <w:r w:rsidRPr="0076589C">
        <w:rPr>
          <w:rStyle w:val="CitaLargaCar"/>
        </w:rPr>
        <w:t xml:space="preserve">Puede definirse el crédito como el cambio de una prestación presente por una contraprestación futura. A diferencia de un cambio de contado, que implica la entrega simultánea de las prestaciones por las dos partes que intervienen en él; en el cambio a crédito, una de las partes entrega de inmediato un bien o presta un servicio y el pago correspondiente lo recibe más tarde. Una operación de crédito se caracteriza, pues, por la intervención del tiempo. En ella, uno de los participantes debe esperar durante cierto lapso que el otro cumpla con la ejecución de la obligación contraída, debe hacerle confianza. </w:t>
      </w:r>
      <w:r w:rsidR="7A54A044" w:rsidRPr="0076589C">
        <w:rPr>
          <w:rStyle w:val="CitaLargaCar"/>
        </w:rPr>
        <w:fldChar w:fldCharType="begin"/>
      </w:r>
      <w:r w:rsidR="7A54A044" w:rsidRPr="0076589C">
        <w:rPr>
          <w:rStyle w:val="CitaLargaCar"/>
        </w:rPr>
        <w:instrText xml:space="preserve"> ADDIN ZOTERO_ITEM CSL_CITATION {"citationID":"PcphsMTn","properties":{"formattedCitation":"(Clainche, 1996)","plainCitation":"(Clainche, 1996)","noteIndex":0},"citationItems":[{"id":343,"uris":["http://zotero.org/users/12108825/items/L5R74EY9"],"itemData":{"id":343,"type":"book","abstract":"La presente obra sigue la estructura de sus predecesoras y también cuenta con ocho capítulos: el primero, aborda las nociones preliminares del tema, a fin de familiarizar al alumno con la acepción de los principales términos técnicos que se emplean en las obras sobre la materia, además de exponer el origen de la moneda, del crédito, la banca y las operaciones bancarias, así como lo relativo al mercado financiero; el segundo capítulo está dedicado al estudio de los sistemas monetarios; el capítulo tercero se ocupa de la banca central; el cuarto, explica las transacciones internacionales y la formación de los tipos de cambio; el quinto, expone las principales teorías que han tenido como propósito explicar la naturaleza del dinero, así como de las dedicadas a desentrañar el por qué de su valor y las variaciones de éste; el sexto, expone los aspectos relevantes de la política monetaria; el séptimo, pasa en revista los intentos que han existido para crear un sistemamonetario internacional y, el capítulo octavo y final, expone la mayoría de los temas considerados en los capítulos anteriores, pero referidos exclusivamente a México. Al final de cada capitulo se incluye un resumen del mismo. El autor hace votos porque los interesados en esta materia encuentren aquí la base general que les facilite la comprensión de obras especializadas sobre la materia, pues éste es en final de cuentas su propósito fundamental.","ISBN":"978-968-36-4856-3","language":"es","number-of-pages":"354","publisher":"UNAM","source":"Google Books","title":"Curso de Teoría Monetaria y Política Financiera","author":[{"family":"Clainche","given":"Roberto Martínez Le"}],"issued":{"date-parts":[["1996"]]}}}],"schema":"https://github.com/citation-style-language/schema/raw/master/csl-citation.json"} </w:instrText>
      </w:r>
      <w:r w:rsidR="7A54A044" w:rsidRPr="0076589C">
        <w:rPr>
          <w:rStyle w:val="CitaLargaCar"/>
        </w:rPr>
        <w:fldChar w:fldCharType="separate"/>
      </w:r>
      <w:r w:rsidRPr="0076589C">
        <w:rPr>
          <w:sz w:val="22"/>
          <w:lang w:val="es-HN"/>
        </w:rPr>
        <w:t>(Clainche, 1996)</w:t>
      </w:r>
      <w:r w:rsidR="7A54A044" w:rsidRPr="0076589C">
        <w:rPr>
          <w:rStyle w:val="CitaLargaCar"/>
        </w:rPr>
        <w:fldChar w:fldCharType="end"/>
      </w:r>
      <w:r w:rsidRPr="0076589C">
        <w:rPr>
          <w:sz w:val="22"/>
          <w:lang w:val="es-HN"/>
        </w:rPr>
        <w:t xml:space="preserve">  </w:t>
      </w:r>
    </w:p>
    <w:p w14:paraId="577E8812" w14:textId="1A7C094C" w:rsidR="00C260B4" w:rsidRPr="0076589C" w:rsidRDefault="1C8D6E3A" w:rsidP="00C8505C">
      <w:pPr>
        <w:pStyle w:val="TextoPrincipal"/>
        <w:rPr>
          <w:lang w:val="es-HN"/>
        </w:rPr>
      </w:pPr>
      <w:r w:rsidRPr="0076589C">
        <w:rPr>
          <w:lang w:val="es-HN"/>
        </w:rPr>
        <w:t xml:space="preserve">“Los principales factores que deben tomarse en consideración para decidir si un crédito se otorga o no, son: por qué cantidad y en qué términos y condiciones están comprendidos en lo que comúnmente se conoce como las C´s del crédito”. </w:t>
      </w:r>
      <w:r w:rsidR="7A54A044" w:rsidRPr="0076589C">
        <w:rPr>
          <w:lang w:val="es-HN"/>
        </w:rPr>
        <w:fldChar w:fldCharType="begin"/>
      </w:r>
      <w:r w:rsidR="7A54A044" w:rsidRPr="0076589C">
        <w:rPr>
          <w:lang w:val="es-HN"/>
        </w:rPr>
        <w:instrText xml:space="preserve"> ADDIN ZOTERO_ITEM CSL_CITATION {"citationID":"0lA1YdhF","properties":{"formattedCitation":"(Castro &amp; Castro, 2014)","plainCitation":"(Castro &amp; Castro, 2014)","dontUpdate":true,"noteIndex":0},"citationItems":[{"id":62,"uris":["http://zotero.org/users/12108825/items/FRR5QZS5"],"itemData":{"id":62,"type":"book","abstract":"El crédito es el mecanismo por excelencia que aumenta las ventas de las empresas, y cuando éste sucede las compañías incrementan la intensidad de su ciclo financiero y las compras que hacen a otras empresas de materias primas y servicios necesarios para sus procesos de producción, y con ello se presenta un efecto multiplicador en la economía porque las empresas aumentan sus operaciones y con ello compras de materias primas, pago de servicios diversos, pago de impuestos, etc., por ello el crédito es una herramienta que ayuda a reactivar la economía. Crédito y cobranza proporciona a las empresas las herramientas para aumentar las ventas y los ingresos en sus ciclos financieros, pero es fundamental que las actividades desarrolladas en el otorgamiento de créditos sean precisas para que éstos se puedan recuperar, lo cual se logra mediante un análisis minucioso de los solicitantes de crédito para asegurar que sí tendrán los recursos necesarios para saldar sus deudas y que además estén dispuestos a pagar.","ISBN":"978-607-438-840-4","language":"es","note":"Google-Books-ID: gtXhBAAAQBAJ","number-of-pages":"309","publisher":"Grupo Editorial Patria","source":"Google Books","title":"Crédito y Cobranza","author":[{"family":"Morales Castro","given":"Arturo"},{"family":"Morales Castro","given":"José Antonio"}],"issued":{"date-parts":[["2014",10,21]]}}}],"schema":"https://github.com/citation-style-language/schema/raw/master/csl-citation.json"} </w:instrText>
      </w:r>
      <w:r w:rsidR="7A54A044" w:rsidRPr="0076589C">
        <w:rPr>
          <w:lang w:val="es-HN"/>
        </w:rPr>
        <w:fldChar w:fldCharType="separate"/>
      </w:r>
      <w:r w:rsidRPr="0076589C">
        <w:rPr>
          <w:lang w:val="es-HN"/>
        </w:rPr>
        <w:t>(Castro &amp; Castro, 2014, pág.12)</w:t>
      </w:r>
      <w:r w:rsidR="7A54A044" w:rsidRPr="0076589C">
        <w:rPr>
          <w:lang w:val="es-HN"/>
        </w:rPr>
        <w:fldChar w:fldCharType="end"/>
      </w:r>
    </w:p>
    <w:p w14:paraId="64FEE4DE" w14:textId="0BC8CB3A" w:rsidR="00DF1ED0" w:rsidRPr="0076589C" w:rsidRDefault="1C8D6E3A" w:rsidP="00C8505C">
      <w:pPr>
        <w:pStyle w:val="TextoPrincipal"/>
        <w:rPr>
          <w:lang w:val="es-HN"/>
        </w:rPr>
      </w:pPr>
      <w:r w:rsidRPr="0076589C">
        <w:rPr>
          <w:lang w:val="es-HN"/>
        </w:rPr>
        <w:t>Las C´s del crédito son: Carácter, capacidad, capital, condiciones, Cobertura y Colateral.</w:t>
      </w:r>
    </w:p>
    <w:p w14:paraId="16B524A6" w14:textId="39F6BCB3" w:rsidR="00945DE5" w:rsidRPr="0076589C" w:rsidRDefault="1C8D6E3A" w:rsidP="00BC2983">
      <w:pPr>
        <w:pStyle w:val="Ttulonivel3"/>
        <w:numPr>
          <w:ilvl w:val="0"/>
          <w:numId w:val="8"/>
        </w:numPr>
        <w:ind w:left="720" w:firstLine="0"/>
      </w:pPr>
      <w:bookmarkStart w:id="145" w:name="_Toc158365469"/>
      <w:r w:rsidRPr="0076589C">
        <w:t>CUENTAS POR COBRAR</w:t>
      </w:r>
      <w:bookmarkEnd w:id="145"/>
    </w:p>
    <w:p w14:paraId="5FCF3570" w14:textId="2CEE4110" w:rsidR="00C260B4" w:rsidRPr="0076589C" w:rsidRDefault="1C8D6E3A" w:rsidP="00C8505C">
      <w:pPr>
        <w:pStyle w:val="TextoPrincipal"/>
        <w:rPr>
          <w:lang w:val="es-HN"/>
        </w:rPr>
      </w:pPr>
      <w:r w:rsidRPr="0076589C">
        <w:rPr>
          <w:lang w:val="es-HN"/>
        </w:rPr>
        <w:t xml:space="preserve">“Cantidades que los clientes de una empresa adeudan a esta por concepto de la compra a crédito de bienes o servicios.” </w:t>
      </w:r>
      <w:r w:rsidR="7A54A044" w:rsidRPr="0076589C">
        <w:rPr>
          <w:lang w:val="es-HN"/>
        </w:rPr>
        <w:fldChar w:fldCharType="begin"/>
      </w:r>
      <w:r w:rsidR="7A54A044" w:rsidRPr="0076589C">
        <w:rPr>
          <w:lang w:val="es-HN"/>
        </w:rPr>
        <w:instrText xml:space="preserve"> ADDIN ZOTERO_ITEM CSL_CITATION {"citationID":"NyLFTUsz","properties":{"formattedCitation":"(Berk &amp; Demarzo, 2008)","plainCitation":"(Berk &amp; Demarzo, 2008)","dontUpdate":true,"noteIndex":0},"citationItems":[{"id":132,"uris":["http://zotero.org/users/12108825/items/TA96WVL4"],"itemData":{"id":132,"type":"book","language":"es","source":"Zotero","title":"Finanzas corporativas","author":[{"family":"Berk","given":"Jonathan"},{"family":"Demarzo","given":"Peter"}],"issued":{"date-parts":[["2008"]]}}}],"schema":"https://github.com/citation-style-language/schema/raw/master/csl-citation.json"} </w:instrText>
      </w:r>
      <w:r w:rsidR="7A54A044" w:rsidRPr="0076589C">
        <w:rPr>
          <w:lang w:val="es-HN"/>
        </w:rPr>
        <w:fldChar w:fldCharType="separate"/>
      </w:r>
      <w:r w:rsidRPr="0076589C">
        <w:rPr>
          <w:lang w:val="es-HN"/>
        </w:rPr>
        <w:t>(Berk &amp; Demarzo, 2008, pág.1034)</w:t>
      </w:r>
      <w:r w:rsidR="7A54A044" w:rsidRPr="0076589C">
        <w:rPr>
          <w:lang w:val="es-HN"/>
        </w:rPr>
        <w:fldChar w:fldCharType="end"/>
      </w:r>
    </w:p>
    <w:p w14:paraId="0C937D01" w14:textId="4449E2E0" w:rsidR="00AE67C9" w:rsidRPr="0076589C" w:rsidRDefault="1C8D6E3A" w:rsidP="00411FAB">
      <w:pPr>
        <w:pStyle w:val="TextoPrincipal"/>
        <w:rPr>
          <w:lang w:val="es-HN"/>
        </w:rPr>
      </w:pPr>
      <w:r w:rsidRPr="0076589C">
        <w:rPr>
          <w:lang w:val="es-HN"/>
        </w:rPr>
        <w:t xml:space="preserve">Con el transcurso de los tiempos distintos autores han presentado sus definiciones. </w:t>
      </w:r>
      <w:r w:rsidR="7A54A044" w:rsidRPr="0076589C">
        <w:rPr>
          <w:lang w:val="es-HN"/>
        </w:rPr>
        <w:fldChar w:fldCharType="begin"/>
      </w:r>
      <w:r w:rsidR="7A54A044" w:rsidRPr="0076589C">
        <w:rPr>
          <w:lang w:val="es-HN"/>
        </w:rPr>
        <w:instrText xml:space="preserve"> ADDIN ZOTERO_ITEM CSL_CITATION {"citationID":"2MQmAzXX","properties":{"formattedCitation":"(Rend\\uc0\\u243{}n, 2022)","plainCitation":"(Rendón, 2022)","dontUpdate":true,"noteIndex":0},"citationItems":[{"id":323,"uris":["http://zotero.org/users/12108825/items/NNVBHRQF"],"itemData":{"id":323,"type":"book","abstract":"El principal propósito de este libro es que administradores, no financieros, contadores, especialistas financieros, entre otros, tengan información explicada al detalle de los fundamentos de la contabilidad financiera y basada en las normas técnicas contables de la Ley 1314 de 2009 y sus decretos reglamentarios, además de las normas de carácter comercial, laboral y tributario actualizadas. En este texto, aparecen tanto el aspecto conceptual y normativo, con las referencias bibliográficas, como el desarrollo de los elementos prácticos con ejercicios resueltos sobre los fundamentos de contabilidad financiera, desde la elaboración de la ecuación contable, registro de transacciones, ajustes contables y elaboración de estados financieros. El libro presenta una metodología que permite al lector comprender de manera sencilla la aplicación práctica de reconocer transacciones, identificar su efecto en la ecuación contable y su presentación en los estados financieros, primando elementos básicos de una microempresa.","ISBN":"978-958-792-431-2","language":"es","note":"Google-Books-ID: WHugEAAAQBAJ","number-of-pages":"391","publisher":"Ediciones de la U","source":"Google Books","title":"Contabilidad financiera","author":[{"family":"Rendón","given":"Bibiana"}],"issued":{"date-parts":[["2022",12,6]]}}}],"schema":"https://github.com/citation-style-language/schema/raw/master/csl-citation.json"} </w:instrText>
      </w:r>
      <w:r w:rsidR="7A54A044" w:rsidRPr="0076589C">
        <w:rPr>
          <w:lang w:val="es-HN"/>
        </w:rPr>
        <w:fldChar w:fldCharType="separate"/>
      </w:r>
      <w:r w:rsidRPr="0076589C">
        <w:rPr>
          <w:lang w:val="es-HN"/>
        </w:rPr>
        <w:t>Rendón, (2022)</w:t>
      </w:r>
      <w:r w:rsidR="7A54A044" w:rsidRPr="0076589C">
        <w:rPr>
          <w:lang w:val="es-HN"/>
        </w:rPr>
        <w:fldChar w:fldCharType="end"/>
      </w:r>
      <w:r w:rsidRPr="0076589C">
        <w:rPr>
          <w:lang w:val="es-HN"/>
        </w:rPr>
        <w:t xml:space="preserve"> plante</w:t>
      </w:r>
      <w:r w:rsidR="00FC1D92" w:rsidRPr="0076589C">
        <w:rPr>
          <w:lang w:val="es-HN"/>
        </w:rPr>
        <w:t>ó</w:t>
      </w:r>
      <w:r w:rsidRPr="0076589C">
        <w:rPr>
          <w:lang w:val="es-HN"/>
        </w:rPr>
        <w:t>: “Las cuentas por cobrar son derechos a cobrar en efectivo producto de ventas a crédito os préstamos realizados por la empresa” (pág.118).</w:t>
      </w:r>
    </w:p>
    <w:p w14:paraId="6706C9BE" w14:textId="7E57CE01" w:rsidR="00E33942" w:rsidRPr="0076589C" w:rsidRDefault="1C8D6E3A" w:rsidP="009D2D2E">
      <w:pPr>
        <w:pStyle w:val="Ttulonivel3"/>
        <w:numPr>
          <w:ilvl w:val="0"/>
          <w:numId w:val="8"/>
        </w:numPr>
        <w:ind w:left="720" w:firstLine="0"/>
      </w:pPr>
      <w:bookmarkStart w:id="146" w:name="_Toc158365470"/>
      <w:r w:rsidRPr="0076589C">
        <w:t>DEUDA</w:t>
      </w:r>
      <w:bookmarkEnd w:id="146"/>
      <w:r w:rsidRPr="0076589C">
        <w:t xml:space="preserve"> </w:t>
      </w:r>
    </w:p>
    <w:p w14:paraId="24B5B4F4" w14:textId="481D149E" w:rsidR="001017F4" w:rsidRPr="0076589C" w:rsidRDefault="1C8D6E3A" w:rsidP="004D0359">
      <w:pPr>
        <w:pStyle w:val="TextoPrincipal"/>
        <w:rPr>
          <w:lang w:val="es-HN"/>
        </w:rPr>
      </w:pPr>
      <w:r w:rsidRPr="0076589C">
        <w:rPr>
          <w:lang w:val="es-HN"/>
        </w:rPr>
        <w:t xml:space="preserve">“Cantidad de dinero o bien que una persona, empresa o país debe a otra y que constituyen obligaciones que se deben saldar en un plazo determinado. Por su origen la deuda puede clasificarse en interna y externa; en tanto que por su destino puede ser pública o privado.” </w:t>
      </w:r>
      <w:r w:rsidR="7A54A044" w:rsidRPr="0076589C">
        <w:rPr>
          <w:lang w:val="es-HN"/>
        </w:rPr>
        <w:fldChar w:fldCharType="begin"/>
      </w:r>
      <w:r w:rsidR="7A54A044" w:rsidRPr="0076589C">
        <w:rPr>
          <w:lang w:val="es-HN"/>
        </w:rPr>
        <w:instrText xml:space="preserve"> ADDIN ZOTERO_ITEM CSL_CITATION {"citationID":"4pq1ofgg","properties":{"formattedCitation":"(Rub\\uc0\\u237{}, 2003)","plainCitation":"(Rubí, 2003)","dontUpdate":true,"noteIndex":0},"citationItems":[{"id":112,"uris":["http://zotero.org/users/12108825/items/T95CDFZA"],"itemData":{"id":112,"type":"book","abstract":"Glosario de términos financieros son definiciones fáciles ante un tema difícil. El autor trata de apoyar el conocimiento en el área de finanzas ante el escaso material que existe en español, a través de herramientas que colaboren a la comprensión y discusión de temas. La obra está enfocada en el ámbito financiero pero abarca temas de economía, contabilidad, administración y computación que se relacionan muy directamente con lo financiero.Un glosario explica siempre en forma sucinta las descripciones a diferencia de un diccionario que profundiza en los temas, esto mismo lo hace ágil y fácil de consultar.","ISBN":"978-970-722-202-1","language":"es","note":"Google-Books-ID: Z_Eyqx6XPqYC","number-of-pages":"444","publisher":"Plaza y Valdes","source":"Google Books","title":"Glosario de términos financieros: términos financieros, contables, administrativos, económicos, computacionales y legales","title-short":"Glosario de términos financieros","author":[{"family":"Rubí","given":"Leonel Vidales"}],"issued":{"date-parts":[["2003"]]}}}],"schema":"https://github.com/citation-style-language/schema/raw/master/csl-citation.json"} </w:instrText>
      </w:r>
      <w:r w:rsidR="7A54A044" w:rsidRPr="0076589C">
        <w:rPr>
          <w:lang w:val="es-HN"/>
        </w:rPr>
        <w:fldChar w:fldCharType="separate"/>
      </w:r>
      <w:r w:rsidRPr="0076589C">
        <w:rPr>
          <w:lang w:val="es-HN"/>
        </w:rPr>
        <w:t>(Rubí, 2003, pág.172)</w:t>
      </w:r>
      <w:r w:rsidR="7A54A044" w:rsidRPr="0076589C">
        <w:rPr>
          <w:lang w:val="es-HN"/>
        </w:rPr>
        <w:fldChar w:fldCharType="end"/>
      </w:r>
    </w:p>
    <w:p w14:paraId="416C56F5" w14:textId="3CD6A54B" w:rsidR="0042028F" w:rsidRPr="0076589C" w:rsidRDefault="1C8D6E3A" w:rsidP="004D0359">
      <w:pPr>
        <w:pStyle w:val="TextoPrincipal"/>
        <w:rPr>
          <w:lang w:val="es-HN"/>
        </w:rPr>
      </w:pPr>
      <w:r w:rsidRPr="0076589C">
        <w:rPr>
          <w:lang w:val="es-HN"/>
        </w:rPr>
        <w:t>Este concepto también se p</w:t>
      </w:r>
      <w:r w:rsidR="00FC1D92" w:rsidRPr="0076589C">
        <w:rPr>
          <w:lang w:val="es-HN"/>
        </w:rPr>
        <w:t>lanteó</w:t>
      </w:r>
      <w:r w:rsidRPr="0076589C">
        <w:rPr>
          <w:lang w:val="es-HN"/>
        </w:rPr>
        <w:t xml:space="preserve"> como pasivo: “Los pasivos son obligaciones actuales, deudas, en que la empresa incurre en el ejercicio de su actividad. Estas derivan de cualquier transacción o hecho pasado que genere una segura o posible deuda que en un futuro puedan originar la entrega de activos para su cancelación.” </w:t>
      </w:r>
      <w:r w:rsidR="0042028F" w:rsidRPr="0076589C">
        <w:rPr>
          <w:lang w:val="es-HN"/>
        </w:rPr>
        <w:fldChar w:fldCharType="begin"/>
      </w:r>
      <w:r w:rsidR="0042028F" w:rsidRPr="0076589C">
        <w:rPr>
          <w:lang w:val="es-HN"/>
        </w:rPr>
        <w:instrText xml:space="preserve"> ADDIN ZOTERO_ITEM CSL_CITATION {"citationID":"MnEvLv2I","properties":{"formattedCitation":"(Alcarria, 2008)","plainCitation":"(Alcarria, 2008)","dontUpdate":true,"noteIndex":0},"citationItems":[{"id":349,"uris":["http://zotero.org/users/12108825/items/5VXRJQR4"],"itemData":{"id":349,"type":"book","ISBN":"978-84-691-1809-2","language":"es","note":"Google-Books-ID: 6m42LTDkhzoC","number-of-pages":"228","publisher":"Publicacions de la Universitat Jaume I","source":"Google Books","title":"Contabilidad financiera I","author":[{"family":"Alcarria","given":"José J."}],"issued":{"date-parts":[["2008",11,1]]}}}],"schema":"https://github.com/citation-style-language/schema/raw/master/csl-citation.json"} </w:instrText>
      </w:r>
      <w:r w:rsidR="0042028F" w:rsidRPr="0076589C">
        <w:rPr>
          <w:lang w:val="es-HN"/>
        </w:rPr>
        <w:fldChar w:fldCharType="separate"/>
      </w:r>
      <w:r w:rsidRPr="0076589C">
        <w:t>(Alcarria, 2008, pág.26)</w:t>
      </w:r>
      <w:r w:rsidR="0042028F" w:rsidRPr="0076589C">
        <w:rPr>
          <w:lang w:val="es-HN"/>
        </w:rPr>
        <w:fldChar w:fldCharType="end"/>
      </w:r>
    </w:p>
    <w:p w14:paraId="790E62B4" w14:textId="1AF2F415" w:rsidR="001017F4" w:rsidRPr="0076589C" w:rsidRDefault="1C8D6E3A" w:rsidP="009D2D2E">
      <w:pPr>
        <w:pStyle w:val="Ttulonivel3"/>
        <w:numPr>
          <w:ilvl w:val="0"/>
          <w:numId w:val="8"/>
        </w:numPr>
        <w:ind w:left="720" w:firstLine="0"/>
      </w:pPr>
      <w:bookmarkStart w:id="147" w:name="_Toc158365471"/>
      <w:r w:rsidRPr="0076589C">
        <w:lastRenderedPageBreak/>
        <w:t>ENDEUDAMIENTO</w:t>
      </w:r>
      <w:bookmarkEnd w:id="147"/>
    </w:p>
    <w:p w14:paraId="16EAAA0E" w14:textId="41236D8C" w:rsidR="001017F4" w:rsidRPr="0076589C" w:rsidRDefault="1C8D6E3A" w:rsidP="00C8505C">
      <w:pPr>
        <w:pStyle w:val="TextoPrincipal"/>
        <w:rPr>
          <w:lang w:val="es-HN"/>
        </w:rPr>
      </w:pPr>
      <w:r w:rsidRPr="0076589C">
        <w:rPr>
          <w:lang w:val="es-HN"/>
        </w:rPr>
        <w:t xml:space="preserve">“Diferencia entre el monto de la colocación y la amortización de la deuda. Es la diferencia que resulta de la confrontación entre la colocación de títulos de crédito y la amortización del principal. Disposiciones menos amortizaciones de deuda.” </w:t>
      </w:r>
      <w:r w:rsidR="7A54A044" w:rsidRPr="0076589C">
        <w:rPr>
          <w:lang w:val="es-HN"/>
        </w:rPr>
        <w:fldChar w:fldCharType="begin"/>
      </w:r>
      <w:r w:rsidR="7A54A044" w:rsidRPr="0076589C">
        <w:rPr>
          <w:lang w:val="es-HN"/>
        </w:rPr>
        <w:instrText xml:space="preserve"> ADDIN ZOTERO_ITEM CSL_CITATION {"citationID":"iRnuruZt","properties":{"formattedCitation":"(Rub\\uc0\\u237{}, 2003)","plainCitation":"(Rubí, 2003)","dontUpdate":true,"noteIndex":0},"citationItems":[{"id":112,"uris":["http://zotero.org/users/12108825/items/T95CDFZA"],"itemData":{"id":112,"type":"book","abstract":"Glosario de términos financieros son definiciones fáciles ante un tema difícil. El autor trata de apoyar el conocimiento en el área de finanzas ante el escaso material que existe en español, a través de herramientas que colaboren a la comprensión y discusión de temas. La obra está enfocada en el ámbito financiero pero abarca temas de economía, contabilidad, administración y computación que se relacionan muy directamente con lo financiero.Un glosario explica siempre en forma sucinta las descripciones a diferencia de un diccionario que profundiza en los temas, esto mismo lo hace ágil y fácil de consultar.","ISBN":"978-970-722-202-1","language":"es","note":"Google-Books-ID: Z_Eyqx6XPqYC","number-of-pages":"444","publisher":"Plaza y Valdes","source":"Google Books","title":"Glosario de términos financieros: términos financieros, contables, administrativos, económicos, computacionales y legales","title-short":"Glosario de términos financieros","author":[{"family":"Rubí","given":"Leonel Vidales"}],"issued":{"date-parts":[["2003"]]}}}],"schema":"https://github.com/citation-style-language/schema/raw/master/csl-citation.json"} </w:instrText>
      </w:r>
      <w:r w:rsidR="7A54A044" w:rsidRPr="0076589C">
        <w:rPr>
          <w:lang w:val="es-HN"/>
        </w:rPr>
        <w:fldChar w:fldCharType="separate"/>
      </w:r>
      <w:r w:rsidRPr="0076589C">
        <w:rPr>
          <w:lang w:val="es-HN"/>
        </w:rPr>
        <w:t>(Rubí, 2003, pág.197)</w:t>
      </w:r>
      <w:r w:rsidR="7A54A044" w:rsidRPr="0076589C">
        <w:rPr>
          <w:lang w:val="es-HN"/>
        </w:rPr>
        <w:fldChar w:fldCharType="end"/>
      </w:r>
    </w:p>
    <w:p w14:paraId="135F6C30" w14:textId="5F3992A7" w:rsidR="00CA2017" w:rsidRPr="0076589C" w:rsidRDefault="1C8D6E3A" w:rsidP="00C8505C">
      <w:pPr>
        <w:pStyle w:val="TextoPrincipal"/>
        <w:rPr>
          <w:lang w:val="es-HN"/>
        </w:rPr>
      </w:pPr>
      <w:r w:rsidRPr="0076589C">
        <w:rPr>
          <w:lang w:val="es-HN"/>
        </w:rPr>
        <w:t>También se plante</w:t>
      </w:r>
      <w:r w:rsidR="00FC1D92" w:rsidRPr="0076589C">
        <w:rPr>
          <w:lang w:val="es-HN"/>
        </w:rPr>
        <w:t>ó</w:t>
      </w:r>
      <w:r w:rsidRPr="0076589C">
        <w:rPr>
          <w:lang w:val="es-HN"/>
        </w:rPr>
        <w:t xml:space="preserve"> como: “La definición del endeudamiento como la simple existencia de obligaciones exigibles cuyo valor excede del que cabe atribuir a los distintos bienes que integran el patrimonio del deudor puede aplicarse a cualquier supuesto.” </w:t>
      </w:r>
      <w:r w:rsidR="00CA2017" w:rsidRPr="0076589C">
        <w:rPr>
          <w:lang w:val="es-HN"/>
        </w:rPr>
        <w:fldChar w:fldCharType="begin"/>
      </w:r>
      <w:r w:rsidR="00CA2017" w:rsidRPr="0076589C">
        <w:rPr>
          <w:lang w:val="es-HN"/>
        </w:rPr>
        <w:instrText xml:space="preserve"> ADDIN ZOTERO_ITEM CSL_CITATION {"citationID":"AuROAnSD","properties":{"formattedCitation":"(S\\uc0\\u225{}nchez, 2004)","plainCitation":"(Sánchez, 2004)","dontUpdate":true,"noteIndex":0},"citationItems":[{"id":351,"uris":["http://zotero.org/users/12108825/items/SNBP59BW"],"itemData":{"id":351,"type":"book","ISBN":"978-84-8406-603-3","language":"es","note":"Google-Books-ID: wgU890lcT5wC","number-of-pages":"1085","publisher":"Lex Nova","source":"Google Books","title":"Comentarios a la legislación concursal","author":[{"family":"Sánchez","given":"Juan"}],"issued":{"date-parts":[["2004"]]}}}],"schema":"https://github.com/citation-style-language/schema/raw/master/csl-citation.json"} </w:instrText>
      </w:r>
      <w:r w:rsidR="00CA2017" w:rsidRPr="0076589C">
        <w:rPr>
          <w:lang w:val="es-HN"/>
        </w:rPr>
        <w:fldChar w:fldCharType="separate"/>
      </w:r>
      <w:r w:rsidRPr="0076589C">
        <w:rPr>
          <w:lang w:val="es-HN"/>
        </w:rPr>
        <w:t>(Sánchez, 2004, pág.117)</w:t>
      </w:r>
      <w:r w:rsidR="00CA2017" w:rsidRPr="0076589C">
        <w:rPr>
          <w:lang w:val="es-HN"/>
        </w:rPr>
        <w:fldChar w:fldCharType="end"/>
      </w:r>
    </w:p>
    <w:p w14:paraId="4DD33890" w14:textId="218DC307" w:rsidR="003D3C2B" w:rsidRPr="0076589C" w:rsidRDefault="1C8D6E3A" w:rsidP="009D2D2E">
      <w:pPr>
        <w:pStyle w:val="Ttulonivel3"/>
        <w:numPr>
          <w:ilvl w:val="0"/>
          <w:numId w:val="8"/>
        </w:numPr>
        <w:ind w:left="720" w:firstLine="0"/>
      </w:pPr>
      <w:bookmarkStart w:id="148" w:name="_Toc158365472"/>
      <w:r w:rsidRPr="0076589C">
        <w:t>ESTADOS FINANCIEROS</w:t>
      </w:r>
      <w:bookmarkEnd w:id="148"/>
    </w:p>
    <w:p w14:paraId="485307EB" w14:textId="4B42A1D6" w:rsidR="003F6444" w:rsidRPr="0076589C" w:rsidRDefault="1C8D6E3A" w:rsidP="007A3FBD">
      <w:pPr>
        <w:pStyle w:val="TextoPrincipal"/>
        <w:rPr>
          <w:lang w:val="es-HN"/>
        </w:rPr>
      </w:pPr>
      <w:r w:rsidRPr="0076589C">
        <w:rPr>
          <w:lang w:val="es-HN"/>
        </w:rPr>
        <w:t xml:space="preserve">Desde la antigüedad se ha implementado el término de Estado Financieros, con el transcurso del tiempo se ha ido actualizando la información que deben contener, siendo esencial para conocer la salud financiera de las empresas, </w:t>
      </w:r>
      <w:r w:rsidR="0DF523A2" w:rsidRPr="0076589C">
        <w:rPr>
          <w:lang w:val="es-HN"/>
        </w:rPr>
        <w:fldChar w:fldCharType="begin"/>
      </w:r>
      <w:r w:rsidR="0DF523A2" w:rsidRPr="0076589C">
        <w:rPr>
          <w:lang w:val="es-HN"/>
        </w:rPr>
        <w:instrText xml:space="preserve"> ADDIN ZOTERO_ITEM CSL_CITATION {"citationID":"535QqaPP","properties":{"formattedCitation":"(Fridson, 1997)","plainCitation":"(Fridson, 1997)","dontUpdate":true,"noteIndex":0},"citationItems":[{"id":325,"uris":["http://zotero.org/users/12108825/items/8HZ84XUG"],"itemData":{"id":325,"type":"book","abstract":"La controvertida naturaleza de la información financiera - Los estados financieros básicos - El balance - La cuenta de pérdidas y ganancias - El estado de cash flows - Previsiones, análisis y casos especiales - Estados financieros previsionales - Análisis crediticio - Análisis de las acciones - Tipos especiales de emisores.","ISBN":"978-84-234-1460-4","language":"es","note":"Google-Books-ID: Xob2TVW3PaYC","number-of-pages":"336","publisher":"Grupo Planeta (GBS)","source":"Google Books","title":"La Interpretación de Los Estados Financieros: Una Guía para Profesionales","title-short":"La Interpretación de Los Estados Financieros","author":[{"family":"Fridson","given":"Martin S."}],"issued":{"date-parts":[["1997"]]}}}],"schema":"https://github.com/citation-style-language/schema/raw/master/csl-citation.json"} </w:instrText>
      </w:r>
      <w:r w:rsidR="0DF523A2" w:rsidRPr="0076589C">
        <w:rPr>
          <w:lang w:val="es-HN"/>
        </w:rPr>
        <w:fldChar w:fldCharType="separate"/>
      </w:r>
      <w:r w:rsidRPr="0076589C">
        <w:rPr>
          <w:lang w:val="es-HN"/>
        </w:rPr>
        <w:t>Fridson, (1997)</w:t>
      </w:r>
      <w:r w:rsidR="0DF523A2" w:rsidRPr="0076589C">
        <w:rPr>
          <w:lang w:val="es-HN"/>
        </w:rPr>
        <w:fldChar w:fldCharType="end"/>
      </w:r>
      <w:r w:rsidRPr="0076589C">
        <w:rPr>
          <w:lang w:val="es-HN"/>
        </w:rPr>
        <w:t xml:space="preserve"> plante</w:t>
      </w:r>
      <w:r w:rsidR="00FC1D92" w:rsidRPr="0076589C">
        <w:rPr>
          <w:lang w:val="es-HN"/>
        </w:rPr>
        <w:t>ó</w:t>
      </w:r>
      <w:r w:rsidRPr="0076589C">
        <w:rPr>
          <w:lang w:val="es-HN"/>
        </w:rPr>
        <w:t xml:space="preserve">: </w:t>
      </w:r>
    </w:p>
    <w:p w14:paraId="18E57297" w14:textId="4BEFC485" w:rsidR="000431E1" w:rsidRPr="0076589C" w:rsidRDefault="1C8D6E3A" w:rsidP="00C8505C">
      <w:pPr>
        <w:pStyle w:val="TextoPrincipal"/>
        <w:rPr>
          <w:lang w:val="es-HN"/>
        </w:rPr>
      </w:pPr>
      <w:r w:rsidRPr="0076589C">
        <w:rPr>
          <w:lang w:val="es-HN"/>
        </w:rPr>
        <w:t xml:space="preserve">“El análisis de los estados financieros es una técnica esencial para una variedad de ocupaciones incluyendo la gestión de inversiones, la financiación de sociedades, la concesión de préstamos comerciales y la concesión” (pág.15).  </w:t>
      </w:r>
    </w:p>
    <w:p w14:paraId="03BBEDB1" w14:textId="411880B5" w:rsidR="00E10097" w:rsidRPr="0076589C" w:rsidRDefault="1C8D6E3A" w:rsidP="00523BF1">
      <w:pPr>
        <w:pStyle w:val="TextoPrincipal"/>
        <w:rPr>
          <w:lang w:val="es-HN"/>
        </w:rPr>
      </w:pPr>
      <w:r w:rsidRPr="0076589C">
        <w:rPr>
          <w:lang w:val="es-HN"/>
        </w:rPr>
        <w:t xml:space="preserve">“Reportes de contabilidad emitidos por una empresa (por lo general en forma trimestral y anual) que contienen información sobre su desempeño pasado.” </w:t>
      </w:r>
      <w:r w:rsidR="7A54A044" w:rsidRPr="0076589C">
        <w:rPr>
          <w:lang w:val="es-HN"/>
        </w:rPr>
        <w:fldChar w:fldCharType="begin"/>
      </w:r>
      <w:r w:rsidR="7A54A044" w:rsidRPr="0076589C">
        <w:rPr>
          <w:lang w:val="es-HN"/>
        </w:rPr>
        <w:instrText xml:space="preserve"> ADDIN ZOTERO_ITEM CSL_CITATION {"citationID":"H8oCH1ox","properties":{"formattedCitation":"(Berk &amp; Demarzo, 2008)","plainCitation":"(Berk &amp; Demarzo, 2008)","dontUpdate":true,"noteIndex":0},"citationItems":[{"id":132,"uris":["http://zotero.org/users/12108825/items/TA96WVL4"],"itemData":{"id":132,"type":"book","language":"es","source":"Zotero","title":"Finanzas corporativas","author":[{"family":"Berk","given":"Jonathan"},{"family":"Demarzo","given":"Peter"}],"issued":{"date-parts":[["2008"]]}}}],"schema":"https://github.com/citation-style-language/schema/raw/master/csl-citation.json"} </w:instrText>
      </w:r>
      <w:r w:rsidR="7A54A044" w:rsidRPr="0076589C">
        <w:rPr>
          <w:lang w:val="es-HN"/>
        </w:rPr>
        <w:fldChar w:fldCharType="separate"/>
      </w:r>
      <w:r w:rsidRPr="0076589C">
        <w:t>(Berk &amp; Demarzo, 2008, pág.1035)</w:t>
      </w:r>
      <w:r w:rsidR="7A54A044" w:rsidRPr="0076589C">
        <w:rPr>
          <w:lang w:val="es-HN"/>
        </w:rPr>
        <w:fldChar w:fldCharType="end"/>
      </w:r>
    </w:p>
    <w:p w14:paraId="7D091613" w14:textId="4864845C" w:rsidR="00045D43" w:rsidRPr="0076589C" w:rsidRDefault="1C8D6E3A" w:rsidP="00DD7BFA">
      <w:pPr>
        <w:pStyle w:val="Ttulonivel3"/>
        <w:numPr>
          <w:ilvl w:val="0"/>
          <w:numId w:val="8"/>
        </w:numPr>
        <w:ind w:left="720" w:firstLine="0"/>
      </w:pPr>
      <w:bookmarkStart w:id="149" w:name="_Toc158365473"/>
      <w:r w:rsidRPr="0076589C">
        <w:t>ESTRATEGIA</w:t>
      </w:r>
      <w:bookmarkEnd w:id="149"/>
    </w:p>
    <w:p w14:paraId="103377F2" w14:textId="3F7E1E99" w:rsidR="00EF22BF" w:rsidRPr="0076589C" w:rsidRDefault="1C8D6E3A" w:rsidP="00C83F01">
      <w:pPr>
        <w:pStyle w:val="TextoPrincipal"/>
        <w:rPr>
          <w:lang w:val="es-HN"/>
        </w:rPr>
      </w:pPr>
      <w:r w:rsidRPr="0076589C">
        <w:rPr>
          <w:lang w:val="es-HN"/>
        </w:rPr>
        <w:t>En la antigüedad J. Paul Peter y James H. Donelly explican la importancia de la estrategia en la planificación de la siguiente manera:</w:t>
      </w:r>
    </w:p>
    <w:p w14:paraId="27532BF5" w14:textId="0A5FEB75" w:rsidR="00A9677C" w:rsidRPr="0076589C" w:rsidRDefault="1C8D6E3A" w:rsidP="003A713B">
      <w:pPr>
        <w:pStyle w:val="CitaLarga"/>
      </w:pPr>
      <w:r w:rsidRPr="0076589C">
        <w:t>El papel de las estrategias en la planificación consiste en identificar los enfoques generales que la empresa utilizara para alcanzar sus objetivos organizativos e implica la selección de las principales direcciones que tomara la organización para el logro de esos objetivos.</w:t>
      </w:r>
      <w:r w:rsidR="00C83F01" w:rsidRPr="0076589C">
        <w:fldChar w:fldCharType="begin"/>
      </w:r>
      <w:r w:rsidR="00C83F01" w:rsidRPr="0076589C">
        <w:instrText xml:space="preserve"> ADDIN ZOTERO_ITEM CSL_CITATION {"citationID":"0mBsnxxs","properties":{"formattedCitation":"(Ediciones D\\uc0\\u237{}az de Santos, 1998)","plainCitation":"(Ediciones Díaz de Santos, 1998)","dontUpdate":true,"noteIndex":0},"citationItems":[{"id":353,"uris":["http://zotero.org/users/12108825/items/925XFDMG"],"itemData":{"id":353,"type":"book","abstract":"El objetivo de toda pequeña empresa es el de crecer con la esperanza de convertirse, en su momento, en una gran empresa (la mayoría de los grandes monstruos empresariales de hoy fueron, en sus inicios pequeñas empresas). Pero, ¿ cómo se logra? ¿De qué vías disponen las empresas para crecer? En está guía respondemos a estas importantes preguntas.INDICE: Las claves de crecimiento. Opciones de crecimiento: planteamiento general. Estrategias de crecimiento con el portafolio existente de productos y/o servicios. Estrategias de crecimiento con la base actual de clientes.","ISBN":"978-84-7978-374-7","language":"es","note":"Google-Books-ID: O1eOufVVzVYC","number-of-pages":"224","publisher":"Ediciones Díaz de Santos","source":"Google Books","title":"Estrategias de crecimiento","author":[{"family":"Ediciones Díaz de Santos","given":""}],"issued":{"date-parts":[["1998",11]]}}}],"schema":"https://github.com/citation-style-language/schema/raw/master/csl-citation.json"} </w:instrText>
      </w:r>
      <w:r w:rsidR="00C83F01" w:rsidRPr="0076589C">
        <w:fldChar w:fldCharType="separate"/>
      </w:r>
      <w:r w:rsidRPr="0076589C">
        <w:rPr>
          <w:sz w:val="24"/>
          <w:szCs w:val="24"/>
        </w:rPr>
        <w:t>(Ediciones Díaz de Santos, 1998</w:t>
      </w:r>
      <w:r w:rsidRPr="0076589C">
        <w:t>, pág.19</w:t>
      </w:r>
      <w:r w:rsidRPr="0076589C">
        <w:rPr>
          <w:sz w:val="24"/>
          <w:szCs w:val="24"/>
        </w:rPr>
        <w:t>)</w:t>
      </w:r>
      <w:r w:rsidR="00C83F01" w:rsidRPr="0076589C">
        <w:fldChar w:fldCharType="end"/>
      </w:r>
    </w:p>
    <w:p w14:paraId="6E0592AF" w14:textId="3277F1D6" w:rsidR="00A9677C" w:rsidRPr="0076589C" w:rsidRDefault="1C8D6E3A" w:rsidP="00C8505C">
      <w:pPr>
        <w:pStyle w:val="TextoPrincipal"/>
        <w:rPr>
          <w:lang w:val="es-HN"/>
        </w:rPr>
      </w:pPr>
      <w:r w:rsidRPr="0076589C">
        <w:rPr>
          <w:lang w:val="es-HN"/>
        </w:rPr>
        <w:t>En una de las definiciones más recientes de estrategia se plante</w:t>
      </w:r>
      <w:r w:rsidR="00370211" w:rsidRPr="0076589C">
        <w:rPr>
          <w:lang w:val="es-HN"/>
        </w:rPr>
        <w:t>ó</w:t>
      </w:r>
      <w:r w:rsidRPr="0076589C">
        <w:rPr>
          <w:lang w:val="es-HN"/>
        </w:rPr>
        <w:t xml:space="preserve"> como:</w:t>
      </w:r>
    </w:p>
    <w:p w14:paraId="480FAEEE" w14:textId="3D5B2E22" w:rsidR="00045D43" w:rsidRPr="0076589C" w:rsidRDefault="1C8D6E3A" w:rsidP="00C8505C">
      <w:pPr>
        <w:pStyle w:val="TextoPrincipal"/>
        <w:rPr>
          <w:lang w:val="es-HN"/>
        </w:rPr>
      </w:pPr>
      <w:r w:rsidRPr="0076589C">
        <w:rPr>
          <w:lang w:val="es-HN"/>
        </w:rPr>
        <w:t xml:space="preserve">“Es el establecimiento de ciertos objetivos y los planes de acción para alcanzarlos.” </w:t>
      </w:r>
      <w:r w:rsidR="7A54A044" w:rsidRPr="0076589C">
        <w:rPr>
          <w:lang w:val="es-HN"/>
        </w:rPr>
        <w:fldChar w:fldCharType="begin"/>
      </w:r>
      <w:r w:rsidR="7A54A044" w:rsidRPr="0076589C">
        <w:rPr>
          <w:lang w:val="es-HN"/>
        </w:rPr>
        <w:instrText xml:space="preserve"> ADDIN ZOTERO_ITEM CSL_CITATION {"citationID":"6GMXQt3t","properties":{"formattedCitation":"(Corporaci\\uc0\\u243{}n Financiera Nacional (CFN), 2018)","plainCitation":"(Corporación Financiera Nacional (CFN), 2018)","dontUpdate":true,"noteIndex":0},"citationItems":[{"id":135,"uris":["http://zotero.org/users/12108825/items/ECIDQNFG"],"itemData":{"id":135,"type":"report","title":"Glosario de Términos Financieros","URL":"https://www.cfn.fin.ec/wp-content/uploads/2018/08/GLOSARIO-DE-TERMINOS-FINANCIEROS.pdf","author":[{"family":"Corporación Financiera Nacional (CFN)","given":""}],"issued":{"date-parts":[["2018"]]}}}],"schema":"https://github.com/citation-style-language/schema/raw/master/csl-citation.json"} </w:instrText>
      </w:r>
      <w:r w:rsidR="7A54A044" w:rsidRPr="0076589C">
        <w:rPr>
          <w:lang w:val="es-HN"/>
        </w:rPr>
        <w:fldChar w:fldCharType="separate"/>
      </w:r>
      <w:r w:rsidRPr="0076589C">
        <w:t>(Corporación Financiera Nacional (CFN), 2018, pág.5)</w:t>
      </w:r>
      <w:r w:rsidR="7A54A044" w:rsidRPr="0076589C">
        <w:rPr>
          <w:lang w:val="es-HN"/>
        </w:rPr>
        <w:fldChar w:fldCharType="end"/>
      </w:r>
    </w:p>
    <w:p w14:paraId="7FCCD14E" w14:textId="60A0D77A" w:rsidR="001C75DA" w:rsidRPr="0076589C" w:rsidRDefault="1C8D6E3A" w:rsidP="00DD7BFA">
      <w:pPr>
        <w:pStyle w:val="Ttulonivel3"/>
        <w:numPr>
          <w:ilvl w:val="0"/>
          <w:numId w:val="8"/>
        </w:numPr>
        <w:ind w:left="720" w:firstLine="0"/>
      </w:pPr>
      <w:bookmarkStart w:id="150" w:name="_Toc158365474"/>
      <w:r w:rsidRPr="0076589C">
        <w:lastRenderedPageBreak/>
        <w:t>FINANZAS</w:t>
      </w:r>
      <w:bookmarkEnd w:id="150"/>
    </w:p>
    <w:p w14:paraId="6275F288" w14:textId="246EFAFC" w:rsidR="0DF523A2" w:rsidRPr="0076589C" w:rsidRDefault="1C8D6E3A" w:rsidP="00C00316">
      <w:pPr>
        <w:pStyle w:val="TextoPrincipal"/>
        <w:rPr>
          <w:lang w:val="es-HN"/>
        </w:rPr>
      </w:pPr>
      <w:r w:rsidRPr="0076589C">
        <w:rPr>
          <w:lang w:val="es-HN"/>
        </w:rPr>
        <w:t>El concepto finanzas desde el 2003 a la actualidad no ha evolucionado mucho ya que mantiene la misma lógica, así lo destacan los autores Gitman en el 2003 y Parra en el 2019:</w:t>
      </w:r>
    </w:p>
    <w:p w14:paraId="70C524BC" w14:textId="0F116030" w:rsidR="001C75DA" w:rsidRPr="0076589C" w:rsidRDefault="1C8D6E3A" w:rsidP="00C00316">
      <w:pPr>
        <w:pStyle w:val="CitaLarga"/>
      </w:pPr>
      <w:r w:rsidRPr="0076589C">
        <w:t xml:space="preserve">Las finanzas se pueden definir como el arte y la ciencia de administrar el dinero. Virtualmente todos los individuos y organizaciones ganan u obtienen dinero y lo gastan o lo invierten. Las finanzas están relacionadas con el proceso, las instituciones, los mercados y los instrumentos implicados en la transferencia de dinero entre individuos, empresas y gobiernos. </w:t>
      </w:r>
      <w:r w:rsidR="7A54A044" w:rsidRPr="0076589C">
        <w:fldChar w:fldCharType="begin"/>
      </w:r>
      <w:r w:rsidR="7A54A044" w:rsidRPr="0076589C">
        <w:instrText xml:space="preserve"> ADDIN ZOTERO_ITEM CSL_CITATION {"citationID":"niKL1Rpa","properties":{"formattedCitation":"(Gitman, 2003)","plainCitation":"(Gitman, 2003)","noteIndex":0},"citationItems":[{"id":116,"uris":["http://zotero.org/users/12108825/items/S6B9AWMN"],"itemData":{"id":116,"type":"book","abstract":"Papel y entorno de la administración financiera - Estados financieros y su análisis - Flujo de efectivo y planeación financiera - Valor del dinero en el tiempo - Riesgos y rendimiento - Tasas de interés y valuación de bonos - Valuación de acciones - Flujos de efectivo del presupuesto de capital - Técnicas para preparar presupuestos de capital : certeza y riesgo - Costo de capital - Apalancamiento y estructura de capital - Política de dividendos - Administración de capital de trabajo y de activos circulantes - Administración de pasivos circulantes.","ISBN":"978-970-26-0428-0","language":"es","note":"Google-Books-ID: KS_04zILe2gC","number-of-pages":"684","publisher":"Pearson Educación","source":"Google Books","title":"Principios de administración financiera","author":[{"family":"Gitman","given":"Lawrence J."}],"issued":{"date-parts":[["2003"]]}}}],"schema":"https://github.com/citation-style-language/schema/raw/master/csl-citation.json"} </w:instrText>
      </w:r>
      <w:r w:rsidR="7A54A044" w:rsidRPr="0076589C">
        <w:fldChar w:fldCharType="separate"/>
      </w:r>
      <w:r w:rsidRPr="0076589C">
        <w:t>(Gitman, 2003)</w:t>
      </w:r>
      <w:r w:rsidR="7A54A044" w:rsidRPr="0076589C">
        <w:fldChar w:fldCharType="end"/>
      </w:r>
    </w:p>
    <w:p w14:paraId="25C7A681" w14:textId="3E424E1A" w:rsidR="00822537" w:rsidRPr="0076589C" w:rsidRDefault="00335CB1" w:rsidP="00C00316">
      <w:pPr>
        <w:pStyle w:val="TextoPrincipal"/>
        <w:rPr>
          <w:lang w:val="es-HN"/>
        </w:rPr>
      </w:pPr>
      <w:r w:rsidRPr="0076589C">
        <w:rPr>
          <w:lang w:val="es-HN"/>
        </w:rPr>
        <w:fldChar w:fldCharType="begin"/>
      </w:r>
      <w:r w:rsidRPr="0076589C">
        <w:rPr>
          <w:lang w:val="es-HN"/>
        </w:rPr>
        <w:instrText xml:space="preserve"> ADDIN ZOTERO_ITEM CSL_CITATION {"citationID":"fMb7INE7","properties":{"formattedCitation":"(D. Parra, 2019)","plainCitation":"(D. Parra, 2019)","dontUpdate":true,"noteIndex":0},"citationItems":[{"id":329,"uris":["http://zotero.org/users/12108825/items/SVSJW8QJ"],"itemData":{"id":329,"type":"book","abstract":"Basado en una premisa básica “el único que pierde en las inversiones es aquel que no tiene los conocimientos ni las herramientas necesarias para generar ganancias”. En Latinoamérica los mercados financieros y bolsa de valores tienden a ser volátiles por tratarse de economías emergentes, hecho que da lugar para obtener enormes beneficios, pero en el mismo sentido, hay que saber las reglas y conceptos básicos que mueven los mercados, para evitar correr grandes pérdidas. Este compendio bursátil es el más completo para entender todo sobre: Cómo operar instrumentos de inversión. Acciones. Bonos. Opciones. Análisis Técnico y Fundamental. Estrategias de trading. Inversiones y plataformas para diversificar cartera de activos; todo este contenido en un solo libro. Ahora puedes tomar el control de tus ganancias y generar ingresos extras como un profesional.","ISBN":"978-612-47805-4-7","language":"es","note":"Google-Books-ID: B5uSDwAAQBAJ","number-of-pages":"138","publisher":"CreaLibros Ediciones","source":"Google Books","title":"Alternativas de inversión: Cómo ganar en la bolsa y mercado de valores","title-short":"Alternativas de inversión","author":[{"family":"Parra","given":"Daniel"}],"issued":{"date-parts":[["2019",4,15]]}}}],"schema":"https://github.com/citation-style-language/schema/raw/master/csl-citation.json"} </w:instrText>
      </w:r>
      <w:r w:rsidRPr="0076589C">
        <w:rPr>
          <w:lang w:val="es-HN"/>
        </w:rPr>
        <w:fldChar w:fldCharType="separate"/>
      </w:r>
      <w:r w:rsidR="1C8D6E3A" w:rsidRPr="0076589C">
        <w:rPr>
          <w:lang w:val="es-HN"/>
        </w:rPr>
        <w:t>Parra, (2019)</w:t>
      </w:r>
      <w:r w:rsidRPr="0076589C">
        <w:rPr>
          <w:lang w:val="es-HN"/>
        </w:rPr>
        <w:fldChar w:fldCharType="end"/>
      </w:r>
      <w:r w:rsidR="1C8D6E3A" w:rsidRPr="0076589C">
        <w:rPr>
          <w:lang w:val="es-HN"/>
        </w:rPr>
        <w:t xml:space="preserve"> en su definición de finanzas menciona: “Es el conjunto de actividades relacionadas con la obtención y administración de activos financieros”.</w:t>
      </w:r>
    </w:p>
    <w:p w14:paraId="6C426D65" w14:textId="0E44C882" w:rsidR="00C260B4" w:rsidRPr="0076589C" w:rsidRDefault="1C8D6E3A" w:rsidP="00DD7BFA">
      <w:pPr>
        <w:pStyle w:val="Ttulonivel3"/>
        <w:numPr>
          <w:ilvl w:val="0"/>
          <w:numId w:val="8"/>
        </w:numPr>
        <w:ind w:left="1077" w:hanging="357"/>
      </w:pPr>
      <w:bookmarkStart w:id="151" w:name="_Toc158365475"/>
      <w:r w:rsidRPr="0076589C">
        <w:t>GESTIÓN DE COBRANZA</w:t>
      </w:r>
      <w:bookmarkEnd w:id="151"/>
    </w:p>
    <w:p w14:paraId="11DBFE1C" w14:textId="20322CFC" w:rsidR="3B6C7425" w:rsidRPr="0076589C" w:rsidRDefault="1C8D6E3A" w:rsidP="003A713B">
      <w:pPr>
        <w:pStyle w:val="TextoPrincipal"/>
        <w:rPr>
          <w:lang w:val="es-HN"/>
        </w:rPr>
      </w:pPr>
      <w:r w:rsidRPr="0076589C">
        <w:rPr>
          <w:lang w:val="es-HN"/>
        </w:rPr>
        <w:t xml:space="preserve">Para el año 2017 </w:t>
      </w:r>
      <w:r w:rsidR="005B2493" w:rsidRPr="0076589C">
        <w:rPr>
          <w:lang w:val="es-HN"/>
        </w:rPr>
        <w:t xml:space="preserve">definió </w:t>
      </w:r>
      <w:r w:rsidRPr="0076589C">
        <w:rPr>
          <w:lang w:val="es-HN"/>
        </w:rPr>
        <w:t>gestión de cobranza como:</w:t>
      </w:r>
    </w:p>
    <w:p w14:paraId="3D2D060D" w14:textId="2B74E143" w:rsidR="3B6C7425" w:rsidRPr="0076589C" w:rsidRDefault="1C8D6E3A" w:rsidP="3B6C7425">
      <w:pPr>
        <w:pStyle w:val="CitaLarga"/>
      </w:pPr>
      <w:r w:rsidRPr="0076589C">
        <w:t xml:space="preserve">Es la acción que tiene por finalidad obtener la cancelación de una cuenta vencida. Si bien es cierto que, en el caso de clientes morosos, a veces se utiliza el teléfono para solicitar el pago. La comunicación escrita puede ser más efectiva para la gestión de cobranza. </w:t>
      </w:r>
      <w:r w:rsidR="2DB1901F" w:rsidRPr="0076589C">
        <w:fldChar w:fldCharType="begin"/>
      </w:r>
      <w:r w:rsidR="2DB1901F" w:rsidRPr="0076589C">
        <w:instrText xml:space="preserve"> ADDIN ZOTERO_ITEM CSL_CITATION {"citationID":"RexbEjEX","properties":{"formattedCitation":"(Rojas, 2017)","plainCitation":"(Rojas, 2017)","dontUpdate":true,"noteIndex":0},"citationItems":[{"id":355,"uris":["http://zotero.org/users/12108825/items/Y5SUFJ5S"],"itemData":{"id":355,"type":"book","abstract":"Este libro fue planificado y desarrollado para su utilización en escuelas empresariales o instituciones de educación superior, debido a que su enfoque metodológico es nuevo y cubre plenamente con sus exigencias. Su organización está cimentada en concordancia con la rápida evolución de la vida actual. La redacción, para que sea efectiva, debe ir en forma simultánea con la época, con los sistemas modernos del ámbito empresarial y, principalmente, con los requerimientos de tipo económico para facilitar la expansión de las relaciones interinstitucionales globalizadas que están en permanente crecimiento. Redacción Comercial Creativa marca diferencias con esquemas tradicionales que no satisfacen las necesidades del mundo empresarial, debido a que difieren de la realidad en la gestión comercial. Por lo tanto, el libro pretende mejorar la comunicación escrita en las empresas, sobre todo, en las áreas de marketing, ventas, comercio exterior, finanzas, logística y relaciones laborales.","ISBN":"978-958-762-727-5","language":"es","note":"Google-Books-ID: 8TOjDwAAQBAJ","number-of-pages":"346","publisher":"Ediciones de la U","source":"Google Books","title":"Redacción comercial creativa","author":[{"family":"Rojas","given":"Miguel Mateo"}],"issued":{"date-parts":[["2017",12,15]]}}}],"schema":"https://github.com/citation-style-language/schema/raw/master/csl-citation.json"} </w:instrText>
      </w:r>
      <w:r w:rsidR="2DB1901F" w:rsidRPr="0076589C">
        <w:fldChar w:fldCharType="separate"/>
      </w:r>
      <w:r w:rsidRPr="0076589C">
        <w:t>(Rojas, 2017, pág.258)</w:t>
      </w:r>
      <w:r w:rsidR="2DB1901F" w:rsidRPr="0076589C">
        <w:fldChar w:fldCharType="end"/>
      </w:r>
    </w:p>
    <w:p w14:paraId="27D5CB87" w14:textId="044F2582" w:rsidR="3314B09C" w:rsidRPr="0076589C" w:rsidRDefault="1C8D6E3A" w:rsidP="003A713B">
      <w:pPr>
        <w:pStyle w:val="TextoPrincipal"/>
        <w:rPr>
          <w:lang w:val="es-HN"/>
        </w:rPr>
      </w:pPr>
      <w:r w:rsidRPr="0076589C">
        <w:rPr>
          <w:lang w:val="es-HN"/>
        </w:rPr>
        <w:t xml:space="preserve">Si bien antes, únicamente se definía como la acción de cobrar, pero </w:t>
      </w:r>
      <w:r w:rsidR="0077263F" w:rsidRPr="0076589C">
        <w:rPr>
          <w:lang w:val="es-HN"/>
        </w:rPr>
        <w:t>se ob</w:t>
      </w:r>
      <w:r w:rsidR="00997B2F" w:rsidRPr="0076589C">
        <w:rPr>
          <w:lang w:val="es-HN"/>
        </w:rPr>
        <w:t>servó</w:t>
      </w:r>
      <w:r w:rsidRPr="0076589C">
        <w:rPr>
          <w:lang w:val="es-HN"/>
        </w:rPr>
        <w:t xml:space="preserve"> que para el año 2021 el concepto de amplio y le dio la importancia que debe ser, tal y como se explica a continuación: </w:t>
      </w:r>
    </w:p>
    <w:p w14:paraId="6D80F237" w14:textId="09E000C2" w:rsidR="7B81DD5E" w:rsidRPr="0076589C" w:rsidRDefault="1C8D6E3A" w:rsidP="009243C4">
      <w:pPr>
        <w:pStyle w:val="CitaLarga"/>
      </w:pPr>
      <w:r w:rsidRPr="0076589C">
        <w:t xml:space="preserve">La gestión de cobranza es una herramienta importante para la gerencia financiera la cual permite mejorar el capital de trabajo y maximizar el valor de la empresa, por lo tanto, su objetivo es garantizar que el proceso sea concluido de manera oportuna y total, rigiéndose por el principio básico que una venta al crédito solo está realizada cuando el valor de la misma ingresa a la caja. </w:t>
      </w:r>
      <w:r w:rsidR="7A54A044" w:rsidRPr="0076589C">
        <w:fldChar w:fldCharType="begin"/>
      </w:r>
      <w:r w:rsidR="7A54A044" w:rsidRPr="0076589C">
        <w:instrText xml:space="preserve"> ADDIN ZOTERO_ITEM CSL_CITATION {"citationID":"Uf81VKPk","properties":{"formattedCitation":"(Mogoll\\uc0\\u243{}n G\\uc0\\u243{}mez, 2021)","plainCitation":"(Mogollón Gómez, 2021)","dontUpdate":true,"noteIndex":0},"citationItems":[{"id":21,"uris":["http://zotero.org/users/12108825/items/QKKAEZHG"],"itemData":{"id":21,"type":"thesis","abstract":"El objetivo de la investigación es determinar el impacto de la gestión de cobranza en la gerencia financiera de la empresa, tomando como referente la eficiencia del personal que la realiza, la identificación de los procesos deficientes que ocasionan riesgos internos relevantes e impactan de forma negativa en la consecución de objetivos y la implementación de políticas de cobranza para salvaguardar los recursos financieros de la empresa. El diseño de la investigación es no experimental. De enfoque cuantitativo recurriendo al análisis de los estados financieros de la empresa y para constatar las hipótesis se aplicó el coeficiente de correlación de Spearman. Del análisis se demostró que existe una alta correlación que impacta positivamente entre las variables principales gestión de cobranza y gerencia financiera. Sin embargo, el impacto de la eficiencia del personal respecto a las cuentas por cobrar es negativo debido a que el mayor porcentaje de este rubro corresponde a deudas vigentes mientras que el restante recae sobre las deudas vencidas mayor a los plazos otorgados a los clientes, siendo un antecedente para la investigación. Se concluyó que la gestión de cobranza impacta sobre los resultados financieros de la empresa en relación a las cuentas por cobrar y su antigüedad.","language":"es","source":"DOI.org (Crossref)","title":"Gestión de Cobranza y su impacto en la Gerencia Financiera de la empresa PP S.A: Periodo 2014-2016","title-short":"Gestión de Cobranza y su impacto en la Gerencia Financiera de la empresa PP S.A","URL":"https://www.revistas.unah.edu.pe/index.php/puriq/article/view/121","author":[{"family":"Mogollón Gómez","given":"Juliet"}],"accessed":{"date-parts":[["2023",8,5]]},"issued":{"date-parts":[["2021",1,4]]}}}],"schema":"https://github.com/citation-style-language/schema/raw/master/csl-citation.json"} </w:instrText>
      </w:r>
      <w:r w:rsidR="7A54A044" w:rsidRPr="0076589C">
        <w:fldChar w:fldCharType="separate"/>
      </w:r>
      <w:r w:rsidRPr="0076589C">
        <w:t>(Mogollón Gómez, 2021, pág.2)</w:t>
      </w:r>
      <w:r w:rsidR="7A54A044" w:rsidRPr="0076589C">
        <w:fldChar w:fldCharType="end"/>
      </w:r>
    </w:p>
    <w:p w14:paraId="12593595" w14:textId="397E49D3" w:rsidR="00945DE5" w:rsidRPr="0076589C" w:rsidRDefault="1C8D6E3A" w:rsidP="00DD7BFA">
      <w:pPr>
        <w:pStyle w:val="Ttulonivel3"/>
        <w:numPr>
          <w:ilvl w:val="0"/>
          <w:numId w:val="8"/>
        </w:numPr>
        <w:ind w:left="720" w:firstLine="0"/>
      </w:pPr>
      <w:bookmarkStart w:id="152" w:name="_Toc158365476"/>
      <w:r w:rsidRPr="0076589C">
        <w:t>INDICADORES FINANCIEROS</w:t>
      </w:r>
      <w:bookmarkEnd w:id="152"/>
    </w:p>
    <w:p w14:paraId="1C948C42" w14:textId="61664FDF" w:rsidR="006009F9" w:rsidRPr="0076589C" w:rsidRDefault="1C8D6E3A" w:rsidP="003A713B">
      <w:pPr>
        <w:pStyle w:val="TextoPrincipal"/>
        <w:rPr>
          <w:lang w:val="es-HN"/>
        </w:rPr>
      </w:pPr>
      <w:r w:rsidRPr="0076589C">
        <w:rPr>
          <w:lang w:val="es-HN"/>
        </w:rPr>
        <w:t>También conocidos como razones financieras:</w:t>
      </w:r>
    </w:p>
    <w:p w14:paraId="4DFEB6C7" w14:textId="43583C65" w:rsidR="00D2708B" w:rsidRPr="0076589C" w:rsidRDefault="1C8D6E3A" w:rsidP="00866EE0">
      <w:pPr>
        <w:pStyle w:val="CitaLarga"/>
      </w:pPr>
      <w:r w:rsidRPr="0076589C">
        <w:t xml:space="preserve">Una razón financiera es una operación matemática (aritmética o geométrica) entre dos cantidades tomadas de los estados financieros (balance general y el estado de resultados) y otros informes y datos complementarios. Se realiza para llevar a cabo un estudio o análisis de cómo se encuentran las finanzas de la empresa; también pueden ser usadas como indicadores de gestión. </w:t>
      </w:r>
      <w:r w:rsidR="7A54A044" w:rsidRPr="0076589C">
        <w:fldChar w:fldCharType="begin"/>
      </w:r>
      <w:r w:rsidR="7A54A044" w:rsidRPr="0076589C">
        <w:instrText xml:space="preserve"> ADDIN ZOTERO_ITEM CSL_CITATION {"citationID":"5F9hMDto","properties":{"formattedCitation":"(Toro, 2014)","plainCitation":"(Toro, 2014)","dontUpdate":true,"noteIndex":0},"citationItems":[{"id":333,"uris":["http://zotero.org/users/12108825/items/ACII2A7L"],"itemData":{"id":333,"type":"book","ISBN":"978-958-771-071-7","language":"es","note":"Google-Books-ID: 1Xs5DwAAQBAJ","number-of-pages":"428","publisher":"Ecoe Ediciones","source":"Google Books","title":"Análisis financiero","author":[{"family":"Toro","given":"Diego Baena"}],"issued":{"date-parts":[["2014",1,1]]}}}],"schema":"https://github.com/citation-style-language/schema/raw/master/csl-citation.json"} </w:instrText>
      </w:r>
      <w:r w:rsidR="7A54A044" w:rsidRPr="0076589C">
        <w:fldChar w:fldCharType="separate"/>
      </w:r>
      <w:r w:rsidRPr="0076589C">
        <w:t>(Toro, 2014, pág.133)</w:t>
      </w:r>
      <w:r w:rsidR="7A54A044" w:rsidRPr="0076589C">
        <w:fldChar w:fldCharType="end"/>
      </w:r>
    </w:p>
    <w:p w14:paraId="64504832" w14:textId="20BD85D2" w:rsidR="00D2708B" w:rsidRPr="0076589C" w:rsidRDefault="1C8D6E3A" w:rsidP="003A713B">
      <w:pPr>
        <w:pStyle w:val="TextoPrincipal"/>
        <w:rPr>
          <w:lang w:val="es-HN"/>
        </w:rPr>
      </w:pPr>
      <w:r w:rsidRPr="0076589C">
        <w:rPr>
          <w:lang w:val="es-HN"/>
        </w:rPr>
        <w:t>En una de las definiciones más recientes se plante</w:t>
      </w:r>
      <w:r w:rsidR="00370211" w:rsidRPr="0076589C">
        <w:rPr>
          <w:lang w:val="es-HN"/>
        </w:rPr>
        <w:t>ó</w:t>
      </w:r>
      <w:r w:rsidRPr="0076589C">
        <w:rPr>
          <w:lang w:val="es-HN"/>
        </w:rPr>
        <w:t>:</w:t>
      </w:r>
    </w:p>
    <w:p w14:paraId="66F90513" w14:textId="523C09C9" w:rsidR="00C260B4" w:rsidRPr="0076589C" w:rsidRDefault="1C8D6E3A" w:rsidP="00AE38BD">
      <w:pPr>
        <w:pStyle w:val="CitaLarga"/>
      </w:pPr>
      <w:r w:rsidRPr="0076589C">
        <w:t xml:space="preserve">Los indicadores financieros son herramientas gerenciales que permiten evidenciar la información obtenida de los saldos contables, cuyo uso correcto permite la toma de decisiones. Un indicador de gestión representa la expresión cuantitativa del comportamiento del desempeño de un proceso, cuya dimensión al compararse con un nivel de referencia, puede demostrar evidencias de desviación sobre las que se toman acciones preventivas o correctivas de acuerdo al caso. </w:t>
      </w:r>
      <w:r w:rsidR="7A54A044" w:rsidRPr="0076589C">
        <w:fldChar w:fldCharType="begin"/>
      </w:r>
      <w:r w:rsidR="7A54A044" w:rsidRPr="0076589C">
        <w:instrText xml:space="preserve"> ADDIN ZOTERO_ITEM CSL_CITATION {"citationID":"ZdZLQ9t3","properties":{"formattedCitation":"(P\\uc0\\u225{}rraga Franco et\\uc0\\u160{}al., 2021)","plainCitation":"(Párraga Franco et al., 2021)","dontUpdate":true,"noteIndex":0},"citationItems":[{"id":136,"uris":["http://zotero.org/users/12108825/items/KVJY2KEJ"],"itemData":{"id":136,"type":"article-journal","container-title":"Dilemas contemporáneos: educación, política y valores","DOI":"10.46377/dilemas.v8i.2610","ISSN":"2007-7890","issue":"SPE2","language":"es","note":"publisher: Asesorías y Tutorías para la Investigación Científica en la Educación Puig-Salabarría S.C.","source":"SciELO","title":"Indicadores de gestión financiera en pequeñas y medianas empresas en Iberoamérica: una revisión sistemática","title-short":"Indicadores de gestión financiera en pequeñas y medianas empresas en Iberoamérica","URL":"http://www.scielo.org.mx/scielo.php?script=sci_abstract&amp;pid=S2007-78902021000400026&amp;lng=es&amp;nrm=iso&amp;tlng=es","volume":"8","author":[{"family":"Párraga Franco","given":"Silvana Mariela"},{"family":"Pinargote Vázquez","given":"Nancy Fabiola"},{"family":"García Álava","given":"Carmen Marcela"},{"family":"Zamora Sornoza","given":"Juan Carlos"},{"family":"Párraga Franco","given":"Silvana Mariela"},{"family":"Pinargote Vázquez","given":"Nancy Fabiola"},{"family":"García Álava","given":"Carmen Marcela"},{"family":"Zamora Sornoza","given":"Juan Carlos"}],"accessed":{"date-parts":[["2023",8,14]]},"issued":{"date-parts":[["2021"]]}}}],"schema":"https://github.com/citation-style-language/schema/raw/master/csl-citation.json"} </w:instrText>
      </w:r>
      <w:r w:rsidR="7A54A044" w:rsidRPr="0076589C">
        <w:fldChar w:fldCharType="separate"/>
      </w:r>
      <w:r w:rsidRPr="0076589C">
        <w:t>(Párraga Franco et al., 2021, pág.3)</w:t>
      </w:r>
      <w:r w:rsidR="7A54A044" w:rsidRPr="0076589C">
        <w:fldChar w:fldCharType="end"/>
      </w:r>
    </w:p>
    <w:p w14:paraId="0369513A" w14:textId="688AD8F0" w:rsidR="00945DE5" w:rsidRPr="0076589C" w:rsidRDefault="1C8D6E3A" w:rsidP="00E54E8F">
      <w:pPr>
        <w:pStyle w:val="Ttulonivel3"/>
        <w:numPr>
          <w:ilvl w:val="0"/>
          <w:numId w:val="8"/>
        </w:numPr>
        <w:ind w:left="720" w:firstLine="0"/>
      </w:pPr>
      <w:bookmarkStart w:id="153" w:name="_Toc158365477"/>
      <w:r w:rsidRPr="0076589C">
        <w:lastRenderedPageBreak/>
        <w:t>LIQUIDEZ</w:t>
      </w:r>
      <w:bookmarkEnd w:id="153"/>
    </w:p>
    <w:p w14:paraId="574F22FE" w14:textId="0EACB52F" w:rsidR="0DF523A2" w:rsidRPr="0076589C" w:rsidRDefault="1C8D6E3A" w:rsidP="0DF523A2">
      <w:pPr>
        <w:pStyle w:val="TextoPrincipal"/>
        <w:rPr>
          <w:lang w:val="es-HN"/>
        </w:rPr>
      </w:pPr>
      <w:r w:rsidRPr="0076589C">
        <w:rPr>
          <w:lang w:val="es-HN"/>
        </w:rPr>
        <w:t>El término liquidez se ha mantenido durante el tiempo, entendiéndolo como la facilidad que tiene una empresa para enfrentar sus obligaciones.</w:t>
      </w:r>
    </w:p>
    <w:p w14:paraId="71755F08" w14:textId="421981E1" w:rsidR="00C260B4" w:rsidRPr="0076589C" w:rsidRDefault="1C8D6E3A" w:rsidP="00C8505C">
      <w:pPr>
        <w:pStyle w:val="TextoPrincipal"/>
        <w:rPr>
          <w:lang w:val="es-HN"/>
        </w:rPr>
      </w:pPr>
      <w:r w:rsidRPr="0076589C">
        <w:rPr>
          <w:lang w:val="es-HN"/>
        </w:rPr>
        <w:t xml:space="preserve">“Es la mayor o menor facilidad que tiene el tenedor de un título o un activo para transformarlo en dinero en cualquier momento.” </w:t>
      </w:r>
      <w:r w:rsidR="7A54A044" w:rsidRPr="0076589C">
        <w:rPr>
          <w:lang w:val="es-HN"/>
        </w:rPr>
        <w:fldChar w:fldCharType="begin"/>
      </w:r>
      <w:r w:rsidR="7A54A044" w:rsidRPr="0076589C">
        <w:rPr>
          <w:lang w:val="es-HN"/>
        </w:rPr>
        <w:instrText xml:space="preserve"> ADDIN ZOTERO_ITEM CSL_CITATION {"citationID":"2d03YjTY","properties":{"formattedCitation":"(La Hipotecaria, s.\\uc0\\u160{}f.)","plainCitation":"(La Hipotecaria, s. f.)","dontUpdate":true,"noteIndex":0},"citationItems":[{"id":119,"uris":["http://zotero.org/users/12108825/items/679B36QP"],"itemData":{"id":119,"type":"report","title":"Glosario términos Financieros","URL":"https://www.lahipotecaria.com/colombia/wp-content/uploads/2014/10/Glosario-terminos-Financieros.pdf","author":[{"family":"La Hipotecaria","given":""}]}}],"schema":"https://github.com/citation-style-language/schema/raw/master/csl-citation.json"} </w:instrText>
      </w:r>
      <w:r w:rsidR="7A54A044" w:rsidRPr="0076589C">
        <w:rPr>
          <w:lang w:val="es-HN"/>
        </w:rPr>
        <w:fldChar w:fldCharType="separate"/>
      </w:r>
      <w:r w:rsidRPr="0076589C">
        <w:rPr>
          <w:lang w:val="es-HN"/>
        </w:rPr>
        <w:t>(La Hipotecaria, s. f., pág.5)</w:t>
      </w:r>
      <w:r w:rsidR="7A54A044" w:rsidRPr="0076589C">
        <w:rPr>
          <w:lang w:val="es-HN"/>
        </w:rPr>
        <w:fldChar w:fldCharType="end"/>
      </w:r>
    </w:p>
    <w:p w14:paraId="540FFBA8" w14:textId="675091F0" w:rsidR="1A9F7F14" w:rsidRPr="0076589C" w:rsidRDefault="1C8D6E3A" w:rsidP="00C8505C">
      <w:pPr>
        <w:pStyle w:val="TextoPrincipal"/>
        <w:rPr>
          <w:lang w:val="es-HN"/>
        </w:rPr>
      </w:pPr>
      <w:r w:rsidRPr="0076589C">
        <w:rPr>
          <w:lang w:val="es-HN"/>
        </w:rPr>
        <w:t>Para años recientes este concepto se plante</w:t>
      </w:r>
      <w:r w:rsidR="00370211" w:rsidRPr="0076589C">
        <w:rPr>
          <w:lang w:val="es-HN"/>
        </w:rPr>
        <w:t>ó</w:t>
      </w:r>
      <w:r w:rsidRPr="0076589C">
        <w:rPr>
          <w:lang w:val="es-HN"/>
        </w:rPr>
        <w:t xml:space="preserve"> como: "La capacidad de la empresa para atender a las obligaciones de pago que tienen vencimiento en un horizonte temporal próximo, generalmente menor o igual a un año". </w:t>
      </w:r>
      <w:r w:rsidR="7A54A044" w:rsidRPr="0076589C">
        <w:rPr>
          <w:lang w:val="es-HN"/>
        </w:rPr>
        <w:fldChar w:fldCharType="begin"/>
      </w:r>
      <w:r w:rsidR="7A54A044" w:rsidRPr="0076589C">
        <w:rPr>
          <w:lang w:val="es-HN"/>
        </w:rPr>
        <w:instrText xml:space="preserve"> ADDIN ZOTERO_ITEM CSL_CITATION {"citationID":"C67sAaOz","properties":{"formattedCitation":"(Rosario &amp; D\\uc0\\u237{}az, 2017)","plainCitation":"(Rosario &amp; Díaz, 2017)","dontUpdate":true,"noteIndex":0},"citationItems":[{"id":124,"uris":["http://zotero.org/users/12108825/items/6BUM5CQC"],"itemData":{"id":124,"type":"book","abstract":"Esta obra se ha realizado con la pretensión de servir como manual básico a los alumnos de la asignatura Gestión financiera de 3º del Grado de Finanzas y Contabilidad (FYCO), por lo que va dirigida a ellos preferentemente. También puede ser útil, como libro de consulta, a los alumnos del resto de los Grados de la Facultad de Ciencias Económicas y Empresariales, así como a toda aquella persona interesada en adquirir los conocimientos y herramientas necesarios para analizar las decisiones financieras a corto plazo.El libro está estructurado en dos bloques. El primero de ellos, Gestión del circulante, del tema 1 al 4, dedica los dos primeros a la gestión de las operaciones de la empresa (comprar, vender, cobrar y pagar) y los dos siguientes al análisis de la situación financiera de la empresa a través, tanto de magnitudes monetarias: fondo de maniobra y necesidades operativas de fondos, de su comparación y evolución, como de magnitudes no monetarias: solvencia estática y dinámica.El segundo bloque, La liquidez en la empresa, del tema 5 al 7, está dedicada a la planificación financiera a corto plazo, con la finalidad de determinar las necesidades financieras futuras, al estudio de distintos recursos financieros negociados a c/p para cubrir las necesidades temporales de tesorería y al conocimientos de diferentes productos financieros para colocar los excedentes monetarios a c/p.Se presenta al inicio de cada tema: los objetivos mínimos a alcanzar por el estudiante una vez concluido su estudio, los epígrafes del contenido para tener una visión global de lo que se va a tratar y una bibliografía básica con la que el alumno interesado pueda ampliar los conocimientos. Además, la mayoría de los temas tienen varios ejemplos prácticos para facilitar la comprensión y, por ende, el aprendizaje.","ISBN":"978-84-16642-62-5","language":"es","note":"Google-Books-ID: MXQrDwAAQBAJ","number-of-pages":"155","publisher":"Universidad Almería","source":"Google Books","title":"Gestión Financiera: Decisiones financieras a corto plazo","title-short":"Gestión Financiera","author":[{"family":"Rosario","given":"Arturo Haro","dropping-particle":"de"},{"family":"Díaz","given":"Juana Fernanda Rosario"}],"issued":{"date-parts":[["2017",7,7]]}}}],"schema":"https://github.com/citation-style-language/schema/raw/master/csl-citation.json"} </w:instrText>
      </w:r>
      <w:r w:rsidR="7A54A044" w:rsidRPr="0076589C">
        <w:rPr>
          <w:lang w:val="es-HN"/>
        </w:rPr>
        <w:fldChar w:fldCharType="separate"/>
      </w:r>
      <w:r w:rsidRPr="0076589C">
        <w:rPr>
          <w:lang w:val="es-HN"/>
        </w:rPr>
        <w:t>(Rosario &amp; Díaz, 2017, pág</w:t>
      </w:r>
      <w:r w:rsidR="7A54A044" w:rsidRPr="0076589C">
        <w:rPr>
          <w:lang w:val="es-HN"/>
        </w:rPr>
        <w:fldChar w:fldCharType="end"/>
      </w:r>
      <w:r w:rsidRPr="0076589C">
        <w:rPr>
          <w:lang w:val="es-HN"/>
        </w:rPr>
        <w:t>.79)</w:t>
      </w:r>
    </w:p>
    <w:p w14:paraId="7A5DC51B" w14:textId="7D4AB52C" w:rsidR="00945DE5" w:rsidRPr="0076589C" w:rsidRDefault="1C8D6E3A" w:rsidP="00E54E8F">
      <w:pPr>
        <w:pStyle w:val="Ttulonivel3"/>
        <w:numPr>
          <w:ilvl w:val="0"/>
          <w:numId w:val="8"/>
        </w:numPr>
        <w:ind w:left="720" w:firstLine="0"/>
      </w:pPr>
      <w:bookmarkStart w:id="154" w:name="_Toc158365478"/>
      <w:r w:rsidRPr="0076589C">
        <w:t>MOROSIDAD</w:t>
      </w:r>
      <w:bookmarkEnd w:id="154"/>
    </w:p>
    <w:p w14:paraId="36FFFE59" w14:textId="27465D01" w:rsidR="0BF2C676" w:rsidRPr="0076589C" w:rsidRDefault="1C8D6E3A" w:rsidP="0BF2C676">
      <w:pPr>
        <w:pStyle w:val="TextoPrincipal"/>
        <w:rPr>
          <w:lang w:val="es-HN"/>
        </w:rPr>
      </w:pPr>
      <w:r w:rsidRPr="0076589C">
        <w:rPr>
          <w:lang w:val="es-HN"/>
        </w:rPr>
        <w:t>El concepto morosidad no ha variado mucho en el tiempo, ya que tanto en el año 2003 como en el año 2022 sigue siendo el mismo.</w:t>
      </w:r>
    </w:p>
    <w:p w14:paraId="09DE8650" w14:textId="27E3AF10" w:rsidR="00BA0F5B" w:rsidRPr="0076589C" w:rsidRDefault="1C8D6E3A" w:rsidP="00C8505C">
      <w:pPr>
        <w:pStyle w:val="TextoPrincipal"/>
        <w:rPr>
          <w:lang w:val="es-HN"/>
        </w:rPr>
      </w:pPr>
      <w:r w:rsidRPr="0076589C">
        <w:rPr>
          <w:lang w:val="es-HN"/>
        </w:rPr>
        <w:t xml:space="preserve">“Es el retraso en el cumplimiento de una obligación de pago; es decir que a pesar de que el cliente no ha pagado la factura el día del vencimiento, acaba finalmente pagando la deuda en su totalidad.” </w:t>
      </w:r>
      <w:r w:rsidR="7A54A044" w:rsidRPr="0076589C">
        <w:rPr>
          <w:lang w:val="es-HN"/>
        </w:rPr>
        <w:fldChar w:fldCharType="begin"/>
      </w:r>
      <w:r w:rsidR="7A54A044" w:rsidRPr="0076589C">
        <w:rPr>
          <w:lang w:val="es-HN"/>
        </w:rPr>
        <w:instrText xml:space="preserve"> ADDIN ZOTERO_ITEM CSL_CITATION {"citationID":"KWQMH2VP","properties":{"formattedCitation":"(Brachfield, 2003)","plainCitation":"(Brachfield, 2003)","dontUpdate":true,"noteIndex":0},"citationItems":[{"id":126,"uris":["http://zotero.org/users/12108825/items/473824AL"],"itemData":{"id":126,"type":"book","abstract":"Uno de los escollos habituales a los que se enfrentan las empresas es la dificultad de cobrar puntualmente de sus clientes. Otra de las dificultades comunes de muchas companias es como conseguir un flujo de cobros constante que les permita funcionar sin tensiones de liquidez. Y un tercer problema que frecuentemente tienen las empresas son los cuantiosos gastos financieros provocados por la morosidad de sus deudores y las perdidas causadas por los creditos fallidos.","ISBN":"978-84-8088-825-7","language":"es","number-of-pages":"386","publisher":"Grupo Planeta (GBS)","source":"Google Books","title":"Recobrar impagados y negociar con morosos","author":[{"family":"Brachfield","given":"Pere J."}],"issued":{"date-parts":[["2003"]]}}}],"schema":"https://github.com/citation-style-language/schema/raw/master/csl-citation.json"} </w:instrText>
      </w:r>
      <w:r w:rsidR="7A54A044" w:rsidRPr="0076589C">
        <w:rPr>
          <w:lang w:val="es-HN"/>
        </w:rPr>
        <w:fldChar w:fldCharType="separate"/>
      </w:r>
      <w:r w:rsidRPr="0076589C">
        <w:rPr>
          <w:lang w:val="es-HN"/>
        </w:rPr>
        <w:t>(Brachfield, 2003, pág.32)</w:t>
      </w:r>
      <w:r w:rsidR="7A54A044" w:rsidRPr="0076589C">
        <w:rPr>
          <w:lang w:val="es-HN"/>
        </w:rPr>
        <w:fldChar w:fldCharType="end"/>
      </w:r>
    </w:p>
    <w:p w14:paraId="0FA2DC5F" w14:textId="065FA106" w:rsidR="69C8C5F6" w:rsidRPr="0076589C" w:rsidRDefault="1C8D6E3A" w:rsidP="69C8C5F6">
      <w:pPr>
        <w:pStyle w:val="TextoPrincipal"/>
        <w:rPr>
          <w:lang w:val="es-HN"/>
        </w:rPr>
      </w:pPr>
      <w:r w:rsidRPr="0076589C">
        <w:rPr>
          <w:lang w:val="es-HN"/>
        </w:rPr>
        <w:t xml:space="preserve">“El concepto de «mora» se refiere al incumplimiento de los clientes en el pago de los compromisos vencidos de intereses y capital de los préstamos o créditos concedidos.” </w:t>
      </w:r>
      <w:r w:rsidR="32CE2616" w:rsidRPr="0076589C">
        <w:rPr>
          <w:lang w:val="es-HN"/>
        </w:rPr>
        <w:fldChar w:fldCharType="begin"/>
      </w:r>
      <w:r w:rsidR="32CE2616" w:rsidRPr="0076589C">
        <w:rPr>
          <w:lang w:val="es-HN"/>
        </w:rPr>
        <w:instrText xml:space="preserve"> ADDIN ZOTERO_ITEM CSL_CITATION {"citationID":"aoNLVPHr","properties":{"formattedCitation":"(P. F. Pampill\\uc0\\u243{}n et\\uc0\\u160{}al., 2022)","plainCitation":"(P. F. Pampillón et al., 2022)","dontUpdate":true,"noteIndex":0},"citationItems":[{"id":357,"uris":["http://zotero.org/users/12108825/items/5FPPBNLC"],"itemData":{"id":357,"type":"book","abstract":"Aristóteles afirmaba: «El hombre es el único animal que tiene palabra y dinero. El dinero es algo inventado por el ser humano para satisfacer las necesidades del comercio». Desde entonces, el sistema financiero no ha dejado de transformarse: desde el nacimiento del papel moneda en la Edad Media hasta la creación del dinero fiduciario, las primeras bolsas de valores, los modernos sistemas de pagos, compensación y liquidación de operaciones y la irrupción de las monedas virtuales. La innovación financiera avanza a un ritmo tan rápido que, tanto los mercados comolos instrumentos financieros que movilizan recursos entre agentes, han tenido que adaptarse a una realidad siempre cambiante y cada vez más compleja y sofisticada. En este libro mostramos al lector el estrecho vínculo que sigue existiendo entre la economía financiera y la economía real, ya que en nuestros días no se entiende el funcionamiento de una sin la otra.A pesar de los conceptos complejos que se abordan, esta obra logra que el lector comprenda, de forma sencilla y con rigor académico, cómo se interrelacionan entre sí los distintos mercados, instrumentos e intermediarios financieros. El sistema financiero funciona como un todo, un sistema perfectamente engranado gracias a la intervención de los órganos reguladores que estudiaremos, y que son un elemento indispensable para garantizar el buen funcionamiento y la estabilidad del sistema. Para terminar, nos gustaría resaltar el importante papel que tiene en nuestros días el sistema financiero para avanzar en la senda de la sostenibilidad y en la consecución de los objetivos de la Agenda 2030, que ya forman parte de la realidad de muchos intermediarios, inversores y mercados.","ISBN":"978-84-362-7765-4","language":"es","note":"Google-Books-ID: uoRdEAAAQBAJ","number-of-pages":"470","publisher":"Editorial UNED","source":"Google Books","title":"Sistema financiero en perspectiva","author":[{"family":"Pampillón","given":"PAMPILLÓN FERNÁNDEZ"},{"family":"De la Cuesta","given":"María"},{"family":"Ruiz","given":"Cristina"},{"family":"Vásquez","given":"Orencio"}],"issued":{"date-parts":[["2022",2,9]]}}}],"schema":"https://github.com/citation-style-language/schema/raw/master/csl-citation.json"} </w:instrText>
      </w:r>
      <w:r w:rsidR="32CE2616" w:rsidRPr="0076589C">
        <w:rPr>
          <w:lang w:val="es-HN"/>
        </w:rPr>
        <w:fldChar w:fldCharType="separate"/>
      </w:r>
      <w:r w:rsidRPr="0076589C">
        <w:t>(Pampillón et al., 2022)</w:t>
      </w:r>
      <w:r w:rsidR="32CE2616" w:rsidRPr="0076589C">
        <w:rPr>
          <w:lang w:val="es-HN"/>
        </w:rPr>
        <w:fldChar w:fldCharType="end"/>
      </w:r>
    </w:p>
    <w:p w14:paraId="6B059EF2" w14:textId="58D497EC" w:rsidR="00E47CBA" w:rsidRPr="0076589C" w:rsidRDefault="1C8D6E3A" w:rsidP="00E54E8F">
      <w:pPr>
        <w:pStyle w:val="Ttulonivel3"/>
        <w:numPr>
          <w:ilvl w:val="0"/>
          <w:numId w:val="8"/>
        </w:numPr>
        <w:ind w:left="720" w:firstLine="0"/>
      </w:pPr>
      <w:bookmarkStart w:id="155" w:name="_Toc158365479"/>
      <w:r w:rsidRPr="0076589C">
        <w:t>SITUACIÓN FINANCIERA</w:t>
      </w:r>
      <w:bookmarkEnd w:id="155"/>
    </w:p>
    <w:p w14:paraId="2D55F461" w14:textId="08469B0C" w:rsidR="043170DD" w:rsidRPr="0076589C" w:rsidRDefault="1C8D6E3A" w:rsidP="043170DD">
      <w:pPr>
        <w:pStyle w:val="TextoPrincipal"/>
        <w:rPr>
          <w:lang w:val="es-HN"/>
        </w:rPr>
      </w:pPr>
      <w:r w:rsidRPr="0076589C">
        <w:rPr>
          <w:lang w:val="es-HN"/>
        </w:rPr>
        <w:t>Situación financiera de una empresa, se refleja la información contable o ya sea financiera en una fecha determinada que da un panorama de cómo está la empresa en esa fecha.</w:t>
      </w:r>
    </w:p>
    <w:p w14:paraId="71E73ACE" w14:textId="4AD9256B" w:rsidR="00E47CBA" w:rsidRPr="0076589C" w:rsidRDefault="1C8D6E3A" w:rsidP="00817B1A">
      <w:pPr>
        <w:pStyle w:val="TextoPrincipal"/>
        <w:rPr>
          <w:lang w:val="es-HN"/>
        </w:rPr>
      </w:pPr>
      <w:r w:rsidRPr="0076589C">
        <w:rPr>
          <w:lang w:val="es-HN"/>
        </w:rPr>
        <w:t xml:space="preserve">“El estado de situación financiera, también llamado estado de situación financiera o estado de posición financiera, que muestra información relativa a una fecha determinada sobre los recursos y obligaciones financieros de la entidad.”  </w:t>
      </w:r>
      <w:r w:rsidR="7A54A044" w:rsidRPr="0076589C">
        <w:rPr>
          <w:lang w:val="es-HN"/>
        </w:rPr>
        <w:fldChar w:fldCharType="begin"/>
      </w:r>
      <w:r w:rsidR="7A54A044" w:rsidRPr="0076589C">
        <w:rPr>
          <w:lang w:val="es-HN"/>
        </w:rPr>
        <w:instrText xml:space="preserve"> ADDIN ZOTERO_ITEM CSL_CITATION {"citationID":"ahWtWhXQ","properties":{"formattedCitation":"(Fuentes, 2019)","plainCitation":"(Fuentes, 2019)","noteIndex":0},"citationItems":[{"id":269,"uris":["http://zotero.org/users/12108825/items/FZUZH7AG"],"itemData":{"id":269,"type":"book","abstract":"La Información Financiera que se produce a través de la técnica contable, representa un valioso insumo que permite fundamentar el proceso de la toma de decisiones en las organizaciones. Es por esto, que el contenido medular de esta obra, ESTADOS FINANCIEROS BÁSICOS, es precisamente la presentación de esta información. Además de casos prácticos para cada estado financiero básico, se incluye una práctica que incluye de forma integral, el proceso a seguir para la obtención de información financiera durante un proceso contable.Contenido:INTRODUCCION        CAPITULO I. SISTEMAS DE INFORMACION CONTABLE        1. Conceptos e importancia        2. Sistemas de información contable        3. Etapas para la implantación de un sistema de información financiera        4. Normas de información financiera        4.1. Normas relacionadas con los sistemas de información contable        CAPITULO II. ESTADOS FINANCIEROS BASICOS. CARACTERISTICAS Y OBJETIVOS        1. Estados financieros básicos        2. Objetivos de los estados financieros básicos3. Usuarios de los estados financieros         4. Características de los estados financieros        5. Partes que integran a los estados financieros        6. Limitaciones en el uso de los estados financieros        7. Notas a los estados financieros        7.1.Revelación de políticas contables significativas        CAPITULO III. ESTADO DE SITUACION FINANCIERA        1. Conceptos        2. Objetivos que persigue3. Formas de presentación        3.1. Presentación en forma de cuenta        3.2. Presentación en forma de reporte        3.3. Presentación en forma inglesa        3.4. Formas de presentación según la NIF B-6         4. Definición de conceptos básicos        4.1. Activo        4.2. Pasivo        4.3. Capital contable        5. Clasificación de los conceptos del estado de situación financiera        5.1. Clasificación del activo y pasivo        6. Estructura del estado de situación financiera        7.Proceso de elaboración        8.Prácticas resueltas        8.1.Ejercicios para resolver        CAPITULO IV. ESTADO DE RESULTADOS INTEGRAL        1. Conceptos        2. Objetivos que persigue        3. Rubros y niveles de resultados        3.1. Definición de los rubros que lo integran        4. Clasificación de costos y gastos5.Opciones para la presentación del estado de resultados integral        6. Estructura del estado de resultados integral, a partir de las opciones de presentación existentes        6.1. Estructura del estado de resultados integral (un solo estado)        6.2. Estructura del estado de resultados integral (en dos estados)        7. Prácticas resueltas        7.1. Ejercicios para resolver        7.2. Práctica conjunta de estado de resultados integral y estado de situación financiera        7.3. Ejercicio para resolverCAPITULO V. EL ESTADO DE FLUJOS DE EFECTIVO        1. Conceptos        2. Objetivos        3. Definición de conceptos        4. Estructura general del estado        5. Mecanismo para su elaboración        6. Clasificación de las principales partidas del estado de situación financiera por tipo de actividad        7. Variaciones de las principales partidas que integran un estado de situación financiera y repercusiones en el estado de flujos de efectivo        8. Pasos y recomendaciones mínimos para la formulación del estado de flujos de efectivo        9. Prácticas resueltas        10. Procedimiento simplificado para elaborar el estado de flujos de efectivo sin necesidad de formular hoja de trabajo        10.1. Ejemplo de utilización de las fórmulas propuestas        11. Ejercicios para resolver        CAPITULO VI. EL ESTADO DE CAMBIOS EN EL CAPITAL CONTABLE        1. Conceptos        2. Objetivos que persigue        3. Conceptos básicos        4. Normas de presentación        4.1. Estructura básica        4.2. Ejemplos de presentación        5. Pasos para su elaboración        6. Prácticas resueltas        6.1. Ejercicios para resolver        CAPITULO VII. PROCESO INTEGRAL DE ELABORACION DE LOS ESTADOS FINANCIEROS BASICOS        1.Consideraciones para su solución        2. Planteamiento        3. Solución        3.1. Ejercicios para resolverCAPITULO VIII. LA INFLACION Y LA REEXPRESION DE LA INFORMACION FINANCIERA        1. Conceptos de inflación        2. Causas internas y externas        3. Comportamiento histórico de la inflación en México        4. Efectos de la inflación en la información financiera        5. Cuantificación de la inflación en México        6. Antecedentes de la normatividad actual        7. Principales adecuaciones al Boletín B-10, como precedente de la actual NIF B-10        8. Métodos de reexpresión        9. Principales disposiciones contenidas en la actual NIF B-10 9.1. Justificación para la emisión de la norma        9.2. Principales cambios incluidos en la normatividad actual        9.3. Conceptos básicos contenidos en la norma        ]9.4. Normas de reexpresión del método integral aplicable a entornos inflacionarios        9.5. Normas de reexpresión en un entorno no inflacionario        9.6. Cambio de entorno económico        9.7. Cambio de un entorno económico inflacionario a uno no inflacionario        9.8. Cambio de un entorno económico no inflacionario a uno inflacionario        10. Caso práctico de reexpresión utilizando el método integral         11. ¿Cómo deben presentarse en los estados financieros comparativos las cifras de períodos anteriores a 2008, por la entrada en vigor de la NIF B-10?        12. Datos sobre el entorno económico de los últimos años13. Normatividad internacional aplicable a la reexpresión de estados financierosGLOSARIOBIBLIOGRAFIAREFERENCIAS ELECTRONICAS","ISBN":"978-607-541-128-6","language":"en","note":"Google-Books-ID: a3eUDwAAQBAJ","number-of-pages":"195","publisher":"Ediciones Fiscales ISEF","source":"Google Books","title":"ESTADOS FINANCIEROS BÁSICOS 2019: Proceso de elaboración y reexpresión","title-short":"ESTADOS FINANCIEROS BÁSICOS 2019","author":[{"family":"Fuentes","given":"C. P. Juan Carlos Róman"}],"issued":{"date-parts":[["2019"]]}}}],"schema":"https://github.com/citation-style-language/schema/raw/master/csl-citation.json"} </w:instrText>
      </w:r>
      <w:r w:rsidR="7A54A044" w:rsidRPr="0076589C">
        <w:rPr>
          <w:lang w:val="es-HN"/>
        </w:rPr>
        <w:fldChar w:fldCharType="separate"/>
      </w:r>
      <w:r w:rsidRPr="0076589C">
        <w:rPr>
          <w:lang w:val="es-HN"/>
        </w:rPr>
        <w:t>(Fuentes, 2019)</w:t>
      </w:r>
      <w:r w:rsidR="7A54A044" w:rsidRPr="0076589C">
        <w:rPr>
          <w:lang w:val="es-HN"/>
        </w:rPr>
        <w:fldChar w:fldCharType="end"/>
      </w:r>
    </w:p>
    <w:p w14:paraId="1A7449AE" w14:textId="4395426A" w:rsidR="1A96F033" w:rsidRPr="0076589C" w:rsidRDefault="1C8D6E3A" w:rsidP="00097979">
      <w:pPr>
        <w:pStyle w:val="TextoPrincipal"/>
        <w:rPr>
          <w:lang w:val="es-HN"/>
        </w:rPr>
      </w:pPr>
      <w:r w:rsidRPr="0076589C">
        <w:rPr>
          <w:lang w:val="es-HN"/>
        </w:rPr>
        <w:t xml:space="preserve">Para el año 2021 </w:t>
      </w:r>
      <w:r w:rsidR="00482C01" w:rsidRPr="0076589C">
        <w:rPr>
          <w:lang w:val="es-HN"/>
        </w:rPr>
        <w:t>definió</w:t>
      </w:r>
      <w:r w:rsidRPr="0076589C">
        <w:rPr>
          <w:lang w:val="es-HN"/>
        </w:rPr>
        <w:t xml:space="preserve"> situación financiera enfocada en el área de contabilidad como:</w:t>
      </w:r>
    </w:p>
    <w:p w14:paraId="342C7BD6" w14:textId="5BDD4C85" w:rsidR="099D7AFF" w:rsidRPr="0076589C" w:rsidRDefault="1C8D6E3A" w:rsidP="00E846A6">
      <w:pPr>
        <w:pStyle w:val="TextoPrincipal"/>
        <w:rPr>
          <w:lang w:val="es-HN"/>
        </w:rPr>
      </w:pPr>
      <w:r w:rsidRPr="0076589C">
        <w:rPr>
          <w:lang w:val="es-HN"/>
        </w:rPr>
        <w:t xml:space="preserve">“La situación financiera de una entidad es la relación entre los activos, los pasivos y el patrimonio en una fecha concreta, tal como se presenta en el estado de situación financiera.” </w:t>
      </w:r>
      <w:r w:rsidR="2160C433" w:rsidRPr="0076589C">
        <w:rPr>
          <w:lang w:val="es-HN"/>
        </w:rPr>
        <w:fldChar w:fldCharType="begin"/>
      </w:r>
      <w:r w:rsidR="2160C433" w:rsidRPr="0076589C">
        <w:rPr>
          <w:lang w:val="es-HN"/>
        </w:rPr>
        <w:instrText xml:space="preserve"> ADDIN ZOTERO_ITEM CSL_CITATION {"citationID":"radTmZGm","properties":{"formattedCitation":"(Mart\\uc0\\u237{}nez et\\uc0\\u160{}al., 2021)","plainCitation":"(Martínez et al., 2021)","dontUpdate":true,"noteIndex":0},"citationItems":[{"id":359,"uris":["http://zotero.org/users/12108825/items/8D5UB8MR"],"itemData":{"id":359,"type":"book","abstract":"La contabilidad de una empresa es la base de las decisiones que los dueños y posibles inversionistas toman, porque están interesados en hacer nuevas inversiones, por consiguiente, debe tener las características de una contabilidad bajo estándares internacionales de información financiera, con sus debidas certificaciones para tomar confianza necesaria. El enfoque de este libro son las pymes, pues el reciente estudio de Economiaaplicada.co da cuenta que solo el 4 por mil son grandes empresas, el 6.7% son pymes y el resto microempresas. El libro muestra que la contabilidad multipropósito fundamentada en el reconocimiento inicial de los hechos económicos de un negocio, al costo y posteriormente aquellos que lo requieran, un reconocimiento a valor razonable, de donde resultan las diferencias entre lo contable y lo fiscal que no tienen reconocimiento en la base fiscal para la determinación del impuesto de renta, sino en el momento que cumpla con los presupuestos del Estatuto Tributario. Además, también contiene el texto: la definición de la contabilidad, las características de las pequeñas y medianas entidades, los conceptos y principios generales de la contabilidad, los conceptos mercantiles, el ciclo contable, y los grandes conceptos de activos, pasivos, patrimonio, estado de resultados y estado de rendimiento financiero integral para llegar al balance general y luego en taxonomía NIIF 2018 al estado de situación financiera.","ISBN":"978-958-792-237-0","language":"es","note":"Google-Books-ID: 8yFZEAAAQBAJ","number-of-pages":"494","publisher":"Ediciones de la U","source":"Google Books","title":"Contabilidad general: Enfoque NIIF para pymes","title-short":"Contabilidad general","author":[{"family":"Martínez","given":"Ángel María Fierro"},{"family":"Cruz","given":"Francy Milena Fierro"},{"family":"Cruz","given":"Fernando Adolfo Fierro"}],"issued":{"date-parts":[["2021",6,3]]}}}],"schema":"https://github.com/citation-style-language/schema/raw/master/csl-citation.json"} </w:instrText>
      </w:r>
      <w:r w:rsidR="2160C433" w:rsidRPr="0076589C">
        <w:rPr>
          <w:lang w:val="es-HN"/>
        </w:rPr>
        <w:fldChar w:fldCharType="separate"/>
      </w:r>
      <w:r w:rsidRPr="0076589C">
        <w:t>(Martínez et al., 2021, pág.466)</w:t>
      </w:r>
      <w:r w:rsidR="2160C433" w:rsidRPr="0076589C">
        <w:rPr>
          <w:lang w:val="es-HN"/>
        </w:rPr>
        <w:fldChar w:fldCharType="end"/>
      </w:r>
    </w:p>
    <w:p w14:paraId="364F2A0E" w14:textId="3344A1F2" w:rsidR="00064377" w:rsidRPr="0076589C" w:rsidRDefault="1C8D6E3A" w:rsidP="00486B14">
      <w:pPr>
        <w:pStyle w:val="Ttulonivel3"/>
        <w:numPr>
          <w:ilvl w:val="0"/>
          <w:numId w:val="8"/>
        </w:numPr>
        <w:ind w:left="720" w:firstLine="0"/>
      </w:pPr>
      <w:bookmarkStart w:id="156" w:name="_Toc158365480"/>
      <w:r w:rsidRPr="0076589C">
        <w:lastRenderedPageBreak/>
        <w:t>POLÍTICA</w:t>
      </w:r>
      <w:bookmarkEnd w:id="156"/>
      <w:r w:rsidRPr="0076589C">
        <w:t xml:space="preserve"> </w:t>
      </w:r>
    </w:p>
    <w:p w14:paraId="4CEC74B2" w14:textId="7A4E598D" w:rsidR="00064377" w:rsidRPr="0076589C" w:rsidRDefault="1C8D6E3A" w:rsidP="00C8505C">
      <w:pPr>
        <w:pStyle w:val="TextoPrincipal"/>
        <w:rPr>
          <w:lang w:val="es-HN"/>
        </w:rPr>
      </w:pPr>
      <w:r w:rsidRPr="0076589C">
        <w:rPr>
          <w:lang w:val="es-HN"/>
        </w:rPr>
        <w:t xml:space="preserve">“Una política es el curso general de acción para situaciones concurrentes, encaminada a alcanzar los objetivos establecidos”. </w:t>
      </w:r>
      <w:r w:rsidR="7A54A044" w:rsidRPr="0076589C">
        <w:rPr>
          <w:lang w:val="es-HN"/>
        </w:rPr>
        <w:fldChar w:fldCharType="begin"/>
      </w:r>
      <w:r w:rsidR="7A54A044" w:rsidRPr="0076589C">
        <w:rPr>
          <w:lang w:val="es-HN"/>
        </w:rPr>
        <w:instrText xml:space="preserve"> ADDIN ZOTERO_ITEM CSL_CITATION {"citationID":"b4t3EECN","properties":{"formattedCitation":"(Morales Castro &amp; Morales Castro, 2014)","plainCitation":"(Morales Castro &amp; Morales Castro, 2014)","noteIndex":0},"citationItems":[{"id":62,"uris":["http://zotero.org/users/12108825/items/FRR5QZS5"],"itemData":{"id":62,"type":"book","abstract":"El crédito es el mecanismo por excelencia que aumenta las ventas de las empresas, y cuando éste sucede las compañías incrementan la intensidad de su ciclo financiero y las compras que hacen a otras empresas de materias primas y servicios necesarios para sus procesos de producción, y con ello se presenta un efecto multiplicador en la economía porque las empresas aumentan sus operaciones y con ello compras de materias primas, pago de servicios diversos, pago de impuestos, etc., por ello el crédito es una herramienta que ayuda a reactivar la economía. Crédito y cobranza proporciona a las empresas las herramientas para aumentar las ventas y los ingresos en sus ciclos financieros, pero es fundamental que las actividades desarrolladas en el otorgamiento de créditos sean precisas para que éstos se puedan recuperar, lo cual se logra mediante un análisis minucioso de los solicitantes de crédito para asegurar que sí tendrán los recursos necesarios para saldar sus deudas y que además estén dispuestos a pagar.","ISBN":"978-607-438-840-4","language":"es","note":"Google-Books-ID: gtXhBAAAQBAJ","number-of-pages":"309","publisher":"Grupo Editorial Patria","source":"Google Books","title":"Crédito y Cobranza","author":[{"family":"Morales Castro","given":"Arturo"},{"family":"Morales Castro","given":"José Antonio"}],"issued":{"date-parts":[["2014",10,21]]}}}],"schema":"https://github.com/citation-style-language/schema/raw/master/csl-citation.json"} </w:instrText>
      </w:r>
      <w:r w:rsidR="7A54A044" w:rsidRPr="0076589C">
        <w:rPr>
          <w:lang w:val="es-HN"/>
        </w:rPr>
        <w:fldChar w:fldCharType="separate"/>
      </w:r>
      <w:r w:rsidRPr="0076589C">
        <w:rPr>
          <w:lang w:val="es-HN"/>
        </w:rPr>
        <w:t>(Morales Castro &amp; Morales Castro, 2014)</w:t>
      </w:r>
      <w:r w:rsidR="7A54A044" w:rsidRPr="0076589C">
        <w:rPr>
          <w:lang w:val="es-HN"/>
        </w:rPr>
        <w:fldChar w:fldCharType="end"/>
      </w:r>
    </w:p>
    <w:p w14:paraId="37E4D499" w14:textId="0CDF15FA" w:rsidR="46CA1496" w:rsidRPr="0076589C" w:rsidRDefault="1C8D6E3A" w:rsidP="46CA1496">
      <w:pPr>
        <w:pStyle w:val="TextoPrincipal"/>
        <w:spacing w:line="240" w:lineRule="auto"/>
        <w:ind w:left="720" w:firstLine="0"/>
        <w:rPr>
          <w:lang w:val="es-HN"/>
        </w:rPr>
      </w:pPr>
      <w:r w:rsidRPr="0076589C">
        <w:rPr>
          <w:lang w:val="es-HN"/>
        </w:rPr>
        <w:t xml:space="preserve">La definición de política se </w:t>
      </w:r>
      <w:r w:rsidR="00A51C4C" w:rsidRPr="0076589C">
        <w:rPr>
          <w:lang w:val="es-HN"/>
        </w:rPr>
        <w:t xml:space="preserve">definió </w:t>
      </w:r>
      <w:r w:rsidRPr="0076589C">
        <w:rPr>
          <w:lang w:val="es-HN"/>
        </w:rPr>
        <w:t>en el año 2023 cómo:</w:t>
      </w:r>
    </w:p>
    <w:p w14:paraId="0A20E422" w14:textId="0749219D" w:rsidR="7AD20AA3" w:rsidRPr="0076589C" w:rsidRDefault="1C8D6E3A" w:rsidP="3BEBDA2F">
      <w:pPr>
        <w:pStyle w:val="TextoPrincipal"/>
        <w:spacing w:line="240" w:lineRule="auto"/>
        <w:ind w:left="720" w:firstLine="0"/>
        <w:rPr>
          <w:lang w:val="es-HN"/>
        </w:rPr>
      </w:pPr>
      <w:r w:rsidRPr="0076589C">
        <w:rPr>
          <w:lang w:val="es-HN"/>
        </w:rPr>
        <w:t xml:space="preserve">La política es una actividad orientada en forma ideológica a la toma de decisiones de un grupo para alcanzar ciertos objetivos. También puede definirse como una manera de ejercer el poder con la intención de resolver o minimizar el choque entre los intereses encontrados que se producen dentro de una sociedad. </w:t>
      </w:r>
      <w:r w:rsidR="0B6F26F4" w:rsidRPr="0076589C">
        <w:rPr>
          <w:lang w:val="es-HN"/>
        </w:rPr>
        <w:fldChar w:fldCharType="begin"/>
      </w:r>
      <w:r w:rsidR="0B6F26F4" w:rsidRPr="0076589C">
        <w:rPr>
          <w:lang w:val="es-HN"/>
        </w:rPr>
        <w:instrText xml:space="preserve"> ADDIN ZOTERO_ITEM CSL_CITATION {"citationID":"vnKR0rrN","properties":{"formattedCitation":"({\\i{}Pol\\uc0\\u237{}tica - Definicion.de}, s.\\uc0\\u160{}f.)","plainCitation":"(Política - Definicion.de, s. f.)","dontUpdate":true,"noteIndex":0},"citationItems":[{"id":365,"uris":["http://zotero.org/users/12108825/items/D7IM9EMH"],"itemData":{"id":365,"type":"webpage","abstract":"La política es una actividad orientada en forma ideológica a la toma de decisiones de un grupo para alcanzar ciertos objetivos. También puede definirse como...","container-title":"Definición.de","language":"es","title":"Política - Definicion.de","URL":"https://definicion.de/politica/","accessed":{"date-parts":[["2023",10,22]]}}}],"schema":"https://github.com/citation-style-language/schema/raw/master/csl-citation.json"} </w:instrText>
      </w:r>
      <w:r w:rsidR="0B6F26F4" w:rsidRPr="0076589C">
        <w:rPr>
          <w:lang w:val="es-HN"/>
        </w:rPr>
        <w:fldChar w:fldCharType="separate"/>
      </w:r>
      <w:r w:rsidRPr="0076589C">
        <w:t>(</w:t>
      </w:r>
      <w:r w:rsidRPr="0076589C">
        <w:rPr>
          <w:i/>
          <w:iCs/>
        </w:rPr>
        <w:t>Política</w:t>
      </w:r>
      <w:r w:rsidRPr="0076589C">
        <w:t>, s. f.)</w:t>
      </w:r>
      <w:r w:rsidR="0B6F26F4" w:rsidRPr="0076589C">
        <w:rPr>
          <w:lang w:val="es-HN"/>
        </w:rPr>
        <w:fldChar w:fldCharType="end"/>
      </w:r>
    </w:p>
    <w:p w14:paraId="7A5F8EFF" w14:textId="7B3B8AF7" w:rsidR="00945DE5" w:rsidRPr="0076589C" w:rsidRDefault="1C8D6E3A" w:rsidP="00486B14">
      <w:pPr>
        <w:pStyle w:val="Ttulonivel3"/>
        <w:numPr>
          <w:ilvl w:val="0"/>
          <w:numId w:val="8"/>
        </w:numPr>
        <w:ind w:left="720" w:firstLine="0"/>
      </w:pPr>
      <w:bookmarkStart w:id="157" w:name="_Toc158365481"/>
      <w:r w:rsidRPr="0076589C">
        <w:t>POLÍTICA DE COBRANZA</w:t>
      </w:r>
      <w:bookmarkEnd w:id="157"/>
    </w:p>
    <w:p w14:paraId="6C346AAD" w14:textId="1F0720CD" w:rsidR="00C260B4" w:rsidRPr="0076589C" w:rsidRDefault="1C8D6E3A" w:rsidP="00C8505C">
      <w:pPr>
        <w:pStyle w:val="TextoPrincipal"/>
        <w:rPr>
          <w:lang w:val="es-HN"/>
        </w:rPr>
      </w:pPr>
      <w:r w:rsidRPr="0076589C">
        <w:rPr>
          <w:lang w:val="es-HN"/>
        </w:rPr>
        <w:t xml:space="preserve">“Son los procedimientos que la empresa emplea para realizar la cobranza de las cuentas por cobrar cuando las mismas llegan a su vencimiento.” </w:t>
      </w:r>
      <w:r w:rsidR="7A54A044" w:rsidRPr="0076589C">
        <w:rPr>
          <w:lang w:val="es-HN"/>
        </w:rPr>
        <w:fldChar w:fldCharType="begin"/>
      </w:r>
      <w:r w:rsidR="7A54A044" w:rsidRPr="0076589C">
        <w:rPr>
          <w:lang w:val="es-HN"/>
        </w:rPr>
        <w:instrText xml:space="preserve"> ADDIN ZOTERO_ITEM CSL_CITATION {"citationID":"zeSnotZS","properties":{"formattedCitation":"(Gitman, 2003)","plainCitation":"(Gitman, 2003)","dontUpdate":true,"noteIndex":0},"citationItems":[{"id":116,"uris":["http://zotero.org/users/12108825/items/S6B9AWMN"],"itemData":{"id":116,"type":"book","abstract":"Papel y entorno de la administración financiera - Estados financieros y su análisis - Flujo de efectivo y planeación financiera - Valor del dinero en el tiempo - Riesgos y rendimiento - Tasas de interés y valuación de bonos - Valuación de acciones - Flujos de efectivo del presupuesto de capital - Técnicas para preparar presupuestos de capital : certeza y riesgo - Costo de capital - Apalancamiento y estructura de capital - Política de dividendos - Administración de capital de trabajo y de activos circulantes - Administración de pasivos circulantes.","ISBN":"978-970-26-0428-0","language":"es","note":"Google-Books-ID: KS_04zILe2gC","number-of-pages":"684","publisher":"Pearson Educación","source":"Google Books","title":"Principios de administración financiera","author":[{"family":"Gitman","given":"Lawrence J."}],"issued":{"date-parts":[["2003"]]}}}],"schema":"https://github.com/citation-style-language/schema/raw/master/csl-citation.json"} </w:instrText>
      </w:r>
      <w:r w:rsidR="7A54A044" w:rsidRPr="0076589C">
        <w:rPr>
          <w:lang w:val="es-HN"/>
        </w:rPr>
        <w:fldChar w:fldCharType="separate"/>
      </w:r>
      <w:r w:rsidRPr="0076589C">
        <w:rPr>
          <w:lang w:val="es-HN"/>
        </w:rPr>
        <w:t>(Gitman, 2003, pág.242)</w:t>
      </w:r>
      <w:r w:rsidR="7A54A044" w:rsidRPr="0076589C">
        <w:rPr>
          <w:lang w:val="es-HN"/>
        </w:rPr>
        <w:fldChar w:fldCharType="end"/>
      </w:r>
    </w:p>
    <w:p w14:paraId="76DBE02F" w14:textId="0133BEC1" w:rsidR="00C260B4" w:rsidRPr="0076589C" w:rsidRDefault="1C8D6E3A" w:rsidP="00C8505C">
      <w:pPr>
        <w:pStyle w:val="TextoPrincipal"/>
        <w:rPr>
          <w:lang w:val="es-HN"/>
        </w:rPr>
      </w:pPr>
      <w:r w:rsidRPr="0076589C">
        <w:rPr>
          <w:lang w:val="es-HN"/>
        </w:rPr>
        <w:t xml:space="preserve">Para el mismo año 2003, explican que: “Las políticas de cobranza sirven para consolidar criterios, evitar arbitrariedades, al momento de reclamos, simplificar los trámites de cobro, establecer las prioridades y determinar las normas de comportamiento que deben asumir los encargados de gestionar los impagados". </w:t>
      </w:r>
      <w:r w:rsidR="00A51FD2" w:rsidRPr="0076589C">
        <w:rPr>
          <w:lang w:val="es-HN"/>
        </w:rPr>
        <w:fldChar w:fldCharType="begin"/>
      </w:r>
      <w:r w:rsidR="00A51FD2" w:rsidRPr="0076589C">
        <w:rPr>
          <w:lang w:val="es-HN"/>
        </w:rPr>
        <w:instrText xml:space="preserve"> ADDIN ZOTERO_ITEM CSL_CITATION {"citationID":"MwHox2HP","properties":{"formattedCitation":"(Brachfield, 2003)","plainCitation":"(Brachfield, 2003)","dontUpdate":true,"noteIndex":0},"citationItems":[{"id":126,"uris":["http://zotero.org/users/12108825/items/473824AL"],"itemData":{"id":126,"type":"book","abstract":"Uno de los escollos habituales a los que se enfrentan las empresas es la dificultad de cobrar puntualmente de sus clientes. Otra de las dificultades comunes de muchas companias es como conseguir un flujo de cobros constante que les permita funcionar sin tensiones de liquidez. Y un tercer problema que frecuentemente tienen las empresas son los cuantiosos gastos financieros provocados por la morosidad de sus deudores y las perdidas causadas por los creditos fallidos.","ISBN":"978-84-8088-825-7","language":"es","number-of-pages":"386","publisher":"Grupo Planeta (GBS)","source":"Google Books","title":"Recobrar impagados y negociar con morosos","author":[{"family":"Brachfield","given":"Pere J."}],"issued":{"date-parts":[["2003"]]}}}],"schema":"https://github.com/citation-style-language/schema/raw/master/csl-citation.json"} </w:instrText>
      </w:r>
      <w:r w:rsidR="00A51FD2" w:rsidRPr="0076589C">
        <w:rPr>
          <w:lang w:val="es-HN"/>
        </w:rPr>
        <w:fldChar w:fldCharType="separate"/>
      </w:r>
      <w:r w:rsidRPr="0076589C">
        <w:t>(Brachfield, 2003, pág.147)</w:t>
      </w:r>
      <w:r w:rsidR="00A51FD2" w:rsidRPr="0076589C">
        <w:rPr>
          <w:lang w:val="es-HN"/>
        </w:rPr>
        <w:fldChar w:fldCharType="end"/>
      </w:r>
    </w:p>
    <w:p w14:paraId="289FB1C1" w14:textId="165B2912" w:rsidR="00945DE5" w:rsidRPr="0076589C" w:rsidRDefault="1C8D6E3A" w:rsidP="00486B14">
      <w:pPr>
        <w:pStyle w:val="Ttulonivel3"/>
        <w:numPr>
          <w:ilvl w:val="0"/>
          <w:numId w:val="8"/>
        </w:numPr>
        <w:ind w:left="720" w:firstLine="0"/>
      </w:pPr>
      <w:bookmarkStart w:id="158" w:name="_Toc158365482"/>
      <w:r w:rsidRPr="0076589C">
        <w:t>POLÍTICA DE CRÉDITO</w:t>
      </w:r>
      <w:bookmarkEnd w:id="158"/>
      <w:r w:rsidRPr="0076589C">
        <w:t xml:space="preserve"> </w:t>
      </w:r>
    </w:p>
    <w:p w14:paraId="7A3851CD" w14:textId="3727A905" w:rsidR="007B4FD9" w:rsidRPr="0076589C" w:rsidRDefault="1C8D6E3A" w:rsidP="007B4FD9">
      <w:pPr>
        <w:pStyle w:val="TextoPrincipal"/>
        <w:rPr>
          <w:lang w:val="es-HN"/>
        </w:rPr>
      </w:pPr>
      <w:r w:rsidRPr="0076589C">
        <w:rPr>
          <w:lang w:val="es-HN"/>
        </w:rPr>
        <w:t>En el año 2007 se explicaba la importancia de una política de crédito la cual menciona que:</w:t>
      </w:r>
    </w:p>
    <w:p w14:paraId="43BE19D2" w14:textId="458C0742" w:rsidR="1C24200B" w:rsidRPr="0076589C" w:rsidRDefault="1C8D6E3A" w:rsidP="00377437">
      <w:pPr>
        <w:pStyle w:val="CitaLarga"/>
      </w:pPr>
      <w:r w:rsidRPr="0076589C">
        <w:t>Otorgar crédito es el principal negocio de una institución y el que le genera el mayor porcentaje de sus ingresos operativos. Ahora bien, con la finalidad de alcanzar un elevado grado de eficiencia en sus operaciones fundamentales, es necesario que las decisiones que se tomen en la institución con la finalidad de canalizar los fondos captados hacia los diferentes mercados que atiende, a través de créditos, estén fundamentadas en un conjunto homogéneo de principios y normas, los cuales constituyen sus políticas o guías de acción en materia crediticia. Con base en el contenido de este concepto general podemos inferir que las políticas constituyen un marco regulatorio que confiere uniformidad y coherencia a las decisiones que se toman en una institución; y en nuestro caso específico, en materia crediticia</w:t>
      </w:r>
      <w:r w:rsidRPr="0076589C">
        <w:rPr>
          <w:b/>
          <w:bCs/>
        </w:rPr>
        <w:t xml:space="preserve">. </w:t>
      </w:r>
      <w:r w:rsidR="5B8DE569" w:rsidRPr="0076589C">
        <w:rPr>
          <w:b/>
          <w:bCs/>
        </w:rPr>
        <w:fldChar w:fldCharType="begin"/>
      </w:r>
      <w:r w:rsidR="5B8DE569" w:rsidRPr="0076589C">
        <w:rPr>
          <w:b/>
          <w:bCs/>
        </w:rPr>
        <w:instrText xml:space="preserve"> ADDIN ZOTERO_ITEM CSL_CITATION {"citationID":"KyzL5QmK","properties":{"formattedCitation":"(Gonzalo, 2007)","plainCitation":"(Gonzalo, 2007)","dontUpdate":true,"noteIndex":0},"citationItems":[{"id":361,"uris":["http://zotero.org/users/12108825/items/VK365JW8"],"itemData":{"id":361,"type":"book","language":"es","note":"Google-Books-ID: mOIyeKgtSfkC","number-of-pages":"388","publisher":"Universidad Catolica Andres","source":"Google Books","title":"Operaciones bancarias en Venezuela: teoría y práctica","title-short":"Operaciones bancarias en Venezuela","author":[{"family":"Gonzalo","given":"Bello R."}],"issued":{"date-parts":[["2007"]]}}}],"schema":"https://github.com/citation-style-language/schema/raw/master/csl-citation.json"} </w:instrText>
      </w:r>
      <w:r w:rsidR="5B8DE569" w:rsidRPr="0076589C">
        <w:rPr>
          <w:b/>
          <w:bCs/>
        </w:rPr>
        <w:fldChar w:fldCharType="separate"/>
      </w:r>
      <w:r w:rsidRPr="0076589C">
        <w:t>(Gonzalo, 2007, pág.158)</w:t>
      </w:r>
      <w:r w:rsidR="5B8DE569" w:rsidRPr="0076589C">
        <w:rPr>
          <w:b/>
          <w:bCs/>
        </w:rPr>
        <w:fldChar w:fldCharType="end"/>
      </w:r>
    </w:p>
    <w:p w14:paraId="672DBDE0" w14:textId="0DBEB32B" w:rsidR="00C260B4" w:rsidRPr="0076589C" w:rsidRDefault="1C8D6E3A" w:rsidP="00B34E14">
      <w:pPr>
        <w:pStyle w:val="TextoPrincipal"/>
        <w:rPr>
          <w:lang w:val="es-HN"/>
        </w:rPr>
      </w:pPr>
      <w:r w:rsidRPr="0076589C">
        <w:rPr>
          <w:lang w:val="es-HN"/>
        </w:rPr>
        <w:t>El concepto de política de crédito no ha cambiado mucho, ya que se mantiene que es de suma importancia, tal y como se menciona a continuación:</w:t>
      </w:r>
    </w:p>
    <w:p w14:paraId="1FCFA006" w14:textId="5948E946" w:rsidR="00C260B4" w:rsidRPr="0076589C" w:rsidRDefault="1C8D6E3A" w:rsidP="001959D7">
      <w:pPr>
        <w:pStyle w:val="CitaLarga"/>
      </w:pPr>
      <w:r w:rsidRPr="0076589C">
        <w:t xml:space="preserve">La política de crédito de una empresa es el resultado de la evaluación de numerosos factores y no se modifica de pronto a causa de un solo cambio temporal de su situación. Una inteligente política de crédito está enmarcada por el propósito de conseguir o que a la larga sea más conveniente para la empresa, y no que solo pueda ser de beneficio inmediato o temporal. </w:t>
      </w:r>
      <w:r w:rsidR="7A54A044" w:rsidRPr="0076589C">
        <w:fldChar w:fldCharType="begin"/>
      </w:r>
      <w:r w:rsidR="7A54A044" w:rsidRPr="0076589C">
        <w:instrText xml:space="preserve"> ADDIN ZOTERO_ITEM CSL_CITATION {"citationID":"R1t1bKOv","properties":{"formattedCitation":"(Castro &amp; Castro, 2014)","plainCitation":"(Castro &amp; Castro, 2014)","dontUpdate":true,"noteIndex":0},"citationItems":[{"id":62,"uris":["http://zotero.org/users/12108825/items/FRR5QZS5"],"itemData":{"id":62,"type":"book","abstract":"El crédito es el mecanismo por excelencia que aumenta las ventas de las empresas, y cuando éste sucede las compañías incrementan la intensidad de su ciclo financiero y las compras que hacen a otras empresas de materias primas y servicios necesarios para sus procesos de producción, y con ello se presenta un efecto multiplicador en la economía porque las empresas aumentan sus operaciones y con ello compras de materias primas, pago de servicios diversos, pago de impuestos, etc., por ello el crédito es una herramienta que ayuda a reactivar la economía. Crédito y cobranza proporciona a las empresas las herramientas para aumentar las ventas y los ingresos en sus ciclos financieros, pero es fundamental que las actividades desarrolladas en el otorgamiento de créditos sean precisas para que éstos se puedan recuperar, lo cual se logra mediante un análisis minucioso de los solicitantes de crédito para asegurar que sí tendrán los recursos necesarios para saldar sus deudas y que además estén dispuestos a pagar.","ISBN":"978-607-438-840-4","language":"es","note":"Google-Books-ID: gtXhBAAAQBAJ","number-of-pages":"309","publisher":"Grupo Editorial Patria","source":"Google Books","title":"Crédito y Cobranza","author":[{"family":"Morales Castro","given":"Arturo"},{"family":"Morales Castro","given":"José Antonio"}],"issued":{"date-parts":[["2014",10,21]]}}}],"schema":"https://github.com/citation-style-language/schema/raw/master/csl-citation.json"} </w:instrText>
      </w:r>
      <w:r w:rsidR="7A54A044" w:rsidRPr="0076589C">
        <w:fldChar w:fldCharType="separate"/>
      </w:r>
      <w:r w:rsidRPr="0076589C">
        <w:rPr>
          <w:sz w:val="24"/>
          <w:szCs w:val="24"/>
        </w:rPr>
        <w:t>(Castro &amp; Castro, 2014</w:t>
      </w:r>
      <w:r w:rsidR="7A54A044" w:rsidRPr="0076589C">
        <w:fldChar w:fldCharType="end"/>
      </w:r>
      <w:r w:rsidRPr="0076589C">
        <w:t>, pág.43)</w:t>
      </w:r>
    </w:p>
    <w:p w14:paraId="3F14F8DA" w14:textId="17A2C901" w:rsidR="258DF8E8" w:rsidRPr="0076589C" w:rsidRDefault="258DF8E8" w:rsidP="258DF8E8">
      <w:pPr>
        <w:pStyle w:val="CitaLarga"/>
      </w:pPr>
    </w:p>
    <w:p w14:paraId="16F62524" w14:textId="26D3EEC1" w:rsidR="00357A0A" w:rsidRPr="0076589C" w:rsidRDefault="1C8D6E3A" w:rsidP="00A82A5A">
      <w:pPr>
        <w:pStyle w:val="Ttulonivel3"/>
        <w:numPr>
          <w:ilvl w:val="0"/>
          <w:numId w:val="8"/>
        </w:numPr>
        <w:ind w:left="720" w:firstLine="0"/>
      </w:pPr>
      <w:bookmarkStart w:id="159" w:name="_Toc158365483"/>
      <w:r w:rsidRPr="0076589C">
        <w:lastRenderedPageBreak/>
        <w:t>RENTABILIDAD</w:t>
      </w:r>
      <w:bookmarkEnd w:id="159"/>
    </w:p>
    <w:p w14:paraId="1911C385" w14:textId="61E2B29E" w:rsidR="00B1496C" w:rsidRPr="0076589C" w:rsidRDefault="1C8D6E3A" w:rsidP="004D0359">
      <w:pPr>
        <w:pStyle w:val="CitaLarga"/>
      </w:pPr>
      <w:r w:rsidRPr="0076589C">
        <w:t xml:space="preserve">No existe una sola versión de la rentabilidad. Suele distinguirse entre la "rentabilidad económica" o rentabilidad de la empresa como negocio o conjunto de negocios y entre la "rentabilidad financiera", o rentabilidad que obtengan los accionistas o propietarios como retribución al capital que tienen invertido en la empresa. Son dos versiones de la "rentabilidad operativa" que en general no suelen coincidir en la práctica, tal y como veremos más adelante. </w:t>
      </w:r>
      <w:r w:rsidR="7A54A044" w:rsidRPr="0076589C">
        <w:fldChar w:fldCharType="begin"/>
      </w:r>
      <w:r w:rsidR="7A54A044" w:rsidRPr="0076589C">
        <w:instrText xml:space="preserve"> ADDIN ZOTERO_ITEM CSL_CITATION {"citationID":"RXe9mIxu","properties":{"formattedCitation":"(Eslava, 2010)","plainCitation":"(Eslava, 2010)","dontUpdate":true,"noteIndex":0},"citationItems":[{"id":122,"uris":["http://zotero.org/users/12108825/items/8PI4H4WA"],"itemData":{"id":122,"type":"book","abstract":"En este libro, el lector encontrará las claves del análisis económico- financiero de la empresa a través de la interpretación y análisis de sus principales estados financieros y aplicando sobre los mismos la técnica de los ratios de gestión. Orientado su contenido, metodología y definición de conceptos a los directivos no financieros, su objetivo es facilitar a dichos directivos la comprensión y uso de aquellos ratios económico- financieros fundamentales que puedan apoyar eficazmente su proceso de adopción de decisiones de nivel directivo, tanto en el ámbito de acciones que incidan sobre la rentabilidad económica de la empresa, como sobre la rentabilidad financiera de los accionistas o propietarios, así como sobre las políticas de crecimiento empresarial e incluso, sobre la rentabilidad de de nuevos proyectos de inversión. Además, el libro aporta como novedades, por un lado, el caso práctico de una empresa que a lo largo de cada uno de sus capítulos detalla como ejemplo un desarrollo completo de todos los ratios que se explicitan así como su análisis práctico. Por otro lado, se incorpora al libro un CD con un potente simulador que permite incluir, interpretar, analizar y comparar de forma rápida y completa hasta 12 estados financieros (Balances y Cuentas de Pérdidas y Ganancias) que se desee, tanto de una sola empresa como de diferentes empresas, a través de ratios y diagramas perfectamente ajustados a las exigencias de la Nueva Contabilidad del Plan General Contable Español, publicado en noviembre de 2007. El autor: José de Jaime Eslava. Licenciado en Ciencias Económicas y Empresariales, profesor mercantil y con varios títulos de MBA ( EOI, PDG IESE; EPBA Columbia New YORK), ha sido director corporativo de finanzas y riesgos de diferentes empresas españolas y director de estrategia corporativa de filiales españolas de multinacionales, desempeñando actualmente las funciones de Socio Director del Grupo ECG Consultores de Dirección, Presidente del Instituto Español de Finanzas, Consejero de EuroFinance Institute para España y del Instituto Tecnológico Latino. Índice: Las posiciones económico-financieras de la empresa.- Los estados financieros como soportes del análisis de la gestión empresarial.- El análisis de la rentabilidad y solvencia de la empresa.- El análisis del capital circulante y la liquidez empresarial.- El análisis de los costes de la financiación empresarial.- El análisis de las decisiones de crecimiento empresarial.- El análisis de las decisiones de inversión.- El análisis de la rentabilidad de los proyectos de inversión.- El análisis de los costes y la rentabilidad de los productos.","ISBN":"978-84-7356-721-3","language":"es","note":"Google-Books-ID: 04I0fgwMCDoC","number-of-pages":"418","publisher":"ESIC Editorial","source":"Google Books","title":"Las claves del análisis económico-financiero de la empresa","author":[{"family":"Eslava","given":"José de Jaime"}],"issued":{"date-parts":[["2010",10,15]]}}}],"schema":"https://github.com/citation-style-language/schema/raw/master/csl-citation.json"} </w:instrText>
      </w:r>
      <w:r w:rsidR="7A54A044" w:rsidRPr="0076589C">
        <w:fldChar w:fldCharType="separate"/>
      </w:r>
      <w:r w:rsidRPr="0076589C">
        <w:t>(Eslava, 2010, pág.73)</w:t>
      </w:r>
      <w:r w:rsidR="7A54A044" w:rsidRPr="0076589C">
        <w:fldChar w:fldCharType="end"/>
      </w:r>
    </w:p>
    <w:p w14:paraId="59ED2131" w14:textId="04FBCEC0" w:rsidR="00EB50B9" w:rsidRPr="0076589C" w:rsidRDefault="1C8D6E3A" w:rsidP="00EB50B9">
      <w:pPr>
        <w:pStyle w:val="TextoPrincipal"/>
        <w:rPr>
          <w:lang w:val="es-HN"/>
        </w:rPr>
      </w:pPr>
      <w:r w:rsidRPr="0076589C">
        <w:rPr>
          <w:lang w:val="es-HN"/>
        </w:rPr>
        <w:t>Entre las definiciones más recientes se plante</w:t>
      </w:r>
      <w:r w:rsidR="00370211" w:rsidRPr="0076589C">
        <w:rPr>
          <w:lang w:val="es-HN"/>
        </w:rPr>
        <w:t>ó</w:t>
      </w:r>
      <w:r w:rsidRPr="0076589C">
        <w:rPr>
          <w:lang w:val="es-HN"/>
        </w:rPr>
        <w:t xml:space="preserve"> como rentabilidad: “Resultado final que muestran las políticas y decisiones de índole económica usadas por las empresas” </w:t>
      </w:r>
      <w:r w:rsidR="7A54A044" w:rsidRPr="0076589C">
        <w:rPr>
          <w:lang w:val="es-HN"/>
        </w:rPr>
        <w:fldChar w:fldCharType="begin"/>
      </w:r>
      <w:r w:rsidR="7A54A044" w:rsidRPr="0076589C">
        <w:rPr>
          <w:lang w:val="es-HN"/>
        </w:rPr>
        <w:instrText xml:space="preserve"> ADDIN ZOTERO_ITEM CSL_CITATION {"citationID":"Ic5UQGDs","properties":{"formattedCitation":"(Ort\\uc0\\u237{}z, 2021)","plainCitation":"(Ortíz, 2021)","noteIndex":0},"citationItems":[{"id":331,"uris":["http://zotero.org/users/12108825/items/GK229WKG"],"itemData":{"id":331,"type":"book","abstract":"Libro especializado que se ajusta al desarrollo de la cualificación profesional y adquisición de certificados de profesionalidad. Manual imprescindible para la formación y la capacitación, que se basa en los principios de la cualificación y dinamización del conocimiento, como premisas para la mejora de la empleabilidad y eficacia para el desempeño del trabajo.","ISBN":"978-84-11-03095-3","language":"es","note":"Google-Books-ID: GwIwEAAAQBAJ","number-of-pages":"291","publisher":"IC Editorial","source":"Google Books","title":"Políticas de marketing internacional. COMM0110","author":[{"family":"Ortíz","given":"Laura Galán"}],"issued":{"date-parts":[["2021",5,24]]}}}],"schema":"https://github.com/citation-style-language/schema/raw/master/csl-citation.json"} </w:instrText>
      </w:r>
      <w:r w:rsidR="7A54A044" w:rsidRPr="0076589C">
        <w:rPr>
          <w:lang w:val="es-HN"/>
        </w:rPr>
        <w:fldChar w:fldCharType="separate"/>
      </w:r>
      <w:r w:rsidRPr="0076589C">
        <w:rPr>
          <w:lang w:val="es-HN"/>
        </w:rPr>
        <w:t>(Ortíz, 2021)</w:t>
      </w:r>
      <w:r w:rsidR="7A54A044" w:rsidRPr="0076589C">
        <w:rPr>
          <w:lang w:val="es-HN"/>
        </w:rPr>
        <w:fldChar w:fldCharType="end"/>
      </w:r>
      <w:r w:rsidRPr="0076589C">
        <w:rPr>
          <w:lang w:val="es-HN"/>
        </w:rPr>
        <w:t>.</w:t>
      </w:r>
    </w:p>
    <w:p w14:paraId="1172EE9E" w14:textId="32ABD50D" w:rsidR="00945DE5" w:rsidRPr="0076589C" w:rsidRDefault="1C8D6E3A" w:rsidP="00A82A5A">
      <w:pPr>
        <w:pStyle w:val="Ttulonivel3"/>
        <w:numPr>
          <w:ilvl w:val="0"/>
          <w:numId w:val="8"/>
        </w:numPr>
        <w:ind w:left="720" w:firstLine="0"/>
      </w:pPr>
      <w:bookmarkStart w:id="160" w:name="_Toc158365484"/>
      <w:r w:rsidRPr="0076589C">
        <w:t>RIESGO CREDITICIO</w:t>
      </w:r>
      <w:bookmarkEnd w:id="160"/>
      <w:r w:rsidRPr="0076589C">
        <w:t xml:space="preserve"> </w:t>
      </w:r>
    </w:p>
    <w:p w14:paraId="1EA5D31F" w14:textId="24AC80EB" w:rsidR="7C4D0E1D" w:rsidRPr="0076589C" w:rsidRDefault="1C8D6E3A" w:rsidP="7C4D0E1D">
      <w:pPr>
        <w:pStyle w:val="TextoPrincipal"/>
        <w:rPr>
          <w:lang w:val="es-HN"/>
        </w:rPr>
      </w:pPr>
      <w:r w:rsidRPr="0076589C">
        <w:rPr>
          <w:lang w:val="es-HN"/>
        </w:rPr>
        <w:t xml:space="preserve">En el año 2001 según el libro de  </w:t>
      </w:r>
      <w:r w:rsidR="608D57EF" w:rsidRPr="0076589C">
        <w:rPr>
          <w:lang w:val="es-HN"/>
        </w:rPr>
        <w:fldChar w:fldCharType="begin"/>
      </w:r>
      <w:r w:rsidR="608D57EF" w:rsidRPr="0076589C">
        <w:rPr>
          <w:lang w:val="es-HN"/>
        </w:rPr>
        <w:instrText xml:space="preserve"> ADDIN ZOTERO_ITEM CSL_CITATION {"citationID":"3V3NArr0","properties":{"formattedCitation":"(F. Pampill\\uc0\\u243{}n, 2001)","plainCitation":"(F. Pampillón, 2001)","dontUpdate":true,"noteIndex":0},"citationItems":[{"id":363,"uris":["http://zotero.org/users/12108825/items/XCWVQEPV"],"itemData":{"id":363,"type":"book","abstract":"El ahorro financiero de las economías domésticas. La internacionalización del sistema financiero español. Efectos de la unión monetaria sobre las instituciones financieras. Productos de ahorro colectivo. La titulización de activos.","ISBN":"978-84-8155-740-4","language":"es","note":"Google-Books-ID: UNZLQFogxi4C","number-of-pages":"263","publisher":"Librería-Editorial Dykinson","source":"Google Books","title":"Apuntes de tendencias del sistema financiero español","author":[{"family":"Pampillón","given":"Fernando"}],"issued":{"date-parts":[["2001"]]}}}],"schema":"https://github.com/citation-style-language/schema/raw/master/csl-citation.json"} </w:instrText>
      </w:r>
      <w:r w:rsidR="608D57EF" w:rsidRPr="0076589C">
        <w:rPr>
          <w:lang w:val="es-HN"/>
        </w:rPr>
        <w:fldChar w:fldCharType="separate"/>
      </w:r>
      <w:r w:rsidRPr="0076589C">
        <w:rPr>
          <w:lang w:val="es-HN"/>
        </w:rPr>
        <w:t>Pampillón, (2001)</w:t>
      </w:r>
      <w:r w:rsidR="608D57EF" w:rsidRPr="0076589C">
        <w:rPr>
          <w:lang w:val="es-HN"/>
        </w:rPr>
        <w:fldChar w:fldCharType="end"/>
      </w:r>
      <w:r w:rsidRPr="0076589C">
        <w:rPr>
          <w:lang w:val="es-HN"/>
        </w:rPr>
        <w:t xml:space="preserve"> se conceptualizo “El riesgo de crédito puede definirse como la posibilidad de incurrir en pérdidas por incumplimiento de la contrapartida de una o varias operaciones (dentro y fuera de balance).” (pág. 173)</w:t>
      </w:r>
    </w:p>
    <w:p w14:paraId="304F9814" w14:textId="3BE44425" w:rsidR="23EFCAA7" w:rsidRPr="0076589C" w:rsidRDefault="1C8D6E3A" w:rsidP="007E166C">
      <w:pPr>
        <w:pStyle w:val="TextoPrincipal"/>
        <w:spacing w:after="0"/>
        <w:rPr>
          <w:lang w:val="es-HN"/>
        </w:rPr>
      </w:pPr>
      <w:r w:rsidRPr="0076589C">
        <w:rPr>
          <w:lang w:val="es-HN"/>
        </w:rPr>
        <w:t xml:space="preserve">Posteriormente para el año 2008 se definió como: “Riesgo de incumplimiento del emisor de cualquier bono que no esté exento de incumplir; es un indicativo de que los flujos de efectivo de los bonos no se conocen con certeza.” </w:t>
      </w:r>
      <w:r w:rsidR="3FF6D5A4" w:rsidRPr="0076589C">
        <w:rPr>
          <w:lang w:val="es-HN"/>
        </w:rPr>
        <w:fldChar w:fldCharType="begin"/>
      </w:r>
      <w:r w:rsidR="3FF6D5A4" w:rsidRPr="0076589C">
        <w:rPr>
          <w:lang w:val="es-HN"/>
        </w:rPr>
        <w:instrText xml:space="preserve"> ADDIN ZOTERO_ITEM CSL_CITATION {"citationID":"9uzEg601","properties":{"formattedCitation":"(Berk &amp; Demarzo, 2008)","plainCitation":"(Berk &amp; Demarzo, 2008)","dontUpdate":true,"noteIndex":0},"citationItems":[{"id":132,"uris":["http://zotero.org/users/12108825/items/TA96WVL4"],"itemData":{"id":132,"type":"book","language":"es","source":"Zotero","title":"Finanzas corporativas","author":[{"family":"Berk","given":"Jonathan"},{"family":"Demarzo","given":"Peter"}],"issued":{"date-parts":[["2008"]]}}}],"schema":"https://github.com/citation-style-language/schema/raw/master/csl-citation.json"} </w:instrText>
      </w:r>
      <w:r w:rsidR="3FF6D5A4" w:rsidRPr="0076589C">
        <w:rPr>
          <w:lang w:val="es-HN"/>
        </w:rPr>
        <w:fldChar w:fldCharType="separate"/>
      </w:r>
      <w:r w:rsidRPr="0076589C">
        <w:t>(Berk &amp; Demarzo, 2008, pág.1043)</w:t>
      </w:r>
      <w:r w:rsidR="3FF6D5A4" w:rsidRPr="0076589C">
        <w:rPr>
          <w:lang w:val="es-HN"/>
        </w:rPr>
        <w:fldChar w:fldCharType="end"/>
      </w:r>
    </w:p>
    <w:p w14:paraId="1C89C45B" w14:textId="77777777" w:rsidR="007E166C" w:rsidRPr="0076589C" w:rsidRDefault="007E166C" w:rsidP="007E166C">
      <w:pPr>
        <w:pStyle w:val="TextoPrincipal"/>
        <w:spacing w:after="0"/>
        <w:rPr>
          <w:lang w:val="es-HN"/>
        </w:rPr>
      </w:pPr>
    </w:p>
    <w:p w14:paraId="676F3467" w14:textId="3978350D" w:rsidR="00CB5A8F" w:rsidRPr="0076589C" w:rsidRDefault="1C8D6E3A" w:rsidP="00B06AAA">
      <w:pPr>
        <w:pStyle w:val="Ttulo2"/>
      </w:pPr>
      <w:bookmarkStart w:id="161" w:name="_Toc474331184"/>
      <w:bookmarkStart w:id="162" w:name="_Toc474331383"/>
      <w:bookmarkStart w:id="163" w:name="_Toc133044393"/>
      <w:bookmarkStart w:id="164" w:name="_Toc158365485"/>
      <w:r w:rsidRPr="0076589C">
        <w:t>2.3 TEORÍAS DE SUSTENTO</w:t>
      </w:r>
      <w:bookmarkEnd w:id="161"/>
      <w:bookmarkEnd w:id="162"/>
      <w:bookmarkEnd w:id="163"/>
      <w:bookmarkEnd w:id="164"/>
    </w:p>
    <w:p w14:paraId="014DDD99" w14:textId="2F3CF3B5" w:rsidR="00633EBC" w:rsidRPr="0076589C" w:rsidRDefault="1C8D6E3A" w:rsidP="00A82A5A">
      <w:pPr>
        <w:pStyle w:val="Ttulonivel3"/>
        <w:numPr>
          <w:ilvl w:val="0"/>
          <w:numId w:val="14"/>
        </w:numPr>
        <w:ind w:left="720" w:firstLine="0"/>
      </w:pPr>
      <w:bookmarkStart w:id="165" w:name="_Toc133044394"/>
      <w:bookmarkStart w:id="166" w:name="_Toc158365486"/>
      <w:r w:rsidRPr="0076589C">
        <w:t>BASES TEÓRICAS</w:t>
      </w:r>
      <w:bookmarkEnd w:id="165"/>
      <w:bookmarkEnd w:id="166"/>
    </w:p>
    <w:p w14:paraId="3218DC8E" w14:textId="07A324DA" w:rsidR="00FD2D73" w:rsidRPr="0076589C" w:rsidRDefault="1C8D6E3A" w:rsidP="00EE0EAA">
      <w:pPr>
        <w:pStyle w:val="Ttulonivel4"/>
        <w:numPr>
          <w:ilvl w:val="2"/>
          <w:numId w:val="15"/>
        </w:numPr>
        <w:ind w:left="1417" w:firstLine="0"/>
      </w:pPr>
      <w:r w:rsidRPr="0076589C">
        <w:t>TEORÍA FINANCIERA</w:t>
      </w:r>
    </w:p>
    <w:p w14:paraId="59B619D1" w14:textId="0B06DEF6" w:rsidR="00F67B12" w:rsidRPr="0076589C" w:rsidRDefault="1C8D6E3A" w:rsidP="00C8505C">
      <w:pPr>
        <w:pStyle w:val="TextoPrincipal"/>
        <w:rPr>
          <w:lang w:val="es-HN"/>
        </w:rPr>
      </w:pPr>
      <w:r w:rsidRPr="0076589C">
        <w:rPr>
          <w:b/>
          <w:bCs/>
          <w:lang w:val="es-HN"/>
        </w:rPr>
        <w:t xml:space="preserve">Autores pioneros de la teoría: </w:t>
      </w:r>
      <w:r w:rsidRPr="0076589C">
        <w:rPr>
          <w:lang w:val="es-HN"/>
        </w:rPr>
        <w:t>Arthur Stone Dewig y Charles W. Gerstenberg</w:t>
      </w:r>
    </w:p>
    <w:p w14:paraId="4C05F5FD" w14:textId="76E556BB" w:rsidR="009268B9" w:rsidRPr="0076589C" w:rsidRDefault="1C8D6E3A" w:rsidP="00C8505C">
      <w:pPr>
        <w:pStyle w:val="TextoPrincipal"/>
        <w:rPr>
          <w:lang w:val="es-HN"/>
        </w:rPr>
      </w:pPr>
      <w:r w:rsidRPr="0076589C">
        <w:rPr>
          <w:lang w:val="es-HN"/>
        </w:rPr>
        <w:t>Año de la teoría: 1920</w:t>
      </w:r>
    </w:p>
    <w:p w14:paraId="2EFAABE7" w14:textId="54C8A64B" w:rsidR="00CC111B" w:rsidRPr="0076589C" w:rsidRDefault="1C8D6E3A" w:rsidP="00C8505C">
      <w:pPr>
        <w:pStyle w:val="TextoPrincipal"/>
        <w:rPr>
          <w:lang w:val="es-HN"/>
        </w:rPr>
      </w:pPr>
      <w:r w:rsidRPr="0076589C">
        <w:rPr>
          <w:lang w:val="es-HN"/>
        </w:rPr>
        <w:t>Lugar de publicación: Estados Unidos</w:t>
      </w:r>
    </w:p>
    <w:p w14:paraId="47FF3019" w14:textId="77777777" w:rsidR="00833FCB" w:rsidRPr="0076589C" w:rsidRDefault="1C8D6E3A" w:rsidP="009B14A0">
      <w:pPr>
        <w:pStyle w:val="TextoPrincipal"/>
        <w:rPr>
          <w:lang w:val="es-HN"/>
        </w:rPr>
      </w:pPr>
      <w:r w:rsidRPr="0076589C">
        <w:rPr>
          <w:lang w:val="es-HN"/>
        </w:rPr>
        <w:t xml:space="preserve">La teoría financiera es una colaboración por varios autores. </w:t>
      </w:r>
      <w:r w:rsidR="7A54A044" w:rsidRPr="0076589C">
        <w:rPr>
          <w:lang w:val="es-HN"/>
        </w:rPr>
        <w:fldChar w:fldCharType="begin"/>
      </w:r>
      <w:r w:rsidR="7A54A044" w:rsidRPr="0076589C">
        <w:rPr>
          <w:lang w:val="es-HN"/>
        </w:rPr>
        <w:instrText xml:space="preserve"> ADDIN ZOTERO_ITEM CSL_CITATION {"citationID":"gcOgQmdU","properties":{"formattedCitation":"(G\\uc0\\u243{}mez Bezares, 1995)","plainCitation":"(Gómez Bezares, 1995)","dontUpdate":true,"noteIndex":0},"citationItems":[{"id":183,"uris":["http://zotero.org/users/12108825/items/PGR7XI2E"],"itemData":{"id":183,"type":"article-journal","container-title":"Economía - Teoría y nuevos desafíos","language":"Español","page":"30","source":"Boletín de Estudios Económicos","title":"Panorama de la Teoría Financiera","volume":"156","author":[{"family":"Gómez Bezares","given":"Fernando"}],"issued":{"date-parts":[["1995"]]}}}],"schema":"https://github.com/citation-style-language/schema/raw/master/csl-citation.json"} </w:instrText>
      </w:r>
      <w:r w:rsidR="7A54A044" w:rsidRPr="0076589C">
        <w:rPr>
          <w:lang w:val="es-HN"/>
        </w:rPr>
        <w:fldChar w:fldCharType="separate"/>
      </w:r>
      <w:r w:rsidRPr="0076589C">
        <w:rPr>
          <w:lang w:val="es-HN"/>
        </w:rPr>
        <w:t>Gómez Bezares, (1995)</w:t>
      </w:r>
      <w:r w:rsidR="7A54A044" w:rsidRPr="0076589C">
        <w:rPr>
          <w:lang w:val="es-HN"/>
        </w:rPr>
        <w:fldChar w:fldCharType="end"/>
      </w:r>
      <w:r w:rsidRPr="0076589C">
        <w:rPr>
          <w:lang w:val="es-HN"/>
        </w:rPr>
        <w:t xml:space="preserve"> presentó “Panorama de la teoría Financiera” donde establece que entre los primeros pioneros de la Teoría Financiera se encontrar Arthur Stone Dewing de la universidad de Harvard y Charles W. Gerstenberg de la universidad de New York en los años veinte. </w:t>
      </w:r>
    </w:p>
    <w:p w14:paraId="35E8C41F" w14:textId="77777777" w:rsidR="00833FCB" w:rsidRPr="0076589C" w:rsidRDefault="1C8D6E3A" w:rsidP="009B14A0">
      <w:pPr>
        <w:pStyle w:val="TextoPrincipal"/>
        <w:rPr>
          <w:lang w:val="es-HN"/>
        </w:rPr>
      </w:pPr>
      <w:r w:rsidRPr="0076589C">
        <w:rPr>
          <w:b/>
          <w:bCs/>
          <w:lang w:val="es-HN"/>
        </w:rPr>
        <w:t>Postulados de la teoría:</w:t>
      </w:r>
      <w:r w:rsidRPr="0076589C">
        <w:rPr>
          <w:lang w:val="es-HN"/>
        </w:rPr>
        <w:t xml:space="preserve"> Dewing en 1920 presentó su obra donde aborda en cinco volúmenes los temas relaciones con las finanzas como: acciones y bonos, la promoción de empresas, administración de los ingresos, expansión, fracaso y organización de las empresas. Se le denominaba “enfoque tradicional de las finanzas”. Gestenberg en 1924 en sus libros estudia </w:t>
      </w:r>
      <w:r w:rsidRPr="0076589C">
        <w:rPr>
          <w:lang w:val="es-HN"/>
        </w:rPr>
        <w:lastRenderedPageBreak/>
        <w:t xml:space="preserve">cómo conseguir fondos para los negocios, como utilizarlos y como distribuir los beneficios, haciendo mención cuando las empresas tienen problemas de pérdidas o cuando carecen de los fondos suficientes. </w:t>
      </w:r>
    </w:p>
    <w:p w14:paraId="195A730F" w14:textId="7CDFEF35" w:rsidR="003426A3" w:rsidRPr="0076589C" w:rsidRDefault="1C8D6E3A" w:rsidP="009B14A0">
      <w:pPr>
        <w:pStyle w:val="TextoPrincipal"/>
        <w:rPr>
          <w:lang w:val="es-HN"/>
        </w:rPr>
      </w:pPr>
      <w:r w:rsidRPr="0076589C">
        <w:rPr>
          <w:b/>
          <w:bCs/>
          <w:lang w:val="es-HN"/>
        </w:rPr>
        <w:t>Autores que apoyan la teoría:</w:t>
      </w:r>
      <w:r w:rsidRPr="0076589C">
        <w:rPr>
          <w:lang w:val="es-HN"/>
        </w:rPr>
        <w:t xml:space="preserve"> En los años siguientes otros autores hicieron su aportación a la teoría, así como Williams (1938) formuló el principio de conservación del valor de la inversión, Schneider (1944) en su libro “Inversión e interés” propuso el primer tratado sistemático sobre la inversión al cual posteriormente aportaron autores como Joel Dean, Friedrich y Vera Lutz en el año 1951.</w:t>
      </w:r>
    </w:p>
    <w:p w14:paraId="716038DD" w14:textId="5545735E" w:rsidR="00FE15EB" w:rsidRPr="0076589C" w:rsidRDefault="1C8D6E3A" w:rsidP="00EC0195">
      <w:pPr>
        <w:pStyle w:val="TextoPrincipal"/>
        <w:rPr>
          <w:lang w:val="es-HN"/>
        </w:rPr>
      </w:pPr>
      <w:r w:rsidRPr="0076589C">
        <w:rPr>
          <w:b/>
          <w:bCs/>
          <w:lang w:val="es-HN"/>
        </w:rPr>
        <w:t>Evolución histórica de la Teoría Financiera:</w:t>
      </w:r>
      <w:r w:rsidRPr="0076589C">
        <w:rPr>
          <w:lang w:val="es-HN"/>
        </w:rPr>
        <w:t xml:space="preserve"> Desde sus comienzos en el siglo XX, el desarrollo de la teoría financiera ha pasado por una serie de enfoques las cuales han ayudado a la orientación de una estructura actual que es autónoma, madura y con gran solidez. Desde un enfoque descriptivo que se centraba mayormente en asuntos legales, pasando a un enfoque tradicional centrado en la organización empresarial, la liquidez corporativa, el financiamiento, la regulación de mercados de valores. En la década de 1950 hasta 1973 fue la más floreciente en cambios en la teoría determinada como un enfoque moderno, ya que se apoyaron de teorías y herramientas de las matemáticas y la economía, lo cual permitió la comprobación del comportamiento de las variables financieras que son claves tanto corporativas como de mercado. </w:t>
      </w:r>
      <w:r w:rsidR="7A54A044" w:rsidRPr="0076589C">
        <w:rPr>
          <w:lang w:val="es-HN"/>
        </w:rPr>
        <w:fldChar w:fldCharType="begin"/>
      </w:r>
      <w:r w:rsidR="7A54A044" w:rsidRPr="0076589C">
        <w:rPr>
          <w:lang w:val="es-HN"/>
        </w:rPr>
        <w:instrText xml:space="preserve"> ADDIN ZOTERO_ITEM CSL_CITATION {"citationID":"hCZqol3I","properties":{"formattedCitation":"(Fl\\uc0\\u243{}rez R\\uc0\\u237{}os, 2008)","plainCitation":"(Flórez Ríos, 2008)","noteIndex":0},"citationItems":[{"id":193,"uris":["http://zotero.org/users/12108825/items/EVBCX2YN"],"itemData":{"id":193,"type":"article-journal","ISSN":"1657-4206","title":"Evolución de la Teoría Financiera en el Siglo XX","author":[{"family":"Flórez Ríos","given":"Luz Stella"}],"issued":{"date-parts":[["2008"]]}}}],"schema":"https://github.com/citation-style-language/schema/raw/master/csl-citation.json"} </w:instrText>
      </w:r>
      <w:r w:rsidR="7A54A044" w:rsidRPr="0076589C">
        <w:rPr>
          <w:lang w:val="es-HN"/>
        </w:rPr>
        <w:fldChar w:fldCharType="separate"/>
      </w:r>
      <w:r w:rsidRPr="0076589C">
        <w:rPr>
          <w:lang w:val="es-HN"/>
        </w:rPr>
        <w:t>(Flórez Ríos, 2008)</w:t>
      </w:r>
      <w:r w:rsidR="7A54A044" w:rsidRPr="0076589C">
        <w:rPr>
          <w:lang w:val="es-HN"/>
        </w:rPr>
        <w:fldChar w:fldCharType="end"/>
      </w:r>
    </w:p>
    <w:p w14:paraId="5407A753" w14:textId="727DADA8" w:rsidR="00D21051" w:rsidRPr="0076589C" w:rsidRDefault="1C8D6E3A" w:rsidP="00C8505C">
      <w:pPr>
        <w:pStyle w:val="TextoPrincipal"/>
        <w:rPr>
          <w:lang w:val="es-HN"/>
        </w:rPr>
      </w:pPr>
      <w:r w:rsidRPr="0076589C">
        <w:rPr>
          <w:lang w:val="es-HN"/>
        </w:rPr>
        <w:t xml:space="preserve">A través de los años la Teoría financiera ha evolucionado en su orientación y desarrollo, en la Figura.3 se presenta como se ha clasificado la teoría financiera según su evolución y cuáles han sido los lineamientos de mayor interés. </w:t>
      </w:r>
    </w:p>
    <w:p w14:paraId="6F17018E" w14:textId="145B830F" w:rsidR="00FE15EB" w:rsidRPr="0076589C" w:rsidRDefault="00731E8D" w:rsidP="009B14A0">
      <w:pPr>
        <w:pStyle w:val="ImagenyTabla"/>
        <w:jc w:val="center"/>
        <w:rPr>
          <w:noProof w:val="0"/>
        </w:rPr>
      </w:pPr>
      <w:r w:rsidRPr="0076589C">
        <w:lastRenderedPageBreak/>
        <w:drawing>
          <wp:inline distT="0" distB="0" distL="0" distR="0" wp14:anchorId="15BF87C1" wp14:editId="6FE5540F">
            <wp:extent cx="4394200" cy="2502253"/>
            <wp:effectExtent l="0" t="0" r="6350" b="0"/>
            <wp:docPr id="476286264" name="Picture 476286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76286264"/>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394200" cy="2502253"/>
                    </a:xfrm>
                    <a:prstGeom prst="rect">
                      <a:avLst/>
                    </a:prstGeom>
                  </pic:spPr>
                </pic:pic>
              </a:graphicData>
            </a:graphic>
          </wp:inline>
        </w:drawing>
      </w:r>
    </w:p>
    <w:p w14:paraId="77E68DA7" w14:textId="15BC7436" w:rsidR="00FB5474" w:rsidRPr="0076589C" w:rsidRDefault="1C8D6E3A" w:rsidP="00FB5474">
      <w:pPr>
        <w:pStyle w:val="ImagenyTabla"/>
        <w:rPr>
          <w:noProof w:val="0"/>
        </w:rPr>
      </w:pPr>
      <w:bookmarkStart w:id="167" w:name="_Toc158365588"/>
      <w:bookmarkStart w:id="168" w:name="_Hlk144307889"/>
      <w:r w:rsidRPr="0076589C">
        <w:t xml:space="preserve">Figura </w:t>
      </w:r>
      <w:r w:rsidR="7A54A044" w:rsidRPr="0076589C">
        <w:rPr>
          <w:noProof w:val="0"/>
        </w:rPr>
        <w:fldChar w:fldCharType="begin"/>
      </w:r>
      <w:r w:rsidR="7A54A044" w:rsidRPr="0076589C">
        <w:rPr>
          <w:noProof w:val="0"/>
        </w:rPr>
        <w:instrText xml:space="preserve"> SEQ Figura \* ARABIC </w:instrText>
      </w:r>
      <w:r w:rsidR="7A54A044" w:rsidRPr="0076589C">
        <w:rPr>
          <w:noProof w:val="0"/>
        </w:rPr>
        <w:fldChar w:fldCharType="separate"/>
      </w:r>
      <w:r w:rsidR="009F171A">
        <w:t>3</w:t>
      </w:r>
      <w:r w:rsidR="7A54A044" w:rsidRPr="0076589C">
        <w:rPr>
          <w:noProof w:val="0"/>
        </w:rPr>
        <w:fldChar w:fldCharType="end"/>
      </w:r>
      <w:r w:rsidRPr="0076589C">
        <w:t>.  Evolución de la Teoría Financiera</w:t>
      </w:r>
      <w:bookmarkEnd w:id="167"/>
    </w:p>
    <w:p w14:paraId="7132BD63" w14:textId="7D570321" w:rsidR="009B14A0" w:rsidRPr="0076589C" w:rsidRDefault="1C8D6E3A" w:rsidP="009B14A0">
      <w:pPr>
        <w:pStyle w:val="Fuentes"/>
        <w:rPr>
          <w:lang w:val="es-HN"/>
        </w:rPr>
      </w:pPr>
      <w:r w:rsidRPr="0076589C">
        <w:rPr>
          <w:lang w:val="es-HN"/>
        </w:rPr>
        <w:t xml:space="preserve">Fuente: </w:t>
      </w:r>
      <w:bookmarkEnd w:id="168"/>
      <w:r w:rsidR="7A54A044" w:rsidRPr="0076589C">
        <w:rPr>
          <w:lang w:val="es-HN"/>
        </w:rPr>
        <w:fldChar w:fldCharType="begin"/>
      </w:r>
      <w:r w:rsidR="7A54A044" w:rsidRPr="0076589C">
        <w:rPr>
          <w:lang w:val="es-HN"/>
        </w:rPr>
        <w:instrText xml:space="preserve"> ADDIN ZOTERO_ITEM CSL_CITATION {"citationID":"GT8v9YSV","properties":{"formattedCitation":"(Azofra Palenzuela &amp; Fern\\uc0\\u225{}ndez Alvarez, 1992)","plainCitation":"(Azofra Palenzuela &amp; Fernández Alvarez, 1992)","dontUpdate":true,"noteIndex":0},"citationItems":[{"id":194,"uris":["http://zotero.org/users/12108825/items/GWCZDWG5"],"itemData":{"id":194,"type":"report","title":"Evolución Reciente de la Moderna Teoría Financiera","author":[{"family":"Azofra Palenzuela","given":"Valentín"},{"family":"Fernández Alvarez","given":"Ana"}],"issued":{"date-parts":[["1992"]]}}}],"schema":"https://github.com/citation-style-language/schema/raw/master/csl-citation.json"} </w:instrText>
      </w:r>
      <w:r w:rsidR="7A54A044" w:rsidRPr="0076589C">
        <w:rPr>
          <w:lang w:val="es-HN"/>
        </w:rPr>
        <w:fldChar w:fldCharType="separate"/>
      </w:r>
      <w:r w:rsidRPr="0076589C">
        <w:rPr>
          <w:lang w:val="es-HN"/>
        </w:rPr>
        <w:t>Azofra Palenzuela &amp; Fernández Alvarez, 1992)</w:t>
      </w:r>
      <w:r w:rsidR="7A54A044" w:rsidRPr="0076589C">
        <w:rPr>
          <w:lang w:val="es-HN"/>
        </w:rPr>
        <w:fldChar w:fldCharType="end"/>
      </w:r>
    </w:p>
    <w:p w14:paraId="24FC0531" w14:textId="1F3B6EFE" w:rsidR="007A787D" w:rsidRPr="0076589C" w:rsidRDefault="1C8D6E3A" w:rsidP="00C8505C">
      <w:pPr>
        <w:pStyle w:val="TextoPrincipal"/>
        <w:rPr>
          <w:lang w:val="es-HN"/>
        </w:rPr>
      </w:pPr>
      <w:r w:rsidRPr="0076589C">
        <w:rPr>
          <w:lang w:val="es-HN"/>
        </w:rPr>
        <w:t xml:space="preserve">En la actualidad se constituye en siete bloques que fundamentan la teoría financiera, los cuales son: el principio de valoración, mercados eficientes, la teoría de carteras, teoría de la valoración de activos financieros, teoría de opciones, el valor, la estructura financiera y el coste de capital. La última teoría financiera es la de agencia. Se observa que la teoría financiera está compuesta por distintas teorías que permiten darles forma a los mercados financieros, una adecuada toma de decisiones financieras, los contratos financieros y el manejo del riesgo. El motor del avance de la teoría financiera ha sido por nuevas necesidades, ideas y tecnologías. </w:t>
      </w:r>
      <w:r w:rsidR="7A54A044" w:rsidRPr="0076589C">
        <w:rPr>
          <w:lang w:val="es-HN"/>
        </w:rPr>
        <w:fldChar w:fldCharType="begin"/>
      </w:r>
      <w:r w:rsidR="7A54A044" w:rsidRPr="0076589C">
        <w:rPr>
          <w:lang w:val="es-HN"/>
        </w:rPr>
        <w:instrText xml:space="preserve"> ADDIN ZOTERO_ITEM CSL_CITATION {"citationID":"2XDhnuFQ","properties":{"formattedCitation":"(Azofra Palenzuela &amp; Fern\\uc0\\u225{}ndez Alvarez, 1992)","plainCitation":"(Azofra Palenzuela &amp; Fernández Alvarez, 1992)","dontUpdate":true,"noteIndex":0},"citationItems":[{"id":194,"uris":["http://zotero.org/users/12108825/items/GWCZDWG5"],"itemData":{"id":194,"type":"report","title":"Evolución Reciente de la Moderna Teoría Financiera","author":[{"family":"Azofra Palenzuela","given":"Valentín"},{"family":"Fernández Alvarez","given":"Ana"}],"issued":{"date-parts":[["1992"]]}}}],"schema":"https://github.com/citation-style-language/schema/raw/master/csl-citation.json"} </w:instrText>
      </w:r>
      <w:r w:rsidR="7A54A044" w:rsidRPr="0076589C">
        <w:rPr>
          <w:lang w:val="es-HN"/>
        </w:rPr>
        <w:fldChar w:fldCharType="separate"/>
      </w:r>
      <w:r w:rsidRPr="0076589C">
        <w:rPr>
          <w:lang w:val="es-HN"/>
        </w:rPr>
        <w:t>(Azofra Palenzuela &amp; Fernández Álvarez, 1992)</w:t>
      </w:r>
      <w:r w:rsidR="7A54A044" w:rsidRPr="0076589C">
        <w:rPr>
          <w:lang w:val="es-HN"/>
        </w:rPr>
        <w:fldChar w:fldCharType="end"/>
      </w:r>
    </w:p>
    <w:p w14:paraId="58A840AC" w14:textId="5BEFCB6E" w:rsidR="00AC7D04" w:rsidRPr="0076589C" w:rsidRDefault="1C8D6E3A" w:rsidP="00C8505C">
      <w:pPr>
        <w:pStyle w:val="TextoPrincipal"/>
        <w:rPr>
          <w:lang w:val="es-HN"/>
        </w:rPr>
      </w:pPr>
      <w:r w:rsidRPr="0076589C">
        <w:rPr>
          <w:b/>
          <w:bCs/>
          <w:lang w:val="es-HN"/>
        </w:rPr>
        <w:t>Vigencia de la teoría:</w:t>
      </w:r>
      <w:r w:rsidRPr="0076589C">
        <w:rPr>
          <w:lang w:val="es-HN"/>
        </w:rPr>
        <w:t xml:space="preserve"> Las ideas pioneras de principio de siglo no se han descartado, ni la extensa experiencia del uso de las finanzas que se ha ido implementando en las empresas.  </w:t>
      </w:r>
    </w:p>
    <w:p w14:paraId="0508001E" w14:textId="03156E8B" w:rsidR="00292551" w:rsidRPr="0076589C" w:rsidRDefault="1C8D6E3A" w:rsidP="00EC0195">
      <w:pPr>
        <w:pStyle w:val="TextoPrincipal"/>
        <w:rPr>
          <w:lang w:val="es-HN"/>
        </w:rPr>
      </w:pPr>
      <w:r w:rsidRPr="0076589C">
        <w:rPr>
          <w:b/>
          <w:bCs/>
          <w:lang w:val="es-HN"/>
        </w:rPr>
        <w:t>Críticas a la teoría:</w:t>
      </w:r>
      <w:r w:rsidRPr="0076589C">
        <w:rPr>
          <w:lang w:val="es-HN"/>
        </w:rPr>
        <w:t xml:space="preserve"> Sin embargo, se han realizado críticas a los planteamientos de la teoría financiera entre ellas, se acusa a la moderna teoría financiera de haberse alejado de la realidad debido a que se utiliza un aparato económico y cuantitativo excesivo que no justifica los resultados. Al igual se ataca a los principales elementos que constituyeron el paradigma de los setenta, puesto que el objetivo financiero de la empresa es maximizar su valor en el mercado, eficientar y utilizar un adecuado modelo de valoración de activos. La investigación de Fama y French (1992) volvió a generar polémica sobre la validez el modelo CAPM dando su crítica: “el riesgo medido por beta tiene una escasa relación con las rentabilidades esperadas y estas están relacionadas con otro tipo de variables como la relación entre valor en libros y valor de mercado o el tamaño de la empresa”. </w:t>
      </w:r>
      <w:r w:rsidRPr="0076589C">
        <w:rPr>
          <w:lang w:val="es-HN"/>
        </w:rPr>
        <w:lastRenderedPageBreak/>
        <w:t xml:space="preserve">Luego se le cuestiona tal conclusión con la idea de que, si no se da la relación entre las rentabilidades medias y las betas, es porque las betas utilizadas no tienen tanta relación con las que manejan los inversores, por tal análisis y otros la beta puede continuar siendo un instrumento de interés a pesar de las diferentes en el periodo de tiempo que se utilicen. </w:t>
      </w:r>
      <w:r w:rsidR="7A54A044" w:rsidRPr="0076589C">
        <w:rPr>
          <w:lang w:val="es-HN"/>
        </w:rPr>
        <w:fldChar w:fldCharType="begin"/>
      </w:r>
      <w:r w:rsidR="7A54A044" w:rsidRPr="0076589C">
        <w:rPr>
          <w:lang w:val="es-HN"/>
        </w:rPr>
        <w:instrText xml:space="preserve"> ADDIN ZOTERO_ITEM CSL_CITATION {"citationID":"G72PlGL7","properties":{"formattedCitation":"(G\\uc0\\u243{}mez Bezares, 1995)","plainCitation":"(Gómez Bezares, 1995)","noteIndex":0},"citationItems":[{"id":183,"uris":["http://zotero.org/users/12108825/items/PGR7XI2E"],"itemData":{"id":183,"type":"article-journal","container-title":"Economía - Teoría y nuevos desafíos","language":"Español","page":"30","source":"Boletín de Estudios Económicos","title":"Panorama de la Teoría Financiera","volume":"156","author":[{"family":"Gómez Bezares","given":"Fernando"}],"issued":{"date-parts":[["1995"]]}}}],"schema":"https://github.com/citation-style-language/schema/raw/master/csl-citation.json"} </w:instrText>
      </w:r>
      <w:r w:rsidR="7A54A044" w:rsidRPr="0076589C">
        <w:rPr>
          <w:lang w:val="es-HN"/>
        </w:rPr>
        <w:fldChar w:fldCharType="separate"/>
      </w:r>
      <w:r w:rsidRPr="0076589C">
        <w:rPr>
          <w:lang w:val="es-HN"/>
        </w:rPr>
        <w:t>(Gómez Bezares, 1995)</w:t>
      </w:r>
      <w:r w:rsidR="7A54A044" w:rsidRPr="0076589C">
        <w:rPr>
          <w:lang w:val="es-HN"/>
        </w:rPr>
        <w:fldChar w:fldCharType="end"/>
      </w:r>
    </w:p>
    <w:p w14:paraId="4B3A4975" w14:textId="7C951CE9" w:rsidR="00D730E1" w:rsidRPr="0076589C" w:rsidRDefault="1C8D6E3A" w:rsidP="007E166C">
      <w:pPr>
        <w:pStyle w:val="TextoPrincipal"/>
        <w:spacing w:after="0"/>
        <w:rPr>
          <w:lang w:val="es-HN"/>
        </w:rPr>
      </w:pPr>
      <w:r w:rsidRPr="0076589C">
        <w:rPr>
          <w:b/>
          <w:bCs/>
          <w:lang w:val="es-HN"/>
        </w:rPr>
        <w:t xml:space="preserve">Relación de la teoría con la investigación: </w:t>
      </w:r>
      <w:r w:rsidRPr="0076589C">
        <w:rPr>
          <w:lang w:val="es-HN"/>
        </w:rPr>
        <w:t xml:space="preserve">La relación con la teoría financiera implica al evaluar cómo las políticas de crédito y cobro de la empresa IPRA impactan en su situación financiera y en la utilización de indicadores financieros claves para analizar la salud financiera de la empresa. Además, al proponer mejoras en la gestión de cobros y la toma de decisiones crediticias, la investigación busca aplicar conceptos financieros para abordar los desafíos identificados en IPRA. </w:t>
      </w:r>
    </w:p>
    <w:p w14:paraId="57BCB0B7" w14:textId="77777777" w:rsidR="007E166C" w:rsidRPr="0076589C" w:rsidRDefault="007E166C" w:rsidP="007E166C">
      <w:pPr>
        <w:pStyle w:val="TextoPrincipal"/>
        <w:spacing w:after="0"/>
        <w:rPr>
          <w:lang w:val="es-HN"/>
        </w:rPr>
      </w:pPr>
    </w:p>
    <w:p w14:paraId="7147A3D5" w14:textId="3AFCDC67" w:rsidR="00445070" w:rsidRPr="0076589C" w:rsidRDefault="1C8D6E3A" w:rsidP="000E4013">
      <w:pPr>
        <w:pStyle w:val="Ttulonivel4"/>
        <w:numPr>
          <w:ilvl w:val="2"/>
          <w:numId w:val="15"/>
        </w:numPr>
        <w:spacing w:before="40"/>
        <w:ind w:left="1775" w:hanging="357"/>
      </w:pPr>
      <w:r w:rsidRPr="0076589C">
        <w:t>TEORÍA DE CAPITAL DE TRABAJO</w:t>
      </w:r>
    </w:p>
    <w:p w14:paraId="4A9041EA" w14:textId="472199E9" w:rsidR="00445070" w:rsidRPr="0076589C" w:rsidRDefault="1C8D6E3A" w:rsidP="00C8505C">
      <w:pPr>
        <w:pStyle w:val="TextoPrincipal"/>
        <w:rPr>
          <w:lang w:val="es-HN"/>
        </w:rPr>
      </w:pPr>
      <w:r w:rsidRPr="0076589C">
        <w:rPr>
          <w:b/>
          <w:bCs/>
        </w:rPr>
        <w:t>Autor</w:t>
      </w:r>
      <w:r w:rsidRPr="0076589C">
        <w:t>: Gitman, Lawrence J.</w:t>
      </w:r>
    </w:p>
    <w:p w14:paraId="4BFA4778" w14:textId="54245D1F" w:rsidR="3F540BEB" w:rsidRPr="0076589C" w:rsidRDefault="1C8D6E3A" w:rsidP="00C8505C">
      <w:pPr>
        <w:pStyle w:val="TextoPrincipal"/>
        <w:rPr>
          <w:lang w:val="es-HN"/>
        </w:rPr>
      </w:pPr>
      <w:r w:rsidRPr="0076589C">
        <w:t>Año de Publicación: 1986</w:t>
      </w:r>
    </w:p>
    <w:p w14:paraId="548C7BFB" w14:textId="35CA4A03" w:rsidR="719978F9" w:rsidRPr="0076589C" w:rsidRDefault="1C8D6E3A" w:rsidP="00C8505C">
      <w:pPr>
        <w:pStyle w:val="TextoPrincipal"/>
        <w:rPr>
          <w:lang w:val="es-HN"/>
        </w:rPr>
      </w:pPr>
      <w:r w:rsidRPr="0076589C">
        <w:t xml:space="preserve">Lugar de Publicación: México </w:t>
      </w:r>
    </w:p>
    <w:p w14:paraId="2A4E2FFA" w14:textId="2615F4BD" w:rsidR="2398B578" w:rsidRPr="0076589C" w:rsidRDefault="1C8D6E3A" w:rsidP="00EC0195">
      <w:pPr>
        <w:pStyle w:val="TextoPrincipal"/>
        <w:rPr>
          <w:lang w:val="es-HN"/>
        </w:rPr>
      </w:pPr>
      <w:r w:rsidRPr="0076589C">
        <w:rPr>
          <w:b/>
          <w:bCs/>
          <w:lang w:val="es-HN"/>
        </w:rPr>
        <w:t>Postulado de la teoría:</w:t>
      </w:r>
      <w:r w:rsidRPr="0076589C">
        <w:rPr>
          <w:lang w:val="es-HN"/>
        </w:rPr>
        <w:t xml:space="preserve"> El principal postulado de la teoría del capital de trabajo es que una empresa debe mantener un equilibrio adecuado entre sus activos y pasivos circulantes para asegurar su solvencia a corto plazo y maximizar su rentabilidad. El capital de trabajo se refiere a la inversión de la empresa en activos a corto plazo, como efectivo, valores negociables, inventarios y cuentas por cobrar, y se puede calcular como la diferencia entre los activos y pasivos circulantes de la empresa. La administración eficiente del capital de trabajo implica la gestión adecuada de cada uno de estos elementos para garantizar la liquidez de la empresa y maximizar su rentabilidad. </w:t>
      </w:r>
      <w:r w:rsidR="7A54A044" w:rsidRPr="0076589C">
        <w:rPr>
          <w:lang w:val="es-HN"/>
        </w:rPr>
        <w:fldChar w:fldCharType="begin"/>
      </w:r>
      <w:r w:rsidR="7A54A044" w:rsidRPr="0076589C">
        <w:rPr>
          <w:lang w:val="es-HN"/>
        </w:rPr>
        <w:instrText xml:space="preserve"> ADDIN ZOTERO_ITEM CSL_CITATION {"citationID":"d3bjKWIc","properties":{"formattedCitation":"(Rizo et\\uc0\\u160{}al., 2022)","plainCitation":"(Rizo et al., 2022)","noteIndex":0},"citationItems":[{"id":195,"uris":["http://zotero.org/users/12108825/items/N2GLU3V8"],"itemData":{"id":195,"type":"report","title":"La teoría del capital de trabajo y sus técnicas","author":[{"family":"Rizo","given":"Eymin"},{"family":"Pablos","given":"Giovani"},{"family":"Rizo","given":"Eylin"}],"issued":{"date-parts":[["2022"]]}}}],"schema":"https://github.com/citation-style-language/schema/raw/master/csl-citation.json"} </w:instrText>
      </w:r>
      <w:r w:rsidR="7A54A044" w:rsidRPr="0076589C">
        <w:rPr>
          <w:lang w:val="es-HN"/>
        </w:rPr>
        <w:fldChar w:fldCharType="separate"/>
      </w:r>
      <w:r w:rsidRPr="0076589C">
        <w:rPr>
          <w:lang w:val="es-HN"/>
        </w:rPr>
        <w:t>(Rizo et al., 2022)</w:t>
      </w:r>
      <w:r w:rsidR="7A54A044" w:rsidRPr="0076589C">
        <w:rPr>
          <w:lang w:val="es-HN"/>
        </w:rPr>
        <w:fldChar w:fldCharType="end"/>
      </w:r>
      <w:r w:rsidRPr="0076589C">
        <w:rPr>
          <w:lang w:val="es-HN"/>
        </w:rPr>
        <w:t xml:space="preserve"> </w:t>
      </w:r>
    </w:p>
    <w:p w14:paraId="11D9AF5D" w14:textId="1CF52214" w:rsidR="4D0785D3" w:rsidRPr="0076589C" w:rsidRDefault="1C8D6E3A" w:rsidP="00C8505C">
      <w:pPr>
        <w:pStyle w:val="TextoPrincipal"/>
        <w:rPr>
          <w:lang w:val="es-HN"/>
        </w:rPr>
      </w:pPr>
      <w:r w:rsidRPr="0076589C">
        <w:rPr>
          <w:lang w:val="es-HN"/>
        </w:rPr>
        <w:t xml:space="preserve">La teoría de capital de trabajo se refiere a la gestión de los recursos financieros que una empresa necesita para financiar sus operaciones diarias. Incluye la gestión de efectivo, cuentas por cobrar e inventarios, y se enfoca en asegurar que una empresa tenga suficiente liquidez para cumplir con sus obligaciones a corto plazo. El capital de trabajo </w:t>
      </w:r>
      <w:r w:rsidR="00A51C4C" w:rsidRPr="0076589C">
        <w:rPr>
          <w:lang w:val="es-HN"/>
        </w:rPr>
        <w:t xml:space="preserve">se define </w:t>
      </w:r>
      <w:r w:rsidRPr="0076589C">
        <w:rPr>
          <w:lang w:val="es-HN"/>
        </w:rPr>
        <w:t xml:space="preserve">como la diferencia entre los activos y los pasivos circulantes, y es esencial para el éxito financiero a corto plazo de una empresa. La administración efectiva del capital de trabajo implica equilibrar la necesidad de </w:t>
      </w:r>
      <w:r w:rsidRPr="0076589C">
        <w:rPr>
          <w:lang w:val="es-HN"/>
        </w:rPr>
        <w:lastRenderedPageBreak/>
        <w:t xml:space="preserve">mantener suficiente liquidez con la necesidad de maximizar la rentabilidad y minimizar los costos. </w:t>
      </w:r>
      <w:r w:rsidR="7A54A044" w:rsidRPr="0076589C">
        <w:rPr>
          <w:lang w:val="es-HN"/>
        </w:rPr>
        <w:fldChar w:fldCharType="begin"/>
      </w:r>
      <w:r w:rsidR="7A54A044" w:rsidRPr="0076589C">
        <w:rPr>
          <w:lang w:val="es-HN"/>
        </w:rPr>
        <w:instrText xml:space="preserve"> ADDIN ZOTERO_ITEM CSL_CITATION {"citationID":"ubY4g0Xr","properties":{"formattedCitation":"(Guerrero et\\uc0\\u160{}al., 2010)","plainCitation":"(Guerrero et al., 2010)","noteIndex":0},"citationItems":[{"id":196,"uris":["http://zotero.org/users/12108825/items/S5I946B3"],"itemData":{"id":196,"type":"report","event-place":"Cuba","publisher-place":"Cuba","title":"La administración del capital de trabajo en el marco de la administración financiera a corto plazo","author":[{"family":"Guerrero","given":"Maile"},{"family":"Jiménez","given":"Félix"},{"family":"Varona","given":"Silvina"}],"issued":{"date-parts":[["2010"]]}}}],"schema":"https://github.com/citation-style-language/schema/raw/master/csl-citation.json"} </w:instrText>
      </w:r>
      <w:r w:rsidR="7A54A044" w:rsidRPr="0076589C">
        <w:rPr>
          <w:lang w:val="es-HN"/>
        </w:rPr>
        <w:fldChar w:fldCharType="separate"/>
      </w:r>
      <w:r w:rsidRPr="0076589C">
        <w:rPr>
          <w:lang w:val="es-HN"/>
        </w:rPr>
        <w:t>(Guerrero et al., 2010)</w:t>
      </w:r>
      <w:r w:rsidR="7A54A044" w:rsidRPr="0076589C">
        <w:rPr>
          <w:lang w:val="es-HN"/>
        </w:rPr>
        <w:fldChar w:fldCharType="end"/>
      </w:r>
    </w:p>
    <w:p w14:paraId="31F58475" w14:textId="0BB6B73F" w:rsidR="17AC3791" w:rsidRPr="0076589C" w:rsidRDefault="1C8D6E3A" w:rsidP="00C8505C">
      <w:pPr>
        <w:pStyle w:val="TextoPrincipal"/>
        <w:rPr>
          <w:lang w:val="es-HN"/>
        </w:rPr>
      </w:pPr>
      <w:r w:rsidRPr="0076589C">
        <w:rPr>
          <w:lang w:val="es-HN"/>
        </w:rPr>
        <w:t xml:space="preserve">Gitman, Lawrence J.  establece que el "capital de trabajo no es más que la diferencia entre Activos y Pasivos circulantes de una empresa.”  </w:t>
      </w:r>
      <w:r w:rsidR="7A54A044" w:rsidRPr="0076589C">
        <w:rPr>
          <w:lang w:val="es-HN"/>
        </w:rPr>
        <w:fldChar w:fldCharType="begin"/>
      </w:r>
      <w:r w:rsidR="7A54A044" w:rsidRPr="0076589C">
        <w:rPr>
          <w:lang w:val="es-HN"/>
        </w:rPr>
        <w:instrText xml:space="preserve"> ADDIN ZOTERO_ITEM CSL_CITATION {"citationID":"PAXz2rgu","properties":{"formattedCitation":"(Angulo S\\uc0\\u225{}nchez, 2016)","plainCitation":"(Angulo Sánchez, 2016)","noteIndex":0},"citationItems":[{"id":197,"uris":["http://zotero.org/users/12108825/items/56GJ3RJQ"],"itemData":{"id":197,"type":"article-journal","container-title":"Revista Universidad y Sociedad","ISSN":"2218-3620","issue":"4","note":"publisher: Editorial \"Universo Sur\"","page":"54-57","source":"SciELO","title":"LA GESTIÓN EFECTIVA DEL CAPITAL DE TRABAJO EN LAS EMPRESAS","volume":"8","author":[{"family":"Angulo Sánchez","given":"Luis"}],"issued":{"date-parts":[["2016",12]]}}}],"schema":"https://github.com/citation-style-language/schema/raw/master/csl-citation.json"} </w:instrText>
      </w:r>
      <w:r w:rsidR="7A54A044" w:rsidRPr="0076589C">
        <w:rPr>
          <w:lang w:val="es-HN"/>
        </w:rPr>
        <w:fldChar w:fldCharType="separate"/>
      </w:r>
      <w:r w:rsidRPr="0076589C">
        <w:rPr>
          <w:lang w:val="es-HN"/>
        </w:rPr>
        <w:t>(Angulo Sánchez, 2016)</w:t>
      </w:r>
      <w:r w:rsidR="7A54A044" w:rsidRPr="0076589C">
        <w:rPr>
          <w:lang w:val="es-HN"/>
        </w:rPr>
        <w:fldChar w:fldCharType="end"/>
      </w:r>
    </w:p>
    <w:p w14:paraId="7FF41C2E" w14:textId="339472E8" w:rsidR="00AD17A9" w:rsidRPr="0076589C" w:rsidRDefault="1C8D6E3A" w:rsidP="00EC0195">
      <w:pPr>
        <w:pStyle w:val="TextoPrincipal"/>
        <w:rPr>
          <w:b/>
          <w:bCs/>
          <w:lang w:val="es-HN"/>
        </w:rPr>
      </w:pPr>
      <w:r w:rsidRPr="0076589C">
        <w:rPr>
          <w:b/>
          <w:bCs/>
          <w:lang w:val="es-HN"/>
        </w:rPr>
        <w:t xml:space="preserve">Críticas a la teoría: </w:t>
      </w:r>
    </w:p>
    <w:p w14:paraId="26C55C8F" w14:textId="5FD4C0C5" w:rsidR="724FC14E" w:rsidRPr="0076589C" w:rsidRDefault="00D83BF8" w:rsidP="00EC0195">
      <w:pPr>
        <w:pStyle w:val="TextoPrincipal"/>
        <w:rPr>
          <w:lang w:val="es-HN"/>
        </w:rPr>
      </w:pPr>
      <w:r w:rsidRPr="0076589C">
        <w:rPr>
          <w:lang w:val="es-HN"/>
        </w:rPr>
        <w:fldChar w:fldCharType="begin"/>
      </w:r>
      <w:r w:rsidRPr="0076589C">
        <w:rPr>
          <w:lang w:val="es-HN"/>
        </w:rPr>
        <w:instrText xml:space="preserve"> ADDIN ZOTERO_ITEM CSL_CITATION {"citationID":"AbENll8d","properties":{"formattedCitation":"(Rappaport, 1986)","plainCitation":"(Rappaport, 1986)","dontUpdate":true,"noteIndex":0},"citationItems":[{"id":199,"uris":["http://zotero.org/users/12108825/items/RJI7NW23"],"itemData":{"id":199,"type":"book","language":"es","title":"CREATING SHAREHOLDER VALUE","URL":"https://biblio.es/libro/creating-shareholder-value-alfred-rappaport/1429429450","author":[{"family":"Rappaport","given":"Alfred"}],"accessed":{"date-parts":[["2023",8,26]]},"issued":{"date-parts":[["1986"]]}}}],"schema":"https://github.com/citation-style-language/schema/raw/master/csl-citation.json"} </w:instrText>
      </w:r>
      <w:r w:rsidRPr="0076589C">
        <w:rPr>
          <w:lang w:val="es-HN"/>
        </w:rPr>
        <w:fldChar w:fldCharType="separate"/>
      </w:r>
      <w:r w:rsidR="1C8D6E3A" w:rsidRPr="0076589C">
        <w:rPr>
          <w:lang w:val="es-HN"/>
        </w:rPr>
        <w:t>Rappaport, (1986)</w:t>
      </w:r>
      <w:r w:rsidRPr="0076589C">
        <w:rPr>
          <w:lang w:val="es-HN"/>
        </w:rPr>
        <w:fldChar w:fldCharType="end"/>
      </w:r>
      <w:r w:rsidR="1C8D6E3A" w:rsidRPr="0076589C">
        <w:rPr>
          <w:lang w:val="es-HN"/>
        </w:rPr>
        <w:t xml:space="preserve"> conocido por su trabajo en finanzas corporativas y estrategia empresarial. Su crítica a la teoría del capital de trabajo se encuentra en su libro "Creating Shareholder Value: A Guide for Managers and Investors". En este libro, Rappaport argumenta que la gestión del capital de trabajo debe estar alineada con la estrategia general de la empresa y la maximización del valor para los accionistas a largo plazo.</w:t>
      </w:r>
    </w:p>
    <w:p w14:paraId="7B9A77F0" w14:textId="132FAE45" w:rsidR="4CCCCEB7" w:rsidRPr="0076589C" w:rsidRDefault="00D83BF8" w:rsidP="009F1A22">
      <w:pPr>
        <w:spacing w:after="0" w:line="360" w:lineRule="auto"/>
        <w:ind w:left="0" w:firstLine="720"/>
        <w:jc w:val="both"/>
      </w:pPr>
      <w:r w:rsidRPr="0076589C">
        <w:fldChar w:fldCharType="begin"/>
      </w:r>
      <w:r w:rsidRPr="0076589C">
        <w:instrText xml:space="preserve"> ADDIN ZOTERO_ITEM CSL_CITATION {"citationID":"CygGABAF","properties":{"formattedCitation":"(Allen, 2010)","plainCitation":"(Allen, 2010)","dontUpdate":true,"noteIndex":0},"citationItems":[{"id":204,"uris":["http://zotero.org/users/12108825/items/CHITNJEP"],"itemData":{"id":204,"type":"article-journal","source":"Zotero","title":"Principios de Finanzas Corporativas","author":[{"family":"Allen","given":"Brealey Myers"}],"issued":{"date-parts":[["2010"]]}}}],"schema":"https://github.com/citation-style-language/schema/raw/master/csl-citation.json"} </w:instrText>
      </w:r>
      <w:r w:rsidRPr="0076589C">
        <w:fldChar w:fldCharType="separate"/>
      </w:r>
      <w:r w:rsidR="1C8D6E3A" w:rsidRPr="0076589C">
        <w:rPr>
          <w:rFonts w:cs="Times New Roman"/>
        </w:rPr>
        <w:t>Allen, (2010)</w:t>
      </w:r>
      <w:r w:rsidRPr="0076589C">
        <w:fldChar w:fldCharType="end"/>
      </w:r>
      <w:r w:rsidR="1C8D6E3A" w:rsidRPr="0076589C">
        <w:t xml:space="preserve"> </w:t>
      </w:r>
      <w:r w:rsidR="1C8D6E3A" w:rsidRPr="0076589C">
        <w:rPr>
          <w:rFonts w:eastAsia="Calibri" w:cs="Times New Roman"/>
        </w:rPr>
        <w:t>en su libro "Principles of Corporate Finance", cuya primera edición fue publicada en 1981, Brealey y Myers abordan las críticas a la teoría del capital de trabajo al discutir cómo las decisiones de financiamiento y gestión de activos circulantes deben considerar las oportunidades de inversión y la creación de valor a largo plazo.</w:t>
      </w:r>
    </w:p>
    <w:p w14:paraId="7B3AA8AB" w14:textId="3308A8F0" w:rsidR="388AE291" w:rsidRPr="0076589C" w:rsidRDefault="1C8D6E3A" w:rsidP="009F1A22">
      <w:pPr>
        <w:spacing w:after="0" w:line="360" w:lineRule="auto"/>
        <w:ind w:left="86" w:firstLine="634"/>
        <w:jc w:val="both"/>
      </w:pPr>
      <w:r w:rsidRPr="0076589C">
        <w:rPr>
          <w:rFonts w:eastAsia="Calibri" w:cs="Times New Roman"/>
        </w:rPr>
        <w:t xml:space="preserve"> </w:t>
      </w:r>
      <w:r w:rsidR="7A54A044" w:rsidRPr="0076589C">
        <w:fldChar w:fldCharType="begin"/>
      </w:r>
      <w:r w:rsidR="7A54A044" w:rsidRPr="0076589C">
        <w:instrText xml:space="preserve"> ADDIN ZOTERO_ITEM CSL_CITATION {"citationID":"6qT5XRMQ","properties":{"formattedCitation":"(Brigham &amp; Houston, 2021)","plainCitation":"(Brigham &amp; Houston, 2021)","dontUpdate":true,"noteIndex":0},"citationItems":[{"id":205,"uris":["http://zotero.org/users/12108825/items/SFEZLWNI"],"itemData":{"id":205,"type":"book","abstract":"Gain the understanding of today's financial markets and corporate financial management you need to propel you toward your goals with the contemporary insights and innovative learning tools found in Brigham/Houston's popular FUNDAMENTALS OF FINANCIAL MANAGEMENT: CONCISE, 11E. This market leader offers intriguing insights into the social responsibility of business, the significant effects of recent changes in corporate tax code, the ongoing multiple effects related to the economic impact of the coronavirus pandemic and other emerging issues straight from today's headlines. Clear explanations and real, meaningful examples help you understand the what and the why of corporate budgeting, financing, working capital decision making, forecasting, valuation and Time Value of Money. Hands-on exercises, cases and activities guide you in putting the theory you learn into action.Important Notice: Media content referenced within the product description or the product text may not be available in the ebook version.","ISBN":"978-0-357-51780-2","language":"en","note":"Google-Books-ID: 9OUXEAAAQBAJ","number-of-pages":"754","publisher":"Cengage Learning","source":"Google Books","title":"Fundamentals of Financial Management: Concise","title-short":"Fundamentals of Financial Management","author":[{"family":"Brigham","given":"Eugene F."},{"family":"Houston","given":"Joel F."}],"issued":{"date-parts":[["2021",2,4]]}}}],"schema":"https://github.com/citation-style-language/schema/raw/master/csl-citation.json"} </w:instrText>
      </w:r>
      <w:r w:rsidR="7A54A044" w:rsidRPr="0076589C">
        <w:fldChar w:fldCharType="separate"/>
      </w:r>
      <w:r w:rsidRPr="0076589C">
        <w:rPr>
          <w:rFonts w:cs="Times New Roman"/>
        </w:rPr>
        <w:t>Brigham &amp; Houston, (2021)</w:t>
      </w:r>
      <w:r w:rsidR="7A54A044" w:rsidRPr="0076589C">
        <w:fldChar w:fldCharType="end"/>
      </w:r>
      <w:r w:rsidRPr="0076589C">
        <w:t xml:space="preserve"> </w:t>
      </w:r>
      <w:r w:rsidRPr="0076589C">
        <w:rPr>
          <w:rFonts w:eastAsia="Calibri" w:cs="Times New Roman"/>
        </w:rPr>
        <w:t xml:space="preserve">en "Fundamentals of Financial Management", publicado por primera vez en 1975, Brigham y Houston critican la aplicabilidad universal de las fórmulas y modelos estándar de la teoría del capital de trabajo. Argumentan que las necesidades de capital de trabajo varían según la industria y la estrategia de la empresa. </w:t>
      </w:r>
    </w:p>
    <w:p w14:paraId="1FD230AB" w14:textId="2AFC4193" w:rsidR="009B5338" w:rsidRPr="0076589C" w:rsidRDefault="009A10E8" w:rsidP="00500EC9">
      <w:pPr>
        <w:spacing w:after="0" w:line="360" w:lineRule="auto"/>
        <w:ind w:left="86" w:firstLine="634"/>
        <w:jc w:val="both"/>
        <w:rPr>
          <w:rFonts w:eastAsia="Calibri" w:cs="Times New Roman"/>
        </w:rPr>
      </w:pPr>
      <w:r w:rsidRPr="0076589C">
        <w:rPr>
          <w:rStyle w:val="TextoPrincipalCar"/>
          <w:lang w:val="es-HN"/>
        </w:rPr>
        <w:fldChar w:fldCharType="begin"/>
      </w:r>
      <w:r w:rsidRPr="0076589C">
        <w:rPr>
          <w:rStyle w:val="TextoPrincipalCar"/>
          <w:lang w:val="es-HN"/>
        </w:rPr>
        <w:instrText xml:space="preserve"> ADDIN ZOTERO_ITEM CSL_CITATION {"citationID":"JKStzHtW","properties":{"formattedCitation":"(Pandey, 2015)","plainCitation":"(Pandey, 2015)","dontUpdate":true,"noteIndex":0},"citationItems":[{"id":208,"uris":["http://zotero.org/users/12108825/items/G3I8JMAJ"],"itemData":{"id":208,"type":"book","publisher":"India","title":"Financial Management","author":[{"family":"Pandey","given":"I.M"}],"issued":{"date-parts":[["2015"]]}}}],"schema":"https://github.com/citation-style-language/schema/raw/master/csl-citation.json"} </w:instrText>
      </w:r>
      <w:r w:rsidRPr="0076589C">
        <w:rPr>
          <w:rStyle w:val="TextoPrincipalCar"/>
          <w:lang w:val="es-HN"/>
        </w:rPr>
        <w:fldChar w:fldCharType="separate"/>
      </w:r>
      <w:r w:rsidR="1C8D6E3A" w:rsidRPr="0076589C">
        <w:rPr>
          <w:rStyle w:val="TextoPrincipalCar"/>
          <w:lang w:val="es-HN"/>
        </w:rPr>
        <w:t>Pandey, (2015)</w:t>
      </w:r>
      <w:r w:rsidRPr="0076589C">
        <w:rPr>
          <w:rStyle w:val="TextoPrincipalCar"/>
          <w:lang w:val="es-HN"/>
        </w:rPr>
        <w:fldChar w:fldCharType="end"/>
      </w:r>
      <w:r w:rsidR="1C8D6E3A" w:rsidRPr="0076589C">
        <w:rPr>
          <w:rFonts w:eastAsia="Calibri" w:cs="Times New Roman"/>
        </w:rPr>
        <w:t xml:space="preserve"> presenta sus críticas en "Financial Management", una obra que ha tenido varias ediciones a lo largo de los años. La primera edición fue publicada en 1988, y en diferentes ediciones, Pandey cuestiona la falta de énfasis en la gestión eficiente de los componentes del capital de trabajo.</w:t>
      </w:r>
    </w:p>
    <w:p w14:paraId="1F4E0D29" w14:textId="2812B62A" w:rsidR="09890977" w:rsidRPr="0076589C" w:rsidRDefault="1C8D6E3A" w:rsidP="00AD17A9">
      <w:pPr>
        <w:pStyle w:val="TextoPrincipal"/>
        <w:rPr>
          <w:b/>
          <w:bCs/>
          <w:lang w:val="es-HN"/>
        </w:rPr>
      </w:pPr>
      <w:r w:rsidRPr="0076589C">
        <w:rPr>
          <w:b/>
          <w:bCs/>
          <w:lang w:val="es-HN"/>
        </w:rPr>
        <w:t xml:space="preserve">Autores que apoyan la teoría: </w:t>
      </w:r>
      <w:r w:rsidRPr="0076589C">
        <w:rPr>
          <w:lang w:val="es-HN"/>
        </w:rPr>
        <w:t xml:space="preserve">F. Weston y E. Brigham (1992) apoya esta teoría ya que menciona que la administración del capital de trabajo representa un papel fundamental dentro del departamento económico financiero, que debe tener especial consideración por la alta dirección de la empresa, por cuanto representa la inversión de una gran cantidad de recursos imprescindibles, para el logro de los objetivos y metas de la organización. Se </w:t>
      </w:r>
      <w:r w:rsidR="009D19D3" w:rsidRPr="0076589C">
        <w:rPr>
          <w:lang w:val="es-HN"/>
        </w:rPr>
        <w:t>definió</w:t>
      </w:r>
      <w:r w:rsidRPr="0076589C">
        <w:rPr>
          <w:lang w:val="es-HN"/>
        </w:rPr>
        <w:t xml:space="preserve"> el capital de trabajo como la diferencia entre los activos y los pasivos circulantes de una empresa. También se menciona que el capital de trabajo se utiliza para medir la liquidez de una empresa y que es esencial para la administración del activo y pasivo circulante.  </w:t>
      </w:r>
      <w:r w:rsidR="7A54A044" w:rsidRPr="0076589C">
        <w:rPr>
          <w:lang w:val="es-HN"/>
        </w:rPr>
        <w:fldChar w:fldCharType="begin"/>
      </w:r>
      <w:r w:rsidR="7A54A044" w:rsidRPr="0076589C">
        <w:rPr>
          <w:lang w:val="es-HN"/>
        </w:rPr>
        <w:instrText xml:space="preserve"> ADDIN ZOTERO_ITEM CSL_CITATION {"citationID":"NJEYVSsO","properties":{"formattedCitation":"(Jimenez et\\uc0\\u160{}al., 2019)","plainCitation":"(Jimenez et al., 2019)","dontUpdate":true,"noteIndex":0},"citationItems":[{"id":212,"uris":["http://zotero.org/users/12108825/items/IU9FVBI2"],"itemData":{"id":212,"type":"article-journal","title":"La administración del capital de Trabajo en una empresa de materiales de construcción","author":[{"family":"Jimenez","given":"Felix"},{"family":"Ramirez","given":"Carmen"},{"family":"Reyes","given":"Leydis"}],"issued":{"date-parts":[["2019"]]}}}],"schema":"https://github.com/citation-style-language/schema/raw/master/csl-citation.json"} </w:instrText>
      </w:r>
      <w:r w:rsidR="7A54A044" w:rsidRPr="0076589C">
        <w:rPr>
          <w:lang w:val="es-HN"/>
        </w:rPr>
        <w:fldChar w:fldCharType="separate"/>
      </w:r>
      <w:r w:rsidRPr="0076589C">
        <w:rPr>
          <w:lang w:val="es-HN"/>
        </w:rPr>
        <w:t>(Jiménez et al., 2019)</w:t>
      </w:r>
      <w:r w:rsidR="7A54A044" w:rsidRPr="0076589C">
        <w:rPr>
          <w:lang w:val="es-HN"/>
        </w:rPr>
        <w:fldChar w:fldCharType="end"/>
      </w:r>
    </w:p>
    <w:p w14:paraId="1BCE8930" w14:textId="5B37ED72" w:rsidR="317CF2FE" w:rsidRPr="0076589C" w:rsidRDefault="1C8D6E3A" w:rsidP="00C8505C">
      <w:pPr>
        <w:pStyle w:val="TextoPrincipal"/>
        <w:rPr>
          <w:lang w:val="es-HN"/>
        </w:rPr>
      </w:pPr>
      <w:r w:rsidRPr="0076589C">
        <w:rPr>
          <w:lang w:val="es-HN"/>
        </w:rPr>
        <w:lastRenderedPageBreak/>
        <w:t xml:space="preserve">Dentro de la bibliografía revisada los autores: Gitman (2006); Tracy (1993); Weston &amp; Brigham (1994); Maighs (1995); Bernstein (1997); Brealey (2006); Amat (1998); Demestre; Castell &amp; González (2002); Blanco (2004); Gómez (2004); y Arévalo (2004), presentan coincidencia al referirse al capital de trabajo como el excedente del activo circulante sobre el pasivo circulante. Entendido esto como el monto del activo circulante que ha sido provisto por los acreedores a largo plazo y por los accionistas, o sea, que no ha sido suministrado por los acreedores a corto plazo.  Todos estos tratadistas ponen en evidencia que el capital de trabajo está relacionado con los activos corrientes o circulantes, cuya naturaleza es la de convertirse en efectivo dentro del período de operaciones y se utiliza para cubrir todos los gastos y costos incurridos en las operaciones normales de la organización durante un período. </w:t>
      </w:r>
      <w:r w:rsidR="7A54A044" w:rsidRPr="0076589C">
        <w:rPr>
          <w:lang w:val="es-HN"/>
        </w:rPr>
        <w:fldChar w:fldCharType="begin"/>
      </w:r>
      <w:r w:rsidR="7A54A044" w:rsidRPr="0076589C">
        <w:rPr>
          <w:lang w:val="es-HN"/>
        </w:rPr>
        <w:instrText xml:space="preserve"> ADDIN ZOTERO_ITEM CSL_CITATION {"citationID":"wrGWngDR","properties":{"formattedCitation":"(Angulo S\\uc0\\u225{}nchez, 2016)","plainCitation":"(Angulo Sánchez, 2016)","noteIndex":0},"citationItems":[{"id":197,"uris":["http://zotero.org/users/12108825/items/56GJ3RJQ"],"itemData":{"id":197,"type":"article-journal","container-title":"Revista Universidad y Sociedad","ISSN":"2218-3620","issue":"4","note":"publisher: Editorial \"Universo Sur\"","page":"54-57","source":"SciELO","title":"LA GESTIÓN EFECTIVA DEL CAPITAL DE TRABAJO EN LAS EMPRESAS","volume":"8","author":[{"family":"Angulo Sánchez","given":"Luis"}],"issued":{"date-parts":[["2016",12]]}}}],"schema":"https://github.com/citation-style-language/schema/raw/master/csl-citation.json"} </w:instrText>
      </w:r>
      <w:r w:rsidR="7A54A044" w:rsidRPr="0076589C">
        <w:rPr>
          <w:lang w:val="es-HN"/>
        </w:rPr>
        <w:fldChar w:fldCharType="separate"/>
      </w:r>
      <w:r w:rsidRPr="0076589C">
        <w:rPr>
          <w:lang w:val="es-HN"/>
        </w:rPr>
        <w:t>(Angulo Sánchez, 2016)</w:t>
      </w:r>
      <w:r w:rsidR="7A54A044" w:rsidRPr="0076589C">
        <w:rPr>
          <w:lang w:val="es-HN"/>
        </w:rPr>
        <w:fldChar w:fldCharType="end"/>
      </w:r>
    </w:p>
    <w:p w14:paraId="6A377502" w14:textId="1E3307E0" w:rsidR="008756BB" w:rsidRPr="0076589C" w:rsidRDefault="1C8D6E3A" w:rsidP="00991538">
      <w:pPr>
        <w:pStyle w:val="TextoPrincipal"/>
        <w:spacing w:after="0"/>
        <w:rPr>
          <w:lang w:val="es-HN"/>
        </w:rPr>
      </w:pPr>
      <w:r w:rsidRPr="0076589C">
        <w:rPr>
          <w:b/>
          <w:bCs/>
          <w:lang w:val="es-HN"/>
        </w:rPr>
        <w:t xml:space="preserve">Relación de la teoría con la investigación: </w:t>
      </w:r>
      <w:r w:rsidRPr="0076589C">
        <w:rPr>
          <w:lang w:val="es-HN"/>
        </w:rPr>
        <w:t xml:space="preserve">El capital de trabajo comprende de los recursos financieros disponible para cubrir con las obligaciones a corto plazo de una empresa. Se relaciona con la investigación porque la teoría es esencial para comprender como la política de concesión de crédito y la gestión de cobranza afectan la situación financiera y la capacidad de la empresa para cumplir con sus obligaciones a corto plazo. Con la investigación se busca identificar las oportunidades de mejora en estas áreas para garantizar un adecuado capital de trabajo y una gestión financiera más eficiente. </w:t>
      </w:r>
    </w:p>
    <w:p w14:paraId="463E4EE8" w14:textId="77777777" w:rsidR="00991538" w:rsidRPr="0076589C" w:rsidRDefault="00991538" w:rsidP="00991538">
      <w:pPr>
        <w:pStyle w:val="TextoPrincipal"/>
        <w:spacing w:after="0"/>
        <w:rPr>
          <w:lang w:val="es-HN"/>
        </w:rPr>
      </w:pPr>
    </w:p>
    <w:p w14:paraId="727641C4" w14:textId="0B8F452E" w:rsidR="00E61E2A" w:rsidRPr="0076589C" w:rsidRDefault="1C8D6E3A" w:rsidP="00FF3427">
      <w:pPr>
        <w:pStyle w:val="Ttulonivel4"/>
        <w:numPr>
          <w:ilvl w:val="0"/>
          <w:numId w:val="16"/>
        </w:numPr>
        <w:ind w:left="1417" w:firstLine="0"/>
      </w:pPr>
      <w:r w:rsidRPr="0076589C">
        <w:t>TEORÍA DE CONTABLE</w:t>
      </w:r>
    </w:p>
    <w:p w14:paraId="7B79A5DB" w14:textId="788DA15C" w:rsidR="7ACF340C" w:rsidRPr="0076589C" w:rsidRDefault="1C8D6E3A" w:rsidP="72A91A42">
      <w:pPr>
        <w:pStyle w:val="TextoPrincipal"/>
        <w:rPr>
          <w:lang w:val="es-HN"/>
        </w:rPr>
      </w:pPr>
      <w:r w:rsidRPr="0076589C">
        <w:rPr>
          <w:b/>
          <w:bCs/>
        </w:rPr>
        <w:t>Autor:</w:t>
      </w:r>
      <w:r w:rsidRPr="0076589C">
        <w:t xml:space="preserve"> William Andrew Paton </w:t>
      </w:r>
    </w:p>
    <w:p w14:paraId="77043946" w14:textId="3E7ABEEA" w:rsidR="7ACF340C" w:rsidRPr="0076589C" w:rsidRDefault="1C8D6E3A" w:rsidP="72A91A42">
      <w:pPr>
        <w:pStyle w:val="TextoPrincipal"/>
        <w:rPr>
          <w:lang w:val="es-HN"/>
        </w:rPr>
      </w:pPr>
      <w:r w:rsidRPr="0076589C">
        <w:t>Año de publicación: 1922</w:t>
      </w:r>
    </w:p>
    <w:p w14:paraId="7B6A06C7" w14:textId="730BF9F2" w:rsidR="7ACF340C" w:rsidRPr="0076589C" w:rsidRDefault="1C8D6E3A" w:rsidP="00C8505C">
      <w:pPr>
        <w:pStyle w:val="TextoPrincipal"/>
        <w:rPr>
          <w:lang w:val="es-HN"/>
        </w:rPr>
      </w:pPr>
      <w:r w:rsidRPr="0076589C">
        <w:rPr>
          <w:lang w:val="es-HN"/>
        </w:rPr>
        <w:t>Lugar de publicación por primera vez: Estados Unidos</w:t>
      </w:r>
    </w:p>
    <w:p w14:paraId="63D9DCC4" w14:textId="3B7415D2" w:rsidR="0DF3C6E0" w:rsidRPr="0076589C" w:rsidRDefault="1C8D6E3A" w:rsidP="00AD17A9">
      <w:pPr>
        <w:pStyle w:val="TextoPrincipal"/>
        <w:rPr>
          <w:lang w:val="es-HN"/>
        </w:rPr>
      </w:pPr>
      <w:r w:rsidRPr="0076589C">
        <w:rPr>
          <w:b/>
          <w:bCs/>
          <w:lang w:val="es-HN"/>
        </w:rPr>
        <w:t>Evolución histórica de la teoría:</w:t>
      </w:r>
      <w:r w:rsidRPr="0076589C">
        <w:rPr>
          <w:lang w:val="es-HN"/>
        </w:rPr>
        <w:t xml:space="preserve"> A lo largo de la historia, la teoría contable ha experimentado tres etapas evolutivas esenciales. En la primera etapa, que abarcó desde los siglos XV hasta el XIX, se sentaron los fundamentos de la contabilidad moderna al establecer la necesidad de registros precisos, la importancia de la partida doble y la creación de los primeros libros contables. Durante la segunda etapa, desde la segunda mitad del siglo XIX hasta la primera mitad del siglo XX, la teoría contable se consolidó aún más con la formulación de principios y conceptos contables que le dieron un enfoque científico. Pensadores influyentes como Besta (1891), Gomberg (1936) y Delaporte (1685) contribuyeron a esta corriente moderna de la doctrina </w:t>
      </w:r>
      <w:r w:rsidRPr="0076589C">
        <w:rPr>
          <w:lang w:val="es-HN"/>
        </w:rPr>
        <w:lastRenderedPageBreak/>
        <w:t xml:space="preserve">contable. En la tercera etapa, a partir de la segunda mitad del siglo XX, la teoría contable se consolidó aún más y se aplicó en la práctica contable. Nuevas técnicas y herramientas, como la contabilidad de costos y la contabilidad de gestión, surgieron, fortaleciendo la importancia de la contabilidad en el ámbito empresarial y financiero contemporáneo. </w:t>
      </w:r>
      <w:r w:rsidR="7A54A044" w:rsidRPr="0076589C">
        <w:rPr>
          <w:lang w:val="es-HN"/>
        </w:rPr>
        <w:fldChar w:fldCharType="begin"/>
      </w:r>
      <w:r w:rsidR="7A54A044" w:rsidRPr="0076589C">
        <w:rPr>
          <w:lang w:val="es-HN"/>
        </w:rPr>
        <w:instrText xml:space="preserve"> ADDIN ZOTERO_ITEM CSL_CITATION {"citationID":"BrAI132I","properties":{"formattedCitation":"(Laya, 2011)","plainCitation":"(Laya, 2011)","noteIndex":0},"citationItems":[{"id":213,"uris":["http://zotero.org/users/12108825/items/EGSCKCKB"],"itemData":{"id":213,"type":"article-journal","abstract":"La contabilidad como disciplina científica, descansa sobre un grupo de postulados y principios contables que le otorgan carácter formal. El desarrollo de los conceptos básicos que fundamentan la doctrina contable se atribuye históricamente a la creación de la partida doble como sistema de contabilidad. Ya desde el siglo XV con la aparición de los primeros escritos en contabilidad se empiezan a erigir los conceptos que luego se irán desarrollando en los siglos siguientes. Los principales pensadores de la materia los reconocieron, pero es a partir del siglo XIX que los aceptaron como postulados y principios de contabilidad. La investigación tuvo como objetivo estudiar la aparición histórica y reconocimiento formal de los conceptos que dieron origen a los postulados y principios de contabilidad en las principales obras de los más reconocidos pensadores en materia de doctrina contable. Para ello, se realizó una revisión historiográfica de las obras que contienen las reseñas más importantes de la historia de contabilidad por partida doble desde los años 1400 hasta mediados de los 1900. La investigación permitió identificar el inicio, desarrollo y reconocimiento formal de los postulados y principios básicos de la doctrina contable, proceso evolutivo de más de 500 años influenciado por los aportes de pensadores y científicos de distintas épocas que han tratado de resolver el tema contable a nivel pragmático y doctrinal, generando importantes avances en el posicionamiento y desarrollo de la contabilidad como disciplina científica.","container-title":"Actualidad Contable Faces","ISSN":"1316-8533, 2244-8772","issue":"23","language":"Español","note":"publisher: Universidad de los Andes","page":"79-101","source":"www.redalyc.org","title":"Los principios y postulados básicos de la contabilidad: Una perspectiva histórica-conceptual desde la doctrina contable","title-short":"Los principios y postulados básicos de la contabilidad","volume":"14","author":[{"family":"Laya","given":"Amilcar"}],"issued":{"date-parts":[["2011"]]}}}],"schema":"https://github.com/citation-style-language/schema/raw/master/csl-citation.json"} </w:instrText>
      </w:r>
      <w:r w:rsidR="7A54A044" w:rsidRPr="0076589C">
        <w:rPr>
          <w:lang w:val="es-HN"/>
        </w:rPr>
        <w:fldChar w:fldCharType="separate"/>
      </w:r>
      <w:r w:rsidRPr="0076589C">
        <w:rPr>
          <w:lang w:val="es-HN"/>
        </w:rPr>
        <w:t>(Laya, 2011)</w:t>
      </w:r>
      <w:r w:rsidR="7A54A044" w:rsidRPr="0076589C">
        <w:rPr>
          <w:lang w:val="es-HN"/>
        </w:rPr>
        <w:fldChar w:fldCharType="end"/>
      </w:r>
    </w:p>
    <w:p w14:paraId="176D4896" w14:textId="6786D84B" w:rsidR="5C756FD9" w:rsidRPr="0076589C" w:rsidRDefault="1C8D6E3A" w:rsidP="00AD17A9">
      <w:pPr>
        <w:pStyle w:val="TextoPrincipal"/>
        <w:rPr>
          <w:lang w:val="es-HN"/>
        </w:rPr>
      </w:pPr>
      <w:r w:rsidRPr="0076589C">
        <w:rPr>
          <w:b/>
          <w:bCs/>
          <w:lang w:val="es-HN"/>
        </w:rPr>
        <w:t>Principales postulados de la teoría:</w:t>
      </w:r>
      <w:r w:rsidRPr="0076589C">
        <w:rPr>
          <w:lang w:val="es-HN"/>
        </w:rPr>
        <w:t xml:space="preserve"> El postulado básico de la teoría de contabilidad es que la información financiera debe ser relevante, confiable y comparable para ser útil en la toma de decisiones económicas. Además, la teoría de contabilidad establece que la información financiera debe ser presentada de manera clara y comprensible para los usuarios de la misma. La teoría de contabilidad también se enfoca en la medición y registro de los recursos económicos y las transacciones financieras de una entidad, así como en la preparación de informes financieros para los usuarios internos y externos. </w:t>
      </w:r>
      <w:r w:rsidR="7A54A044" w:rsidRPr="0076589C">
        <w:rPr>
          <w:lang w:val="es-HN"/>
        </w:rPr>
        <w:fldChar w:fldCharType="begin"/>
      </w:r>
      <w:r w:rsidR="7A54A044" w:rsidRPr="0076589C">
        <w:rPr>
          <w:lang w:val="es-HN"/>
        </w:rPr>
        <w:instrText xml:space="preserve"> ADDIN ZOTERO_ITEM CSL_CITATION {"citationID":"LOifBETg","properties":{"formattedCitation":"(Archel Domench, 2007)","plainCitation":"(Archel Domench, 2007)","noteIndex":0},"citationItems":[{"id":217,"uris":["http://zotero.org/users/12108825/items/X6IKJ2DH"],"itemData":{"id":217,"type":"book","ISBN":"978-84-96648-08-1","language":"spa","publisher":"Asociación Española de Contabilidad y Administración de Empresas, AECA","source":"dialnet.unirioja.es","title":"Teoría e investigación crítica en contabilidad: un estudio de caso","title-short":"Teoría e investigación crítica en contabilidad","URL":"https://dialnet.unirioja.es/servlet/libro?codigo=498600","author":[{"family":"Archel Domench","given":"Pablo"}],"accessed":{"date-parts":[["2023",8,27]]},"issued":{"date-parts":[["2007"]]}}}],"schema":"https://github.com/citation-style-language/schema/raw/master/csl-citation.json"} </w:instrText>
      </w:r>
      <w:r w:rsidR="7A54A044" w:rsidRPr="0076589C">
        <w:rPr>
          <w:lang w:val="es-HN"/>
        </w:rPr>
        <w:fldChar w:fldCharType="separate"/>
      </w:r>
      <w:r w:rsidRPr="0076589C">
        <w:rPr>
          <w:lang w:val="es-HN"/>
        </w:rPr>
        <w:t>(Archel Domench, 2007)</w:t>
      </w:r>
      <w:r w:rsidR="7A54A044" w:rsidRPr="0076589C">
        <w:rPr>
          <w:lang w:val="es-HN"/>
        </w:rPr>
        <w:fldChar w:fldCharType="end"/>
      </w:r>
    </w:p>
    <w:p w14:paraId="5C62C2ED" w14:textId="378F900A" w:rsidR="00165094" w:rsidRPr="0076589C" w:rsidRDefault="1C8D6E3A" w:rsidP="00AD17A9">
      <w:pPr>
        <w:pStyle w:val="TextoPrincipal"/>
        <w:rPr>
          <w:lang w:val="es-HN"/>
        </w:rPr>
      </w:pPr>
      <w:r w:rsidRPr="0076589C">
        <w:rPr>
          <w:lang w:val="es-HN"/>
        </w:rPr>
        <w:t xml:space="preserve">Degrange (1795) publicó su obra “La tenue des libres rendue facile” donde aportó a la teoría contable con El principio de la dualidad económica uno de los conceptos fundamentales de la contabilidad, que indica: “no hay deudor sin acreedor, la cuenta que recibe debe ser adeuda y la cuenta que entrega debe ser acreditada” este principio establece que toda transacción económica tiene un doble efecto en la contabilidad, lo que quiere decir que toda transacción económica afecta al menos a dos cuentas contables, una cuenta se debita y otra se acredita. También reitera la clasificación de los créditos según la escala de riesgo que representan ya sean buenos, dudosos, litigiosos y no cobrables, donde los últimos solo van a figurar “por memoria”. </w:t>
      </w:r>
      <w:r w:rsidR="7A54A044" w:rsidRPr="0076589C">
        <w:rPr>
          <w:lang w:val="es-HN"/>
        </w:rPr>
        <w:fldChar w:fldCharType="begin"/>
      </w:r>
      <w:r w:rsidR="7A54A044" w:rsidRPr="0076589C">
        <w:rPr>
          <w:lang w:val="es-HN"/>
        </w:rPr>
        <w:instrText xml:space="preserve"> ADDIN ZOTERO_ITEM CSL_CITATION {"citationID":"qEzV4Z6J","properties":{"formattedCitation":"(Boter, 1959)","plainCitation":"(Boter, 1959)","noteIndex":0},"citationItems":[{"id":219,"uris":["http://zotero.org/users/12108825/items/N97TIZX3"],"itemData":{"id":219,"type":"book","abstract":"Disponible ahora en Iberlibro.com - Juventud, 1959, Barcelona. - 22x15. Símil tela editorial. 328 pgs. 625483","language":"es","title":"Las doctrinas contables","URL":"https://www.iberlibro.com/doctrinas-contables-BOTER-Fernando.--Juventud-1959/22772966057/bd","author":[{"family":"Boter","given":"Fernando"}],"accessed":{"date-parts":[["2023",8,27]]},"issued":{"date-parts":[["1959"]]}}}],"schema":"https://github.com/citation-style-language/schema/raw/master/csl-citation.json"} </w:instrText>
      </w:r>
      <w:r w:rsidR="7A54A044" w:rsidRPr="0076589C">
        <w:rPr>
          <w:lang w:val="es-HN"/>
        </w:rPr>
        <w:fldChar w:fldCharType="separate"/>
      </w:r>
      <w:r w:rsidRPr="0076589C">
        <w:rPr>
          <w:lang w:val="es-HN"/>
        </w:rPr>
        <w:t>(Boter, 1959)</w:t>
      </w:r>
      <w:r w:rsidR="7A54A044" w:rsidRPr="0076589C">
        <w:rPr>
          <w:lang w:val="es-HN"/>
        </w:rPr>
        <w:fldChar w:fldCharType="end"/>
      </w:r>
    </w:p>
    <w:p w14:paraId="6674221A" w14:textId="68D5D443" w:rsidR="47A33249" w:rsidRPr="0076589C" w:rsidRDefault="1C8D6E3A" w:rsidP="00AD17A9">
      <w:pPr>
        <w:pStyle w:val="TextoPrincipal"/>
        <w:rPr>
          <w:lang w:val="es-HN"/>
        </w:rPr>
      </w:pPr>
      <w:r w:rsidRPr="0076589C">
        <w:rPr>
          <w:b/>
          <w:bCs/>
          <w:lang w:val="es-HN"/>
        </w:rPr>
        <w:t>Críticos de la teoría:</w:t>
      </w:r>
      <w:r w:rsidRPr="0076589C">
        <w:rPr>
          <w:lang w:val="es-HN"/>
        </w:rPr>
        <w:t xml:space="preserve"> </w:t>
      </w:r>
      <w:r w:rsidRPr="0076589C">
        <w:rPr>
          <w:rFonts w:eastAsia="Times New Roman"/>
          <w:lang w:val="es-HN"/>
        </w:rPr>
        <w:t>Wai Fong Chua (1986)</w:t>
      </w:r>
      <w:r w:rsidRPr="0076589C">
        <w:rPr>
          <w:lang w:val="es-HN"/>
        </w:rPr>
        <w:t xml:space="preserve"> con La teoría crítica en contabilidad postula que la práctica contable no está aislada de la acción social y que los fenómenos contables deben ser comprendidos desde una perspectiva histórico-social que integre tanto los aspectos financieros como los no financieros. Además, la teoría crítica en contabilidad enfatiza en la necesidad de promover procesos de emancipación social y en el abordaje de nuevos temas que analicen el hecho contable desde una perspectiva asociada con el poder, las prácticas sociales y la emancipación como proceso que promueve el cambio social. </w:t>
      </w:r>
      <w:r w:rsidR="7A54A044" w:rsidRPr="0076589C">
        <w:rPr>
          <w:lang w:val="es-HN"/>
        </w:rPr>
        <w:fldChar w:fldCharType="begin"/>
      </w:r>
      <w:r w:rsidR="7A54A044" w:rsidRPr="0076589C">
        <w:rPr>
          <w:lang w:val="es-HN"/>
        </w:rPr>
        <w:instrText xml:space="preserve"> ADDIN ZOTERO_ITEM CSL_CITATION {"citationID":"hcjw1GlK","properties":{"formattedCitation":"(Guao-Samper, 2020)","plainCitation":"(Guao-Samper, 2020)","noteIndex":0},"citationItems":[{"id":221,"uris":["http://zotero.org/users/12108825/items/3EMGPMVJ"],"itemData":{"id":221,"type":"article-journal","abstract":"La investigación en contabilidad se ha fundamentado en el enfoque positivista para el análisis del hecho contable. No obstante, se ha demostrado sus limitaci...","container-title":"Actualidad Contable Faces","issue":"40","language":"es","page":"28-51","source":"www.redalyc.org","title":"Teoría crítica e investigación contable. El caso de la opacidad de la información financiera","volume":"23","author":[{"family":"Guao-Samper","given":"Royman"}],"issued":{"date-parts":[["2020"]]}}}],"schema":"https://github.com/citation-style-language/schema/raw/master/csl-citation.json"} </w:instrText>
      </w:r>
      <w:r w:rsidR="7A54A044" w:rsidRPr="0076589C">
        <w:rPr>
          <w:lang w:val="es-HN"/>
        </w:rPr>
        <w:fldChar w:fldCharType="separate"/>
      </w:r>
      <w:r w:rsidRPr="0076589C">
        <w:rPr>
          <w:lang w:val="es-HN"/>
        </w:rPr>
        <w:t>(Guao-Samper, 2020)</w:t>
      </w:r>
      <w:r w:rsidR="7A54A044" w:rsidRPr="0076589C">
        <w:rPr>
          <w:lang w:val="es-HN"/>
        </w:rPr>
        <w:fldChar w:fldCharType="end"/>
      </w:r>
    </w:p>
    <w:p w14:paraId="782ACA56" w14:textId="541ACE69" w:rsidR="693E4129" w:rsidRPr="0076589C" w:rsidRDefault="1C8D6E3A" w:rsidP="00C8505C">
      <w:pPr>
        <w:pStyle w:val="TextoPrincipal"/>
        <w:rPr>
          <w:lang w:val="es-HN"/>
        </w:rPr>
      </w:pPr>
      <w:r w:rsidRPr="0076589C">
        <w:rPr>
          <w:lang w:val="es-HN"/>
        </w:rPr>
        <w:t>Hernâni Carqueja no está en total desacuerdo, pero plante</w:t>
      </w:r>
      <w:r w:rsidR="0015614E" w:rsidRPr="0076589C">
        <w:rPr>
          <w:lang w:val="es-HN"/>
        </w:rPr>
        <w:t>ó</w:t>
      </w:r>
      <w:r w:rsidRPr="0076589C">
        <w:rPr>
          <w:lang w:val="es-HN"/>
        </w:rPr>
        <w:t xml:space="preserve"> cuestiones concretas sobre la contabilidad, como la representación de la realidad, el sistema de información, el valor y el fair value, la rendición de cuentas, el comportamiento, entre otros. Además, concluye que "basta estos dos problemas, relativos a la finalidad de la actividad contable y al método de investigación para </w:t>
      </w:r>
      <w:r w:rsidRPr="0076589C">
        <w:rPr>
          <w:lang w:val="es-HN"/>
        </w:rPr>
        <w:lastRenderedPageBreak/>
        <w:t xml:space="preserve">conocer, conducen a diferentes problemas y método para responderlos. Y hay muchos problemas por resolver, y cada uno implica opciones en cuanto a la búsqueda de respuestas" En general, algunos de los problemas que se han identificado en la contabilidad incluyen la falta de uniformidad en los principios contables, la subjetividad en la valoración de los activos y pasivos, la falta de transparencia en la presentación de la información financiera, la complejidad de los estándares contables, la falta de comparabilidad entre las empresas, la falta de atención a los aspectos sociales y ambientales, entre otros. </w:t>
      </w:r>
      <w:r w:rsidR="7A54A044" w:rsidRPr="0076589C">
        <w:rPr>
          <w:lang w:val="es-HN"/>
        </w:rPr>
        <w:fldChar w:fldCharType="begin"/>
      </w:r>
      <w:r w:rsidR="7A54A044" w:rsidRPr="0076589C">
        <w:rPr>
          <w:lang w:val="es-HN"/>
        </w:rPr>
        <w:instrText xml:space="preserve"> ADDIN ZOTERO_ITEM CSL_CITATION {"citationID":"FIWGk7UG","properties":{"formattedCitation":"(Marques &amp; Machado, 2016)","plainCitation":"(Marques &amp; Machado, 2016)","noteIndex":0},"citationItems":[{"id":223,"uris":["http://zotero.org/users/12108825/items/4MVLF6FE"],"itemData":{"id":223,"type":"article-journal","title":"Recensión de “Teorias da Contabilidade - Construção e Demarcação Epistemológica”","author":[{"family":"Marques","given":"José"},{"family":"Machado","given":"Bruno"}],"issued":{"date-parts":[["2016"]]}}}],"schema":"https://github.com/citation-style-language/schema/raw/master/csl-citation.json"} </w:instrText>
      </w:r>
      <w:r w:rsidR="7A54A044" w:rsidRPr="0076589C">
        <w:rPr>
          <w:lang w:val="es-HN"/>
        </w:rPr>
        <w:fldChar w:fldCharType="separate"/>
      </w:r>
      <w:r w:rsidRPr="0076589C">
        <w:rPr>
          <w:lang w:val="es-HN"/>
        </w:rPr>
        <w:t>(Marques &amp; Machado, 2016)</w:t>
      </w:r>
      <w:r w:rsidR="7A54A044" w:rsidRPr="0076589C">
        <w:rPr>
          <w:lang w:val="es-HN"/>
        </w:rPr>
        <w:fldChar w:fldCharType="end"/>
      </w:r>
    </w:p>
    <w:p w14:paraId="458ACDD1" w14:textId="3A91A292" w:rsidR="005D65FB" w:rsidRPr="0076589C" w:rsidRDefault="1C8D6E3A" w:rsidP="00AD17A9">
      <w:pPr>
        <w:pStyle w:val="TextoPrincipal"/>
        <w:rPr>
          <w:lang w:val="es-HN"/>
        </w:rPr>
      </w:pPr>
      <w:r w:rsidRPr="0076589C">
        <w:rPr>
          <w:b/>
          <w:bCs/>
          <w:lang w:val="es-HN"/>
        </w:rPr>
        <w:t>Autores que apoyan la teoría:</w:t>
      </w:r>
      <w:r w:rsidRPr="0076589C">
        <w:rPr>
          <w:lang w:val="es-HN"/>
        </w:rPr>
        <w:t xml:space="preserve"> Delaporte (1685) en su obra “La science des negocians et teneurs de libres” aporta a la teoría contable sobre el tema de la reducción del número de cuentas que se llevan para el manejo de la información, es el primer autor que se enfocó en la clasificación de las cuentas, asignados en tres grupos: las cuentas del propietario (capital, gastos generales, pérdidas y ganancias, entre otras), las cuentas de cosas (caja, mercaderías, cuentas por cobrar, cuentas a pagar, entre otras) y las cuentas de personas (deudores y acreedores). Este autor explica aspectos fundamentales prácticos sobre la contabilidad manteniendo elementos de la doctrina planteadas con anterioridad por sus predecesores Pacciolo (1494), Pietra (1586) y Flori (1633) con relación a las cuentas. </w:t>
      </w:r>
      <w:r w:rsidR="7A54A044" w:rsidRPr="0076589C">
        <w:rPr>
          <w:lang w:val="es-HN"/>
        </w:rPr>
        <w:fldChar w:fldCharType="begin"/>
      </w:r>
      <w:r w:rsidR="7A54A044" w:rsidRPr="0076589C">
        <w:rPr>
          <w:lang w:val="es-HN"/>
        </w:rPr>
        <w:instrText xml:space="preserve"> ADDIN ZOTERO_ITEM CSL_CITATION {"citationID":"vJCpPlYp","properties":{"formattedCitation":"(Boter, 1959)","plainCitation":"(Boter, 1959)","noteIndex":0},"citationItems":[{"id":219,"uris":["http://zotero.org/users/12108825/items/N97TIZX3"],"itemData":{"id":219,"type":"book","abstract":"Disponible ahora en Iberlibro.com - Juventud, 1959, Barcelona. - 22x15. Símil tela editorial. 328 pgs. 625483","language":"es","title":"Las doctrinas contables","URL":"https://www.iberlibro.com/doctrinas-contables-BOTER-Fernando.--Juventud-1959/22772966057/bd","author":[{"family":"Boter","given":"Fernando"}],"accessed":{"date-parts":[["2023",8,27]]},"issued":{"date-parts":[["1959"]]}}}],"schema":"https://github.com/citation-style-language/schema/raw/master/csl-citation.json"} </w:instrText>
      </w:r>
      <w:r w:rsidR="7A54A044" w:rsidRPr="0076589C">
        <w:rPr>
          <w:lang w:val="es-HN"/>
        </w:rPr>
        <w:fldChar w:fldCharType="separate"/>
      </w:r>
      <w:r w:rsidRPr="0076589C">
        <w:rPr>
          <w:lang w:val="es-HN"/>
        </w:rPr>
        <w:t>(Boter, 1959)</w:t>
      </w:r>
      <w:r w:rsidR="7A54A044" w:rsidRPr="0076589C">
        <w:rPr>
          <w:lang w:val="es-HN"/>
        </w:rPr>
        <w:fldChar w:fldCharType="end"/>
      </w:r>
    </w:p>
    <w:p w14:paraId="68E12708" w14:textId="5884DCAA" w:rsidR="00CA7837" w:rsidRPr="0076589C" w:rsidRDefault="1C8D6E3A" w:rsidP="00C8505C">
      <w:pPr>
        <w:pStyle w:val="TextoPrincipal"/>
        <w:rPr>
          <w:lang w:val="es-HN"/>
        </w:rPr>
      </w:pPr>
      <w:r w:rsidRPr="0076589C">
        <w:rPr>
          <w:lang w:val="es-HN"/>
        </w:rPr>
        <w:t xml:space="preserve">Besta (1985) en su obra principal “La Regioneria” estudia los temas como la administración económica, la organización administrativa y la valoración de las cosas, al igual </w:t>
      </w:r>
      <w:r w:rsidR="0015614E" w:rsidRPr="0076589C">
        <w:rPr>
          <w:lang w:val="es-HN"/>
        </w:rPr>
        <w:t xml:space="preserve">se </w:t>
      </w:r>
      <w:r w:rsidRPr="0076589C">
        <w:rPr>
          <w:lang w:val="es-HN"/>
        </w:rPr>
        <w:t>plante</w:t>
      </w:r>
      <w:r w:rsidR="0015614E" w:rsidRPr="0076589C">
        <w:rPr>
          <w:lang w:val="es-HN"/>
        </w:rPr>
        <w:t>ó</w:t>
      </w:r>
      <w:r w:rsidRPr="0076589C">
        <w:rPr>
          <w:lang w:val="es-HN"/>
        </w:rPr>
        <w:t xml:space="preserve"> sobre el método de amortizaciones contables complementándolo con el postulado de valor razonable del principio de prudencia. Otros distintos autores aportan a la teoría de los cuales se destacan: Hendriksen (1974) en su obra de “Teoría de la contabilidad” hace referencia hacia la estructura de la Teoría Contable, con su aporte sobre la evolución histórica de la contabilidad desde su invención por el hombre, con énfasis a sus orígenes hasta su conformación como teoría científica. Borter (1959) en su obra “Doctrinas Contables” aporta elementos importantes para su estructuración. También Chartfield (1979) realizó un estudio destacado “Estudio Contemporáneo sobre la Evolución del Pensamiento Contable”, y Gertz (2006) con su obra “Origen y Evolución de la Contabilidad”, entre otros; son reconocidos por sus estudios sobre la evolución de la contabilidad. </w:t>
      </w:r>
      <w:r w:rsidR="7A54A044" w:rsidRPr="0076589C">
        <w:rPr>
          <w:lang w:val="es-HN"/>
        </w:rPr>
        <w:fldChar w:fldCharType="begin"/>
      </w:r>
      <w:r w:rsidR="7A54A044" w:rsidRPr="0076589C">
        <w:rPr>
          <w:lang w:val="es-HN"/>
        </w:rPr>
        <w:instrText xml:space="preserve"> ADDIN ZOTERO_ITEM CSL_CITATION {"citationID":"jzO6zGJp","properties":{"formattedCitation":"(Laya, 2011)","plainCitation":"(Laya, 2011)","noteIndex":0},"citationItems":[{"id":213,"uris":["http://zotero.org/users/12108825/items/EGSCKCKB"],"itemData":{"id":213,"type":"article-journal","abstract":"La contabilidad como disciplina científica, descansa sobre un grupo de postulados y principios contables que le otorgan carácter formal. El desarrollo de los conceptos básicos que fundamentan la doctrina contable se atribuye históricamente a la creación de la partida doble como sistema de contabilidad. Ya desde el siglo XV con la aparición de los primeros escritos en contabilidad se empiezan a erigir los conceptos que luego se irán desarrollando en los siglos siguientes. Los principales pensadores de la materia los reconocieron, pero es a partir del siglo XIX que los aceptaron como postulados y principios de contabilidad. La investigación tuvo como objetivo estudiar la aparición histórica y reconocimiento formal de los conceptos que dieron origen a los postulados y principios de contabilidad en las principales obras de los más reconocidos pensadores en materia de doctrina contable. Para ello, se realizó una revisión historiográfica de las obras que contienen las reseñas más importantes de la historia de contabilidad por partida doble desde los años 1400 hasta mediados de los 1900. La investigación permitió identificar el inicio, desarrollo y reconocimiento formal de los postulados y principios básicos de la doctrina contable, proceso evolutivo de más de 500 años influenciado por los aportes de pensadores y científicos de distintas épocas que han tratado de resolver el tema contable a nivel pragmático y doctrinal, generando importantes avances en el posicionamiento y desarrollo de la contabilidad como disciplina científica.","container-title":"Actualidad Contable Faces","ISSN":"1316-8533, 2244-8772","issue":"23","language":"Español","note":"publisher: Universidad de los Andes","page":"79-101","source":"www.redalyc.org","title":"Los principios y postulados básicos de la contabilidad: Una perspectiva histórica-conceptual desde la doctrina contable","title-short":"Los principios y postulados básicos de la contabilidad","volume":"14","author":[{"family":"Laya","given":"Amilcar"}],"issued":{"date-parts":[["2011"]]}}}],"schema":"https://github.com/citation-style-language/schema/raw/master/csl-citation.json"} </w:instrText>
      </w:r>
      <w:r w:rsidR="7A54A044" w:rsidRPr="0076589C">
        <w:rPr>
          <w:lang w:val="es-HN"/>
        </w:rPr>
        <w:fldChar w:fldCharType="separate"/>
      </w:r>
      <w:r w:rsidRPr="0076589C">
        <w:rPr>
          <w:lang w:val="es-HN"/>
        </w:rPr>
        <w:t>(Laya, 2011)</w:t>
      </w:r>
      <w:r w:rsidR="7A54A044" w:rsidRPr="0076589C">
        <w:rPr>
          <w:lang w:val="es-HN"/>
        </w:rPr>
        <w:fldChar w:fldCharType="end"/>
      </w:r>
    </w:p>
    <w:p w14:paraId="2A5E34FC" w14:textId="70C75FC5" w:rsidR="00A678A9" w:rsidRPr="0076589C" w:rsidRDefault="1C8D6E3A" w:rsidP="00A27EA8">
      <w:pPr>
        <w:pStyle w:val="TextoPrincipal"/>
        <w:rPr>
          <w:lang w:val="es-HN"/>
        </w:rPr>
      </w:pPr>
      <w:r w:rsidRPr="0076589C">
        <w:rPr>
          <w:b/>
          <w:bCs/>
          <w:lang w:val="es-HN"/>
        </w:rPr>
        <w:t>Relación de la teoría con la investigación</w:t>
      </w:r>
      <w:r w:rsidRPr="0076589C">
        <w:rPr>
          <w:lang w:val="es-HN"/>
        </w:rPr>
        <w:t xml:space="preserve">: la teoría contable tiene relación ya que proporciona el marco para analizar y evaluar las políticas financieras y crediticias de la empresa </w:t>
      </w:r>
      <w:r w:rsidRPr="0076589C">
        <w:rPr>
          <w:lang w:val="es-HN"/>
        </w:rPr>
        <w:lastRenderedPageBreak/>
        <w:t>IPRA, así como para examinar cómo el aumento en la cartera de crédito ha afectado los estados financieros y la capacidad de la empresa para cumplir con sus obligaciones financieras. La contabilidad desempeña un papel fundamental en el registro y seguimiento de estas actividades financieras y crediticias.</w:t>
      </w:r>
    </w:p>
    <w:p w14:paraId="1905065B" w14:textId="2C49C87B" w:rsidR="00750CF9" w:rsidRPr="0076589C" w:rsidRDefault="1C8D6E3A" w:rsidP="00991538">
      <w:pPr>
        <w:pStyle w:val="TextoPrincipal"/>
        <w:spacing w:after="0"/>
        <w:rPr>
          <w:lang w:val="es-HN"/>
        </w:rPr>
      </w:pPr>
      <w:r w:rsidRPr="0076589C">
        <w:rPr>
          <w:lang w:val="es-HN"/>
        </w:rPr>
        <w:t>Aunque las tres teorías planteadas, teoría financiera, teoría de capital de trabajo y teoría contable están interrelacionadas y se aplican en ciertos aspectos de la investigación, la teoría financiera es la tiene una relación más directa y completa con los objetivos de la investigación, ya que abarca aspectos financieros más amplios y se enfoc</w:t>
      </w:r>
      <w:r w:rsidR="007A73CC" w:rsidRPr="0076589C">
        <w:rPr>
          <w:lang w:val="es-HN"/>
        </w:rPr>
        <w:t>a</w:t>
      </w:r>
      <w:r w:rsidRPr="0076589C">
        <w:rPr>
          <w:lang w:val="es-HN"/>
        </w:rPr>
        <w:t xml:space="preserve"> en la gestión de recursos financieros y estratégicos de la empresa Industria Procesadora de Alimentos (IPRA). </w:t>
      </w:r>
    </w:p>
    <w:p w14:paraId="5E3E9BBC" w14:textId="77777777" w:rsidR="00991538" w:rsidRPr="0076589C" w:rsidRDefault="00991538" w:rsidP="00991538">
      <w:pPr>
        <w:pStyle w:val="TextoPrincipal"/>
        <w:spacing w:after="0"/>
        <w:rPr>
          <w:lang w:val="es-HN"/>
        </w:rPr>
      </w:pPr>
    </w:p>
    <w:p w14:paraId="3876285E" w14:textId="5A29E705" w:rsidR="00055258" w:rsidRPr="0076589C" w:rsidRDefault="1C8D6E3A" w:rsidP="007E0154">
      <w:pPr>
        <w:pStyle w:val="Ttulonivel3"/>
        <w:numPr>
          <w:ilvl w:val="0"/>
          <w:numId w:val="17"/>
        </w:numPr>
        <w:ind w:left="1080"/>
      </w:pPr>
      <w:bookmarkStart w:id="169" w:name="_Toc158365487"/>
      <w:r w:rsidRPr="0076589C">
        <w:t>METODOLOGÍAS DESARROLLADAS</w:t>
      </w:r>
      <w:bookmarkEnd w:id="169"/>
    </w:p>
    <w:p w14:paraId="66D7DE43" w14:textId="5A29E705" w:rsidR="005908E1" w:rsidRPr="0076589C" w:rsidRDefault="1C8D6E3A" w:rsidP="007E0154">
      <w:pPr>
        <w:pStyle w:val="Ttulonivel4"/>
        <w:rPr>
          <w:b w:val="0"/>
          <w:bCs w:val="0"/>
        </w:rPr>
      </w:pPr>
      <w:r w:rsidRPr="0076589C">
        <w:rPr>
          <w:b w:val="0"/>
          <w:bCs w:val="0"/>
        </w:rPr>
        <w:t>2.3.2.1 LA GESTIÓN FINANCIERA Y LA LIQUIDEZ EN LA EMPRESA SIREX MEDICA PERÚ S.A.C. PERIODO 2017 – 2019</w:t>
      </w:r>
    </w:p>
    <w:p w14:paraId="646CBB7F" w14:textId="355DA16A" w:rsidR="001B40C9" w:rsidRPr="0076589C" w:rsidRDefault="1C8D6E3A" w:rsidP="00C8505C">
      <w:pPr>
        <w:pStyle w:val="TextoPrincipal"/>
        <w:rPr>
          <w:lang w:val="es-HN"/>
        </w:rPr>
      </w:pPr>
      <w:r w:rsidRPr="0076589C">
        <w:rPr>
          <w:lang w:val="es-HN"/>
        </w:rPr>
        <w:t xml:space="preserve">La tesis de investigación desarrollada por </w:t>
      </w:r>
      <w:r w:rsidR="7A54A044" w:rsidRPr="0076589C">
        <w:rPr>
          <w:lang w:val="es-HN"/>
        </w:rPr>
        <w:fldChar w:fldCharType="begin"/>
      </w:r>
      <w:r w:rsidR="7A54A044" w:rsidRPr="0076589C">
        <w:rPr>
          <w:lang w:val="es-HN"/>
        </w:rPr>
        <w:instrText xml:space="preserve"> ADDIN ZOTERO_ITEM CSL_CITATION {"citationID":"jqrAy6fe","properties":{"formattedCitation":"(Poma Garriazo et\\uc0\\u160{}al., 2020)","plainCitation":"(Poma Garriazo et al., 2020)","dontUpdate":true,"noteIndex":0},"citationItems":[{"id":224,"uris":["http://zotero.org/users/12108825/items/ZZPDAIKF"],"itemData":{"id":224,"type":"article-journal","abstract":"La empresa SIREX MEDICA PERU S.A.C, para los años 2017 al 2019, se ha visto afectada económicamente debido a que ha tenido deficiencias en la gestión de sus operaciones financieras. Es por ello, que en la presente investigación se estableció como objetivo general evaluar cómo la gestión financiera errada repercutió en la liquidez de la empresa. \nPara el desarrollo de la investigación, se empleó la metodología de tipo descriptivo, el diseño fue no experimental y correlacional, además, fue longitudinal y el método utilizado fue hipotético deductivo y cuantitativo. Asimismo, se realizó el análisis, la comparación y la interpretación de los estados financieros anuales, utilizando los ratios financieros y el método de correlación de Pearson. También, se elaboraron y adjuntaron como anexos otros documentos que ayudaron a fortalecer las hipótesis planteadas. \nCon lo desarrollado, se concluyó que la gestión financiera errada repercutió en la falta de liquidez de la empresa, porque no tuvo un buen control y manejo de sus cuentas por cobrar, ocasionando así, que sus ingresos fueran insuficientes para cumplir con sus obligaciones, viéndose en la necesidad de recurrir a préstamos de sus accionistas para mantenerse en el mercado. \nFinalmente, se recomendó establecer políticas de créditos que le permita a la empresa medir la capacidad financiera de sus clientes, a tener mayor control de sus egresos, a capitalizar la deuda que se mantiene con sus accionistas. También a elaborar y manejar el flujo de caja mensual para medir los ingresos y egresos de la empresa.","container-title":"Repositorio Institucional - UNAC","language":"spa","license":"Attribution-NonCommercial-NoDerivs 3.0 United States","note":"Accepted: 2021-06-28T20:22:41Z\npublisher: Universidad Nacional del Callao","source":"repositorio.unac.edu.pe","title":"La gestión financiera y la liquidez en la empresa Sirex Medica Perú S.A.C. periodo 2017 - 2019","URL":"http://repositorio.unac.edu.pe/handle/20.500.12952/5668","author":[{"family":"Poma Garriazo","given":"Yenny Doris"},{"family":"Ramos Garcia","given":"Karen Elizabeth"},{"family":"Sulca Quispe","given":"Katia Sulema"}],"accessed":{"date-parts":[["2023",8,27]]},"issued":{"date-parts":[["2020"]]}}}],"schema":"https://github.com/citation-style-language/schema/raw/master/csl-citation.json"} </w:instrText>
      </w:r>
      <w:r w:rsidR="7A54A044" w:rsidRPr="0076589C">
        <w:rPr>
          <w:lang w:val="es-HN"/>
        </w:rPr>
        <w:fldChar w:fldCharType="separate"/>
      </w:r>
      <w:r w:rsidRPr="0076589C">
        <w:rPr>
          <w:lang w:val="es-HN"/>
        </w:rPr>
        <w:t>Poma Garriazo et al., (2020)</w:t>
      </w:r>
      <w:r w:rsidR="7A54A044" w:rsidRPr="0076589C">
        <w:rPr>
          <w:lang w:val="es-HN"/>
        </w:rPr>
        <w:fldChar w:fldCharType="end"/>
      </w:r>
      <w:r w:rsidRPr="0076589C">
        <w:rPr>
          <w:lang w:val="es-HN"/>
        </w:rPr>
        <w:t xml:space="preserve"> en la ciudad de Callao, Perú. El estudio tiene como objetivo evaluar cómo la gestión financiera errada repercutió en la liquidez de la empresa en el periodo determinado. Se fundamentó en la teoría financiera desarrollada por </w:t>
      </w:r>
      <w:r w:rsidR="7A54A044" w:rsidRPr="0076589C">
        <w:rPr>
          <w:lang w:val="es-HN"/>
        </w:rPr>
        <w:fldChar w:fldCharType="begin"/>
      </w:r>
      <w:r w:rsidR="7A54A044" w:rsidRPr="0076589C">
        <w:rPr>
          <w:lang w:val="es-HN"/>
        </w:rPr>
        <w:instrText xml:space="preserve"> ADDIN ZOTERO_ITEM CSL_CITATION {"citationID":"AYIQQawE","properties":{"formattedCitation":"(Azofra Palenzuela &amp; Fern\\uc0\\u225{}ndez Alvarez, 1992)","plainCitation":"(Azofra Palenzuela &amp; Fernández Alvarez, 1992)","dontUpdate":true,"noteIndex":0},"citationItems":[{"id":194,"uris":["http://zotero.org/users/12108825/items/GWCZDWG5"],"itemData":{"id":194,"type":"report","title":"Evolución Reciente de la Moderna Teoría Financiera","author":[{"family":"Azofra Palenzuela","given":"Valentín"},{"family":"Fernández Alvarez","given":"Ana"}],"issued":{"date-parts":[["1992"]]}}}],"schema":"https://github.com/citation-style-language/schema/raw/master/csl-citation.json"} </w:instrText>
      </w:r>
      <w:r w:rsidR="7A54A044" w:rsidRPr="0076589C">
        <w:rPr>
          <w:lang w:val="es-HN"/>
        </w:rPr>
        <w:fldChar w:fldCharType="separate"/>
      </w:r>
      <w:r w:rsidRPr="0076589C">
        <w:rPr>
          <w:lang w:val="es-HN"/>
        </w:rPr>
        <w:t>Azofra &amp; Fernández (1992)</w:t>
      </w:r>
      <w:r w:rsidR="7A54A044" w:rsidRPr="0076589C">
        <w:rPr>
          <w:lang w:val="es-HN"/>
        </w:rPr>
        <w:fldChar w:fldCharType="end"/>
      </w:r>
      <w:r w:rsidRPr="0076589C">
        <w:rPr>
          <w:lang w:val="es-HN"/>
        </w:rPr>
        <w:t>. El desarrollo de la investigación con enfoque cuantitativo utilizó la metodología de tipo descriptivo ya que se detallaron las características de las variables, el diseño fue no experimental sin manipulación en las variables, correlacional ya que midió la relación entre las variables y un diseño longitudinal delimitado a un periodo de tiempo. Entre los resultados, en la rotación de cuentas por cobrar oscilaron entre cero a uno los valores, en 2019 con un valor 0.66 veces fue insuficiente para sus obligaciones mensuales. El periodo promedio de cobranza demoró 541 días (18 meses) para el año 2019, el mayor tiempo en recuperar sus cuentas por cobrar. Con la ratio de prueba acida el año 2019 con resultado de 0.73 consiguiente en ese año no tuvo liquidez suficiente a corto plazo. En conclusión, la gestión financiera errada repercute en la falta de liquidez de la empresa porque no tienen un buen control manejo de las cuentas por cobrar. Se recomendó establecer políticas de crédito que permitan la medición de la capacidad financiera de sus clientes y un mejor control de la gestión de cobros.</w:t>
      </w:r>
    </w:p>
    <w:p w14:paraId="7A8A30D9" w14:textId="1D6EA20E" w:rsidR="2FCBBB44" w:rsidRPr="0076589C" w:rsidRDefault="1C8D6E3A" w:rsidP="005670B0">
      <w:pPr>
        <w:pStyle w:val="Ttulonivel4"/>
        <w:rPr>
          <w:b w:val="0"/>
          <w:bCs w:val="0"/>
        </w:rPr>
      </w:pPr>
      <w:r w:rsidRPr="0076589C">
        <w:rPr>
          <w:b w:val="0"/>
          <w:bCs w:val="0"/>
        </w:rPr>
        <w:lastRenderedPageBreak/>
        <w:t>2.3.2.2 INDICADORES FINANCIEROS GENERADOS POR CRÉDITOS EDUCATIVOS A LOS ESTUDIANTES DE UNIGUAJIRA COMO FACTOR CLAVE EN LA ADMINISTRACIÓN DE CUENTAS POR COBRAR</w:t>
      </w:r>
    </w:p>
    <w:p w14:paraId="7CB95188" w14:textId="4384804F" w:rsidR="2FCBBB44" w:rsidRPr="0076589C" w:rsidRDefault="1C8D6E3A" w:rsidP="00886D22">
      <w:pPr>
        <w:pStyle w:val="TextoPrincipal"/>
        <w:spacing w:after="0"/>
        <w:rPr>
          <w:lang w:val="es-HN"/>
        </w:rPr>
      </w:pPr>
      <w:r w:rsidRPr="0076589C">
        <w:rPr>
          <w:lang w:val="es-HN"/>
        </w:rPr>
        <w:t xml:space="preserve">La investigación realizada por </w:t>
      </w:r>
      <w:r w:rsidR="7A54A044" w:rsidRPr="0076589C">
        <w:rPr>
          <w:lang w:val="es-HN"/>
        </w:rPr>
        <w:fldChar w:fldCharType="begin"/>
      </w:r>
      <w:r w:rsidR="7A54A044" w:rsidRPr="0076589C">
        <w:rPr>
          <w:lang w:val="es-HN"/>
        </w:rPr>
        <w:instrText xml:space="preserve"> ADDIN ZOTERO_ITEM CSL_CITATION {"citationID":"BpsgUijD","properties":{"formattedCitation":"(Palmezano Ibarra &amp; Toncel Montesino, 2021)","plainCitation":"(Palmezano Ibarra &amp; Toncel Montesino, 2021)","dontUpdate":true,"noteIndex":0},"citationItems":[{"id":226,"uris":["http://zotero.org/users/12108825/items/HPMJ4IKC"],"itemData":{"id":226,"type":"thesis","abstract":"El objetivo de esta investigación fue Analizar los indicadores financieros generados por créditos educativos a los estudiantes de Uniguajira, como factor clave en la administración de cuentas por cobrar. La investigación se enmarca en el enfoque cuantitativo, el tipo de investigación es descriptiva, el diseño de la investigación es no experimental, dentro del diseño no experimental se enmarca como Investigación de campo, transversal. La población está constituida, por los funcionarios que integran el Área Financiera de la Universidad de La Guajira, quienes tienen a cargo el manejo de las políticas de crédito y su recaudo, así como la producción y reporte de información financiera. En ese mismo orden, de acuerdo con información suministrada por la Universidad de la Guajira, se centra en la Vicerrectoría Administrativa y Financiera, Crédito y Cartera, Contabilidad y Tesorería. Se utilizó la técnica documental, complementada con la entrevista; debido a que el principal insumo para esta investigación, fue la información financiera (Estados financieros básicos de la Universidad de la Guajira) y las políticas y normas de crédito de la institución. Asimismo, la entrevista con las personas del área de finanzas. Obteniendo como resultado, la determinación de los indicadores financieros de liquidez y actividad, generados por los créditos educativos a los estudiantes de la Universidad de La Guajira, así como la interpretación de los mismos, también se pudo determinar la existencia de políticas para otorgar créditos a los estudiantes, políticas de cartera y políticas de refinanciación. De acuerdo con los resultados, se propusieron dos lineamientos estratégicos para maximizar el sistema de recaudo en créditos educativos. Finalmente se concluye que las razones de liquidez están por debajo de los parámetros normales para este tipo de institución. Así mismo, el flujo de caja libre muestra el esfuerzo realizado por la administración, para disminuir la inversión en capital de trabajo y el apalancamiento operativo, con el fin de buscar la liberación\r\nde efectivo, que le facilite cumplir con los compromisos adquiridos. De igual manera los indicadores de actividad reflejan que la recuperación de cartera en los años 2015 y 2016 fue bastante lenta, pero en el año 2017 mejoró, debido a las estrategias de recuperación de cartera y a la restricción de las normas del crédito. Se requiere seguir aplicando las políticas, normatividad establecidas e implementadas. Así como gestionar de manera eficaz, eficiente los cobros de los créditos, de esta manera poder realizar refinanciación de los créditos a nuevas solicitudes.","genre":"Trabajo de grado - Maestría","language":"spa","license":"Derecho Reservados Universidad de La Guajira","note":"Accepted: 2022-03-23T15:00:25Z","publisher":"Universidad de La Guajira","source":"repositoryinst.uniguajira.edu.co","title":"Indicadores financieros generados por créditos educativos a los estudiantes de Uniguajira como factor clave en la administración de cuentas por cobrar.","URL":"https://repositoryinst.uniguajira.edu.co/handle/uniguajira/342","author":[{"family":"Palmezano Ibarra","given":"Yairina Idelka"},{"family":"Toncel Montesino","given":"Adriana Esther"}],"accessed":{"date-parts":[["2023",8,27]]},"issued":{"date-parts":[["2021"]]}}}],"schema":"https://github.com/citation-style-language/schema/raw/master/csl-citation.json"} </w:instrText>
      </w:r>
      <w:r w:rsidR="7A54A044" w:rsidRPr="0076589C">
        <w:rPr>
          <w:lang w:val="es-HN"/>
        </w:rPr>
        <w:fldChar w:fldCharType="separate"/>
      </w:r>
      <w:r w:rsidRPr="0076589C">
        <w:rPr>
          <w:lang w:val="es-HN"/>
        </w:rPr>
        <w:t>Palmezano Ibarra &amp; Toncel Montesino, (2021)</w:t>
      </w:r>
      <w:r w:rsidR="7A54A044" w:rsidRPr="0076589C">
        <w:rPr>
          <w:lang w:val="es-HN"/>
        </w:rPr>
        <w:fldChar w:fldCharType="end"/>
      </w:r>
      <w:r w:rsidRPr="0076589C">
        <w:rPr>
          <w:lang w:val="es-HN"/>
        </w:rPr>
        <w:t xml:space="preserve"> en Colombia realizada en el año 2021, se enfocó en analizar los indicadores financieros generados por los créditos educativos y su impacto en la gestión de las cuentas por cobrar. Un enfoque cuantitativo y un diseño no experimental de campo transversal fueron empleados para examinar los estados financieros de la institución. Un indicador clave investigado fue la teoría de capital de trabajo neto operativo, el cual se calculó para los años 2015, 2016 y 2017, arrojando valores de $(4.746.213.039), $34.463.473.426 y $(8.874.372.770), respectivamente. Estos números revelaron la importancia del capital de trabajo para la salud financiera de la universidad y su capacidad para financiar operaciones a corto plazo. La investigación concluyó que los altos niveles de endeudamiento, evidenciados por un índice de endeudamiento de 0.87 y un índice de liquidez corriente de 0.68, requerían medidas para mejorar la gestión financiera. Se recomendó reducir el endeudamiento, fortalecer la gestión de cuentas por cobrar y planificación financiera, así como estrategias para incrementar la recuperación de créditos educativos a corto plazo y reducir la dependencia de los créditos a largo plazo. Estas acciones se postulan como esenciales para fortalecer la salud financiera de la universidad y garantizar su sostenibilidad a largo plazo.</w:t>
      </w:r>
    </w:p>
    <w:p w14:paraId="62E26D1D" w14:textId="77777777" w:rsidR="00886D22" w:rsidRPr="0076589C" w:rsidRDefault="00886D22" w:rsidP="00886D22">
      <w:pPr>
        <w:pStyle w:val="TextoPrincipal"/>
        <w:spacing w:after="0"/>
        <w:rPr>
          <w:lang w:val="es-HN"/>
        </w:rPr>
      </w:pPr>
    </w:p>
    <w:p w14:paraId="46498277" w14:textId="13F04A70" w:rsidR="2FCBBB44" w:rsidRPr="0076589C" w:rsidRDefault="1C8D6E3A" w:rsidP="009A7045">
      <w:pPr>
        <w:pStyle w:val="Ttulonivel4"/>
        <w:rPr>
          <w:b w:val="0"/>
          <w:bCs w:val="0"/>
        </w:rPr>
      </w:pPr>
      <w:r w:rsidRPr="0076589C">
        <w:rPr>
          <w:b w:val="0"/>
          <w:bCs w:val="0"/>
        </w:rPr>
        <w:t>2.3.2.3 ANÁLISIS FINANCIERO PARA LA MEJORA EN LA GESTIÓN CONTABLE DE UNA EMPRESA COMERCIAL, LIMA 2022</w:t>
      </w:r>
    </w:p>
    <w:p w14:paraId="2A41E37E" w14:textId="45FF6B5D" w:rsidR="2FCBBB44" w:rsidRPr="0076589C" w:rsidRDefault="1C8D6E3A" w:rsidP="00886D22">
      <w:pPr>
        <w:pStyle w:val="TextoPrincipal"/>
        <w:spacing w:after="0"/>
        <w:rPr>
          <w:lang w:val="es-HN"/>
        </w:rPr>
      </w:pPr>
      <w:r w:rsidRPr="0076589C">
        <w:rPr>
          <w:lang w:val="es-HN"/>
        </w:rPr>
        <w:t xml:space="preserve">La investigación realizada por </w:t>
      </w:r>
      <w:r w:rsidR="7A54A044" w:rsidRPr="0076589C">
        <w:rPr>
          <w:lang w:val="es-HN"/>
        </w:rPr>
        <w:fldChar w:fldCharType="begin"/>
      </w:r>
      <w:r w:rsidR="7A54A044" w:rsidRPr="0076589C">
        <w:rPr>
          <w:lang w:val="es-HN"/>
        </w:rPr>
        <w:instrText xml:space="preserve"> ADDIN ZOTERO_ITEM CSL_CITATION {"citationID":"mc2dTKSq","properties":{"formattedCitation":"(P. Salazar, 2022)","plainCitation":"(P. Salazar, 2022)","dontUpdate":true,"noteIndex":0},"citationItems":[{"id":230,"uris":["http://zotero.org/users/12108825/items/C7GX2QPI"],"itemData":{"id":230,"type":"thesis","abstract":"La metodología aplicada fue de enfoque mixto, tipo proyectiva, con un diseño secuencial explicativo de carácter holístico, aplicando el método analítico, deductivo e inductivo. Asimismo, para la primera técnica se empleó la ficha de registro documental, aplicando a los estados financieros junto con el análisis vertical de la organización. A través de ello se interpretó la información financiera para extraer la información cuantitativa, como segunda técnica se utilizó la entrevista con sus respectivos instrumentos que fue dirigido a tres principales unidades informantes de una empresa, para extraer la información cualitativa, sintetizado en el respectivo diagnóstico. Los resultados de la propuesta muestran cómo desarrollar políticas de cobros y pagos para la entidad; desarrollar un adecuado seguimiento y análisis a las cuentas por cobrar y buscar opciones de financiamiento, las cuales contribuyen a la solución de la problemática presentada. Se concluyó que mediante el cumplimiento de los objetivos propuestos se mejorara las políticas de cobros y pagos, porque permitirá el crecimiento de la empresa realizando una excelente gestión en el control de pagos y cobros, Así mismo, el análisis a las cuentas por cobrar, permitirá a la empresa establecer controles que ayuden a mejorar la liquidez. Y, por último, obtener opciones de financiamiento, con el cual podrá obtener recursos necesarios para que la empresa pueda solventarse y garantizar su continuidad en el mercado empresarial.","language":"spa","license":"info:eu-repo/semantics/openAccess","note":"Accepted: 2022-11-10T16:38:49Z\npublisher: Universidad Privada Norbert Wiener","source":"repositorio.uwiener.edu.pe","title":"Análisis Financiero para la mejora en la gestión contable de una empresa comercial, Lima 2022.","URL":"https://repositorio.uwiener.edu.pe/handle/20.500.13053/7046","author":[{"family":"Salazar","given":"Pilar"}],"accessed":{"date-parts":[["2023",8,27]]},"issued":{"date-parts":[["2022",8,6]]}}}],"schema":"https://github.com/citation-style-language/schema/raw/master/csl-citation.json"} </w:instrText>
      </w:r>
      <w:r w:rsidR="7A54A044" w:rsidRPr="0076589C">
        <w:rPr>
          <w:lang w:val="es-HN"/>
        </w:rPr>
        <w:fldChar w:fldCharType="separate"/>
      </w:r>
      <w:r w:rsidRPr="0076589C">
        <w:rPr>
          <w:lang w:val="es-HN"/>
        </w:rPr>
        <w:t>Salazar, (2022) tuvo como</w:t>
      </w:r>
      <w:r w:rsidR="7A54A044" w:rsidRPr="0076589C">
        <w:rPr>
          <w:lang w:val="es-HN"/>
        </w:rPr>
        <w:fldChar w:fldCharType="end"/>
      </w:r>
      <w:r w:rsidRPr="0076589C">
        <w:rPr>
          <w:lang w:val="es-HN"/>
        </w:rPr>
        <w:t xml:space="preserve"> objetivo mejorar la gestión contable en una empresa comercial de Lima a través del análisis financiero. Empleando una metodología mixta y proyectiva, se recopilaron datos mediante fichas de registro y entrevistas, generando resultados diversos. Mediante el análisis vertical se exploró la estructura financiera, y las ratios de liquidez revelaron una prueba ácida de 0.90 y rentabilidad neta de 0.04, evidenciando desafíos de liquidez. Las conclusiones recomendaban la contratación de un profesional contable, la actualización de políticas y el fortalecimiento del control interno, además de buscar opciones de financiamiento adecuado. La teoría contable respaldó la importancia de una gestión eficaz. Además, se propusieron mejoras específicas en el ámbito de cobros y créditos, planteando la actualización de políticas para mejorar la liquidez, la implementación de controles en el análisis </w:t>
      </w:r>
      <w:r w:rsidRPr="0076589C">
        <w:rPr>
          <w:lang w:val="es-HN"/>
        </w:rPr>
        <w:lastRenderedPageBreak/>
        <w:t xml:space="preserve">de partidas por cobrar y la identificación de opciones de financiamiento para impulsar el capital de trabajo. En conjunto, la investigación combinó análisis financiero y teoría contable para proponer mejoras sustanciales, subrayando la crucial importancia de una gestión contable sólida para el éxito sostenido de la empresa comercial. </w:t>
      </w:r>
    </w:p>
    <w:p w14:paraId="269D9861" w14:textId="77777777" w:rsidR="00886D22" w:rsidRPr="0076589C" w:rsidRDefault="00886D22" w:rsidP="00886D22">
      <w:pPr>
        <w:pStyle w:val="TextoPrincipal"/>
        <w:spacing w:after="0"/>
        <w:rPr>
          <w:lang w:val="es-HN"/>
        </w:rPr>
      </w:pPr>
    </w:p>
    <w:p w14:paraId="18D79646" w14:textId="595A2689" w:rsidR="009312F5" w:rsidRPr="0076589C" w:rsidRDefault="1C8D6E3A" w:rsidP="00D0736A">
      <w:pPr>
        <w:pStyle w:val="Ttulo2"/>
      </w:pPr>
      <w:bookmarkStart w:id="170" w:name="_Toc158365488"/>
      <w:r w:rsidRPr="0076589C">
        <w:t>2.4 MARCO LEGAL</w:t>
      </w:r>
      <w:bookmarkEnd w:id="170"/>
    </w:p>
    <w:p w14:paraId="1F024200" w14:textId="41A55E89" w:rsidR="2FCBBB44" w:rsidRPr="0076589C" w:rsidRDefault="1C8D6E3A" w:rsidP="00D0736A">
      <w:pPr>
        <w:pStyle w:val="Ttulonivel3"/>
      </w:pPr>
      <w:bookmarkStart w:id="171" w:name="_Toc158365489"/>
      <w:r w:rsidRPr="0076589C">
        <w:t>2.4.1 PRIMEROS 15 PRINCIPIOS DE CONTABILIDAD GENERALMENTE ACEPTADOS EN HONDURAS</w:t>
      </w:r>
      <w:bookmarkEnd w:id="171"/>
      <w:r w:rsidRPr="0076589C">
        <w:t xml:space="preserve"> </w:t>
      </w:r>
    </w:p>
    <w:p w14:paraId="754FC93B" w14:textId="7C40471A" w:rsidR="2FCBBB44" w:rsidRPr="0076589C" w:rsidRDefault="1C8D6E3A" w:rsidP="00C8505C">
      <w:pPr>
        <w:pStyle w:val="TextoPrincipal"/>
        <w:rPr>
          <w:lang w:val="es-HN"/>
        </w:rPr>
      </w:pPr>
      <w:r w:rsidRPr="0076589C">
        <w:rPr>
          <w:lang w:val="es-HN"/>
        </w:rPr>
        <w:t>Decreto No. 160-95</w:t>
      </w:r>
    </w:p>
    <w:p w14:paraId="4631BC00" w14:textId="3542067E" w:rsidR="0F84A6A6" w:rsidRPr="0076589C" w:rsidRDefault="1C8D6E3A" w:rsidP="00C8505C">
      <w:pPr>
        <w:pStyle w:val="TextoPrincipal"/>
        <w:rPr>
          <w:lang w:val="es-HN"/>
        </w:rPr>
      </w:pPr>
      <w:r w:rsidRPr="0076589C">
        <w:rPr>
          <w:lang w:val="es-HN"/>
        </w:rPr>
        <w:t>Fecha: noviembre 1995</w:t>
      </w:r>
    </w:p>
    <w:p w14:paraId="7E474B5C" w14:textId="6B345465" w:rsidR="0F84A6A6" w:rsidRPr="0076589C" w:rsidRDefault="1C8D6E3A" w:rsidP="00C8505C">
      <w:pPr>
        <w:pStyle w:val="TextoPrincipal"/>
        <w:rPr>
          <w:lang w:val="es-HN"/>
        </w:rPr>
      </w:pPr>
      <w:r w:rsidRPr="0076589C">
        <w:rPr>
          <w:lang w:val="es-HN"/>
        </w:rPr>
        <w:t xml:space="preserve">Presidente: Carlos Roberto Reina Idiáquez </w:t>
      </w:r>
    </w:p>
    <w:p w14:paraId="50245D8D" w14:textId="5432ABDC" w:rsidR="0F84A6A6" w:rsidRPr="0076589C" w:rsidRDefault="1C8D6E3A" w:rsidP="00C8505C">
      <w:pPr>
        <w:pStyle w:val="TextoPrincipal"/>
        <w:rPr>
          <w:lang w:val="es-HN"/>
        </w:rPr>
      </w:pPr>
      <w:r w:rsidRPr="0076589C">
        <w:rPr>
          <w:lang w:val="es-HN"/>
        </w:rPr>
        <w:t>Secretario: Efraín Moncada Silva</w:t>
      </w:r>
    </w:p>
    <w:p w14:paraId="781D9C7D" w14:textId="7DF462E8" w:rsidR="0F84A6A6" w:rsidRPr="0076589C" w:rsidRDefault="1C8D6E3A" w:rsidP="00C8505C">
      <w:pPr>
        <w:pStyle w:val="TextoPrincipal"/>
        <w:rPr>
          <w:lang w:val="es-HN"/>
        </w:rPr>
      </w:pPr>
      <w:r w:rsidRPr="0076589C">
        <w:rPr>
          <w:lang w:val="es-HN"/>
        </w:rPr>
        <w:t xml:space="preserve">En este decreto </w:t>
      </w:r>
      <w:r w:rsidR="7A54A044" w:rsidRPr="0076589C">
        <w:rPr>
          <w:lang w:val="es-HN"/>
        </w:rPr>
        <w:fldChar w:fldCharType="begin"/>
      </w:r>
      <w:r w:rsidR="7A54A044" w:rsidRPr="0076589C">
        <w:rPr>
          <w:lang w:val="es-HN"/>
        </w:rPr>
        <w:instrText xml:space="preserve"> ADDIN ZOTERO_ITEM CSL_CITATION {"citationID":"wauqla0W","properties":{"formattedCitation":"(Moncada Silva, 1995)","plainCitation":"(Moncada Silva, 1995)","dontUpdate":true,"noteIndex":0},"citationItems":[{"id":184,"uris":["http://zotero.org/users/12108825/items/8IC8YZ64"],"itemData":{"id":184,"type":"article-newspaper","container-title":"La Gaceta","title":"Decreto 160-95: Primeros 15 principios de contabilidad generalmente aceptados en Honduras","author":[{"family":"Moncada Silva","given":"Efraín"}],"issued":{"date-parts":[["1995"]]}}}],"schema":"https://github.com/citation-style-language/schema/raw/master/csl-citation.json"} </w:instrText>
      </w:r>
      <w:r w:rsidR="7A54A044" w:rsidRPr="0076589C">
        <w:rPr>
          <w:lang w:val="es-HN"/>
        </w:rPr>
        <w:fldChar w:fldCharType="separate"/>
      </w:r>
      <w:r w:rsidRPr="0076589C">
        <w:rPr>
          <w:lang w:val="es-HN"/>
        </w:rPr>
        <w:t>Moncada Silva, (1995)</w:t>
      </w:r>
      <w:r w:rsidR="7A54A044" w:rsidRPr="0076589C">
        <w:rPr>
          <w:lang w:val="es-HN"/>
        </w:rPr>
        <w:fldChar w:fldCharType="end"/>
      </w:r>
      <w:r w:rsidRPr="0076589C">
        <w:rPr>
          <w:lang w:val="es-HN"/>
        </w:rPr>
        <w:t xml:space="preserve"> establece en su pronunciamiento No. 2 sobre la Contabilidad Financiera, Cuentas por cobrar:</w:t>
      </w:r>
    </w:p>
    <w:p w14:paraId="139A41B2" w14:textId="1CE489EC" w:rsidR="0F84A6A6" w:rsidRPr="0076589C" w:rsidRDefault="1C8D6E3A" w:rsidP="00C8505C">
      <w:pPr>
        <w:pStyle w:val="TextoPrincipal"/>
        <w:rPr>
          <w:lang w:val="es-HN"/>
        </w:rPr>
      </w:pPr>
      <w:r w:rsidRPr="0076589C">
        <w:t>Alcance</w:t>
      </w:r>
    </w:p>
    <w:p w14:paraId="7146E544" w14:textId="44FA6ED8" w:rsidR="0F84A6A6" w:rsidRPr="0076589C" w:rsidRDefault="1C8D6E3A" w:rsidP="00494616">
      <w:pPr>
        <w:pStyle w:val="TextoPrincipal"/>
        <w:numPr>
          <w:ilvl w:val="0"/>
          <w:numId w:val="18"/>
        </w:numPr>
        <w:rPr>
          <w:lang w:val="es-HN"/>
        </w:rPr>
      </w:pPr>
      <w:r w:rsidRPr="0076589C">
        <w:rPr>
          <w:lang w:val="es-HN"/>
        </w:rPr>
        <w:t>Este Pronunciamiento establece los principios de contabilidad aplicables a las cuentas por cobrar de empresas comerciales e industriales, se excluyen los aspectos relacionados con instituciones bancarias, almacenes generales de depósito, de seguro y finanzas y financieras.</w:t>
      </w:r>
    </w:p>
    <w:p w14:paraId="2B1938A8" w14:textId="4CBCD7B2" w:rsidR="0F84A6A6" w:rsidRPr="0076589C" w:rsidRDefault="1C8D6E3A" w:rsidP="00C8505C">
      <w:pPr>
        <w:pStyle w:val="TextoPrincipal"/>
        <w:rPr>
          <w:lang w:val="es-HN"/>
        </w:rPr>
      </w:pPr>
      <w:r w:rsidRPr="0076589C">
        <w:t>Definición</w:t>
      </w:r>
    </w:p>
    <w:p w14:paraId="5B5396E8" w14:textId="24CFE4B0" w:rsidR="0F84A6A6" w:rsidRPr="0076589C" w:rsidRDefault="1C8D6E3A" w:rsidP="00494616">
      <w:pPr>
        <w:pStyle w:val="TextoPrincipal"/>
        <w:numPr>
          <w:ilvl w:val="0"/>
          <w:numId w:val="18"/>
        </w:numPr>
        <w:rPr>
          <w:lang w:val="es-HN"/>
        </w:rPr>
      </w:pPr>
      <w:r w:rsidRPr="0076589C">
        <w:rPr>
          <w:lang w:val="es-HN"/>
        </w:rPr>
        <w:t>Las cuentas por cobrar representan derechos exigibles originados por ventas, servicios prestados, otorgamientos de préstamos o cualquier otro concepto similar.</w:t>
      </w:r>
    </w:p>
    <w:p w14:paraId="73FEAFC4" w14:textId="3DC3611C" w:rsidR="0F84A6A6" w:rsidRPr="0076589C" w:rsidRDefault="1C8D6E3A" w:rsidP="00C8505C">
      <w:pPr>
        <w:pStyle w:val="TextoPrincipal"/>
        <w:rPr>
          <w:lang w:val="es-HN"/>
        </w:rPr>
      </w:pPr>
      <w:r w:rsidRPr="0076589C">
        <w:rPr>
          <w:lang w:val="es-HN"/>
        </w:rPr>
        <w:t>Clasificación</w:t>
      </w:r>
    </w:p>
    <w:p w14:paraId="2412B6B3" w14:textId="3F715D3A" w:rsidR="0F84A6A6" w:rsidRPr="0076589C" w:rsidRDefault="1C8D6E3A" w:rsidP="00C8505C">
      <w:pPr>
        <w:pStyle w:val="TextoPrincipal"/>
        <w:rPr>
          <w:lang w:val="es-HN"/>
        </w:rPr>
      </w:pPr>
      <w:r w:rsidRPr="0076589C">
        <w:rPr>
          <w:lang w:val="es-HN"/>
        </w:rPr>
        <w:t>9.  Considerando su exigibilidad, las cuentas por cobrar deben ser clasificadas a corto y largo plazo. Se considera como cuentas por cobrar a corto plazo cuyo vencimiento es dentro de un plazo no mayor de un año posterior a la fecha de balance.</w:t>
      </w:r>
    </w:p>
    <w:p w14:paraId="2F01DE79" w14:textId="7AAB4464" w:rsidR="0F84A6A6" w:rsidRPr="0076589C" w:rsidRDefault="1C8D6E3A" w:rsidP="00C8505C">
      <w:pPr>
        <w:pStyle w:val="TextoPrincipal"/>
        <w:rPr>
          <w:lang w:val="es-HN"/>
        </w:rPr>
      </w:pPr>
      <w:r w:rsidRPr="0076589C">
        <w:rPr>
          <w:lang w:val="es-HN"/>
        </w:rPr>
        <w:t>12. Dentro del primer grupo se deben presentar los documentos y cuentas a cargo de clientes de la entidad, derivados de la venta de mercancía a prestación de servicios, que representen la actividad normal de la misma.</w:t>
      </w:r>
    </w:p>
    <w:p w14:paraId="08EE4894" w14:textId="7F7E54B1" w:rsidR="0F84A6A6" w:rsidRPr="0076589C" w:rsidRDefault="1C8D6E3A" w:rsidP="00C8505C">
      <w:pPr>
        <w:pStyle w:val="TextoPrincipal"/>
        <w:rPr>
          <w:lang w:val="es-HN"/>
        </w:rPr>
      </w:pPr>
      <w:r w:rsidRPr="0076589C">
        <w:rPr>
          <w:lang w:val="es-HN"/>
        </w:rPr>
        <w:lastRenderedPageBreak/>
        <w:t>13. En el segundo grupo, deberán mostrarse las cuentas y documentos por cobrar a cargo de otros deudores, agrupándolos por conceptos y de acuerdo con su importancia.</w:t>
      </w:r>
    </w:p>
    <w:p w14:paraId="5959A7D9" w14:textId="78A4F7F5" w:rsidR="0F84A6A6" w:rsidRPr="0076589C" w:rsidRDefault="1C8D6E3A" w:rsidP="00C8505C">
      <w:pPr>
        <w:pStyle w:val="TextoPrincipal"/>
        <w:rPr>
          <w:lang w:val="es-HN"/>
        </w:rPr>
      </w:pPr>
      <w:r w:rsidRPr="0076589C">
        <w:rPr>
          <w:lang w:val="es-HN"/>
        </w:rPr>
        <w:t>14. Estas cuentas se originan por transacciones distintas a aquellas para las cuales fue constituida la entidad tales como: préstamos a accionistas, a funcionarios y empleados, reclamos, compañías seleccionadas, etc.</w:t>
      </w:r>
    </w:p>
    <w:p w14:paraId="39AC8152" w14:textId="517C95BC" w:rsidR="0F84A6A6" w:rsidRPr="0076589C" w:rsidRDefault="1C8D6E3A" w:rsidP="00C8505C">
      <w:pPr>
        <w:pStyle w:val="TextoPrincipal"/>
        <w:rPr>
          <w:lang w:val="es-HN"/>
        </w:rPr>
      </w:pPr>
      <w:r w:rsidRPr="0076589C">
        <w:rPr>
          <w:lang w:val="es-HN"/>
        </w:rPr>
        <w:t>18. Las estimaciones para cuentas dudosas, así como las estimaciones para descuentos, devoluciones y bonificaciones aplicables, deben ser mostradas en el balanceo general como deducciones a las cuentas por cobrar. En caso de que se presente saldo neto, deben mencionarse en nota a los estados financieros los importes de dichas estimaciones.</w:t>
      </w:r>
    </w:p>
    <w:p w14:paraId="73A4DD1B" w14:textId="080DAE38" w:rsidR="0F84A6A6" w:rsidRPr="0076589C" w:rsidRDefault="1C8D6E3A" w:rsidP="00C8505C">
      <w:pPr>
        <w:pStyle w:val="TextoPrincipal"/>
        <w:rPr>
          <w:lang w:val="es-HN"/>
        </w:rPr>
      </w:pPr>
      <w:r w:rsidRPr="0076589C">
        <w:rPr>
          <w:lang w:val="es-HN"/>
        </w:rPr>
        <w:t>Revelaciones</w:t>
      </w:r>
    </w:p>
    <w:p w14:paraId="360AC74E" w14:textId="37BF19B2" w:rsidR="0F84A6A6" w:rsidRPr="0076589C" w:rsidRDefault="1C8D6E3A" w:rsidP="00C8505C">
      <w:pPr>
        <w:pStyle w:val="TextoPrincipal"/>
        <w:rPr>
          <w:lang w:val="es-HN"/>
        </w:rPr>
      </w:pPr>
      <w:r w:rsidRPr="0076589C">
        <w:rPr>
          <w:lang w:val="es-HN"/>
        </w:rPr>
        <w:t xml:space="preserve">21. Las cuentas y documentos por cobrar a cargo de los funcionarios, los empleados o las compañías relacionadas deberán mostrarse separadamente. </w:t>
      </w:r>
    </w:p>
    <w:p w14:paraId="534A67B5" w14:textId="66BE9D20" w:rsidR="0F84A6A6" w:rsidRPr="0076589C" w:rsidRDefault="1C8D6E3A" w:rsidP="00C8505C">
      <w:pPr>
        <w:pStyle w:val="TextoPrincipal"/>
        <w:rPr>
          <w:lang w:val="es-HN"/>
        </w:rPr>
      </w:pPr>
      <w:r w:rsidRPr="0076589C">
        <w:rPr>
          <w:lang w:val="es-HN"/>
        </w:rPr>
        <w:t>23. Se requiere revelación de pérdidas contingentes que resulten de garantías de recompra de cuentas por cobrar que han sido vendidas o en otra forma asignadas. La revelación incluirá la naturaleza y monto de la garantía. Cualquier otro gravamen sobre la cartera deberá ser revelado adecuadamente.</w:t>
      </w:r>
    </w:p>
    <w:p w14:paraId="58CF4E24" w14:textId="79836CB6" w:rsidR="0F84A6A6" w:rsidRPr="0076589C" w:rsidRDefault="1C8D6E3A" w:rsidP="00C8505C">
      <w:pPr>
        <w:pStyle w:val="TextoPrincipal"/>
        <w:rPr>
          <w:lang w:val="es-HN"/>
        </w:rPr>
      </w:pPr>
      <w:r w:rsidRPr="0076589C">
        <w:rPr>
          <w:lang w:val="es-HN"/>
        </w:rPr>
        <w:t>Caso especial</w:t>
      </w:r>
    </w:p>
    <w:p w14:paraId="10271BDB" w14:textId="54247030" w:rsidR="0F84A6A6" w:rsidRPr="0076589C" w:rsidRDefault="1C8D6E3A" w:rsidP="00886D22">
      <w:pPr>
        <w:pStyle w:val="TextoPrincipal"/>
        <w:spacing w:after="0"/>
        <w:rPr>
          <w:lang w:val="es-HN"/>
        </w:rPr>
      </w:pPr>
      <w:r w:rsidRPr="0076589C">
        <w:rPr>
          <w:lang w:val="es-HN"/>
        </w:rPr>
        <w:t>Las cuentas y documentos por cobrar a largo plazo, que son derechos contractuales de recibir una suma de dinero a una fecha fijo o determinable, deben contabilizarse a su valor actual. Esto significa debe darse consideración a los intereses no pactados o que están muy por debajo de la realidad, excluyéndose de esta regla las cuentas con compañías relacionadas.</w:t>
      </w:r>
    </w:p>
    <w:p w14:paraId="6CB29331" w14:textId="77777777" w:rsidR="00886D22" w:rsidRPr="0076589C" w:rsidRDefault="00886D22" w:rsidP="00886D22">
      <w:pPr>
        <w:pStyle w:val="TextoPrincipal"/>
        <w:spacing w:after="0"/>
        <w:rPr>
          <w:lang w:val="es-HN"/>
        </w:rPr>
      </w:pPr>
    </w:p>
    <w:p w14:paraId="1949AAE2" w14:textId="6BE83C51" w:rsidR="0F84A6A6" w:rsidRPr="0076589C" w:rsidRDefault="1C8D6E3A" w:rsidP="00A43556">
      <w:pPr>
        <w:pStyle w:val="Ttulonivel3"/>
        <w:rPr>
          <w:rFonts w:eastAsia="Calibri"/>
        </w:rPr>
      </w:pPr>
      <w:bookmarkStart w:id="172" w:name="_Toc158365490"/>
      <w:r w:rsidRPr="0076589C">
        <w:rPr>
          <w:rFonts w:eastAsia="Calibri"/>
        </w:rPr>
        <w:t>2.4.2 LEY SOBRE NORMAS DE CONTABILIDAD Y DE AUDITORÍA</w:t>
      </w:r>
      <w:bookmarkEnd w:id="172"/>
      <w:r w:rsidRPr="0076589C">
        <w:rPr>
          <w:rFonts w:eastAsia="Calibri"/>
        </w:rPr>
        <w:t xml:space="preserve"> </w:t>
      </w:r>
    </w:p>
    <w:p w14:paraId="4699C186" w14:textId="50089B5E" w:rsidR="0F84A6A6" w:rsidRPr="0076589C" w:rsidRDefault="1C8D6E3A" w:rsidP="00C8505C">
      <w:pPr>
        <w:pStyle w:val="TextoPrincipal"/>
        <w:rPr>
          <w:lang w:val="es-HN"/>
        </w:rPr>
      </w:pPr>
      <w:r w:rsidRPr="0076589C">
        <w:rPr>
          <w:lang w:val="es-HN"/>
        </w:rPr>
        <w:t>Decreto No. 189-2004</w:t>
      </w:r>
    </w:p>
    <w:p w14:paraId="5523AD89" w14:textId="5E34F89B" w:rsidR="0F84A6A6" w:rsidRPr="0076589C" w:rsidRDefault="1C8D6E3A" w:rsidP="00C8505C">
      <w:pPr>
        <w:pStyle w:val="TextoPrincipal"/>
        <w:rPr>
          <w:lang w:val="es-HN"/>
        </w:rPr>
      </w:pPr>
      <w:r w:rsidRPr="0076589C">
        <w:rPr>
          <w:lang w:val="es-HN"/>
        </w:rPr>
        <w:t>Fecha: diciembre 2004</w:t>
      </w:r>
    </w:p>
    <w:p w14:paraId="7AC45870" w14:textId="1B054E93" w:rsidR="0F84A6A6" w:rsidRPr="0076589C" w:rsidRDefault="1C8D6E3A" w:rsidP="00C8505C">
      <w:pPr>
        <w:pStyle w:val="TextoPrincipal"/>
        <w:rPr>
          <w:lang w:val="es-HN"/>
        </w:rPr>
      </w:pPr>
      <w:r w:rsidRPr="0076589C">
        <w:rPr>
          <w:lang w:val="es-HN"/>
        </w:rPr>
        <w:t>Presidente: Ricardo Maduro</w:t>
      </w:r>
    </w:p>
    <w:p w14:paraId="45A5018E" w14:textId="16F3F0D6" w:rsidR="0F84A6A6" w:rsidRPr="0076589C" w:rsidRDefault="1C8D6E3A" w:rsidP="00C8505C">
      <w:pPr>
        <w:pStyle w:val="TextoPrincipal"/>
        <w:rPr>
          <w:lang w:val="es-HN"/>
        </w:rPr>
      </w:pPr>
      <w:r w:rsidRPr="0076589C">
        <w:rPr>
          <w:lang w:val="es-HN"/>
        </w:rPr>
        <w:t>Secretario: William Chong Wong</w:t>
      </w:r>
    </w:p>
    <w:p w14:paraId="1E06C146" w14:textId="2C9A8867" w:rsidR="00F61FA7" w:rsidRPr="0076589C" w:rsidRDefault="1C8D6E3A" w:rsidP="00C8505C">
      <w:pPr>
        <w:pStyle w:val="TextoPrincipal"/>
        <w:rPr>
          <w:lang w:val="es-HN"/>
        </w:rPr>
      </w:pPr>
      <w:r w:rsidRPr="0076589C">
        <w:rPr>
          <w:lang w:val="es-HN"/>
        </w:rPr>
        <w:lastRenderedPageBreak/>
        <w:t xml:space="preserve">Esta ley pretende establecer una exigencia de carácter internacional, es que los estados financieros preparados al nivel del sector privado como público, reflejen de manera real, objetiva y transparente la situación económica financiera de cada uno de los integrantes del respectivo sector, generando la tan ansiedad credibilidad en el ámbito interno e internacional.  </w:t>
      </w:r>
    </w:p>
    <w:p w14:paraId="47592714" w14:textId="59E84A06" w:rsidR="0F84A6A6" w:rsidRPr="0076589C" w:rsidRDefault="1C8D6E3A" w:rsidP="00C8505C">
      <w:pPr>
        <w:pStyle w:val="TextoPrincipal"/>
        <w:rPr>
          <w:lang w:val="es-HN"/>
        </w:rPr>
      </w:pPr>
      <w:r w:rsidRPr="0076589C">
        <w:rPr>
          <w:lang w:val="es-HN"/>
        </w:rPr>
        <w:t>Artículo 22.- Aplicación de Normas</w:t>
      </w:r>
    </w:p>
    <w:p w14:paraId="62A20410" w14:textId="26E69BD1" w:rsidR="0F84A6A6" w:rsidRPr="0076589C" w:rsidRDefault="1C8D6E3A" w:rsidP="00886D22">
      <w:pPr>
        <w:pStyle w:val="TextoPrincipal"/>
        <w:spacing w:after="0"/>
        <w:rPr>
          <w:lang w:val="es-HN"/>
        </w:rPr>
      </w:pPr>
      <w:r w:rsidRPr="0076589C">
        <w:rPr>
          <w:lang w:val="es-HN"/>
        </w:rPr>
        <w:t xml:space="preserve">Una vez que haya entrado en vigencia la presente ley, las Normas Internacionales de Información Financiera (NIIF´s) y las Normas Internacionales de Auditoría (NIA´s) adoptadas por la Junta Técnica de Normas de Contabilidad y Auditoría, empezarán aplicarse en la elaboración y preparación de los estados financieros, a partir del uno de enero del año dos mil ocho, sin prejuicio de que las normas o principios de contabilidad de aceptación general, así como las normas de auditoría utilizadas o aplicadas actualmente, continuarán vigentes. </w:t>
      </w:r>
      <w:r w:rsidR="7A54A044" w:rsidRPr="0076589C">
        <w:rPr>
          <w:lang w:val="es-HN"/>
        </w:rPr>
        <w:fldChar w:fldCharType="begin"/>
      </w:r>
      <w:r w:rsidR="7A54A044" w:rsidRPr="0076589C">
        <w:rPr>
          <w:lang w:val="es-HN"/>
        </w:rPr>
        <w:instrText xml:space="preserve"> ADDIN ZOTERO_ITEM CSL_CITATION {"citationID":"NDFuVVMj","properties":{"formattedCitation":"(Chon Wong, 2004)","plainCitation":"(Chon Wong, 2004)","noteIndex":0},"citationItems":[{"id":185,"uris":["http://zotero.org/users/12108825/items/VE64BJW7"],"itemData":{"id":185,"type":"article-newspaper","container-title":"La Gaceta","event-place":"Honduras","publisher-place":"Honduras","title":"Decreto 189-2004: Ley sobre normas de Contabilidad y Auditoría","author":[{"family":"Chon Wong","given":"William"}],"issued":{"date-parts":[["2004"]]}}}],"schema":"https://github.com/citation-style-language/schema/raw/master/csl-citation.json"} </w:instrText>
      </w:r>
      <w:r w:rsidR="7A54A044" w:rsidRPr="0076589C">
        <w:rPr>
          <w:lang w:val="es-HN"/>
        </w:rPr>
        <w:fldChar w:fldCharType="separate"/>
      </w:r>
      <w:r w:rsidRPr="0076589C">
        <w:rPr>
          <w:lang w:val="es-HN"/>
        </w:rPr>
        <w:t>(Chon Wong, 2004)</w:t>
      </w:r>
      <w:r w:rsidR="7A54A044" w:rsidRPr="0076589C">
        <w:rPr>
          <w:lang w:val="es-HN"/>
        </w:rPr>
        <w:fldChar w:fldCharType="end"/>
      </w:r>
    </w:p>
    <w:p w14:paraId="1EAE85AC" w14:textId="77777777" w:rsidR="00886D22" w:rsidRPr="0076589C" w:rsidRDefault="00886D22" w:rsidP="00886D22">
      <w:pPr>
        <w:pStyle w:val="TextoPrincipal"/>
        <w:spacing w:after="0"/>
        <w:rPr>
          <w:lang w:val="es-HN"/>
        </w:rPr>
      </w:pPr>
    </w:p>
    <w:p w14:paraId="3C497E17" w14:textId="3781F987" w:rsidR="008434B9" w:rsidRPr="0076589C" w:rsidRDefault="1C8D6E3A" w:rsidP="00AB3162">
      <w:pPr>
        <w:pStyle w:val="Ttulonivel3"/>
      </w:pPr>
      <w:bookmarkStart w:id="173" w:name="_Toc158365491"/>
      <w:r w:rsidRPr="0076589C">
        <w:t>2.4.3 ACUERDO NO.4 NORMA HONDUREÑA DE CONTABILIDAD NO.2 (NHOC-2). DOCUMENTOS Y CUENTAS POR COBRAR</w:t>
      </w:r>
      <w:bookmarkEnd w:id="173"/>
    </w:p>
    <w:p w14:paraId="1A54F853" w14:textId="77777777" w:rsidR="00BD23E5" w:rsidRPr="0076589C" w:rsidRDefault="1C8D6E3A" w:rsidP="00C8505C">
      <w:pPr>
        <w:pStyle w:val="TextoPrincipal"/>
        <w:rPr>
          <w:lang w:val="es-HN"/>
        </w:rPr>
      </w:pPr>
      <w:r w:rsidRPr="0076589C">
        <w:rPr>
          <w:lang w:val="es-HN"/>
        </w:rPr>
        <w:t>Decreto: Acuerdo No.4 2009</w:t>
      </w:r>
    </w:p>
    <w:p w14:paraId="48C74777" w14:textId="77777777" w:rsidR="00BD23E5" w:rsidRPr="0076589C" w:rsidRDefault="1C8D6E3A" w:rsidP="00C8505C">
      <w:pPr>
        <w:pStyle w:val="TextoPrincipal"/>
        <w:rPr>
          <w:lang w:val="es-HN"/>
        </w:rPr>
      </w:pPr>
      <w:r w:rsidRPr="0076589C">
        <w:rPr>
          <w:lang w:val="es-HN"/>
        </w:rPr>
        <w:t>Fecha: 25 de julio del 2009</w:t>
      </w:r>
    </w:p>
    <w:p w14:paraId="200D8CBB" w14:textId="53A771A3" w:rsidR="00BD23E5" w:rsidRPr="0076589C" w:rsidRDefault="1C8D6E3A" w:rsidP="00C8505C">
      <w:pPr>
        <w:pStyle w:val="TextoPrincipal"/>
      </w:pPr>
      <w:r w:rsidRPr="0076589C">
        <w:t>Presidente: Héctor P. Flores Torres</w:t>
      </w:r>
    </w:p>
    <w:p w14:paraId="1D0BD672" w14:textId="6AC960AA" w:rsidR="00BD23E5" w:rsidRPr="0076589C" w:rsidRDefault="1C8D6E3A" w:rsidP="00C8505C">
      <w:pPr>
        <w:pStyle w:val="TextoPrincipal"/>
        <w:rPr>
          <w:lang w:val="es-HN"/>
        </w:rPr>
      </w:pPr>
      <w:r w:rsidRPr="0076589C">
        <w:t xml:space="preserve">Secretaria: Jorge. </w:t>
      </w:r>
      <w:r w:rsidRPr="0076589C">
        <w:rPr>
          <w:lang w:val="es-HN"/>
        </w:rPr>
        <w:t xml:space="preserve">A Flores Padilla </w:t>
      </w:r>
    </w:p>
    <w:p w14:paraId="7597531C" w14:textId="57D7D868" w:rsidR="008434B9" w:rsidRPr="0076589C" w:rsidRDefault="1C8D6E3A" w:rsidP="00C8505C">
      <w:pPr>
        <w:pStyle w:val="TextoPrincipal"/>
        <w:rPr>
          <w:lang w:val="es-HN"/>
        </w:rPr>
      </w:pPr>
      <w:r w:rsidRPr="0076589C">
        <w:rPr>
          <w:lang w:val="es-HN"/>
        </w:rPr>
        <w:t xml:space="preserve">“Las cuentas por cobrar son activos financieros creados por la entidad a cambio de suministrar efectivo, bienes o servicios directamente al deudor.” </w:t>
      </w:r>
      <w:r w:rsidR="7A54A044" w:rsidRPr="0076589C">
        <w:rPr>
          <w:lang w:val="es-HN"/>
        </w:rPr>
        <w:fldChar w:fldCharType="begin"/>
      </w:r>
      <w:r w:rsidR="7A54A044" w:rsidRPr="0076589C">
        <w:rPr>
          <w:lang w:val="es-HN"/>
        </w:rPr>
        <w:instrText xml:space="preserve"> ADDIN ZOTERO_ITEM CSL_CITATION {"citationID":"BpAmzjD7","properties":{"formattedCitation":"(Flores Padilla, 2009)","plainCitation":"(Flores Padilla, 2009)","noteIndex":0},"citationItems":[{"id":186,"uris":["http://zotero.org/users/12108825/items/GMPVE692"],"itemData":{"id":186,"type":"article-newspaper","container-title":"La Gaceta","title":"Acuerdo No. 4 2009: Norma Hondureña de Contabilidad","author":[{"family":"Flores Padilla","given":"Jorge"}],"issued":{"date-parts":[["2009"]]}}}],"schema":"https://github.com/citation-style-language/schema/raw/master/csl-citation.json"} </w:instrText>
      </w:r>
      <w:r w:rsidR="7A54A044" w:rsidRPr="0076589C">
        <w:rPr>
          <w:lang w:val="es-HN"/>
        </w:rPr>
        <w:fldChar w:fldCharType="separate"/>
      </w:r>
      <w:r w:rsidRPr="0076589C">
        <w:rPr>
          <w:lang w:val="es-HN"/>
        </w:rPr>
        <w:t>(Flores Padilla, 2009)</w:t>
      </w:r>
      <w:r w:rsidR="7A54A044" w:rsidRPr="0076589C">
        <w:rPr>
          <w:lang w:val="es-HN"/>
        </w:rPr>
        <w:fldChar w:fldCharType="end"/>
      </w:r>
    </w:p>
    <w:p w14:paraId="7CAA203C" w14:textId="5ABB4068" w:rsidR="00E306CC" w:rsidRPr="0076589C" w:rsidRDefault="1C8D6E3A" w:rsidP="00C8505C">
      <w:pPr>
        <w:pStyle w:val="TextoPrincipal"/>
        <w:rPr>
          <w:lang w:val="es-HN"/>
        </w:rPr>
      </w:pPr>
      <w:r w:rsidRPr="0076589C">
        <w:rPr>
          <w:lang w:val="es-HN"/>
        </w:rPr>
        <w:t>Para el criterio de medición:</w:t>
      </w:r>
    </w:p>
    <w:p w14:paraId="6ADBBA0A" w14:textId="6037DF86" w:rsidR="00E306CC" w:rsidRPr="0076589C" w:rsidRDefault="1C8D6E3A" w:rsidP="00C8505C">
      <w:pPr>
        <w:pStyle w:val="TextoPrincipal"/>
        <w:rPr>
          <w:lang w:val="es-HN"/>
        </w:rPr>
      </w:pPr>
      <w:r w:rsidRPr="0076589C">
        <w:rPr>
          <w:lang w:val="es-HN"/>
        </w:rPr>
        <w:t>Inicialmente se reconocen al costo y luego al costo amortizado. Luego se realiza la estimación sobre la cartera de cuentas y documentos por cobrar aplicando uno de los métodos presentados a continuación:</w:t>
      </w:r>
    </w:p>
    <w:p w14:paraId="073F7DBB" w14:textId="5BB198F6" w:rsidR="00D90A12" w:rsidRPr="0076589C" w:rsidRDefault="1C8D6E3A" w:rsidP="00C8505C">
      <w:pPr>
        <w:pStyle w:val="TextoPrincipal"/>
        <w:rPr>
          <w:lang w:val="es-HN"/>
        </w:rPr>
      </w:pPr>
      <w:r w:rsidRPr="0076589C">
        <w:rPr>
          <w:lang w:val="es-HN"/>
        </w:rPr>
        <w:t>Método por deudor individual</w:t>
      </w:r>
    </w:p>
    <w:p w14:paraId="644F2F62" w14:textId="1B4CBC61" w:rsidR="00D90A12" w:rsidRPr="0076589C" w:rsidRDefault="1C8D6E3A" w:rsidP="00C8505C">
      <w:pPr>
        <w:pStyle w:val="TextoPrincipal"/>
        <w:rPr>
          <w:lang w:val="es-HN"/>
        </w:rPr>
      </w:pPr>
      <w:r w:rsidRPr="0076589C">
        <w:rPr>
          <w:lang w:val="es-HN"/>
        </w:rPr>
        <w:t>Se aplica cuando la entidad cuenta con un sistema para clasificar su cartera con base a la morosidad, según los días que incumplen los plazos establecidos en la política de crédito, se representa con los siguientes porcentajes:</w:t>
      </w:r>
    </w:p>
    <w:p w14:paraId="6E52CFB6" w14:textId="42F57D76" w:rsidR="00BF3130" w:rsidRPr="0076589C" w:rsidRDefault="1C8D6E3A" w:rsidP="00E842E0">
      <w:pPr>
        <w:pStyle w:val="ImagenyTabla"/>
        <w:rPr>
          <w:noProof w:val="0"/>
        </w:rPr>
      </w:pPr>
      <w:bookmarkStart w:id="174" w:name="_Toc158365549"/>
      <w:r w:rsidRPr="0076589C">
        <w:lastRenderedPageBreak/>
        <w:t xml:space="preserve">Tabla </w:t>
      </w:r>
      <w:r w:rsidR="7A54A044" w:rsidRPr="0076589C">
        <w:rPr>
          <w:noProof w:val="0"/>
        </w:rPr>
        <w:fldChar w:fldCharType="begin"/>
      </w:r>
      <w:r w:rsidR="7A54A044" w:rsidRPr="0076589C">
        <w:rPr>
          <w:noProof w:val="0"/>
        </w:rPr>
        <w:instrText xml:space="preserve"> SEQ Tabla \* ARABIC </w:instrText>
      </w:r>
      <w:r w:rsidR="7A54A044" w:rsidRPr="0076589C">
        <w:rPr>
          <w:noProof w:val="0"/>
        </w:rPr>
        <w:fldChar w:fldCharType="separate"/>
      </w:r>
      <w:r w:rsidR="009F171A">
        <w:t>1</w:t>
      </w:r>
      <w:r w:rsidR="7A54A044" w:rsidRPr="0076589C">
        <w:rPr>
          <w:noProof w:val="0"/>
        </w:rPr>
        <w:fldChar w:fldCharType="end"/>
      </w:r>
      <w:r w:rsidRPr="0076589C">
        <w:t>. Porcentajes de Mora</w:t>
      </w:r>
      <w:bookmarkEnd w:id="174"/>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7"/>
        <w:gridCol w:w="976"/>
        <w:gridCol w:w="1046"/>
      </w:tblGrid>
      <w:tr w:rsidR="004A33A1" w:rsidRPr="0076589C" w14:paraId="4BE12165" w14:textId="77777777" w:rsidTr="1C8D6E3A">
        <w:trPr>
          <w:jc w:val="center"/>
        </w:trPr>
        <w:tc>
          <w:tcPr>
            <w:tcW w:w="0" w:type="auto"/>
          </w:tcPr>
          <w:p w14:paraId="2A7D5CD3" w14:textId="74ECFC87" w:rsidR="004A33A1" w:rsidRPr="0076589C" w:rsidRDefault="1C8D6E3A" w:rsidP="00C8505C">
            <w:pPr>
              <w:pStyle w:val="Tabla"/>
              <w:rPr>
                <w:b/>
                <w:bCs/>
                <w:lang w:val="es-HN"/>
              </w:rPr>
            </w:pPr>
            <w:r w:rsidRPr="0076589C">
              <w:rPr>
                <w:b/>
                <w:bCs/>
                <w:lang w:val="es-HN"/>
              </w:rPr>
              <w:t>Rango de mora en días</w:t>
            </w:r>
          </w:p>
        </w:tc>
        <w:tc>
          <w:tcPr>
            <w:tcW w:w="0" w:type="auto"/>
          </w:tcPr>
          <w:p w14:paraId="265EDC8D" w14:textId="19495A75" w:rsidR="004A33A1" w:rsidRPr="0076589C" w:rsidRDefault="1C8D6E3A" w:rsidP="00C8505C">
            <w:pPr>
              <w:pStyle w:val="Tabla"/>
              <w:rPr>
                <w:b/>
                <w:bCs/>
                <w:lang w:val="es-HN"/>
              </w:rPr>
            </w:pPr>
            <w:r w:rsidRPr="0076589C">
              <w:rPr>
                <w:b/>
                <w:bCs/>
              </w:rPr>
              <w:t>Categoría</w:t>
            </w:r>
          </w:p>
        </w:tc>
        <w:tc>
          <w:tcPr>
            <w:tcW w:w="0" w:type="auto"/>
          </w:tcPr>
          <w:p w14:paraId="203FD528" w14:textId="0FF097C7" w:rsidR="004A33A1" w:rsidRPr="0076589C" w:rsidRDefault="1C8D6E3A" w:rsidP="00C8505C">
            <w:pPr>
              <w:pStyle w:val="Tabla"/>
              <w:rPr>
                <w:b/>
                <w:bCs/>
                <w:lang w:val="es-HN"/>
              </w:rPr>
            </w:pPr>
            <w:r w:rsidRPr="0076589C">
              <w:rPr>
                <w:b/>
                <w:bCs/>
              </w:rPr>
              <w:t>Porcentaje</w:t>
            </w:r>
          </w:p>
        </w:tc>
      </w:tr>
      <w:tr w:rsidR="004A33A1" w:rsidRPr="0076589C" w14:paraId="2B9C282F" w14:textId="77777777" w:rsidTr="1C8D6E3A">
        <w:trPr>
          <w:jc w:val="center"/>
        </w:trPr>
        <w:tc>
          <w:tcPr>
            <w:tcW w:w="0" w:type="auto"/>
          </w:tcPr>
          <w:p w14:paraId="16CAEC92" w14:textId="75D17FFC" w:rsidR="004A33A1" w:rsidRPr="0076589C" w:rsidRDefault="1C8D6E3A" w:rsidP="00C8505C">
            <w:pPr>
              <w:pStyle w:val="Tabla"/>
              <w:rPr>
                <w:lang w:val="es-HN"/>
              </w:rPr>
            </w:pPr>
            <w:r w:rsidRPr="0076589C">
              <w:t>0 - 30</w:t>
            </w:r>
          </w:p>
        </w:tc>
        <w:tc>
          <w:tcPr>
            <w:tcW w:w="0" w:type="auto"/>
          </w:tcPr>
          <w:p w14:paraId="01E25E75" w14:textId="0127D2BF" w:rsidR="004A33A1" w:rsidRPr="0076589C" w:rsidRDefault="1C8D6E3A" w:rsidP="00C8505C">
            <w:pPr>
              <w:pStyle w:val="Tabla"/>
              <w:rPr>
                <w:lang w:val="es-HN"/>
              </w:rPr>
            </w:pPr>
            <w:r w:rsidRPr="0076589C">
              <w:t>A</w:t>
            </w:r>
          </w:p>
        </w:tc>
        <w:tc>
          <w:tcPr>
            <w:tcW w:w="0" w:type="auto"/>
          </w:tcPr>
          <w:p w14:paraId="644E5192" w14:textId="2E3F670E" w:rsidR="004A33A1" w:rsidRPr="0076589C" w:rsidRDefault="1C8D6E3A" w:rsidP="00C8505C">
            <w:pPr>
              <w:pStyle w:val="Tabla"/>
              <w:rPr>
                <w:lang w:val="es-HN"/>
              </w:rPr>
            </w:pPr>
            <w:r w:rsidRPr="0076589C">
              <w:t>0%</w:t>
            </w:r>
          </w:p>
        </w:tc>
      </w:tr>
      <w:tr w:rsidR="004A33A1" w:rsidRPr="0076589C" w14:paraId="2283F01E" w14:textId="77777777" w:rsidTr="1C8D6E3A">
        <w:trPr>
          <w:jc w:val="center"/>
        </w:trPr>
        <w:tc>
          <w:tcPr>
            <w:tcW w:w="0" w:type="auto"/>
          </w:tcPr>
          <w:p w14:paraId="20BE4AE6" w14:textId="450D9B87" w:rsidR="004A33A1" w:rsidRPr="0076589C" w:rsidRDefault="1C8D6E3A" w:rsidP="00C8505C">
            <w:pPr>
              <w:pStyle w:val="Tabla"/>
              <w:rPr>
                <w:lang w:val="es-HN"/>
              </w:rPr>
            </w:pPr>
            <w:r w:rsidRPr="0076589C">
              <w:t>31 – 60</w:t>
            </w:r>
          </w:p>
        </w:tc>
        <w:tc>
          <w:tcPr>
            <w:tcW w:w="0" w:type="auto"/>
          </w:tcPr>
          <w:p w14:paraId="3F4C1965" w14:textId="6FCCA7F3" w:rsidR="004A33A1" w:rsidRPr="0076589C" w:rsidRDefault="1C8D6E3A" w:rsidP="00C8505C">
            <w:pPr>
              <w:pStyle w:val="Tabla"/>
              <w:rPr>
                <w:lang w:val="es-HN"/>
              </w:rPr>
            </w:pPr>
            <w:r w:rsidRPr="0076589C">
              <w:t>B</w:t>
            </w:r>
          </w:p>
        </w:tc>
        <w:tc>
          <w:tcPr>
            <w:tcW w:w="0" w:type="auto"/>
          </w:tcPr>
          <w:p w14:paraId="6577083D" w14:textId="489DA462" w:rsidR="00CE3D4F" w:rsidRPr="0076589C" w:rsidRDefault="1C8D6E3A" w:rsidP="00C8505C">
            <w:pPr>
              <w:pStyle w:val="Tabla"/>
              <w:rPr>
                <w:lang w:val="es-HN"/>
              </w:rPr>
            </w:pPr>
            <w:r w:rsidRPr="0076589C">
              <w:t>10%</w:t>
            </w:r>
          </w:p>
        </w:tc>
      </w:tr>
      <w:tr w:rsidR="004A33A1" w:rsidRPr="0076589C" w14:paraId="1E5EA784" w14:textId="77777777" w:rsidTr="1C8D6E3A">
        <w:trPr>
          <w:jc w:val="center"/>
        </w:trPr>
        <w:tc>
          <w:tcPr>
            <w:tcW w:w="0" w:type="auto"/>
          </w:tcPr>
          <w:p w14:paraId="3A9F6E37" w14:textId="6F46709B" w:rsidR="004A33A1" w:rsidRPr="0076589C" w:rsidRDefault="1C8D6E3A" w:rsidP="00C8505C">
            <w:pPr>
              <w:pStyle w:val="Tabla"/>
              <w:rPr>
                <w:lang w:val="es-HN"/>
              </w:rPr>
            </w:pPr>
            <w:r w:rsidRPr="0076589C">
              <w:t>61 – 90</w:t>
            </w:r>
          </w:p>
        </w:tc>
        <w:tc>
          <w:tcPr>
            <w:tcW w:w="0" w:type="auto"/>
          </w:tcPr>
          <w:p w14:paraId="1153FA1E" w14:textId="195408D2" w:rsidR="004A33A1" w:rsidRPr="0076589C" w:rsidRDefault="1C8D6E3A" w:rsidP="00C8505C">
            <w:pPr>
              <w:pStyle w:val="Tabla"/>
              <w:rPr>
                <w:lang w:val="es-HN"/>
              </w:rPr>
            </w:pPr>
            <w:r w:rsidRPr="0076589C">
              <w:t>C</w:t>
            </w:r>
          </w:p>
        </w:tc>
        <w:tc>
          <w:tcPr>
            <w:tcW w:w="0" w:type="auto"/>
          </w:tcPr>
          <w:p w14:paraId="5DAF04F9" w14:textId="54B09792" w:rsidR="004A33A1" w:rsidRPr="0076589C" w:rsidRDefault="1C8D6E3A" w:rsidP="00C8505C">
            <w:pPr>
              <w:pStyle w:val="Tabla"/>
              <w:rPr>
                <w:lang w:val="es-HN"/>
              </w:rPr>
            </w:pPr>
            <w:r w:rsidRPr="0076589C">
              <w:t>25%</w:t>
            </w:r>
          </w:p>
        </w:tc>
      </w:tr>
      <w:tr w:rsidR="004A33A1" w:rsidRPr="0076589C" w14:paraId="3C0B9922" w14:textId="77777777" w:rsidTr="1C8D6E3A">
        <w:trPr>
          <w:jc w:val="center"/>
        </w:trPr>
        <w:tc>
          <w:tcPr>
            <w:tcW w:w="0" w:type="auto"/>
          </w:tcPr>
          <w:p w14:paraId="304D2B60" w14:textId="143C8914" w:rsidR="004A33A1" w:rsidRPr="0076589C" w:rsidRDefault="1C8D6E3A" w:rsidP="00C8505C">
            <w:pPr>
              <w:pStyle w:val="Tabla"/>
              <w:rPr>
                <w:lang w:val="es-HN"/>
              </w:rPr>
            </w:pPr>
            <w:r w:rsidRPr="0076589C">
              <w:t>91 – 120</w:t>
            </w:r>
          </w:p>
        </w:tc>
        <w:tc>
          <w:tcPr>
            <w:tcW w:w="0" w:type="auto"/>
          </w:tcPr>
          <w:p w14:paraId="1B85D31A" w14:textId="47E322C0" w:rsidR="004A33A1" w:rsidRPr="0076589C" w:rsidRDefault="1C8D6E3A" w:rsidP="00C8505C">
            <w:pPr>
              <w:pStyle w:val="Tabla"/>
              <w:rPr>
                <w:lang w:val="es-HN"/>
              </w:rPr>
            </w:pPr>
            <w:r w:rsidRPr="0076589C">
              <w:t>D</w:t>
            </w:r>
          </w:p>
        </w:tc>
        <w:tc>
          <w:tcPr>
            <w:tcW w:w="0" w:type="auto"/>
          </w:tcPr>
          <w:p w14:paraId="78003C06" w14:textId="472CF254" w:rsidR="004A33A1" w:rsidRPr="0076589C" w:rsidRDefault="1C8D6E3A" w:rsidP="00C8505C">
            <w:pPr>
              <w:pStyle w:val="Tabla"/>
              <w:rPr>
                <w:lang w:val="es-HN"/>
              </w:rPr>
            </w:pPr>
            <w:r w:rsidRPr="0076589C">
              <w:t>50%</w:t>
            </w:r>
          </w:p>
        </w:tc>
      </w:tr>
      <w:tr w:rsidR="004A33A1" w:rsidRPr="0076589C" w14:paraId="54C37BD5" w14:textId="77777777" w:rsidTr="1C8D6E3A">
        <w:trPr>
          <w:jc w:val="center"/>
        </w:trPr>
        <w:tc>
          <w:tcPr>
            <w:tcW w:w="0" w:type="auto"/>
          </w:tcPr>
          <w:p w14:paraId="23FE7702" w14:textId="0B97EFB0" w:rsidR="004A33A1" w:rsidRPr="0076589C" w:rsidRDefault="1C8D6E3A" w:rsidP="00C8505C">
            <w:pPr>
              <w:pStyle w:val="Tabla"/>
              <w:rPr>
                <w:lang w:val="es-HN"/>
              </w:rPr>
            </w:pPr>
            <w:r w:rsidRPr="0076589C">
              <w:t>121 – 150</w:t>
            </w:r>
          </w:p>
        </w:tc>
        <w:tc>
          <w:tcPr>
            <w:tcW w:w="0" w:type="auto"/>
          </w:tcPr>
          <w:p w14:paraId="74285067" w14:textId="6FB8FE02" w:rsidR="004A33A1" w:rsidRPr="0076589C" w:rsidRDefault="1C8D6E3A" w:rsidP="00C8505C">
            <w:pPr>
              <w:pStyle w:val="Tabla"/>
              <w:rPr>
                <w:lang w:val="es-HN"/>
              </w:rPr>
            </w:pPr>
            <w:r w:rsidRPr="0076589C">
              <w:t>E</w:t>
            </w:r>
          </w:p>
        </w:tc>
        <w:tc>
          <w:tcPr>
            <w:tcW w:w="0" w:type="auto"/>
          </w:tcPr>
          <w:p w14:paraId="49A186F7" w14:textId="3FE05E41" w:rsidR="004A33A1" w:rsidRPr="0076589C" w:rsidRDefault="1C8D6E3A" w:rsidP="00C8505C">
            <w:pPr>
              <w:pStyle w:val="Tabla"/>
              <w:rPr>
                <w:lang w:val="es-HN"/>
              </w:rPr>
            </w:pPr>
            <w:r w:rsidRPr="0076589C">
              <w:t>75%</w:t>
            </w:r>
          </w:p>
        </w:tc>
      </w:tr>
      <w:tr w:rsidR="004A33A1" w:rsidRPr="0076589C" w14:paraId="7C705367" w14:textId="77777777" w:rsidTr="1C8D6E3A">
        <w:trPr>
          <w:jc w:val="center"/>
        </w:trPr>
        <w:tc>
          <w:tcPr>
            <w:tcW w:w="0" w:type="auto"/>
          </w:tcPr>
          <w:p w14:paraId="6A728CDE" w14:textId="5A0EE92B" w:rsidR="004A33A1" w:rsidRPr="0076589C" w:rsidRDefault="1C8D6E3A" w:rsidP="00C8505C">
            <w:pPr>
              <w:pStyle w:val="Tabla"/>
              <w:rPr>
                <w:lang w:val="es-HN"/>
              </w:rPr>
            </w:pPr>
            <w:r w:rsidRPr="0076589C">
              <w:t>151 o más</w:t>
            </w:r>
          </w:p>
        </w:tc>
        <w:tc>
          <w:tcPr>
            <w:tcW w:w="0" w:type="auto"/>
          </w:tcPr>
          <w:p w14:paraId="47930F78" w14:textId="26F57FE6" w:rsidR="004A33A1" w:rsidRPr="0076589C" w:rsidRDefault="1C8D6E3A" w:rsidP="00C8505C">
            <w:pPr>
              <w:pStyle w:val="Tabla"/>
              <w:rPr>
                <w:lang w:val="es-HN"/>
              </w:rPr>
            </w:pPr>
            <w:r w:rsidRPr="0076589C">
              <w:t>F</w:t>
            </w:r>
          </w:p>
        </w:tc>
        <w:tc>
          <w:tcPr>
            <w:tcW w:w="0" w:type="auto"/>
          </w:tcPr>
          <w:p w14:paraId="6FC53ADE" w14:textId="0D5A75C4" w:rsidR="004A33A1" w:rsidRPr="0076589C" w:rsidRDefault="1C8D6E3A" w:rsidP="00C8505C">
            <w:pPr>
              <w:pStyle w:val="Tabla"/>
              <w:rPr>
                <w:lang w:val="es-HN"/>
              </w:rPr>
            </w:pPr>
            <w:r w:rsidRPr="0076589C">
              <w:t>100%</w:t>
            </w:r>
          </w:p>
        </w:tc>
      </w:tr>
    </w:tbl>
    <w:p w14:paraId="240580B1" w14:textId="5CFE502E" w:rsidR="002E6E51" w:rsidRPr="0076589C" w:rsidRDefault="1C8D6E3A" w:rsidP="00C8505C">
      <w:pPr>
        <w:pStyle w:val="Fuentes"/>
        <w:rPr>
          <w:lang w:val="es-HN"/>
        </w:rPr>
      </w:pPr>
      <w:r w:rsidRPr="0076589C">
        <w:t xml:space="preserve">Fuente: </w:t>
      </w:r>
      <w:r w:rsidR="7A54A044" w:rsidRPr="0076589C">
        <w:rPr>
          <w:lang w:val="es-HN"/>
        </w:rPr>
        <w:fldChar w:fldCharType="begin"/>
      </w:r>
      <w:r w:rsidR="7A54A044" w:rsidRPr="0076589C">
        <w:rPr>
          <w:lang w:val="es-HN"/>
        </w:rPr>
        <w:instrText xml:space="preserve"> ADDIN ZOTERO_ITEM CSL_CITATION {"citationID":"lu34lVNm","properties":{"formattedCitation":"(Flores Padilla, 2009)","plainCitation":"(Flores Padilla, 2009)","dontUpdate":true,"noteIndex":0},"citationItems":[{"id":186,"uris":["http://zotero.org/users/12108825/items/GMPVE692"],"itemData":{"id":186,"type":"article-newspaper","container-title":"La Gaceta","title":"Acuerdo No. 4 2009: Norma Hondureña de Contabilidad","author":[{"family":"Flores Padilla","given":"Jorge"}],"issued":{"date-parts":[["2009"]]}}}],"schema":"https://github.com/citation-style-language/schema/raw/master/csl-citation.json"} </w:instrText>
      </w:r>
      <w:r w:rsidR="7A54A044" w:rsidRPr="0076589C">
        <w:rPr>
          <w:lang w:val="es-HN"/>
        </w:rPr>
        <w:fldChar w:fldCharType="separate"/>
      </w:r>
      <w:r w:rsidRPr="0076589C">
        <w:t>Flores Padilla, (2009)</w:t>
      </w:r>
      <w:r w:rsidR="7A54A044" w:rsidRPr="0076589C">
        <w:rPr>
          <w:lang w:val="es-HN"/>
        </w:rPr>
        <w:fldChar w:fldCharType="end"/>
      </w:r>
      <w:r w:rsidRPr="0076589C">
        <w:t>.</w:t>
      </w:r>
    </w:p>
    <w:p w14:paraId="5CB81B58" w14:textId="45810DFE" w:rsidR="00284282" w:rsidRPr="0076589C" w:rsidRDefault="1C8D6E3A" w:rsidP="00C8505C">
      <w:pPr>
        <w:pStyle w:val="TextoPrincipal"/>
        <w:rPr>
          <w:lang w:val="es-HN"/>
        </w:rPr>
      </w:pPr>
      <w:r w:rsidRPr="0076589C">
        <w:rPr>
          <w:lang w:val="es-HN"/>
        </w:rPr>
        <w:t>Para la clasificación de las categorías se considerará el saldo total de cada cliente. El cliente estará en la categoría donde tenga el saldo en morar más antiguo.</w:t>
      </w:r>
    </w:p>
    <w:p w14:paraId="15D6D11E" w14:textId="3C19F890" w:rsidR="00A918C5" w:rsidRPr="0076589C" w:rsidRDefault="1C8D6E3A" w:rsidP="00C8505C">
      <w:pPr>
        <w:pStyle w:val="TextoPrincipal"/>
        <w:rPr>
          <w:lang w:val="es-HN"/>
        </w:rPr>
      </w:pPr>
      <w:r w:rsidRPr="0076589C">
        <w:rPr>
          <w:lang w:val="es-HN"/>
        </w:rPr>
        <w:t>Método global en base a los días promedio en cartera</w:t>
      </w:r>
    </w:p>
    <w:p w14:paraId="755EEF1E" w14:textId="1AD6B143" w:rsidR="00A918C5" w:rsidRPr="0076589C" w:rsidRDefault="1C8D6E3A" w:rsidP="00C8505C">
      <w:pPr>
        <w:pStyle w:val="TextoPrincipal"/>
        <w:rPr>
          <w:lang w:val="es-HN"/>
        </w:rPr>
      </w:pPr>
      <w:r w:rsidRPr="0076589C">
        <w:rPr>
          <w:lang w:val="es-HN"/>
        </w:rPr>
        <w:t xml:space="preserve">Cuando no se tiene un sistema para clasificar a los clientes por su morosidad, aplica a este tipo de medición, donde los casos por días de rotación se aplican los siguientes porcentajes: </w:t>
      </w:r>
    </w:p>
    <w:p w14:paraId="13D0963B" w14:textId="235FB62C" w:rsidR="003A5254" w:rsidRPr="0076589C" w:rsidRDefault="1C8D6E3A" w:rsidP="00E842E0">
      <w:pPr>
        <w:pStyle w:val="ImagenyTabla"/>
        <w:rPr>
          <w:noProof w:val="0"/>
        </w:rPr>
      </w:pPr>
      <w:bookmarkStart w:id="175" w:name="_Toc158365550"/>
      <w:r w:rsidRPr="0076589C">
        <w:t xml:space="preserve">Tabla </w:t>
      </w:r>
      <w:r w:rsidR="7A54A044" w:rsidRPr="0076589C">
        <w:rPr>
          <w:noProof w:val="0"/>
        </w:rPr>
        <w:fldChar w:fldCharType="begin"/>
      </w:r>
      <w:r w:rsidR="7A54A044" w:rsidRPr="0076589C">
        <w:rPr>
          <w:noProof w:val="0"/>
        </w:rPr>
        <w:instrText xml:space="preserve"> SEQ Tabla \* ARABIC </w:instrText>
      </w:r>
      <w:r w:rsidR="7A54A044" w:rsidRPr="0076589C">
        <w:rPr>
          <w:noProof w:val="0"/>
        </w:rPr>
        <w:fldChar w:fldCharType="separate"/>
      </w:r>
      <w:r w:rsidR="009F171A">
        <w:t>2</w:t>
      </w:r>
      <w:r w:rsidR="7A54A044" w:rsidRPr="0076589C">
        <w:rPr>
          <w:noProof w:val="0"/>
        </w:rPr>
        <w:fldChar w:fldCharType="end"/>
      </w:r>
      <w:r w:rsidRPr="0076589C">
        <w:t>. Porcentajes de cartera</w:t>
      </w:r>
      <w:bookmarkEnd w:id="175"/>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1"/>
        <w:gridCol w:w="1046"/>
      </w:tblGrid>
      <w:tr w:rsidR="00004433" w:rsidRPr="0076589C" w14:paraId="20854507" w14:textId="77777777" w:rsidTr="1C8D6E3A">
        <w:trPr>
          <w:jc w:val="center"/>
        </w:trPr>
        <w:tc>
          <w:tcPr>
            <w:tcW w:w="0" w:type="auto"/>
          </w:tcPr>
          <w:p w14:paraId="3BC2344D" w14:textId="3D4D2899" w:rsidR="00004433" w:rsidRPr="0076589C" w:rsidRDefault="1C8D6E3A" w:rsidP="00C8505C">
            <w:pPr>
              <w:pStyle w:val="Tabla"/>
              <w:rPr>
                <w:b/>
                <w:bCs/>
                <w:lang w:val="es-HN"/>
              </w:rPr>
            </w:pPr>
            <w:r w:rsidRPr="0076589C">
              <w:rPr>
                <w:b/>
                <w:bCs/>
              </w:rPr>
              <w:t>Días promedio en cartera</w:t>
            </w:r>
          </w:p>
        </w:tc>
        <w:tc>
          <w:tcPr>
            <w:tcW w:w="0" w:type="auto"/>
          </w:tcPr>
          <w:p w14:paraId="245D4112" w14:textId="4EEA9E60" w:rsidR="00004433" w:rsidRPr="0076589C" w:rsidRDefault="1C8D6E3A" w:rsidP="00C8505C">
            <w:pPr>
              <w:pStyle w:val="Tabla"/>
              <w:rPr>
                <w:b/>
                <w:bCs/>
                <w:lang w:val="es-HN"/>
              </w:rPr>
            </w:pPr>
            <w:r w:rsidRPr="0076589C">
              <w:rPr>
                <w:b/>
                <w:bCs/>
              </w:rPr>
              <w:t>Porcentaje</w:t>
            </w:r>
          </w:p>
        </w:tc>
      </w:tr>
      <w:tr w:rsidR="00004433" w:rsidRPr="0076589C" w14:paraId="4D0C7DA8" w14:textId="77777777" w:rsidTr="1C8D6E3A">
        <w:trPr>
          <w:jc w:val="center"/>
        </w:trPr>
        <w:tc>
          <w:tcPr>
            <w:tcW w:w="0" w:type="auto"/>
          </w:tcPr>
          <w:p w14:paraId="33B5F06A" w14:textId="03C05745" w:rsidR="00004433" w:rsidRPr="0076589C" w:rsidRDefault="1C8D6E3A" w:rsidP="00C8505C">
            <w:pPr>
              <w:pStyle w:val="Tabla"/>
              <w:rPr>
                <w:lang w:val="es-HN"/>
              </w:rPr>
            </w:pPr>
            <w:r w:rsidRPr="0076589C">
              <w:t>Hasta 30 días</w:t>
            </w:r>
          </w:p>
        </w:tc>
        <w:tc>
          <w:tcPr>
            <w:tcW w:w="0" w:type="auto"/>
          </w:tcPr>
          <w:p w14:paraId="65D4E84C" w14:textId="235150D4" w:rsidR="00004433" w:rsidRPr="0076589C" w:rsidRDefault="1C8D6E3A" w:rsidP="00C8505C">
            <w:pPr>
              <w:pStyle w:val="Tabla"/>
              <w:rPr>
                <w:lang w:val="es-HN"/>
              </w:rPr>
            </w:pPr>
            <w:r w:rsidRPr="0076589C">
              <w:t>0%</w:t>
            </w:r>
          </w:p>
        </w:tc>
      </w:tr>
      <w:tr w:rsidR="00004433" w:rsidRPr="0076589C" w14:paraId="5D85C477" w14:textId="77777777" w:rsidTr="1C8D6E3A">
        <w:trPr>
          <w:jc w:val="center"/>
        </w:trPr>
        <w:tc>
          <w:tcPr>
            <w:tcW w:w="0" w:type="auto"/>
          </w:tcPr>
          <w:p w14:paraId="733D7663" w14:textId="3D7FC4F2" w:rsidR="00004433" w:rsidRPr="0076589C" w:rsidRDefault="1C8D6E3A" w:rsidP="00C8505C">
            <w:pPr>
              <w:pStyle w:val="Tabla"/>
              <w:rPr>
                <w:lang w:val="es-HN"/>
              </w:rPr>
            </w:pPr>
            <w:r w:rsidRPr="0076589C">
              <w:t>De 31 a 90 días</w:t>
            </w:r>
          </w:p>
        </w:tc>
        <w:tc>
          <w:tcPr>
            <w:tcW w:w="0" w:type="auto"/>
          </w:tcPr>
          <w:p w14:paraId="17F3A46F" w14:textId="7E0CF5BD" w:rsidR="00004433" w:rsidRPr="0076589C" w:rsidRDefault="1C8D6E3A" w:rsidP="00C8505C">
            <w:pPr>
              <w:pStyle w:val="Tabla"/>
              <w:rPr>
                <w:lang w:val="es-HN"/>
              </w:rPr>
            </w:pPr>
            <w:r w:rsidRPr="0076589C">
              <w:t>2% a 5%</w:t>
            </w:r>
          </w:p>
        </w:tc>
      </w:tr>
      <w:tr w:rsidR="00ED39E5" w:rsidRPr="0076589C" w14:paraId="34BFF2BC" w14:textId="77777777" w:rsidTr="1C8D6E3A">
        <w:trPr>
          <w:jc w:val="center"/>
        </w:trPr>
        <w:tc>
          <w:tcPr>
            <w:tcW w:w="0" w:type="auto"/>
          </w:tcPr>
          <w:p w14:paraId="6FCEF7BF" w14:textId="43E4EBE8" w:rsidR="00ED39E5" w:rsidRPr="0076589C" w:rsidRDefault="1C8D6E3A" w:rsidP="00C8505C">
            <w:pPr>
              <w:pStyle w:val="Tabla"/>
              <w:rPr>
                <w:lang w:val="es-HN"/>
              </w:rPr>
            </w:pPr>
            <w:r w:rsidRPr="0076589C">
              <w:t>De 91 a 120 días</w:t>
            </w:r>
          </w:p>
        </w:tc>
        <w:tc>
          <w:tcPr>
            <w:tcW w:w="0" w:type="auto"/>
          </w:tcPr>
          <w:p w14:paraId="72035784" w14:textId="6B6FE172" w:rsidR="00ED39E5" w:rsidRPr="0076589C" w:rsidRDefault="1C8D6E3A" w:rsidP="00C8505C">
            <w:pPr>
              <w:pStyle w:val="Tabla"/>
              <w:rPr>
                <w:lang w:val="es-HN"/>
              </w:rPr>
            </w:pPr>
            <w:r w:rsidRPr="0076589C">
              <w:t>10%</w:t>
            </w:r>
          </w:p>
        </w:tc>
      </w:tr>
      <w:tr w:rsidR="00636AF0" w:rsidRPr="0076589C" w14:paraId="4D4F27D7" w14:textId="77777777" w:rsidTr="1C8D6E3A">
        <w:trPr>
          <w:jc w:val="center"/>
        </w:trPr>
        <w:tc>
          <w:tcPr>
            <w:tcW w:w="0" w:type="auto"/>
          </w:tcPr>
          <w:p w14:paraId="42CFD3E3" w14:textId="283A894C" w:rsidR="00636AF0" w:rsidRPr="0076589C" w:rsidRDefault="1C8D6E3A" w:rsidP="00C8505C">
            <w:pPr>
              <w:pStyle w:val="Tabla"/>
              <w:rPr>
                <w:lang w:val="es-HN"/>
              </w:rPr>
            </w:pPr>
            <w:r w:rsidRPr="0076589C">
              <w:t>De 121 a 180 días</w:t>
            </w:r>
          </w:p>
        </w:tc>
        <w:tc>
          <w:tcPr>
            <w:tcW w:w="0" w:type="auto"/>
          </w:tcPr>
          <w:p w14:paraId="3A009125" w14:textId="6DE3321C" w:rsidR="00636AF0" w:rsidRPr="0076589C" w:rsidRDefault="1C8D6E3A" w:rsidP="00C8505C">
            <w:pPr>
              <w:pStyle w:val="Tabla"/>
              <w:rPr>
                <w:lang w:val="es-HN"/>
              </w:rPr>
            </w:pPr>
            <w:r w:rsidRPr="0076589C">
              <w:t>50%</w:t>
            </w:r>
          </w:p>
        </w:tc>
      </w:tr>
      <w:tr w:rsidR="00AA14D0" w:rsidRPr="0076589C" w14:paraId="2286E524" w14:textId="77777777" w:rsidTr="1C8D6E3A">
        <w:trPr>
          <w:jc w:val="center"/>
        </w:trPr>
        <w:tc>
          <w:tcPr>
            <w:tcW w:w="0" w:type="auto"/>
          </w:tcPr>
          <w:p w14:paraId="70B84628" w14:textId="1A780974" w:rsidR="00AA14D0" w:rsidRPr="0076589C" w:rsidRDefault="1C8D6E3A" w:rsidP="00C8505C">
            <w:pPr>
              <w:pStyle w:val="Tabla"/>
              <w:rPr>
                <w:lang w:val="es-HN"/>
              </w:rPr>
            </w:pPr>
            <w:r w:rsidRPr="0076589C">
              <w:t>De 181 a 359 días</w:t>
            </w:r>
          </w:p>
        </w:tc>
        <w:tc>
          <w:tcPr>
            <w:tcW w:w="0" w:type="auto"/>
          </w:tcPr>
          <w:p w14:paraId="686871AD" w14:textId="471096BB" w:rsidR="00AA14D0" w:rsidRPr="0076589C" w:rsidRDefault="1C8D6E3A" w:rsidP="00C8505C">
            <w:pPr>
              <w:pStyle w:val="Tabla"/>
              <w:rPr>
                <w:lang w:val="es-HN"/>
              </w:rPr>
            </w:pPr>
            <w:r w:rsidRPr="0076589C">
              <w:t>80%</w:t>
            </w:r>
          </w:p>
        </w:tc>
      </w:tr>
      <w:tr w:rsidR="00004433" w:rsidRPr="0076589C" w14:paraId="07CA33B6" w14:textId="77777777" w:rsidTr="1C8D6E3A">
        <w:trPr>
          <w:jc w:val="center"/>
        </w:trPr>
        <w:tc>
          <w:tcPr>
            <w:tcW w:w="0" w:type="auto"/>
          </w:tcPr>
          <w:p w14:paraId="2C11528C" w14:textId="10627BD4" w:rsidR="00004433" w:rsidRPr="0076589C" w:rsidRDefault="1C8D6E3A" w:rsidP="00C8505C">
            <w:pPr>
              <w:pStyle w:val="Tabla"/>
              <w:rPr>
                <w:lang w:val="es-HN"/>
              </w:rPr>
            </w:pPr>
            <w:r w:rsidRPr="0076589C">
              <w:t>Más de 360 días</w:t>
            </w:r>
          </w:p>
        </w:tc>
        <w:tc>
          <w:tcPr>
            <w:tcW w:w="0" w:type="auto"/>
          </w:tcPr>
          <w:p w14:paraId="2F988EBD" w14:textId="19F18F56" w:rsidR="00004433" w:rsidRPr="0076589C" w:rsidRDefault="1C8D6E3A" w:rsidP="00C8505C">
            <w:pPr>
              <w:pStyle w:val="Tabla"/>
              <w:rPr>
                <w:lang w:val="es-HN"/>
              </w:rPr>
            </w:pPr>
            <w:r w:rsidRPr="0076589C">
              <w:t>100%</w:t>
            </w:r>
          </w:p>
        </w:tc>
      </w:tr>
    </w:tbl>
    <w:p w14:paraId="76F38509" w14:textId="72BA4A20" w:rsidR="00733866" w:rsidRPr="0076589C" w:rsidRDefault="1C8D6E3A" w:rsidP="00C8505C">
      <w:pPr>
        <w:pStyle w:val="Fuentes"/>
        <w:rPr>
          <w:lang w:val="es-HN"/>
        </w:rPr>
      </w:pPr>
      <w:r w:rsidRPr="0076589C">
        <w:t xml:space="preserve">Fuente: </w:t>
      </w:r>
      <w:r w:rsidR="7A54A044" w:rsidRPr="0076589C">
        <w:rPr>
          <w:lang w:val="es-HN"/>
        </w:rPr>
        <w:fldChar w:fldCharType="begin"/>
      </w:r>
      <w:r w:rsidR="7A54A044" w:rsidRPr="0076589C">
        <w:rPr>
          <w:lang w:val="es-HN"/>
        </w:rPr>
        <w:instrText xml:space="preserve"> ADDIN ZOTERO_ITEM CSL_CITATION {"citationID":"FAG5rQNX","properties":{"formattedCitation":"(Flores Padilla, 2009)","plainCitation":"(Flores Padilla, 2009)","dontUpdate":true,"noteIndex":0},"citationItems":[{"id":186,"uris":["http://zotero.org/users/12108825/items/GMPVE692"],"itemData":{"id":186,"type":"article-newspaper","container-title":"La Gaceta","title":"Acuerdo No. 4 2009: Norma Hondureña de Contabilidad","author":[{"family":"Flores Padilla","given":"Jorge"}],"issued":{"date-parts":[["2009"]]}}}],"schema":"https://github.com/citation-style-language/schema/raw/master/csl-citation.json"} </w:instrText>
      </w:r>
      <w:r w:rsidR="7A54A044" w:rsidRPr="0076589C">
        <w:rPr>
          <w:lang w:val="es-HN"/>
        </w:rPr>
        <w:fldChar w:fldCharType="separate"/>
      </w:r>
      <w:r w:rsidRPr="0076589C">
        <w:t>Flores Padilla, (2009)</w:t>
      </w:r>
      <w:r w:rsidR="7A54A044" w:rsidRPr="0076589C">
        <w:rPr>
          <w:lang w:val="es-HN"/>
        </w:rPr>
        <w:fldChar w:fldCharType="end"/>
      </w:r>
      <w:r w:rsidRPr="0076589C">
        <w:t>.</w:t>
      </w:r>
    </w:p>
    <w:p w14:paraId="3C7A52AB" w14:textId="6C5794C7" w:rsidR="00004433" w:rsidRPr="0076589C" w:rsidRDefault="1C8D6E3A" w:rsidP="00C8505C">
      <w:pPr>
        <w:pStyle w:val="TextoPrincipal"/>
        <w:rPr>
          <w:lang w:val="es-HN"/>
        </w:rPr>
      </w:pPr>
      <w:r w:rsidRPr="0076589C">
        <w:t xml:space="preserve">La entidad deberá divulgar: </w:t>
      </w:r>
    </w:p>
    <w:p w14:paraId="76E1D8E1" w14:textId="1871C44D" w:rsidR="00733866" w:rsidRPr="0076589C" w:rsidRDefault="1C8D6E3A" w:rsidP="00494616">
      <w:pPr>
        <w:pStyle w:val="TextoPrincipal"/>
        <w:numPr>
          <w:ilvl w:val="3"/>
          <w:numId w:val="19"/>
        </w:numPr>
        <w:rPr>
          <w:lang w:val="es-HN"/>
        </w:rPr>
      </w:pPr>
      <w:r w:rsidRPr="0076589C">
        <w:rPr>
          <w:lang w:val="es-HN"/>
        </w:rPr>
        <w:t>Segregación de cuentas por cobrar según origen</w:t>
      </w:r>
    </w:p>
    <w:p w14:paraId="781DADA5" w14:textId="2A0DD104" w:rsidR="00733866" w:rsidRPr="0076589C" w:rsidRDefault="1C8D6E3A" w:rsidP="00494616">
      <w:pPr>
        <w:pStyle w:val="TextoPrincipal"/>
        <w:numPr>
          <w:ilvl w:val="3"/>
          <w:numId w:val="19"/>
        </w:numPr>
        <w:rPr>
          <w:lang w:val="es-HN"/>
        </w:rPr>
      </w:pPr>
      <w:r w:rsidRPr="0076589C">
        <w:rPr>
          <w:lang w:val="es-HN"/>
        </w:rPr>
        <w:t>Movimiento de la estimación para cuentas de cobro dudoso</w:t>
      </w:r>
    </w:p>
    <w:p w14:paraId="15300F0D" w14:textId="24C31460" w:rsidR="00733866" w:rsidRPr="0076589C" w:rsidRDefault="1C8D6E3A" w:rsidP="00494616">
      <w:pPr>
        <w:pStyle w:val="TextoPrincipal"/>
        <w:numPr>
          <w:ilvl w:val="3"/>
          <w:numId w:val="19"/>
        </w:numPr>
        <w:rPr>
          <w:lang w:val="es-HN"/>
        </w:rPr>
      </w:pPr>
      <w:r w:rsidRPr="0076589C">
        <w:t>Tasa efectiva de interés</w:t>
      </w:r>
    </w:p>
    <w:p w14:paraId="2CD17840" w14:textId="24B93DA1" w:rsidR="00733866" w:rsidRPr="0076589C" w:rsidRDefault="1C8D6E3A" w:rsidP="00494616">
      <w:pPr>
        <w:pStyle w:val="TextoPrincipal"/>
        <w:numPr>
          <w:ilvl w:val="3"/>
          <w:numId w:val="19"/>
        </w:numPr>
        <w:rPr>
          <w:lang w:val="es-HN"/>
        </w:rPr>
      </w:pPr>
      <w:r w:rsidRPr="0076589C">
        <w:t xml:space="preserve">Concentración del riesgo crediticio </w:t>
      </w:r>
    </w:p>
    <w:p w14:paraId="0A8953F5" w14:textId="40054996" w:rsidR="006359E7" w:rsidRPr="0076589C" w:rsidRDefault="1C8D6E3A" w:rsidP="00494616">
      <w:pPr>
        <w:pStyle w:val="TextoPrincipal"/>
        <w:numPr>
          <w:ilvl w:val="3"/>
          <w:numId w:val="19"/>
        </w:numPr>
        <w:rPr>
          <w:lang w:val="es-HN"/>
        </w:rPr>
      </w:pPr>
      <w:r w:rsidRPr="0076589C">
        <w:rPr>
          <w:lang w:val="es-HN"/>
        </w:rPr>
        <w:t>Método usado para calcular la estimación para cuentas por cobrar</w:t>
      </w:r>
    </w:p>
    <w:p w14:paraId="54FA0000" w14:textId="11E22F60" w:rsidR="007517C4" w:rsidRPr="0076589C" w:rsidRDefault="1C8D6E3A" w:rsidP="00494616">
      <w:pPr>
        <w:pStyle w:val="TextoPrincipal"/>
        <w:numPr>
          <w:ilvl w:val="3"/>
          <w:numId w:val="19"/>
        </w:numPr>
        <w:rPr>
          <w:lang w:val="es-HN"/>
        </w:rPr>
      </w:pPr>
      <w:r w:rsidRPr="0076589C">
        <w:rPr>
          <w:lang w:val="es-HN"/>
        </w:rPr>
        <w:t>Monto de las cuentas por cobrar en garantía de préstamos a cargo de la entidad</w:t>
      </w:r>
    </w:p>
    <w:p w14:paraId="153F5F2E" w14:textId="06E60F5A" w:rsidR="005E0D03" w:rsidRPr="0076589C" w:rsidRDefault="1C8D6E3A" w:rsidP="00494616">
      <w:pPr>
        <w:pStyle w:val="TextoPrincipal"/>
        <w:numPr>
          <w:ilvl w:val="3"/>
          <w:numId w:val="19"/>
        </w:numPr>
        <w:rPr>
          <w:lang w:val="es-HN"/>
        </w:rPr>
      </w:pPr>
      <w:r w:rsidRPr="0076589C">
        <w:t>Saldos en moneda extranjera</w:t>
      </w:r>
    </w:p>
    <w:p w14:paraId="496637EF" w14:textId="6203E68C" w:rsidR="005E0D03" w:rsidRPr="0076589C" w:rsidRDefault="1C8D6E3A" w:rsidP="00494616">
      <w:pPr>
        <w:pStyle w:val="TextoPrincipal"/>
        <w:numPr>
          <w:ilvl w:val="3"/>
          <w:numId w:val="19"/>
        </w:numPr>
        <w:rPr>
          <w:lang w:val="es-HN"/>
        </w:rPr>
      </w:pPr>
      <w:r w:rsidRPr="0076589C">
        <w:rPr>
          <w:lang w:val="es-HN"/>
        </w:rPr>
        <w:lastRenderedPageBreak/>
        <w:t>Saldos con vencimiento de más de 12 meses</w:t>
      </w:r>
    </w:p>
    <w:p w14:paraId="11ECAD54" w14:textId="77777777" w:rsidR="00932CD9" w:rsidRPr="0076589C" w:rsidRDefault="1C8D6E3A" w:rsidP="00886D22">
      <w:pPr>
        <w:pStyle w:val="TextoPrincipal"/>
        <w:numPr>
          <w:ilvl w:val="3"/>
          <w:numId w:val="19"/>
        </w:numPr>
        <w:spacing w:after="0"/>
        <w:rPr>
          <w:lang w:val="es-HN"/>
        </w:rPr>
      </w:pPr>
      <w:r w:rsidRPr="0076589C">
        <w:rPr>
          <w:lang w:val="es-HN"/>
        </w:rPr>
        <w:t>Cambio del método de la estimación de la provisión para las cuentas incobrables y efecto en la estimación contable.</w:t>
      </w:r>
    </w:p>
    <w:p w14:paraId="196B66B6" w14:textId="77777777" w:rsidR="00886D22" w:rsidRPr="0076589C" w:rsidRDefault="00886D22" w:rsidP="00AB50C9">
      <w:pPr>
        <w:pStyle w:val="TextoPrincipal"/>
        <w:spacing w:after="0"/>
        <w:ind w:firstLine="0"/>
        <w:rPr>
          <w:lang w:val="es-HN"/>
        </w:rPr>
      </w:pPr>
    </w:p>
    <w:p w14:paraId="124E7255" w14:textId="2A94F4D5" w:rsidR="00326C7C" w:rsidRPr="0076589C" w:rsidRDefault="1C8D6E3A" w:rsidP="00494506">
      <w:pPr>
        <w:pStyle w:val="Ttulonivel3"/>
      </w:pPr>
      <w:bookmarkStart w:id="176" w:name="_Toc158365492"/>
      <w:r w:rsidRPr="0076589C">
        <w:t>2.4.4 NORMAS INTERNACIONALES DE INFORMACIÓN FINANCIERA (NIIF)</w:t>
      </w:r>
      <w:bookmarkEnd w:id="176"/>
    </w:p>
    <w:p w14:paraId="637F7A5D" w14:textId="738F9789" w:rsidR="00326C7C" w:rsidRPr="0076589C" w:rsidRDefault="1C8D6E3A" w:rsidP="00C8505C">
      <w:pPr>
        <w:pStyle w:val="TextoPrincipal"/>
        <w:rPr>
          <w:lang w:val="es-HN"/>
        </w:rPr>
      </w:pPr>
      <w:r w:rsidRPr="0076589C">
        <w:rPr>
          <w:lang w:val="es-HN"/>
        </w:rPr>
        <w:t>Honduras adopta las NIIF aplicadas a las empresas Públicas como Privadas en base a las siguientes resoluciones:</w:t>
      </w:r>
    </w:p>
    <w:p w14:paraId="688A3A7F" w14:textId="77777777" w:rsidR="007D5A92" w:rsidRPr="0076589C" w:rsidRDefault="1C8D6E3A" w:rsidP="00C8505C">
      <w:pPr>
        <w:pStyle w:val="TextoPrincipal"/>
        <w:rPr>
          <w:lang w:val="es-HN"/>
        </w:rPr>
      </w:pPr>
      <w:r w:rsidRPr="0076589C">
        <w:rPr>
          <w:lang w:val="es-HN"/>
        </w:rPr>
        <w:t>Resolución: JTNCA 001/2010</w:t>
      </w:r>
    </w:p>
    <w:p w14:paraId="3BCAF7F6" w14:textId="512A78C2" w:rsidR="008308B7" w:rsidRPr="0076589C" w:rsidRDefault="1C8D6E3A" w:rsidP="00C8505C">
      <w:pPr>
        <w:pStyle w:val="TextoPrincipal"/>
        <w:rPr>
          <w:lang w:val="es-HN"/>
        </w:rPr>
      </w:pPr>
      <w:r w:rsidRPr="0076589C">
        <w:rPr>
          <w:lang w:val="es-HN"/>
        </w:rPr>
        <w:t>Fecha: 16 de septiembre del 2010</w:t>
      </w:r>
    </w:p>
    <w:p w14:paraId="19F315EC" w14:textId="77777777" w:rsidR="007D5A92" w:rsidRPr="0076589C" w:rsidRDefault="1C8D6E3A" w:rsidP="00C8505C">
      <w:pPr>
        <w:pStyle w:val="TextoPrincipal"/>
        <w:rPr>
          <w:lang w:val="es-HN"/>
        </w:rPr>
      </w:pPr>
      <w:r w:rsidRPr="0076589C">
        <w:rPr>
          <w:lang w:val="es-HN"/>
        </w:rPr>
        <w:t>Presidente: Nelson Alonso Benavidez (Junta Técnica de Normas de Contabilidad y Auditoría)</w:t>
      </w:r>
    </w:p>
    <w:p w14:paraId="421CB53C" w14:textId="50D69666" w:rsidR="005509C7" w:rsidRPr="0076589C" w:rsidRDefault="1C8D6E3A" w:rsidP="00C8505C">
      <w:pPr>
        <w:pStyle w:val="TextoPrincipal"/>
        <w:rPr>
          <w:lang w:val="es-HN"/>
        </w:rPr>
      </w:pPr>
      <w:r w:rsidRPr="0076589C">
        <w:rPr>
          <w:lang w:val="es-HN"/>
        </w:rPr>
        <w:t>Secretario: Marco Tulio Mendieta</w:t>
      </w:r>
    </w:p>
    <w:p w14:paraId="1D9CCBEA" w14:textId="77777777" w:rsidR="007D5A92" w:rsidRPr="0076589C" w:rsidRDefault="1C8D6E3A" w:rsidP="00C8505C">
      <w:pPr>
        <w:pStyle w:val="TextoPrincipal"/>
        <w:rPr>
          <w:lang w:val="es-HN"/>
        </w:rPr>
      </w:pPr>
      <w:r w:rsidRPr="0076589C">
        <w:rPr>
          <w:lang w:val="es-HN"/>
        </w:rPr>
        <w:t>Mandato presidencial: Porfirio Lobo Sosa</w:t>
      </w:r>
    </w:p>
    <w:p w14:paraId="2F5DDA76" w14:textId="234786EF" w:rsidR="00B01DF3" w:rsidRPr="0076589C" w:rsidRDefault="1C8D6E3A" w:rsidP="00C8505C">
      <w:pPr>
        <w:pStyle w:val="TextoPrincipal"/>
        <w:rPr>
          <w:lang w:val="es-HN"/>
        </w:rPr>
      </w:pPr>
      <w:r w:rsidRPr="0076589C">
        <w:rPr>
          <w:lang w:val="es-HN"/>
        </w:rPr>
        <w:t>Congreso Nacional: Juan Orlando Hernández</w:t>
      </w:r>
    </w:p>
    <w:p w14:paraId="26BFE06F" w14:textId="3C45D0F6" w:rsidR="00D059AC" w:rsidRPr="0076589C" w:rsidRDefault="1C8D6E3A" w:rsidP="00C8505C">
      <w:pPr>
        <w:pStyle w:val="TextoPrincipal"/>
        <w:rPr>
          <w:lang w:val="es-HN"/>
        </w:rPr>
      </w:pPr>
      <w:r w:rsidRPr="0076589C">
        <w:rPr>
          <w:lang w:val="es-HN"/>
        </w:rPr>
        <w:t>RESUELVE:</w:t>
      </w:r>
    </w:p>
    <w:p w14:paraId="738D50B8" w14:textId="77777777" w:rsidR="00562FDB" w:rsidRPr="0076589C" w:rsidRDefault="1C8D6E3A" w:rsidP="00562FDB">
      <w:pPr>
        <w:widowControl w:val="0"/>
        <w:spacing w:before="120" w:after="240" w:line="360" w:lineRule="auto"/>
        <w:ind w:left="0" w:firstLine="720"/>
        <w:jc w:val="both"/>
        <w:rPr>
          <w:rFonts w:eastAsia="Calibri" w:cs="Calibri"/>
          <w:lang w:eastAsia="es-HN"/>
        </w:rPr>
      </w:pPr>
      <w:r w:rsidRPr="0076589C">
        <w:rPr>
          <w:rFonts w:eastAsia="Calibri" w:cs="Calibri"/>
        </w:rPr>
        <w:t>TERCERA: Para efectos de la aplicación de las Normas Internacionales de Información Financiera (NIIF-completas) o Normas Internacionales de Información Financiera para Pequeñas y Medianas Entidades (NIIF-PYME), se establecen las siguientes fechas:</w:t>
      </w:r>
    </w:p>
    <w:p w14:paraId="0F5E9078" w14:textId="2AAA8BC4" w:rsidR="00562FDB" w:rsidRPr="0076589C" w:rsidRDefault="1C8D6E3A" w:rsidP="00562FDB">
      <w:pPr>
        <w:widowControl w:val="0"/>
        <w:spacing w:after="120" w:line="360" w:lineRule="auto"/>
        <w:ind w:left="0" w:firstLine="720"/>
        <w:jc w:val="both"/>
        <w:rPr>
          <w:rFonts w:eastAsia="Calibri" w:cs="Times New Roman"/>
        </w:rPr>
      </w:pPr>
      <w:r w:rsidRPr="0076589C">
        <w:rPr>
          <w:rFonts w:eastAsia="Calibri" w:cs="Times New Roman"/>
        </w:rPr>
        <w:t xml:space="preserve">a) Las entidades bajo el marco regulatorio de la Comisión Nacional de Banca y Seguros (CNBS), establecerán su fecha de transición el primero de enero de dos mil once (01-Ene-2011), y fecha de aplicación efectiva primero de enero de dos mil doce (01-Ene-2012). </w:t>
      </w:r>
      <w:r w:rsidR="7A54A044" w:rsidRPr="0076589C">
        <w:rPr>
          <w:rFonts w:eastAsia="Calibri" w:cs="Times New Roman"/>
        </w:rPr>
        <w:fldChar w:fldCharType="begin"/>
      </w:r>
      <w:r w:rsidR="7A54A044" w:rsidRPr="0076589C">
        <w:rPr>
          <w:rFonts w:eastAsia="Calibri" w:cs="Times New Roman"/>
        </w:rPr>
        <w:instrText xml:space="preserve"> ADDIN ZOTERO_ITEM CSL_CITATION {"citationID":"HilEnLht","properties":{"formattedCitation":"(Mendieta, 2010)","plainCitation":"(Mendieta, 2010)","noteIndex":0},"citationItems":[{"id":187,"uris":["http://zotero.org/users/12108825/items/4UNFZPHQ"],"itemData":{"id":187,"type":"article-newspaper","container-title":"La Gaceta","event-place":"Honduras","publisher-place":"Honduras","title":"RESOLUCIÓN JTNCA 001/2010","URL":"https://juntec.org.hn/wp-content/uploads/2021/09/Resolucion-JTNCA-001-09-2010-Aplicacion-NIIF-por-primera-vez.pdf","author":[{"family":"Mendieta","given":"Marco Tulio"}],"issued":{"date-parts":[["2010"]]}}}],"schema":"https://github.com/citation-style-language/schema/raw/master/csl-citation.json"} </w:instrText>
      </w:r>
      <w:r w:rsidR="7A54A044" w:rsidRPr="0076589C">
        <w:rPr>
          <w:rFonts w:eastAsia="Calibri" w:cs="Times New Roman"/>
        </w:rPr>
        <w:fldChar w:fldCharType="separate"/>
      </w:r>
      <w:r w:rsidRPr="0076589C">
        <w:rPr>
          <w:rFonts w:cs="Times New Roman"/>
        </w:rPr>
        <w:t>(Mendieta, 2010)</w:t>
      </w:r>
      <w:r w:rsidR="7A54A044" w:rsidRPr="0076589C">
        <w:rPr>
          <w:rFonts w:eastAsia="Calibri" w:cs="Times New Roman"/>
        </w:rPr>
        <w:fldChar w:fldCharType="end"/>
      </w:r>
    </w:p>
    <w:p w14:paraId="534DB448" w14:textId="6DD5D548" w:rsidR="00D75B0B" w:rsidRPr="0076589C" w:rsidRDefault="1C8D6E3A" w:rsidP="00C8505C">
      <w:pPr>
        <w:pStyle w:val="TextoPrincipal"/>
        <w:rPr>
          <w:lang w:val="es-HN"/>
        </w:rPr>
      </w:pPr>
      <w:r w:rsidRPr="0076589C">
        <w:rPr>
          <w:lang w:val="es-HN"/>
        </w:rPr>
        <w:t>Resolución: JTNCA 074-12/2019</w:t>
      </w:r>
    </w:p>
    <w:p w14:paraId="7F94E69E" w14:textId="32D468F1" w:rsidR="008308B7" w:rsidRPr="0076589C" w:rsidRDefault="1C8D6E3A" w:rsidP="00C8505C">
      <w:pPr>
        <w:pStyle w:val="TextoPrincipal"/>
        <w:rPr>
          <w:lang w:val="es-HN"/>
        </w:rPr>
      </w:pPr>
      <w:r w:rsidRPr="0076589C">
        <w:rPr>
          <w:lang w:val="es-HN"/>
        </w:rPr>
        <w:t>Fecha: 20 de diciembre del 2019</w:t>
      </w:r>
    </w:p>
    <w:p w14:paraId="7CFD7228" w14:textId="4CA55A6E" w:rsidR="00027012" w:rsidRPr="0076589C" w:rsidRDefault="1C8D6E3A" w:rsidP="00C8505C">
      <w:pPr>
        <w:pStyle w:val="TextoPrincipal"/>
        <w:rPr>
          <w:lang w:val="es-HN"/>
        </w:rPr>
      </w:pPr>
      <w:r w:rsidRPr="0076589C">
        <w:rPr>
          <w:lang w:val="es-HN"/>
        </w:rPr>
        <w:t>Presidente: Héctor Mejía Sagastume (Junta Técnica de Normas de Contabilidad y Auditoría)</w:t>
      </w:r>
    </w:p>
    <w:p w14:paraId="10536CFA" w14:textId="3CC54B4E" w:rsidR="00027012" w:rsidRPr="0076589C" w:rsidRDefault="1C8D6E3A" w:rsidP="00C8505C">
      <w:pPr>
        <w:pStyle w:val="TextoPrincipal"/>
        <w:rPr>
          <w:lang w:val="es-HN"/>
        </w:rPr>
      </w:pPr>
      <w:r w:rsidRPr="0076589C">
        <w:rPr>
          <w:lang w:val="es-HN"/>
        </w:rPr>
        <w:t xml:space="preserve">Secretario: Daniel Antonio Fortín </w:t>
      </w:r>
    </w:p>
    <w:p w14:paraId="011D0150" w14:textId="12BE41B3" w:rsidR="00411A93" w:rsidRPr="0076589C" w:rsidRDefault="1C8D6E3A" w:rsidP="00C8505C">
      <w:pPr>
        <w:pStyle w:val="TextoPrincipal"/>
        <w:rPr>
          <w:lang w:val="es-HN"/>
        </w:rPr>
      </w:pPr>
      <w:r w:rsidRPr="0076589C">
        <w:rPr>
          <w:lang w:val="es-HN"/>
        </w:rPr>
        <w:lastRenderedPageBreak/>
        <w:t>RESUELVE:</w:t>
      </w:r>
    </w:p>
    <w:p w14:paraId="2A747F31" w14:textId="161F129C" w:rsidR="00FF411A" w:rsidRPr="0076589C" w:rsidRDefault="1C8D6E3A" w:rsidP="00C8505C">
      <w:pPr>
        <w:pStyle w:val="TextoPrincipal"/>
        <w:rPr>
          <w:lang w:val="es-HN"/>
        </w:rPr>
      </w:pPr>
      <w:r w:rsidRPr="0076589C">
        <w:rPr>
          <w:lang w:val="es-HN"/>
        </w:rPr>
        <w:t xml:space="preserve">b) Las instituciones públicas o privadas con o sin fines de lucro no supervisadas por la Comisión Nacional de Bancos y Seguros que cotizan en bolsa de valores o que capten recursos del público o que realicen intermediación financiera con recursos del Estado o de donantes nacionales o extranjeros, así como, aquellas entidades públicas o privadas con o sin fines de lucro que tengan responsabilidad pública de rendir cuentas de acuerdo con las NIIF, aplicarán en la preparación y presentación de sus Estados Financieros con Propósitos de Información General, las Normas Internacionales de Información Financiera (NIIF Plenas). </w:t>
      </w:r>
      <w:r w:rsidR="7A54A044" w:rsidRPr="0076589C">
        <w:rPr>
          <w:lang w:val="es-HN"/>
        </w:rPr>
        <w:fldChar w:fldCharType="begin"/>
      </w:r>
      <w:r w:rsidR="7A54A044" w:rsidRPr="0076589C">
        <w:rPr>
          <w:lang w:val="es-HN"/>
        </w:rPr>
        <w:instrText xml:space="preserve"> ADDIN ZOTERO_ITEM CSL_CITATION {"citationID":"sPQcezNX","properties":{"formattedCitation":"(Fortin, 2019)","plainCitation":"(Fortin, 2019)","dontUpdate":true,"noteIndex":0},"citationItems":[{"id":188,"uris":["http://zotero.org/users/12108825/items/QW2IU7ZT"],"itemData":{"id":188,"type":"article-newspaper","container-title":"La Gaceta","event-place":"Honduras","publisher-place":"Honduras","title":"RESOLUCIÓN JTNCA 074-12/2019","URL":"https://www.ccichonduras.org/website/Descargas/LEYES/LEYES_ADMINISTRATIVAS_ESPECIALES/Reforma_Resolucion_JTNCA_001-2010.pdf","author":[{"family":"Fortin","given":"Daniel"}],"issued":{"date-parts":[["2019"]]}}}],"schema":"https://github.com/citation-style-language/schema/raw/master/csl-citation.json"} </w:instrText>
      </w:r>
      <w:r w:rsidR="7A54A044" w:rsidRPr="0076589C">
        <w:rPr>
          <w:lang w:val="es-HN"/>
        </w:rPr>
        <w:fldChar w:fldCharType="separate"/>
      </w:r>
      <w:r w:rsidRPr="0076589C">
        <w:rPr>
          <w:lang w:val="es-HN"/>
        </w:rPr>
        <w:t>(Fortín, 2019)</w:t>
      </w:r>
      <w:r w:rsidR="7A54A044" w:rsidRPr="0076589C">
        <w:rPr>
          <w:lang w:val="es-HN"/>
        </w:rPr>
        <w:fldChar w:fldCharType="end"/>
      </w:r>
    </w:p>
    <w:p w14:paraId="41ACCC17" w14:textId="06210D30" w:rsidR="00601099" w:rsidRPr="0076589C" w:rsidRDefault="1C8D6E3A" w:rsidP="00C8505C">
      <w:pPr>
        <w:pStyle w:val="TextoPrincipal"/>
        <w:rPr>
          <w:lang w:val="es-HN"/>
        </w:rPr>
      </w:pPr>
      <w:r w:rsidRPr="0076589C">
        <w:rPr>
          <w:lang w:val="es-HN"/>
        </w:rPr>
        <w:t xml:space="preserve">c) Las entidades privadas con o sin fines de lucro que realicen actividades económicas distintas a las indicadas anteriormente [en los incisos a) y b)], podrán optar por aplicar en la preparación y presentación de sus Estados Financieros con Propósitos de Información General, las Normas Internacionales de Información Financiera (NIIF Plenas) o la Norma Internacional de Información Financiera para las Pequeñas y Medianas Entidades (NIIF para las PYMES). </w:t>
      </w:r>
      <w:r w:rsidR="7A54A044" w:rsidRPr="0076589C">
        <w:rPr>
          <w:lang w:val="es-HN"/>
        </w:rPr>
        <w:fldChar w:fldCharType="begin"/>
      </w:r>
      <w:r w:rsidR="7A54A044" w:rsidRPr="0076589C">
        <w:rPr>
          <w:lang w:val="es-HN"/>
        </w:rPr>
        <w:instrText xml:space="preserve"> ADDIN ZOTERO_ITEM CSL_CITATION {"citationID":"pVGmQFSL","properties":{"formattedCitation":"(Fortin, 2019)","plainCitation":"(Fortin, 2019)","dontUpdate":true,"noteIndex":0},"citationItems":[{"id":188,"uris":["http://zotero.org/users/12108825/items/QW2IU7ZT"],"itemData":{"id":188,"type":"article-newspaper","container-title":"La Gaceta","event-place":"Honduras","publisher-place":"Honduras","title":"RESOLUCIÓN JTNCA 074-12/2019","URL":"https://www.ccichonduras.org/website/Descargas/LEYES/LEYES_ADMINISTRATIVAS_ESPECIALES/Reforma_Resolucion_JTNCA_001-2010.pdf","author":[{"family":"Fortin","given":"Daniel"}],"issued":{"date-parts":[["2019"]]}}}],"schema":"https://github.com/citation-style-language/schema/raw/master/csl-citation.json"} </w:instrText>
      </w:r>
      <w:r w:rsidR="7A54A044" w:rsidRPr="0076589C">
        <w:rPr>
          <w:lang w:val="es-HN"/>
        </w:rPr>
        <w:fldChar w:fldCharType="separate"/>
      </w:r>
      <w:r w:rsidRPr="0076589C">
        <w:rPr>
          <w:lang w:val="es-HN"/>
        </w:rPr>
        <w:t>(Fortín, 2019)</w:t>
      </w:r>
      <w:r w:rsidR="7A54A044" w:rsidRPr="0076589C">
        <w:rPr>
          <w:lang w:val="es-HN"/>
        </w:rPr>
        <w:fldChar w:fldCharType="end"/>
      </w:r>
    </w:p>
    <w:p w14:paraId="3507DD37" w14:textId="01AC9B14" w:rsidR="00D75B0B" w:rsidRPr="0076589C" w:rsidRDefault="1C8D6E3A" w:rsidP="00C8505C">
      <w:pPr>
        <w:pStyle w:val="TextoPrincipal"/>
        <w:rPr>
          <w:lang w:val="es-HN"/>
        </w:rPr>
      </w:pPr>
      <w:r w:rsidRPr="0076589C">
        <w:rPr>
          <w:b/>
          <w:bCs/>
          <w:lang w:val="es-HN"/>
        </w:rPr>
        <w:t>Las Normas Internacionales de Contabilidad (NIC) 39</w:t>
      </w:r>
      <w:r w:rsidRPr="0076589C">
        <w:rPr>
          <w:lang w:val="es-HN"/>
        </w:rPr>
        <w:t xml:space="preserve"> establece los principios para el reconocimiento, la medición, la presentación y la revelación de los instrumentos financieros, incluyendo las cuentas por cobrar y la cartera crediticia. Esta norma establecía los criterios para la clasificación y medición de los instrumentos financieros, así como los requisitos para la contabilización de las pérdidas por deterioro. En el contexto de las cuentas por cobrar y la cartera crediticia, así mismo establece los principios para la contabilización de las provisiones para pérdidas crediticias esperadas y la contabilidad de coberturas. Sin embargo, la NIC 39 fue reemplazada por la NIIF 9 Instrumentos financieros, que introduce cambios significativos en la clasificación y medición de los activos financieros y en la contabilización de las pérdidas por deterioro, incluyendo las cuentas por cobrar y la cartera crediticia.  </w:t>
      </w:r>
      <w:r w:rsidR="7A54A044" w:rsidRPr="0076589C">
        <w:rPr>
          <w:lang w:val="es-HN"/>
        </w:rPr>
        <w:fldChar w:fldCharType="begin"/>
      </w:r>
      <w:r w:rsidR="7A54A044" w:rsidRPr="0076589C">
        <w:rPr>
          <w:lang w:val="es-HN"/>
        </w:rPr>
        <w:instrText xml:space="preserve"> ADDIN ZOTERO_ITEM CSL_CITATION {"citationID":"pLzDKRr8","properties":{"formattedCitation":"(Deloitte, 2016)","plainCitation":"(Deloitte, 2016)","noteIndex":0},"citationItems":[{"id":192,"uris":["http://zotero.org/users/12108825/items/VAKQT2VC"],"itemData":{"id":192,"type":"article-magazine","title":"NIIF 9 Instrumentos Financieros: Lo que hay que saber desde la perspectiva de las empresas no financieras","URL":"https://www2.deloitte.com/content/dam/Deloitte/es/Documents/auditoria/Deloitte-ES-Auditoria-niif9.pdf","author":[{"family":"Deloitte","given":""}],"issued":{"date-parts":[["2016"]]}}}],"schema":"https://github.com/citation-style-language/schema/raw/master/csl-citation.json"} </w:instrText>
      </w:r>
      <w:r w:rsidR="7A54A044" w:rsidRPr="0076589C">
        <w:rPr>
          <w:lang w:val="es-HN"/>
        </w:rPr>
        <w:fldChar w:fldCharType="separate"/>
      </w:r>
      <w:r w:rsidRPr="0076589C">
        <w:rPr>
          <w:lang w:val="es-HN"/>
        </w:rPr>
        <w:t>(Deloitte, 2016)</w:t>
      </w:r>
      <w:r w:rsidR="7A54A044" w:rsidRPr="0076589C">
        <w:rPr>
          <w:lang w:val="es-HN"/>
        </w:rPr>
        <w:fldChar w:fldCharType="end"/>
      </w:r>
    </w:p>
    <w:p w14:paraId="27891F2E" w14:textId="75F24D20" w:rsidR="41C6AAA7" w:rsidRPr="0076589C" w:rsidRDefault="1C8D6E3A" w:rsidP="00C8505C">
      <w:pPr>
        <w:pStyle w:val="TextoPrincipal"/>
        <w:rPr>
          <w:lang w:val="es-HN"/>
        </w:rPr>
      </w:pPr>
      <w:r w:rsidRPr="0076589C">
        <w:rPr>
          <w:lang w:val="es-HN"/>
        </w:rPr>
        <w:t xml:space="preserve">En particular, la NIC 39 establece que las cuentas por cobrar y la cartera crediticia debían ser clasificadas como activos financieros y medidos inicialmente al costo amortizado. La norma requería que las empresas evaluaran periódicamente si existían indicios de deterioro en sus cuentas por cobrar y la cartera crediticia, y que contabilizaran las pérdidas por deterioro utilizando el método de pérdida incurrida. También establece los principios para la contabilidad de coberturas, que permitía a las empresas reducir la volatilidad en sus resultados financieros al contabilizar los </w:t>
      </w:r>
      <w:r w:rsidRPr="0076589C">
        <w:rPr>
          <w:lang w:val="es-HN"/>
        </w:rPr>
        <w:lastRenderedPageBreak/>
        <w:t xml:space="preserve">cambios en el valor justo de los instrumentos financieros utilizados para cubrir riesgos específicos. En el contexto de las cuentas por cobrar y la cartera crediticia, la contabilidad de coberturas podía utilizarse para reducir el riesgo de pérdidas crediticias. </w:t>
      </w:r>
      <w:r w:rsidR="7A54A044" w:rsidRPr="0076589C">
        <w:rPr>
          <w:lang w:val="es-HN"/>
        </w:rPr>
        <w:fldChar w:fldCharType="begin"/>
      </w:r>
      <w:r w:rsidR="7A54A044" w:rsidRPr="0076589C">
        <w:rPr>
          <w:lang w:val="es-HN"/>
        </w:rPr>
        <w:instrText xml:space="preserve"> ADDIN ZOTERO_ITEM CSL_CITATION {"citationID":"YmzjUSGa","properties":{"formattedCitation":"(Deloitte, 2016)","plainCitation":"(Deloitte, 2016)","noteIndex":0},"citationItems":[{"id":192,"uris":["http://zotero.org/users/12108825/items/VAKQT2VC"],"itemData":{"id":192,"type":"article-magazine","title":"NIIF 9 Instrumentos Financieros: Lo que hay que saber desde la perspectiva de las empresas no financieras","URL":"https://www2.deloitte.com/content/dam/Deloitte/es/Documents/auditoria/Deloitte-ES-Auditoria-niif9.pdf","author":[{"family":"Deloitte","given":""}],"issued":{"date-parts":[["2016"]]}}}],"schema":"https://github.com/citation-style-language/schema/raw/master/csl-citation.json"} </w:instrText>
      </w:r>
      <w:r w:rsidR="7A54A044" w:rsidRPr="0076589C">
        <w:rPr>
          <w:lang w:val="es-HN"/>
        </w:rPr>
        <w:fldChar w:fldCharType="separate"/>
      </w:r>
      <w:r w:rsidRPr="0076589C">
        <w:rPr>
          <w:lang w:val="es-HN"/>
        </w:rPr>
        <w:t>(Deloitte, 2016)</w:t>
      </w:r>
      <w:r w:rsidR="7A54A044" w:rsidRPr="0076589C">
        <w:rPr>
          <w:lang w:val="es-HN"/>
        </w:rPr>
        <w:fldChar w:fldCharType="end"/>
      </w:r>
    </w:p>
    <w:p w14:paraId="29AA9D10" w14:textId="641F5409" w:rsidR="00236637" w:rsidRPr="0076589C" w:rsidRDefault="1C8D6E3A" w:rsidP="00C8505C">
      <w:pPr>
        <w:pStyle w:val="TextoPrincipal"/>
        <w:rPr>
          <w:lang w:val="es-HN"/>
        </w:rPr>
      </w:pPr>
      <w:r w:rsidRPr="0076589C">
        <w:rPr>
          <w:b/>
          <w:bCs/>
          <w:lang w:val="es-HN"/>
        </w:rPr>
        <w:t xml:space="preserve">La NIIF 9 </w:t>
      </w:r>
      <w:r w:rsidRPr="0076589C">
        <w:rPr>
          <w:lang w:val="es-HN"/>
        </w:rPr>
        <w:t xml:space="preserve">Hablan acerca de las cuentas por cobrar y la cartera de créditos; establece cómo la norma contempla la utilización de soluciones prácticas para estimar la pérdida esperada en las cuentas por cobrar, como el uso de una matriz de provisiones por tramos. El proporciona un ejemplo de cómo una empresa puede determinar la pérdida crediticia esperada de su cartera de clientes utilizando una matriz basada en tasas de impago históricas ajustadas por estimaciones relativas a las condiciones económicas futuras. </w:t>
      </w:r>
      <w:r w:rsidR="7A54A044" w:rsidRPr="0076589C">
        <w:rPr>
          <w:lang w:val="es-HN"/>
        </w:rPr>
        <w:fldChar w:fldCharType="begin"/>
      </w:r>
      <w:r w:rsidR="7A54A044" w:rsidRPr="0076589C">
        <w:rPr>
          <w:lang w:val="es-HN"/>
        </w:rPr>
        <w:instrText xml:space="preserve"> ADDIN ZOTERO_ITEM CSL_CITATION {"citationID":"I4UA9hZZ","properties":{"formattedCitation":"(RSM, 2020)","plainCitation":"(RSM, 2020)","noteIndex":0},"citationItems":[{"id":190,"uris":["http://zotero.org/users/12108825/items/H4DRPFC7"],"itemData":{"id":190,"type":"report","title":"NIIF 9: Instrumentos Financieros. Cuentas por cobrar","URL":"https://www.rsm.global/venezuela/sites/default/files/media/Boletin/11-09-2020/niif_9_instrumentos_financieros._cuentas_por_cobrar._diseno_de_la_politica_contable_para_el_reconocimiento_y_medicion_de_la_perdida_crediticia_esperada.pdf","author":[{"family":"RSM","given":""}],"issued":{"date-parts":[["2020"]]}}}],"schema":"https://github.com/citation-style-language/schema/raw/master/csl-citation.json"} </w:instrText>
      </w:r>
      <w:r w:rsidR="7A54A044" w:rsidRPr="0076589C">
        <w:rPr>
          <w:lang w:val="es-HN"/>
        </w:rPr>
        <w:fldChar w:fldCharType="separate"/>
      </w:r>
      <w:r w:rsidRPr="0076589C">
        <w:rPr>
          <w:lang w:val="es-HN"/>
        </w:rPr>
        <w:t>(RSM, 2020)</w:t>
      </w:r>
      <w:r w:rsidR="7A54A044" w:rsidRPr="0076589C">
        <w:rPr>
          <w:lang w:val="es-HN"/>
        </w:rPr>
        <w:fldChar w:fldCharType="end"/>
      </w:r>
    </w:p>
    <w:p w14:paraId="01A76316" w14:textId="787F584E" w:rsidR="00605C26" w:rsidRPr="0076589C" w:rsidRDefault="1C8D6E3A" w:rsidP="00605C26">
      <w:pPr>
        <w:pStyle w:val="TextoPrincipal"/>
        <w:rPr>
          <w:lang w:val="es-HN"/>
        </w:rPr>
      </w:pPr>
      <w:r w:rsidRPr="0076589C">
        <w:rPr>
          <w:lang w:val="es-HN"/>
        </w:rPr>
        <w:t xml:space="preserve">La NIIF 9 establece criterios de reconocimiento y base de medición para los activos financieros, incluyendo las cuentas por cobrar y cartera de créditos. En particular, para la estimación de pérdidas crediticias esperadas en las cuentas por cobrar comerciales, se deben considerar algunos supuestos propios de las relaciones y acuerdos entre la entidad y sus clientes y utilizar la matriz de provisiones para la determinación de la tasa pérdida a ser aplicada. Además, para la aplicación del modelo de pérdida crediticia esperada, es necesario que la entidad cuente con la historia de crédito de su cartera, debido a que este modelo se basa en las tasas históricas de pérdidas como una base apropiada para la estimación de pérdidas en el futuro. </w:t>
      </w:r>
      <w:r w:rsidR="7A54A044" w:rsidRPr="0076589C">
        <w:rPr>
          <w:lang w:val="es-HN"/>
        </w:rPr>
        <w:fldChar w:fldCharType="begin"/>
      </w:r>
      <w:r w:rsidR="7A54A044" w:rsidRPr="0076589C">
        <w:rPr>
          <w:lang w:val="es-HN"/>
        </w:rPr>
        <w:instrText xml:space="preserve"> ADDIN ZOTERO_ITEM CSL_CITATION {"citationID":"x3y9XZWg","properties":{"formattedCitation":"(RSM, 2020)","plainCitation":"(RSM, 2020)","noteIndex":0},"citationItems":[{"id":190,"uris":["http://zotero.org/users/12108825/items/H4DRPFC7"],"itemData":{"id":190,"type":"report","title":"NIIF 9: Instrumentos Financieros. Cuentas por cobrar","URL":"https://www.rsm.global/venezuela/sites/default/files/media/Boletin/11-09-2020/niif_9_instrumentos_financieros._cuentas_por_cobrar._diseno_de_la_politica_contable_para_el_reconocimiento_y_medicion_de_la_perdida_crediticia_esperada.pdf","author":[{"family":"RSM","given":""}],"issued":{"date-parts":[["2020"]]}}}],"schema":"https://github.com/citation-style-language/schema/raw/master/csl-citation.json"} </w:instrText>
      </w:r>
      <w:r w:rsidR="7A54A044" w:rsidRPr="0076589C">
        <w:rPr>
          <w:lang w:val="es-HN"/>
        </w:rPr>
        <w:fldChar w:fldCharType="separate"/>
      </w:r>
      <w:r w:rsidRPr="0076589C">
        <w:rPr>
          <w:lang w:val="es-HN"/>
        </w:rPr>
        <w:t>(RSM, 2020)</w:t>
      </w:r>
      <w:r w:rsidR="7A54A044" w:rsidRPr="0076589C">
        <w:rPr>
          <w:lang w:val="es-HN"/>
        </w:rPr>
        <w:fldChar w:fldCharType="end"/>
      </w:r>
    </w:p>
    <w:p w14:paraId="303D1439" w14:textId="5D9B58FA" w:rsidR="00AB7185" w:rsidRPr="0076589C" w:rsidRDefault="00AB7185" w:rsidP="00AB7185">
      <w:pPr>
        <w:pStyle w:val="TextoPrincipal"/>
        <w:ind w:firstLine="0"/>
        <w:rPr>
          <w:lang w:val="es-HN"/>
        </w:rPr>
      </w:pPr>
      <w:r w:rsidRPr="0076589C">
        <w:rPr>
          <w:lang w:val="es-HN"/>
        </w:rPr>
        <w:br w:type="page"/>
      </w:r>
    </w:p>
    <w:p w14:paraId="063EAD2C" w14:textId="77777777" w:rsidR="001046EC" w:rsidRPr="0076589C" w:rsidRDefault="1C8D6E3A" w:rsidP="001046EC">
      <w:pPr>
        <w:pStyle w:val="Ttulo1"/>
      </w:pPr>
      <w:bookmarkStart w:id="177" w:name="_Toc158365493"/>
      <w:r w:rsidRPr="0076589C">
        <w:lastRenderedPageBreak/>
        <w:t>CAPÍTULO III. METODOLOGÍA</w:t>
      </w:r>
      <w:bookmarkEnd w:id="177"/>
    </w:p>
    <w:p w14:paraId="5B6F6B0A" w14:textId="067A21C2" w:rsidR="00CD7E9B" w:rsidRPr="0076589C" w:rsidRDefault="1C8D6E3A" w:rsidP="00CD7E9B">
      <w:pPr>
        <w:pStyle w:val="TextoPrincipal"/>
        <w:rPr>
          <w:lang w:val="es-HN"/>
        </w:rPr>
      </w:pPr>
      <w:r w:rsidRPr="0076589C">
        <w:rPr>
          <w:lang w:val="es-HN"/>
        </w:rPr>
        <w:t xml:space="preserve">Según </w:t>
      </w:r>
      <w:r w:rsidR="7A54A044" w:rsidRPr="0076589C">
        <w:rPr>
          <w:lang w:val="es-HN"/>
        </w:rPr>
        <w:fldChar w:fldCharType="begin"/>
      </w:r>
      <w:r w:rsidR="7A54A044" w:rsidRPr="0076589C">
        <w:rPr>
          <w:lang w:val="es-HN"/>
        </w:rPr>
        <w:instrText xml:space="preserve"> ADDIN ZOTERO_ITEM CSL_CITATION {"citationID":"E7rIjwlB","properties":{"formattedCitation":"(Narv\\uc0\\u225{}ez, 2009)","plainCitation":"(Narváez, 2009)","dontUpdate":true,"noteIndex":0},"citationItems":[{"id":261,"uris":["http://zotero.org/users/12108825/items/ZFBM5MA2"],"itemData":{"id":261,"type":"book","ISBN":"978-956-284-685-1","language":"es","note":"Google-Books-ID: ZPVtPpdFdGMC","number-of-pages":"588","publisher":"RIL Editores","source":"Google Books","title":"Metodología de la investigación científica y bioestadística: para médicos, odontólogos y estudiantes de ciencias de la salud","title-short":"Metodología de la investigación científica y bioestadística","author":[{"family":"Narváez","given":"Víctor Patricio Díaz"}],"issued":{"date-parts":[["2009"]]}}}],"schema":"https://github.com/citation-style-language/schema/raw/master/csl-citation.json"} </w:instrText>
      </w:r>
      <w:r w:rsidR="7A54A044" w:rsidRPr="0076589C">
        <w:rPr>
          <w:lang w:val="es-HN"/>
        </w:rPr>
        <w:fldChar w:fldCharType="separate"/>
      </w:r>
      <w:r w:rsidRPr="0076589C">
        <w:rPr>
          <w:lang w:val="es-HN"/>
        </w:rPr>
        <w:t>Narváez, (2009)</w:t>
      </w:r>
      <w:r w:rsidR="7A54A044" w:rsidRPr="0076589C">
        <w:rPr>
          <w:lang w:val="es-HN"/>
        </w:rPr>
        <w:fldChar w:fldCharType="end"/>
      </w:r>
      <w:r w:rsidRPr="0076589C">
        <w:rPr>
          <w:lang w:val="es-HN"/>
        </w:rPr>
        <w:t xml:space="preserve"> </w:t>
      </w:r>
      <w:r w:rsidR="009D19D3" w:rsidRPr="0076589C">
        <w:rPr>
          <w:lang w:val="es-HN"/>
        </w:rPr>
        <w:t>definió</w:t>
      </w:r>
      <w:r w:rsidRPr="0076589C">
        <w:rPr>
          <w:lang w:val="es-HN"/>
        </w:rPr>
        <w:t xml:space="preserve"> Metodología como un conjunto de principios, categorías y leyes, de diferente nivel, que permiten orientar los esfuerzos de la investigación hacia el conocimiento de la verdad.</w:t>
      </w:r>
    </w:p>
    <w:p w14:paraId="53F72215" w14:textId="1CAE07D6" w:rsidR="00DB4844" w:rsidRPr="0076589C" w:rsidRDefault="1C8D6E3A" w:rsidP="00CD7E9B">
      <w:pPr>
        <w:pStyle w:val="TextoPrincipal"/>
        <w:rPr>
          <w:lang w:val="es-HN"/>
        </w:rPr>
      </w:pPr>
      <w:r w:rsidRPr="0076589C">
        <w:rPr>
          <w:lang w:val="es-HN"/>
        </w:rPr>
        <w:t>La metodología en la investigación es esencial para garantizar la precisión, la objetividad y la confiabilidad de los resultados. Proporciona un enfoque estructurado para controlar variables, optimizar recursos y asegurar la ética en el proceso, contribuyendo así a la validez y credibilidad del estudio.</w:t>
      </w:r>
    </w:p>
    <w:p w14:paraId="4FB0E7D5" w14:textId="03CA08CE" w:rsidR="00A11B55" w:rsidRPr="0076589C" w:rsidRDefault="1C8D6E3A" w:rsidP="00FD71BD">
      <w:pPr>
        <w:pStyle w:val="TextoPrincipal"/>
        <w:spacing w:after="0"/>
        <w:rPr>
          <w:lang w:val="es-HN"/>
        </w:rPr>
      </w:pPr>
      <w:r w:rsidRPr="0076589C">
        <w:rPr>
          <w:lang w:val="es-HN"/>
        </w:rPr>
        <w:t xml:space="preserve">El capítulo de la metodología comprende de cinco secciones: la primera es la congruencia metodológica donde se desarrolla la matriz metodológica, el esquema y operacionalización de las variables; por último, se </w:t>
      </w:r>
      <w:r w:rsidR="0010436C" w:rsidRPr="0076589C">
        <w:rPr>
          <w:lang w:val="es-HN"/>
        </w:rPr>
        <w:t>definió</w:t>
      </w:r>
      <w:r w:rsidRPr="0076589C">
        <w:rPr>
          <w:lang w:val="es-HN"/>
        </w:rPr>
        <w:t xml:space="preserve"> las hipótesis de la investigación. La segunda sección </w:t>
      </w:r>
      <w:r w:rsidR="00B767B0" w:rsidRPr="0076589C">
        <w:rPr>
          <w:lang w:val="es-HN"/>
        </w:rPr>
        <w:t xml:space="preserve">se </w:t>
      </w:r>
      <w:r w:rsidRPr="0076589C">
        <w:rPr>
          <w:lang w:val="es-HN"/>
        </w:rPr>
        <w:t>plante</w:t>
      </w:r>
      <w:r w:rsidR="00B767B0" w:rsidRPr="0076589C">
        <w:rPr>
          <w:lang w:val="es-HN"/>
        </w:rPr>
        <w:t>ó</w:t>
      </w:r>
      <w:r w:rsidRPr="0076589C">
        <w:rPr>
          <w:lang w:val="es-HN"/>
        </w:rPr>
        <w:t xml:space="preserve"> el enfoque y método donde se explica cómo se va a desarrollar el estudio, así como el alcance, diseño y técnicas. La tercera sección consiste en el diseño de la investigación donde se establece la unidad de análisis, población, muestra y las técnicas de muestreo. En la cuarta sección se </w:t>
      </w:r>
      <w:r w:rsidR="0010436C" w:rsidRPr="0076589C">
        <w:rPr>
          <w:lang w:val="es-HN"/>
        </w:rPr>
        <w:t>definió</w:t>
      </w:r>
      <w:r w:rsidRPr="0076589C">
        <w:rPr>
          <w:lang w:val="es-HN"/>
        </w:rPr>
        <w:t xml:space="preserve"> las técnicas, instrumentos y procedimientos aplicados en la investigación. En la última sección se describen las fuentes de información, que pueden ser primarias y secundarias. </w:t>
      </w:r>
    </w:p>
    <w:p w14:paraId="2B3C7269" w14:textId="77777777" w:rsidR="00FD71BD" w:rsidRPr="0076589C" w:rsidRDefault="00FD71BD" w:rsidP="00FD71BD">
      <w:pPr>
        <w:pStyle w:val="TextoPrincipal"/>
        <w:spacing w:after="0"/>
        <w:rPr>
          <w:lang w:val="es-HN"/>
        </w:rPr>
      </w:pPr>
    </w:p>
    <w:p w14:paraId="2D861840" w14:textId="35B01F18" w:rsidR="001046EC" w:rsidRPr="0076589C" w:rsidRDefault="1C8D6E3A" w:rsidP="00494616">
      <w:pPr>
        <w:pStyle w:val="Ttulo2"/>
        <w:numPr>
          <w:ilvl w:val="0"/>
          <w:numId w:val="20"/>
        </w:numPr>
        <w:spacing w:line="360" w:lineRule="auto"/>
      </w:pPr>
      <w:r w:rsidRPr="0076589C">
        <w:t xml:space="preserve"> </w:t>
      </w:r>
      <w:bookmarkStart w:id="178" w:name="_Toc158365494"/>
      <w:r w:rsidRPr="0076589C">
        <w:t>CONGRUENCIA METODOLÓGICA</w:t>
      </w:r>
      <w:bookmarkEnd w:id="178"/>
    </w:p>
    <w:p w14:paraId="289BB13D" w14:textId="43E72AC5" w:rsidR="002914D0" w:rsidRPr="0076589C" w:rsidRDefault="1C8D6E3A" w:rsidP="00FD71BD">
      <w:pPr>
        <w:pStyle w:val="TextoPrincipal"/>
        <w:spacing w:after="0"/>
        <w:rPr>
          <w:lang w:val="es-HN"/>
        </w:rPr>
      </w:pPr>
      <w:r w:rsidRPr="0076589C">
        <w:rPr>
          <w:lang w:val="es-HN"/>
        </w:rPr>
        <w:t xml:space="preserve">La congruencia metodológica se </w:t>
      </w:r>
      <w:r w:rsidR="0010436C" w:rsidRPr="0076589C">
        <w:rPr>
          <w:lang w:val="es-HN"/>
        </w:rPr>
        <w:t>definió</w:t>
      </w:r>
      <w:r w:rsidRPr="0076589C">
        <w:rPr>
          <w:lang w:val="es-HN"/>
        </w:rPr>
        <w:t xml:space="preserve"> como la relación entre evaluación e intervención. Este análisis permite identificar la coherencia entre la estructura disciplinaria y el contexto que enmarque el abordaje del problema con las acciones realizadas por el investigador, en su momento. </w:t>
      </w:r>
      <w:r w:rsidR="7A54A044" w:rsidRPr="0076589C">
        <w:rPr>
          <w:lang w:val="es-HN"/>
        </w:rPr>
        <w:fldChar w:fldCharType="begin"/>
      </w:r>
      <w:r w:rsidR="7A54A044" w:rsidRPr="0076589C">
        <w:rPr>
          <w:lang w:val="es-HN"/>
        </w:rPr>
        <w:instrText xml:space="preserve"> ADDIN ZOTERO_ITEM CSL_CITATION {"citationID":"E6RqaEGD","properties":{"formattedCitation":"(Santoyo, 2005)","plainCitation":"(Santoyo, 2005)","noteIndex":0},"citationItems":[{"id":255,"uris":["http://zotero.org/users/12108825/items/HSX8GCM8"],"itemData":{"id":255,"type":"book","ISBN":"978-970-32-2126-4","language":"es","note":"Google-Books-ID: N6C7BzDL8BkC","number-of-pages":"296","publisher":"UNAM","source":"Google Books","title":"Alternativas Docentes. Vol. Iii. Analisis Y Evaluacion de Habilidades Metodologicas, Conceptuales Y Profesionales en la Formacion Del Psicologo","author":[{"family":"Santoyo","given":"Carlos"}],"issued":{"date-parts":[["2005"]]}}}],"schema":"https://github.com/citation-style-language/schema/raw/master/csl-citation.json"} </w:instrText>
      </w:r>
      <w:r w:rsidR="7A54A044" w:rsidRPr="0076589C">
        <w:rPr>
          <w:lang w:val="es-HN"/>
        </w:rPr>
        <w:fldChar w:fldCharType="separate"/>
      </w:r>
      <w:r w:rsidRPr="0076589C">
        <w:t>(Santoyo, 2005)</w:t>
      </w:r>
      <w:r w:rsidR="7A54A044" w:rsidRPr="0076589C">
        <w:rPr>
          <w:lang w:val="es-HN"/>
        </w:rPr>
        <w:fldChar w:fldCharType="end"/>
      </w:r>
    </w:p>
    <w:p w14:paraId="044EC86D" w14:textId="77777777" w:rsidR="00FD71BD" w:rsidRPr="0076589C" w:rsidRDefault="00FD71BD" w:rsidP="00FD71BD">
      <w:pPr>
        <w:pStyle w:val="TextoPrincipal"/>
        <w:spacing w:after="0"/>
        <w:rPr>
          <w:lang w:val="es-HN"/>
        </w:rPr>
      </w:pPr>
    </w:p>
    <w:p w14:paraId="7C2C3A88" w14:textId="64CE2C86" w:rsidR="00F515FC" w:rsidRPr="0076589C" w:rsidRDefault="1C8D6E3A" w:rsidP="00494616">
      <w:pPr>
        <w:pStyle w:val="Ttulonivel3"/>
        <w:numPr>
          <w:ilvl w:val="0"/>
          <w:numId w:val="21"/>
        </w:numPr>
      </w:pPr>
      <w:bookmarkStart w:id="179" w:name="_Toc158365495"/>
      <w:r w:rsidRPr="0076589C">
        <w:t>MATRIZ METODOLOGÍCA</w:t>
      </w:r>
      <w:bookmarkEnd w:id="179"/>
    </w:p>
    <w:p w14:paraId="4EA6CC07" w14:textId="48C949CA" w:rsidR="00EA6F29" w:rsidRPr="0076589C" w:rsidRDefault="1C8D6E3A" w:rsidP="001046EC">
      <w:pPr>
        <w:pStyle w:val="TextoPrincipal"/>
        <w:rPr>
          <w:lang w:val="es-HN"/>
        </w:rPr>
      </w:pPr>
      <w:r w:rsidRPr="0076589C">
        <w:rPr>
          <w:lang w:val="es-HN"/>
        </w:rPr>
        <w:t xml:space="preserve">La matriz metodológica es una herramienta que brinda la oportunidad de abreviar el tiempo dedicado a la investigación, su utilidad permite organizar las etapas del proceso de la investigación de manera que desde el principio exista una congruencia entre cada una de las partes involucradas en dicho procedimiento. </w:t>
      </w:r>
      <w:r w:rsidR="7A54A044" w:rsidRPr="0076589C">
        <w:rPr>
          <w:lang w:val="es-HN"/>
        </w:rPr>
        <w:fldChar w:fldCharType="begin"/>
      </w:r>
      <w:r w:rsidR="7A54A044" w:rsidRPr="0076589C">
        <w:rPr>
          <w:lang w:val="es-HN"/>
        </w:rPr>
        <w:instrText xml:space="preserve"> ADDIN ZOTERO_ITEM CSL_CITATION {"citationID":"XDA09EyZ","properties":{"formattedCitation":"(Pedraza Rend\\uc0\\u243{}n, 2001)","plainCitation":"(Pedraza Rendón, 2001)","noteIndex":0},"citationItems":[{"id":251,"uris":["http://zotero.org/users/12108825/items/2CD8RQP3"],"itemData":{"id":251,"type":"article-journal","abstract":"El presente trabajo va dirigido especialmente a los estudiantes que se inician en el campo de las investigaciones sociales y presenta una herramienta auxiliar en el desarrollo del procedimiento para realizarlas: la matriz de congruencia. Ésta es, de acuerdo con el autor, un cuadro que permite reducir tiempo y esfuerzos destinados a la investigación, pues permite organizar cada una de las etapas del proceso y es útil para comprobar la coherencia entre ellas. Desarrolla un ejemplo mediante el cual se espera que el estudiante pueda adaptar la matriz a su investigación particular y comprobar su eficacia para avanzar en sus trabajos.","container-title":"Economía y Sociedad","ISSN":"1870-414X","issue":"10","language":"spa","note":"publisher: Universidad Michoacana de San Nicolás de Hidalgo\nsection: Economía y Sociedad","page":"311-316","source":"dialnet.unirioja.es","title":"La Matriz de Congruencia: Una Herramienta para Realizar Investigaciones Sociales","title-short":"La Matriz de Congruencia","volume":"6","author":[{"family":"Pedraza Rendón","given":"Óscar Hugo"}],"issued":{"date-parts":[["2001"]]}}}],"schema":"https://github.com/citation-style-language/schema/raw/master/csl-citation.json"} </w:instrText>
      </w:r>
      <w:r w:rsidR="7A54A044" w:rsidRPr="0076589C">
        <w:rPr>
          <w:lang w:val="es-HN"/>
        </w:rPr>
        <w:fldChar w:fldCharType="separate"/>
      </w:r>
      <w:r w:rsidRPr="0076589C">
        <w:rPr>
          <w:lang w:val="es-HN"/>
        </w:rPr>
        <w:t>(Pedraza Rendón, 2001)</w:t>
      </w:r>
      <w:r w:rsidR="7A54A044" w:rsidRPr="0076589C">
        <w:rPr>
          <w:lang w:val="es-HN"/>
        </w:rPr>
        <w:fldChar w:fldCharType="end"/>
      </w:r>
    </w:p>
    <w:p w14:paraId="5764C1C4" w14:textId="57EAF1F1" w:rsidR="00455399" w:rsidRPr="0076589C" w:rsidRDefault="1C8D6E3A" w:rsidP="001046EC">
      <w:pPr>
        <w:pStyle w:val="TextoPrincipal"/>
        <w:rPr>
          <w:lang w:val="es-HN"/>
        </w:rPr>
      </w:pPr>
      <w:r w:rsidRPr="0076589C">
        <w:rPr>
          <w:lang w:val="es-HN"/>
        </w:rPr>
        <w:lastRenderedPageBreak/>
        <w:t>En una matriz metodológica se especifican los aspectos claves de una investigación, como el problema principal, el objetivo general, las preguntas de investigación, los objetivos específicos y las variables a estudiar.</w:t>
      </w:r>
    </w:p>
    <w:p w14:paraId="06951C55" w14:textId="77777777" w:rsidR="00932CD9" w:rsidRPr="0076589C" w:rsidRDefault="00932CD9" w:rsidP="00712201">
      <w:pPr>
        <w:tabs>
          <w:tab w:val="left" w:pos="3044"/>
        </w:tabs>
        <w:ind w:left="0"/>
        <w:sectPr w:rsidR="00932CD9" w:rsidRPr="0076589C" w:rsidSect="008C6BD1">
          <w:pgSz w:w="12240" w:h="15840" w:code="1"/>
          <w:pgMar w:top="1440" w:right="1440" w:bottom="1440" w:left="1440" w:header="720" w:footer="720" w:gutter="0"/>
          <w:cols w:space="720"/>
          <w:docGrid w:linePitch="360"/>
        </w:sectPr>
      </w:pPr>
    </w:p>
    <w:tbl>
      <w:tblPr>
        <w:tblpPr w:leftFromText="180" w:rightFromText="180" w:vertAnchor="page" w:horzAnchor="margin" w:tblpY="182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1795"/>
        <w:gridCol w:w="1930"/>
        <w:gridCol w:w="2310"/>
        <w:gridCol w:w="2665"/>
        <w:gridCol w:w="3020"/>
        <w:gridCol w:w="1230"/>
      </w:tblGrid>
      <w:tr w:rsidR="00CD2CDE" w:rsidRPr="0076589C" w14:paraId="2C790622" w14:textId="77777777" w:rsidTr="1C8D6E3A">
        <w:trPr>
          <w:trHeight w:val="250"/>
        </w:trPr>
        <w:tc>
          <w:tcPr>
            <w:tcW w:w="693" w:type="pct"/>
            <w:shd w:val="clear" w:color="auto" w:fill="85BADC"/>
            <w:vAlign w:val="center"/>
          </w:tcPr>
          <w:p w14:paraId="1FF46805" w14:textId="77777777" w:rsidR="00CD2CDE" w:rsidRPr="0076589C" w:rsidRDefault="1C8D6E3A" w:rsidP="00CD2CDE">
            <w:pPr>
              <w:pStyle w:val="Tabla"/>
              <w:jc w:val="center"/>
              <w:rPr>
                <w:b/>
                <w:bCs/>
                <w:lang w:val="es-HN"/>
              </w:rPr>
            </w:pPr>
            <w:r w:rsidRPr="0076589C">
              <w:rPr>
                <w:b/>
                <w:bCs/>
              </w:rPr>
              <w:lastRenderedPageBreak/>
              <w:t>Título de la Investigación</w:t>
            </w:r>
          </w:p>
        </w:tc>
        <w:tc>
          <w:tcPr>
            <w:tcW w:w="745" w:type="pct"/>
            <w:shd w:val="clear" w:color="auto" w:fill="85BADC"/>
            <w:vAlign w:val="center"/>
          </w:tcPr>
          <w:p w14:paraId="7E47421B" w14:textId="77777777" w:rsidR="00CD2CDE" w:rsidRPr="0076589C" w:rsidRDefault="1C8D6E3A" w:rsidP="00CD2CDE">
            <w:pPr>
              <w:pStyle w:val="Tabla"/>
              <w:jc w:val="center"/>
              <w:rPr>
                <w:b/>
                <w:bCs/>
                <w:lang w:val="es-HN"/>
              </w:rPr>
            </w:pPr>
            <w:r w:rsidRPr="0076589C">
              <w:rPr>
                <w:b/>
                <w:bCs/>
              </w:rPr>
              <w:t>Problema</w:t>
            </w:r>
          </w:p>
        </w:tc>
        <w:tc>
          <w:tcPr>
            <w:tcW w:w="892" w:type="pct"/>
            <w:shd w:val="clear" w:color="auto" w:fill="85BADC"/>
            <w:vAlign w:val="center"/>
          </w:tcPr>
          <w:p w14:paraId="0EC01227" w14:textId="77777777" w:rsidR="00CD2CDE" w:rsidRPr="0076589C" w:rsidRDefault="1C8D6E3A" w:rsidP="00CD2CDE">
            <w:pPr>
              <w:pStyle w:val="Tabla"/>
              <w:jc w:val="center"/>
              <w:rPr>
                <w:b/>
                <w:bCs/>
                <w:lang w:val="es-HN"/>
              </w:rPr>
            </w:pPr>
            <w:r w:rsidRPr="0076589C">
              <w:rPr>
                <w:b/>
                <w:bCs/>
              </w:rPr>
              <w:t>Objetivo General</w:t>
            </w:r>
          </w:p>
        </w:tc>
        <w:tc>
          <w:tcPr>
            <w:tcW w:w="1029" w:type="pct"/>
            <w:shd w:val="clear" w:color="auto" w:fill="85BADC"/>
            <w:vAlign w:val="center"/>
          </w:tcPr>
          <w:p w14:paraId="79851DE2" w14:textId="77777777" w:rsidR="00CD2CDE" w:rsidRPr="0076589C" w:rsidRDefault="1C8D6E3A" w:rsidP="00CD2CDE">
            <w:pPr>
              <w:pStyle w:val="Tabla"/>
              <w:jc w:val="center"/>
              <w:rPr>
                <w:b/>
                <w:bCs/>
                <w:lang w:val="es-HN"/>
              </w:rPr>
            </w:pPr>
            <w:r w:rsidRPr="0076589C">
              <w:rPr>
                <w:b/>
                <w:bCs/>
              </w:rPr>
              <w:t>Preguntas de Investigación</w:t>
            </w:r>
          </w:p>
        </w:tc>
        <w:tc>
          <w:tcPr>
            <w:tcW w:w="1166" w:type="pct"/>
            <w:shd w:val="clear" w:color="auto" w:fill="85BADC"/>
            <w:vAlign w:val="center"/>
          </w:tcPr>
          <w:p w14:paraId="02D85E64" w14:textId="77777777" w:rsidR="00CD2CDE" w:rsidRPr="0076589C" w:rsidRDefault="1C8D6E3A" w:rsidP="00CD2CDE">
            <w:pPr>
              <w:pStyle w:val="Tabla"/>
              <w:jc w:val="center"/>
              <w:rPr>
                <w:b/>
                <w:bCs/>
                <w:lang w:val="es-HN"/>
              </w:rPr>
            </w:pPr>
            <w:r w:rsidRPr="0076589C">
              <w:rPr>
                <w:b/>
                <w:bCs/>
              </w:rPr>
              <w:t>Objetivos Específicos</w:t>
            </w:r>
          </w:p>
        </w:tc>
        <w:tc>
          <w:tcPr>
            <w:tcW w:w="475" w:type="pct"/>
            <w:shd w:val="clear" w:color="auto" w:fill="85BADC"/>
            <w:vAlign w:val="center"/>
          </w:tcPr>
          <w:p w14:paraId="41A9DC66" w14:textId="77777777" w:rsidR="00CD2CDE" w:rsidRPr="0076589C" w:rsidRDefault="1C8D6E3A" w:rsidP="00CD2CDE">
            <w:pPr>
              <w:pStyle w:val="Tabla"/>
              <w:jc w:val="center"/>
              <w:rPr>
                <w:b/>
                <w:bCs/>
                <w:lang w:val="es-HN"/>
              </w:rPr>
            </w:pPr>
            <w:r w:rsidRPr="0076589C">
              <w:rPr>
                <w:b/>
                <w:bCs/>
              </w:rPr>
              <w:t>Variables</w:t>
            </w:r>
          </w:p>
        </w:tc>
      </w:tr>
      <w:tr w:rsidR="00CD2CDE" w:rsidRPr="0076589C" w14:paraId="5AC895E2" w14:textId="77777777" w:rsidTr="1C8D6E3A">
        <w:trPr>
          <w:trHeight w:val="686"/>
        </w:trPr>
        <w:tc>
          <w:tcPr>
            <w:tcW w:w="693" w:type="pct"/>
            <w:vMerge w:val="restart"/>
          </w:tcPr>
          <w:p w14:paraId="39ECFF00" w14:textId="77777777" w:rsidR="00CD2CDE" w:rsidRPr="0076589C" w:rsidRDefault="1C8D6E3A" w:rsidP="00CD2CDE">
            <w:pPr>
              <w:pStyle w:val="Tabla"/>
              <w:rPr>
                <w:lang w:val="es-HN"/>
              </w:rPr>
            </w:pPr>
            <w:r w:rsidRPr="0076589C">
              <w:rPr>
                <w:lang w:val="es-HN"/>
              </w:rPr>
              <w:t>Análisis de la gestión de las cuentas por cobrar de la industria procesadora de alimentos (IPRA), Tegucigalpa, Honduras</w:t>
            </w:r>
          </w:p>
          <w:p w14:paraId="53FF62C3" w14:textId="77777777" w:rsidR="00CD2CDE" w:rsidRPr="0076589C" w:rsidRDefault="00CD2CDE" w:rsidP="00CD2CDE">
            <w:pPr>
              <w:pStyle w:val="Tabla"/>
              <w:rPr>
                <w:lang w:val="es-HN"/>
              </w:rPr>
            </w:pPr>
          </w:p>
          <w:p w14:paraId="077CC2C9" w14:textId="77777777" w:rsidR="00CD2CDE" w:rsidRPr="0076589C" w:rsidRDefault="00CD2CDE" w:rsidP="00CD2CDE">
            <w:pPr>
              <w:pStyle w:val="Tabla"/>
              <w:rPr>
                <w:lang w:val="es-HN"/>
              </w:rPr>
            </w:pPr>
          </w:p>
        </w:tc>
        <w:tc>
          <w:tcPr>
            <w:tcW w:w="745" w:type="pct"/>
            <w:vMerge w:val="restart"/>
          </w:tcPr>
          <w:p w14:paraId="58495ABB" w14:textId="77777777" w:rsidR="00CD2CDE" w:rsidRPr="0076589C" w:rsidRDefault="1C8D6E3A" w:rsidP="00CD2CDE">
            <w:pPr>
              <w:pStyle w:val="Tabla"/>
              <w:rPr>
                <w:lang w:val="es-HN"/>
              </w:rPr>
            </w:pPr>
            <w:r w:rsidRPr="0076589C">
              <w:rPr>
                <w:lang w:val="es-HN"/>
              </w:rPr>
              <w:t>¿Cómo una inadecuada política de concesión de crédito, sumada la deficiente gestión de cobranza, ha incidido en la situación financiera de la empresa Industria Procesadora de Alimentos (IPRA), ubicada en la cuidad de Tegucigalpa, Honduras y su capacidad para afrontar sus obligaciones de pago en el corto y mediano plazo?</w:t>
            </w:r>
          </w:p>
          <w:p w14:paraId="112A9D3D" w14:textId="77777777" w:rsidR="00CD2CDE" w:rsidRPr="0076589C" w:rsidRDefault="00CD2CDE" w:rsidP="00CD2CDE">
            <w:pPr>
              <w:pStyle w:val="Tabla"/>
              <w:rPr>
                <w:lang w:val="es-HN"/>
              </w:rPr>
            </w:pPr>
          </w:p>
        </w:tc>
        <w:tc>
          <w:tcPr>
            <w:tcW w:w="892" w:type="pct"/>
            <w:vMerge w:val="restart"/>
          </w:tcPr>
          <w:p w14:paraId="2ADEF6D1" w14:textId="77777777" w:rsidR="00CD2CDE" w:rsidRPr="0076589C" w:rsidRDefault="1C8D6E3A" w:rsidP="00CD2CDE">
            <w:pPr>
              <w:pStyle w:val="Tabla"/>
              <w:rPr>
                <w:lang w:val="es-HN"/>
              </w:rPr>
            </w:pPr>
            <w:r w:rsidRPr="0076589C">
              <w:rPr>
                <w:rStyle w:val="TextoPrincipalCar"/>
                <w:lang w:val="es-HN"/>
              </w:rPr>
              <w:t>Analizar la inadecuada política de concesión de crédito, sumada la deficiente gestión de cobranza, como ha incidido en la situación financiera de la empresa IPRA, ubicada en la cuidad de Tegucigalpa, Honduras y su capacidad para afrontar sus obligaciones de pago en el corto y mediano plazo</w:t>
            </w:r>
            <w:r w:rsidRPr="0076589C">
              <w:rPr>
                <w:lang w:val="es-HN"/>
              </w:rPr>
              <w:t>.</w:t>
            </w:r>
          </w:p>
          <w:p w14:paraId="46AF789B" w14:textId="77777777" w:rsidR="00CD2CDE" w:rsidRPr="0076589C" w:rsidRDefault="00CD2CDE" w:rsidP="00CD2CDE">
            <w:pPr>
              <w:pStyle w:val="Tabla"/>
              <w:rPr>
                <w:lang w:val="es-HN"/>
              </w:rPr>
            </w:pPr>
          </w:p>
          <w:p w14:paraId="54B2B37D" w14:textId="77777777" w:rsidR="00CD2CDE" w:rsidRPr="0076589C" w:rsidRDefault="00CD2CDE" w:rsidP="00CD2CDE">
            <w:pPr>
              <w:pStyle w:val="Tabla"/>
              <w:rPr>
                <w:lang w:val="es-HN"/>
              </w:rPr>
            </w:pPr>
          </w:p>
        </w:tc>
        <w:tc>
          <w:tcPr>
            <w:tcW w:w="1029" w:type="pct"/>
          </w:tcPr>
          <w:p w14:paraId="669CB2CD" w14:textId="5B50C431" w:rsidR="00CD2CDE" w:rsidRPr="0076589C" w:rsidRDefault="1C8D6E3A" w:rsidP="00CD2CDE">
            <w:pPr>
              <w:pStyle w:val="Tabla"/>
              <w:rPr>
                <w:lang w:val="es-HN"/>
              </w:rPr>
            </w:pPr>
            <w:r w:rsidRPr="0076589C">
              <w:rPr>
                <w:lang w:val="es-HN"/>
              </w:rPr>
              <w:t xml:space="preserve">¿En qué porcentaje </w:t>
            </w:r>
            <w:r w:rsidR="003404FE" w:rsidRPr="0076589C">
              <w:rPr>
                <w:lang w:val="es-HN"/>
              </w:rPr>
              <w:t xml:space="preserve">evolucionó </w:t>
            </w:r>
            <w:r w:rsidRPr="0076589C">
              <w:rPr>
                <w:lang w:val="es-HN"/>
              </w:rPr>
              <w:t>la cartera de crédito en IPRA para el periodo 2019-2022?</w:t>
            </w:r>
          </w:p>
        </w:tc>
        <w:tc>
          <w:tcPr>
            <w:tcW w:w="1166" w:type="pct"/>
          </w:tcPr>
          <w:p w14:paraId="24844DFF" w14:textId="44D1F961" w:rsidR="00CD2CDE" w:rsidRPr="0076589C" w:rsidRDefault="1C8D6E3A" w:rsidP="00CD2CDE">
            <w:pPr>
              <w:pStyle w:val="Tabla"/>
              <w:rPr>
                <w:lang w:val="es-HN"/>
              </w:rPr>
            </w:pPr>
            <w:r w:rsidRPr="0076589C">
              <w:rPr>
                <w:lang w:val="es-HN"/>
              </w:rPr>
              <w:t xml:space="preserve">Identificar el porcentaje </w:t>
            </w:r>
            <w:r w:rsidR="00211150" w:rsidRPr="0076589C">
              <w:rPr>
                <w:lang w:val="es-HN"/>
              </w:rPr>
              <w:t xml:space="preserve">en el que </w:t>
            </w:r>
            <w:r w:rsidR="003404FE" w:rsidRPr="0076589C">
              <w:rPr>
                <w:lang w:val="es-HN"/>
              </w:rPr>
              <w:t xml:space="preserve">evolucionó </w:t>
            </w:r>
            <w:r w:rsidRPr="0076589C">
              <w:rPr>
                <w:lang w:val="es-HN"/>
              </w:rPr>
              <w:t>la cartera de crédito en IPRA para el periodo 2019-2022.</w:t>
            </w:r>
          </w:p>
        </w:tc>
        <w:tc>
          <w:tcPr>
            <w:tcW w:w="475" w:type="pct"/>
            <w:vAlign w:val="center"/>
          </w:tcPr>
          <w:p w14:paraId="02B0FC38" w14:textId="77777777" w:rsidR="00CD2CDE" w:rsidRPr="0076589C" w:rsidRDefault="1C8D6E3A" w:rsidP="00CD2CDE">
            <w:pPr>
              <w:pStyle w:val="Tabla"/>
              <w:jc w:val="center"/>
              <w:rPr>
                <w:lang w:val="es-HN"/>
              </w:rPr>
            </w:pPr>
            <w:r w:rsidRPr="0076589C">
              <w:t>Cartera de crédito</w:t>
            </w:r>
          </w:p>
        </w:tc>
      </w:tr>
      <w:tr w:rsidR="00CD2CDE" w:rsidRPr="0076589C" w14:paraId="1F794C0A" w14:textId="77777777" w:rsidTr="1C8D6E3A">
        <w:trPr>
          <w:trHeight w:val="529"/>
        </w:trPr>
        <w:tc>
          <w:tcPr>
            <w:tcW w:w="693" w:type="pct"/>
            <w:vMerge/>
          </w:tcPr>
          <w:p w14:paraId="5C2AD904" w14:textId="77777777" w:rsidR="00CD2CDE" w:rsidRPr="0076589C" w:rsidRDefault="00CD2CDE" w:rsidP="00CD2CDE">
            <w:pPr>
              <w:pStyle w:val="Tabla"/>
              <w:rPr>
                <w:lang w:val="es-HN"/>
              </w:rPr>
            </w:pPr>
          </w:p>
        </w:tc>
        <w:tc>
          <w:tcPr>
            <w:tcW w:w="745" w:type="pct"/>
            <w:vMerge/>
          </w:tcPr>
          <w:p w14:paraId="72D45E18" w14:textId="77777777" w:rsidR="00CD2CDE" w:rsidRPr="0076589C" w:rsidRDefault="00CD2CDE" w:rsidP="00CD2CDE">
            <w:pPr>
              <w:pStyle w:val="Tabla"/>
              <w:rPr>
                <w:lang w:val="es-HN"/>
              </w:rPr>
            </w:pPr>
          </w:p>
        </w:tc>
        <w:tc>
          <w:tcPr>
            <w:tcW w:w="892" w:type="pct"/>
            <w:vMerge/>
          </w:tcPr>
          <w:p w14:paraId="582AB148" w14:textId="77777777" w:rsidR="00CD2CDE" w:rsidRPr="0076589C" w:rsidRDefault="00CD2CDE" w:rsidP="00CD2CDE">
            <w:pPr>
              <w:pStyle w:val="Tabla"/>
              <w:rPr>
                <w:rStyle w:val="TextoPrincipalCar"/>
                <w:lang w:val="es-HN"/>
              </w:rPr>
            </w:pPr>
          </w:p>
        </w:tc>
        <w:tc>
          <w:tcPr>
            <w:tcW w:w="1029" w:type="pct"/>
            <w:vMerge w:val="restart"/>
          </w:tcPr>
          <w:p w14:paraId="78E00D04" w14:textId="77777777" w:rsidR="00CD2CDE" w:rsidRPr="0076589C" w:rsidRDefault="1C8D6E3A" w:rsidP="00CD2CDE">
            <w:pPr>
              <w:pStyle w:val="Tabla"/>
              <w:rPr>
                <w:lang w:val="es-HN"/>
              </w:rPr>
            </w:pPr>
            <w:r w:rsidRPr="0076589C">
              <w:rPr>
                <w:lang w:val="es-HN"/>
              </w:rPr>
              <w:t>¿Cuáles han sido las políticas de crédito y cobro implementadas por IPRA en el periodo 2019-2022?</w:t>
            </w:r>
          </w:p>
        </w:tc>
        <w:tc>
          <w:tcPr>
            <w:tcW w:w="1166" w:type="pct"/>
            <w:vMerge w:val="restart"/>
          </w:tcPr>
          <w:p w14:paraId="466047F1" w14:textId="77777777" w:rsidR="00CD2CDE" w:rsidRPr="0076589C" w:rsidRDefault="1C8D6E3A" w:rsidP="00CD2CDE">
            <w:pPr>
              <w:pStyle w:val="Tabla"/>
              <w:rPr>
                <w:lang w:val="es-HN"/>
              </w:rPr>
            </w:pPr>
            <w:r w:rsidRPr="0076589C">
              <w:rPr>
                <w:lang w:val="es-HN"/>
              </w:rPr>
              <w:t>Revisar las políticas de crédito implementadas por IPRA en el periodo 2019-2022.</w:t>
            </w:r>
          </w:p>
          <w:p w14:paraId="76B4BB32" w14:textId="77777777" w:rsidR="00CD2CDE" w:rsidRPr="0076589C" w:rsidRDefault="00CD2CDE" w:rsidP="00CD2CDE">
            <w:pPr>
              <w:pStyle w:val="Tabla"/>
              <w:rPr>
                <w:lang w:val="es-HN"/>
              </w:rPr>
            </w:pPr>
          </w:p>
        </w:tc>
        <w:tc>
          <w:tcPr>
            <w:tcW w:w="475" w:type="pct"/>
            <w:vAlign w:val="center"/>
          </w:tcPr>
          <w:p w14:paraId="0E7E546B" w14:textId="77777777" w:rsidR="00CD2CDE" w:rsidRPr="0076589C" w:rsidRDefault="1C8D6E3A" w:rsidP="00CD2CDE">
            <w:pPr>
              <w:pStyle w:val="Tabla"/>
              <w:jc w:val="center"/>
              <w:rPr>
                <w:lang w:val="es-HN"/>
              </w:rPr>
            </w:pPr>
            <w:r w:rsidRPr="0076589C">
              <w:t xml:space="preserve">Política de crédito </w:t>
            </w:r>
          </w:p>
        </w:tc>
      </w:tr>
      <w:tr w:rsidR="00CD2CDE" w:rsidRPr="0076589C" w14:paraId="433C4825" w14:textId="77777777" w:rsidTr="1C8D6E3A">
        <w:trPr>
          <w:trHeight w:val="209"/>
        </w:trPr>
        <w:tc>
          <w:tcPr>
            <w:tcW w:w="693" w:type="pct"/>
            <w:vMerge/>
          </w:tcPr>
          <w:p w14:paraId="0B66D3D5" w14:textId="77777777" w:rsidR="00CD2CDE" w:rsidRPr="0076589C" w:rsidRDefault="00CD2CDE" w:rsidP="00CD2CDE">
            <w:pPr>
              <w:pStyle w:val="Tabla"/>
              <w:rPr>
                <w:lang w:val="es-HN"/>
              </w:rPr>
            </w:pPr>
          </w:p>
        </w:tc>
        <w:tc>
          <w:tcPr>
            <w:tcW w:w="745" w:type="pct"/>
            <w:vMerge/>
          </w:tcPr>
          <w:p w14:paraId="02D94EB3" w14:textId="77777777" w:rsidR="00CD2CDE" w:rsidRPr="0076589C" w:rsidRDefault="00CD2CDE" w:rsidP="00CD2CDE">
            <w:pPr>
              <w:pStyle w:val="Tabla"/>
              <w:rPr>
                <w:lang w:val="es-HN"/>
              </w:rPr>
            </w:pPr>
          </w:p>
        </w:tc>
        <w:tc>
          <w:tcPr>
            <w:tcW w:w="892" w:type="pct"/>
            <w:vMerge/>
          </w:tcPr>
          <w:p w14:paraId="65ACE4F8" w14:textId="77777777" w:rsidR="00CD2CDE" w:rsidRPr="0076589C" w:rsidRDefault="00CD2CDE" w:rsidP="00CD2CDE">
            <w:pPr>
              <w:pStyle w:val="Tabla"/>
              <w:rPr>
                <w:rStyle w:val="TextoPrincipalCar"/>
                <w:lang w:val="es-HN"/>
              </w:rPr>
            </w:pPr>
          </w:p>
        </w:tc>
        <w:tc>
          <w:tcPr>
            <w:tcW w:w="1029" w:type="pct"/>
            <w:vMerge/>
          </w:tcPr>
          <w:p w14:paraId="34D8E3ED" w14:textId="77777777" w:rsidR="00CD2CDE" w:rsidRPr="0076589C" w:rsidRDefault="00CD2CDE" w:rsidP="00CD2CDE">
            <w:pPr>
              <w:pStyle w:val="Tabla"/>
              <w:rPr>
                <w:lang w:val="es-HN"/>
              </w:rPr>
            </w:pPr>
          </w:p>
        </w:tc>
        <w:tc>
          <w:tcPr>
            <w:tcW w:w="1166" w:type="pct"/>
            <w:vMerge/>
          </w:tcPr>
          <w:p w14:paraId="7FACBFCE" w14:textId="77777777" w:rsidR="00CD2CDE" w:rsidRPr="0076589C" w:rsidRDefault="00CD2CDE" w:rsidP="00CD2CDE">
            <w:pPr>
              <w:pStyle w:val="Tabla"/>
              <w:rPr>
                <w:lang w:val="es-HN"/>
              </w:rPr>
            </w:pPr>
          </w:p>
        </w:tc>
        <w:tc>
          <w:tcPr>
            <w:tcW w:w="475" w:type="pct"/>
            <w:vAlign w:val="center"/>
          </w:tcPr>
          <w:p w14:paraId="21473155" w14:textId="77777777" w:rsidR="00CD2CDE" w:rsidRPr="0076589C" w:rsidRDefault="1C8D6E3A" w:rsidP="00CD2CDE">
            <w:pPr>
              <w:pStyle w:val="Tabla"/>
              <w:jc w:val="center"/>
              <w:rPr>
                <w:lang w:val="es-HN"/>
              </w:rPr>
            </w:pPr>
            <w:r w:rsidRPr="0076589C">
              <w:t>Política de cobranza</w:t>
            </w:r>
          </w:p>
        </w:tc>
      </w:tr>
      <w:tr w:rsidR="00CD2CDE" w:rsidRPr="0076589C" w14:paraId="74C2672A" w14:textId="77777777" w:rsidTr="1C8D6E3A">
        <w:trPr>
          <w:trHeight w:val="994"/>
        </w:trPr>
        <w:tc>
          <w:tcPr>
            <w:tcW w:w="693" w:type="pct"/>
            <w:vMerge/>
          </w:tcPr>
          <w:p w14:paraId="7AA88B1B" w14:textId="77777777" w:rsidR="00CD2CDE" w:rsidRPr="0076589C" w:rsidRDefault="00CD2CDE" w:rsidP="00CD2CDE">
            <w:pPr>
              <w:pStyle w:val="Tabla"/>
              <w:rPr>
                <w:lang w:val="es-HN"/>
              </w:rPr>
            </w:pPr>
          </w:p>
        </w:tc>
        <w:tc>
          <w:tcPr>
            <w:tcW w:w="745" w:type="pct"/>
            <w:vMerge/>
          </w:tcPr>
          <w:p w14:paraId="2EED7894" w14:textId="77777777" w:rsidR="00CD2CDE" w:rsidRPr="0076589C" w:rsidRDefault="00CD2CDE" w:rsidP="00CD2CDE">
            <w:pPr>
              <w:pStyle w:val="Tabla"/>
              <w:rPr>
                <w:lang w:val="es-HN"/>
              </w:rPr>
            </w:pPr>
          </w:p>
        </w:tc>
        <w:tc>
          <w:tcPr>
            <w:tcW w:w="892" w:type="pct"/>
            <w:vMerge/>
          </w:tcPr>
          <w:p w14:paraId="6737A3A6" w14:textId="77777777" w:rsidR="00CD2CDE" w:rsidRPr="0076589C" w:rsidRDefault="00CD2CDE" w:rsidP="00CD2CDE">
            <w:pPr>
              <w:pStyle w:val="Tabla"/>
              <w:rPr>
                <w:rStyle w:val="TextoPrincipalCar"/>
                <w:lang w:val="es-HN"/>
              </w:rPr>
            </w:pPr>
          </w:p>
        </w:tc>
        <w:tc>
          <w:tcPr>
            <w:tcW w:w="1029" w:type="pct"/>
            <w:vMerge w:val="restart"/>
          </w:tcPr>
          <w:p w14:paraId="5C8E07FF" w14:textId="77777777" w:rsidR="00CD2CDE" w:rsidRPr="0076589C" w:rsidRDefault="1C8D6E3A" w:rsidP="00CD2CDE">
            <w:pPr>
              <w:pStyle w:val="Tabla"/>
              <w:rPr>
                <w:lang w:val="es-HN"/>
              </w:rPr>
            </w:pPr>
            <w:r w:rsidRPr="0076589C">
              <w:rPr>
                <w:lang w:val="es-HN"/>
              </w:rPr>
              <w:t>¿Qué resultados muestran los indicadores de rentabilidad, liquidez, endeudamiento y la estructura de capital de la empresa IPRA ante el aumento en los niveles de crédito otorgado por la empresa en el periodo del 2019 - 2022?</w:t>
            </w:r>
          </w:p>
        </w:tc>
        <w:tc>
          <w:tcPr>
            <w:tcW w:w="1166" w:type="pct"/>
            <w:vMerge w:val="restart"/>
          </w:tcPr>
          <w:p w14:paraId="4FD5A2AB" w14:textId="77777777" w:rsidR="00CD2CDE" w:rsidRPr="0076589C" w:rsidRDefault="1C8D6E3A" w:rsidP="00CD2CDE">
            <w:pPr>
              <w:pStyle w:val="Tabla"/>
              <w:rPr>
                <w:lang w:val="es-HN"/>
              </w:rPr>
            </w:pPr>
            <w:r w:rsidRPr="0076589C">
              <w:rPr>
                <w:lang w:val="es-HN"/>
              </w:rPr>
              <w:t>Analizar los resultados que muestran los indicadores de rentabilidad, liquidez, endeudamiento y la estructura de capital de la empresa IPRA ante el aumento en los niveles de crédito otorgado por la empresa en el periodo del 2019 – 2022.</w:t>
            </w:r>
          </w:p>
        </w:tc>
        <w:tc>
          <w:tcPr>
            <w:tcW w:w="475" w:type="pct"/>
            <w:vAlign w:val="center"/>
          </w:tcPr>
          <w:p w14:paraId="51CE5C93" w14:textId="77777777" w:rsidR="00CD2CDE" w:rsidRPr="0076589C" w:rsidRDefault="1C8D6E3A" w:rsidP="00CD2CDE">
            <w:pPr>
              <w:pStyle w:val="Tabla"/>
              <w:jc w:val="center"/>
              <w:rPr>
                <w:lang w:val="es-HN"/>
              </w:rPr>
            </w:pPr>
            <w:r w:rsidRPr="0076589C">
              <w:t>Situación Financiera</w:t>
            </w:r>
          </w:p>
        </w:tc>
      </w:tr>
      <w:tr w:rsidR="00CD2CDE" w:rsidRPr="0076589C" w14:paraId="522CC6C7" w14:textId="77777777" w:rsidTr="1C8D6E3A">
        <w:trPr>
          <w:trHeight w:val="1296"/>
        </w:trPr>
        <w:tc>
          <w:tcPr>
            <w:tcW w:w="693" w:type="pct"/>
            <w:vMerge/>
          </w:tcPr>
          <w:p w14:paraId="60FCA872" w14:textId="77777777" w:rsidR="00CD2CDE" w:rsidRPr="0076589C" w:rsidRDefault="00CD2CDE" w:rsidP="00CD2CDE">
            <w:pPr>
              <w:pStyle w:val="Tabla"/>
              <w:rPr>
                <w:lang w:val="es-HN"/>
              </w:rPr>
            </w:pPr>
          </w:p>
        </w:tc>
        <w:tc>
          <w:tcPr>
            <w:tcW w:w="745" w:type="pct"/>
            <w:vMerge/>
          </w:tcPr>
          <w:p w14:paraId="57D716B9" w14:textId="77777777" w:rsidR="00CD2CDE" w:rsidRPr="0076589C" w:rsidRDefault="00CD2CDE" w:rsidP="00CD2CDE">
            <w:pPr>
              <w:pStyle w:val="Tabla"/>
              <w:rPr>
                <w:lang w:val="es-HN"/>
              </w:rPr>
            </w:pPr>
          </w:p>
        </w:tc>
        <w:tc>
          <w:tcPr>
            <w:tcW w:w="892" w:type="pct"/>
            <w:vMerge/>
          </w:tcPr>
          <w:p w14:paraId="718F93F7" w14:textId="77777777" w:rsidR="00CD2CDE" w:rsidRPr="0076589C" w:rsidRDefault="00CD2CDE" w:rsidP="00CD2CDE">
            <w:pPr>
              <w:pStyle w:val="Tabla"/>
              <w:rPr>
                <w:rStyle w:val="TextoPrincipalCar"/>
                <w:lang w:val="es-HN"/>
              </w:rPr>
            </w:pPr>
          </w:p>
        </w:tc>
        <w:tc>
          <w:tcPr>
            <w:tcW w:w="1029" w:type="pct"/>
            <w:vMerge/>
          </w:tcPr>
          <w:p w14:paraId="2C2C65FD" w14:textId="77777777" w:rsidR="00CD2CDE" w:rsidRPr="0076589C" w:rsidRDefault="00CD2CDE" w:rsidP="00CD2CDE">
            <w:pPr>
              <w:pStyle w:val="Tabla"/>
              <w:rPr>
                <w:lang w:val="es-HN"/>
              </w:rPr>
            </w:pPr>
          </w:p>
        </w:tc>
        <w:tc>
          <w:tcPr>
            <w:tcW w:w="1166" w:type="pct"/>
            <w:vMerge/>
          </w:tcPr>
          <w:p w14:paraId="3E516D1B" w14:textId="77777777" w:rsidR="00CD2CDE" w:rsidRPr="0076589C" w:rsidRDefault="00CD2CDE" w:rsidP="00CD2CDE">
            <w:pPr>
              <w:pStyle w:val="Tabla"/>
              <w:rPr>
                <w:lang w:val="es-HN"/>
              </w:rPr>
            </w:pPr>
          </w:p>
        </w:tc>
        <w:tc>
          <w:tcPr>
            <w:tcW w:w="475" w:type="pct"/>
            <w:vAlign w:val="center"/>
          </w:tcPr>
          <w:p w14:paraId="54D3889D" w14:textId="77777777" w:rsidR="00CD2CDE" w:rsidRPr="0076589C" w:rsidRDefault="1C8D6E3A" w:rsidP="00CD2CDE">
            <w:pPr>
              <w:pStyle w:val="Tabla"/>
              <w:jc w:val="center"/>
              <w:rPr>
                <w:lang w:val="es-HN"/>
              </w:rPr>
            </w:pPr>
            <w:r w:rsidRPr="0076589C">
              <w:t>Indicadores financieros</w:t>
            </w:r>
          </w:p>
        </w:tc>
      </w:tr>
      <w:tr w:rsidR="00CD2CDE" w:rsidRPr="0076589C" w14:paraId="3168F6F6" w14:textId="77777777" w:rsidTr="1C8D6E3A">
        <w:trPr>
          <w:trHeight w:val="2160"/>
        </w:trPr>
        <w:tc>
          <w:tcPr>
            <w:tcW w:w="693" w:type="pct"/>
            <w:vMerge/>
          </w:tcPr>
          <w:p w14:paraId="1AD28EAC" w14:textId="77777777" w:rsidR="00CD2CDE" w:rsidRPr="0076589C" w:rsidRDefault="00CD2CDE" w:rsidP="00CD2CDE">
            <w:pPr>
              <w:pStyle w:val="Tabla"/>
              <w:rPr>
                <w:lang w:val="es-HN"/>
              </w:rPr>
            </w:pPr>
          </w:p>
        </w:tc>
        <w:tc>
          <w:tcPr>
            <w:tcW w:w="745" w:type="pct"/>
            <w:vMerge/>
          </w:tcPr>
          <w:p w14:paraId="1AB80FD0" w14:textId="77777777" w:rsidR="00CD2CDE" w:rsidRPr="0076589C" w:rsidRDefault="00CD2CDE" w:rsidP="00CD2CDE">
            <w:pPr>
              <w:pStyle w:val="Tabla"/>
              <w:rPr>
                <w:lang w:val="es-HN"/>
              </w:rPr>
            </w:pPr>
          </w:p>
        </w:tc>
        <w:tc>
          <w:tcPr>
            <w:tcW w:w="892" w:type="pct"/>
            <w:vMerge/>
          </w:tcPr>
          <w:p w14:paraId="2243624D" w14:textId="77777777" w:rsidR="00CD2CDE" w:rsidRPr="0076589C" w:rsidRDefault="00CD2CDE" w:rsidP="00CD2CDE">
            <w:pPr>
              <w:pStyle w:val="Tabla"/>
              <w:rPr>
                <w:rStyle w:val="TextoPrincipalCar"/>
                <w:lang w:val="es-HN"/>
              </w:rPr>
            </w:pPr>
          </w:p>
        </w:tc>
        <w:tc>
          <w:tcPr>
            <w:tcW w:w="1029" w:type="pct"/>
          </w:tcPr>
          <w:p w14:paraId="0E1EDF3F" w14:textId="77777777" w:rsidR="00CD2CDE" w:rsidRPr="0076589C" w:rsidRDefault="1C8D6E3A" w:rsidP="00CD2CDE">
            <w:pPr>
              <w:pStyle w:val="Tabla"/>
              <w:rPr>
                <w:lang w:val="es-HN"/>
              </w:rPr>
            </w:pPr>
            <w:r w:rsidRPr="0076589C">
              <w:rPr>
                <w:lang w:val="es-HN"/>
              </w:rPr>
              <w:t xml:space="preserve">¿Qué propuestas se pueden implementar en IPRA que ayuden a mejorar la gestión de cobros de su cartera crediticia y con ello los límites de crédito para la toma de decisiones oportuna cuando se brinde un crédito a sus clientes? </w:t>
            </w:r>
          </w:p>
        </w:tc>
        <w:tc>
          <w:tcPr>
            <w:tcW w:w="1166" w:type="pct"/>
          </w:tcPr>
          <w:p w14:paraId="51671B00" w14:textId="77777777" w:rsidR="00CD2CDE" w:rsidRPr="0076589C" w:rsidRDefault="1C8D6E3A" w:rsidP="00CD2CDE">
            <w:pPr>
              <w:pStyle w:val="Tabla"/>
              <w:rPr>
                <w:lang w:val="es-HN"/>
              </w:rPr>
            </w:pPr>
            <w:r w:rsidRPr="0076589C">
              <w:rPr>
                <w:lang w:val="es-HN"/>
              </w:rPr>
              <w:t xml:space="preserve">Establecer propuestas que se pueden implementar en IPRA que ayude a mejorar la gestión de cobros de su cartera crediticia y con ello los límites de crédito para la toma de decisiones oportuna cuando se brinde un crédito a sus clientes. </w:t>
            </w:r>
          </w:p>
          <w:p w14:paraId="7B83A1CB" w14:textId="77777777" w:rsidR="00CD2CDE" w:rsidRPr="0076589C" w:rsidRDefault="00CD2CDE" w:rsidP="00CD2CDE">
            <w:pPr>
              <w:pStyle w:val="Tabla"/>
              <w:rPr>
                <w:lang w:val="es-HN"/>
              </w:rPr>
            </w:pPr>
          </w:p>
        </w:tc>
        <w:tc>
          <w:tcPr>
            <w:tcW w:w="475" w:type="pct"/>
          </w:tcPr>
          <w:p w14:paraId="03E2DDF0" w14:textId="77777777" w:rsidR="00CD2CDE" w:rsidRPr="0076589C" w:rsidRDefault="00CD2CDE" w:rsidP="00CD2CDE">
            <w:pPr>
              <w:pStyle w:val="Tabla"/>
              <w:rPr>
                <w:lang w:val="es-HN"/>
              </w:rPr>
            </w:pPr>
          </w:p>
        </w:tc>
      </w:tr>
    </w:tbl>
    <w:p w14:paraId="03B5E3E1" w14:textId="381B8DAD" w:rsidR="006E7B24" w:rsidRPr="0076589C" w:rsidRDefault="1C8D6E3A" w:rsidP="006E7B24">
      <w:pPr>
        <w:pStyle w:val="ImagenyTabla"/>
        <w:rPr>
          <w:noProof w:val="0"/>
        </w:rPr>
      </w:pPr>
      <w:bookmarkStart w:id="180" w:name="_Toc158365551"/>
      <w:r w:rsidRPr="0076589C">
        <w:t xml:space="preserve">Tabla </w:t>
      </w:r>
      <w:r w:rsidR="7A54A044" w:rsidRPr="0076589C">
        <w:rPr>
          <w:noProof w:val="0"/>
        </w:rPr>
        <w:fldChar w:fldCharType="begin"/>
      </w:r>
      <w:r w:rsidR="7A54A044" w:rsidRPr="0076589C">
        <w:rPr>
          <w:noProof w:val="0"/>
        </w:rPr>
        <w:instrText xml:space="preserve"> SEQ Tabla \* ARABIC </w:instrText>
      </w:r>
      <w:r w:rsidR="7A54A044" w:rsidRPr="0076589C">
        <w:rPr>
          <w:noProof w:val="0"/>
        </w:rPr>
        <w:fldChar w:fldCharType="separate"/>
      </w:r>
      <w:r w:rsidR="009F171A">
        <w:t>3</w:t>
      </w:r>
      <w:r w:rsidR="7A54A044" w:rsidRPr="0076589C">
        <w:rPr>
          <w:noProof w:val="0"/>
        </w:rPr>
        <w:fldChar w:fldCharType="end"/>
      </w:r>
      <w:r w:rsidRPr="0076589C">
        <w:t>. Matriz Metodológica</w:t>
      </w:r>
      <w:bookmarkEnd w:id="180"/>
    </w:p>
    <w:p w14:paraId="65ADA0F5" w14:textId="77777777" w:rsidR="00DC6974" w:rsidRPr="0076589C" w:rsidRDefault="00DC6974" w:rsidP="00BB1019">
      <w:pPr>
        <w:pStyle w:val="ImagenyTabla"/>
        <w:ind w:left="0"/>
        <w:rPr>
          <w:noProof w:val="0"/>
        </w:rPr>
      </w:pPr>
    </w:p>
    <w:p w14:paraId="391AE697" w14:textId="0B6107B8" w:rsidR="00321A0A" w:rsidRPr="0076589C" w:rsidRDefault="1C8D6E3A" w:rsidP="00C8505C">
      <w:pPr>
        <w:pStyle w:val="Fuentes"/>
        <w:rPr>
          <w:lang w:val="es-HN"/>
        </w:rPr>
        <w:sectPr w:rsidR="00321A0A" w:rsidRPr="0076589C" w:rsidSect="008C6BD1">
          <w:pgSz w:w="15840" w:h="12240" w:orient="landscape" w:code="1"/>
          <w:pgMar w:top="1440" w:right="1440" w:bottom="1440" w:left="1440" w:header="720" w:footer="720" w:gutter="0"/>
          <w:cols w:space="720"/>
          <w:docGrid w:linePitch="360"/>
        </w:sectPr>
      </w:pPr>
      <w:r w:rsidRPr="0076589C">
        <w:rPr>
          <w:lang w:val="es-HN"/>
        </w:rPr>
        <w:t>Fuente: Elaboración propia.</w:t>
      </w:r>
    </w:p>
    <w:p w14:paraId="0B328707" w14:textId="650681B7" w:rsidR="00CF5760" w:rsidRPr="0076589C" w:rsidRDefault="1C8D6E3A" w:rsidP="00494616">
      <w:pPr>
        <w:pStyle w:val="Ttulonivel3"/>
        <w:numPr>
          <w:ilvl w:val="0"/>
          <w:numId w:val="21"/>
        </w:numPr>
      </w:pPr>
      <w:bookmarkStart w:id="181" w:name="_Toc143458819"/>
      <w:bookmarkStart w:id="182" w:name="_Toc143465545"/>
      <w:bookmarkStart w:id="183" w:name="_Toc143514893"/>
      <w:bookmarkStart w:id="184" w:name="_Toc143721380"/>
      <w:bookmarkStart w:id="185" w:name="_Toc143788660"/>
      <w:bookmarkStart w:id="186" w:name="_Toc143790314"/>
      <w:bookmarkStart w:id="187" w:name="_Toc143791095"/>
      <w:bookmarkStart w:id="188" w:name="_Toc143791381"/>
      <w:bookmarkStart w:id="189" w:name="_Toc143970161"/>
      <w:bookmarkStart w:id="190" w:name="_Toc158365496"/>
      <w:bookmarkEnd w:id="181"/>
      <w:bookmarkEnd w:id="182"/>
      <w:bookmarkEnd w:id="183"/>
      <w:bookmarkEnd w:id="184"/>
      <w:bookmarkEnd w:id="185"/>
      <w:bookmarkEnd w:id="186"/>
      <w:bookmarkEnd w:id="187"/>
      <w:bookmarkEnd w:id="188"/>
      <w:bookmarkEnd w:id="189"/>
      <w:r w:rsidRPr="0076589C">
        <w:lastRenderedPageBreak/>
        <w:t>ESQUEMA DE VARIABLES DE ESTUDIO</w:t>
      </w:r>
      <w:bookmarkStart w:id="191" w:name="_Toc142766506"/>
      <w:bookmarkEnd w:id="190"/>
    </w:p>
    <w:p w14:paraId="0033220D" w14:textId="155D8B09" w:rsidR="00F23EE9" w:rsidRPr="0076589C" w:rsidRDefault="1C8D6E3A" w:rsidP="3CAA8C15">
      <w:pPr>
        <w:spacing w:line="360" w:lineRule="auto"/>
        <w:ind w:left="0" w:firstLine="720"/>
        <w:jc w:val="both"/>
      </w:pPr>
      <w:r w:rsidRPr="0076589C">
        <w:t xml:space="preserve">Una variable de estudio, en el contexto de la investigación científica, es una característica específica y mensurable que se selecciona cuidadosamente para analizar y comprender un proceso o suceso. Estas variables pueden ser cualitativas o cuantitativas y desempeñan un papel fundamental al permitir a los científicos examinar los cambios cualitativos o cuantitativos en el curso de su investigación. </w:t>
      </w:r>
      <w:r w:rsidR="72A91A42" w:rsidRPr="0076589C">
        <w:fldChar w:fldCharType="begin"/>
      </w:r>
      <w:r w:rsidR="72A91A42" w:rsidRPr="0076589C">
        <w:instrText xml:space="preserve"> ADDIN ZOTERO_ITEM CSL_CITATION {"citationID":"kHLwWqkN","properties":{"formattedCitation":"(Escobar et\\uc0\\u160{}al., 2018)","plainCitation":"(Escobar et al., 2018)","noteIndex":0},"citationItems":[{"id":257,"uris":["http://zotero.org/users/12108825/items/R3NUKRSI"],"itemData":{"id":257,"type":"book","ISBN":"978-84-948257-0-5","language":"es","note":"Google-Books-ID: y3NKDwAAQBAJ","number-of-pages":"174","publisher":"3Ciencias","source":"Google Books","title":"METODOLOGÍA DE LA INVESTIGACIÓN CIENTÍFICA","author":[{"family":"Escobar","given":"Arturo Andrés Hernández"},{"family":"Rodríguez","given":"Marcos Pedro Ramos"},{"family":"López","given":"Barbara Miladys Placencia"},{"family":"Ganchozo","given":"Blanca Indacochea"},{"family":"Gómez","given":"Alex Joffre Quimis"},{"family":"Ponce","given":"Luis Alfonso Moreno"}],"issued":{"date-parts":[["2018"]]}}}],"schema":"https://github.com/citation-style-language/schema/raw/master/csl-citation.json"} </w:instrText>
      </w:r>
      <w:r w:rsidR="72A91A42" w:rsidRPr="0076589C">
        <w:fldChar w:fldCharType="separate"/>
      </w:r>
      <w:r w:rsidRPr="0076589C">
        <w:rPr>
          <w:rFonts w:cs="Times New Roman"/>
        </w:rPr>
        <w:t>(Escobar et al., 2018)</w:t>
      </w:r>
      <w:r w:rsidR="72A91A42" w:rsidRPr="0076589C">
        <w:fldChar w:fldCharType="end"/>
      </w:r>
    </w:p>
    <w:p w14:paraId="4039C056" w14:textId="4E25DAB9" w:rsidR="00426932" w:rsidRPr="0076589C" w:rsidRDefault="00943679" w:rsidP="00943679">
      <w:pPr>
        <w:ind w:left="0"/>
        <w:jc w:val="center"/>
      </w:pPr>
      <w:r w:rsidRPr="0076589C">
        <w:rPr>
          <w:noProof/>
          <w:lang w:eastAsia="es-HN"/>
        </w:rPr>
        <w:drawing>
          <wp:inline distT="0" distB="0" distL="0" distR="0" wp14:anchorId="1D44D3F6" wp14:editId="160107E0">
            <wp:extent cx="5120458" cy="3429573"/>
            <wp:effectExtent l="0" t="0" r="4445" b="0"/>
            <wp:docPr id="95744948" name="Picture 95744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744948" name="Imagen 95744948"/>
                    <pic:cNvPicPr/>
                  </pic:nvPicPr>
                  <pic:blipFill rotWithShape="1">
                    <a:blip r:embed="rId18">
                      <a:extLst>
                        <a:ext uri="{28A0092B-C50C-407E-A947-70E740481C1C}">
                          <a14:useLocalDpi xmlns:a14="http://schemas.microsoft.com/office/drawing/2010/main" val="0"/>
                        </a:ext>
                      </a:extLst>
                    </a:blip>
                    <a:srcRect l="5165" t="11868" r="1627" b="4894"/>
                    <a:stretch/>
                  </pic:blipFill>
                  <pic:spPr bwMode="auto">
                    <a:xfrm>
                      <a:off x="0" y="0"/>
                      <a:ext cx="5134959" cy="3439286"/>
                    </a:xfrm>
                    <a:prstGeom prst="rect">
                      <a:avLst/>
                    </a:prstGeom>
                    <a:ln>
                      <a:noFill/>
                    </a:ln>
                    <a:extLst>
                      <a:ext uri="{53640926-AAD7-44D8-BBD7-CCE9431645EC}">
                        <a14:shadowObscured xmlns:a14="http://schemas.microsoft.com/office/drawing/2010/main"/>
                      </a:ext>
                    </a:extLst>
                  </pic:spPr>
                </pic:pic>
              </a:graphicData>
            </a:graphic>
          </wp:inline>
        </w:drawing>
      </w:r>
    </w:p>
    <w:p w14:paraId="3B9C4A2E" w14:textId="598BBBC5" w:rsidR="00465767" w:rsidRPr="0076589C" w:rsidRDefault="1C8D6E3A" w:rsidP="00465767">
      <w:pPr>
        <w:pStyle w:val="ImagenyTabla"/>
        <w:rPr>
          <w:noProof w:val="0"/>
        </w:rPr>
      </w:pPr>
      <w:bookmarkStart w:id="192" w:name="_Toc158365589"/>
      <w:r w:rsidRPr="0076589C">
        <w:t xml:space="preserve">Figura </w:t>
      </w:r>
      <w:r w:rsidR="7A54A044" w:rsidRPr="0076589C">
        <w:rPr>
          <w:noProof w:val="0"/>
        </w:rPr>
        <w:fldChar w:fldCharType="begin"/>
      </w:r>
      <w:r w:rsidR="7A54A044" w:rsidRPr="0076589C">
        <w:rPr>
          <w:noProof w:val="0"/>
        </w:rPr>
        <w:instrText xml:space="preserve"> SEQ Figura \* ARABIC </w:instrText>
      </w:r>
      <w:r w:rsidR="7A54A044" w:rsidRPr="0076589C">
        <w:rPr>
          <w:noProof w:val="0"/>
        </w:rPr>
        <w:fldChar w:fldCharType="separate"/>
      </w:r>
      <w:r w:rsidR="009F171A">
        <w:t>4</w:t>
      </w:r>
      <w:r w:rsidR="7A54A044" w:rsidRPr="0076589C">
        <w:rPr>
          <w:noProof w:val="0"/>
        </w:rPr>
        <w:fldChar w:fldCharType="end"/>
      </w:r>
      <w:r w:rsidRPr="0076589C">
        <w:t>.  Variables de estudio</w:t>
      </w:r>
      <w:bookmarkEnd w:id="192"/>
    </w:p>
    <w:p w14:paraId="4E643956" w14:textId="4CF910EB" w:rsidR="00426932" w:rsidRPr="0076589C" w:rsidRDefault="1C8D6E3A" w:rsidP="00FD71BD">
      <w:pPr>
        <w:pStyle w:val="Fuentes"/>
        <w:spacing w:after="0"/>
        <w:rPr>
          <w:lang w:val="es-HN"/>
        </w:rPr>
      </w:pPr>
      <w:r w:rsidRPr="0076589C">
        <w:rPr>
          <w:lang w:val="es-HN"/>
        </w:rPr>
        <w:t>Fuente: Elaboración propia.</w:t>
      </w:r>
    </w:p>
    <w:p w14:paraId="15A60287" w14:textId="77777777" w:rsidR="00FD71BD" w:rsidRPr="0076589C" w:rsidRDefault="00FD71BD" w:rsidP="00FD71BD">
      <w:pPr>
        <w:pStyle w:val="Fuentes"/>
        <w:spacing w:after="0"/>
        <w:rPr>
          <w:lang w:val="es-HN"/>
        </w:rPr>
      </w:pPr>
    </w:p>
    <w:p w14:paraId="459BEA42" w14:textId="2426A675" w:rsidR="00E713D4" w:rsidRPr="0076589C" w:rsidRDefault="1C8D6E3A" w:rsidP="00494616">
      <w:pPr>
        <w:pStyle w:val="Ttulonivel3"/>
        <w:numPr>
          <w:ilvl w:val="0"/>
          <w:numId w:val="22"/>
        </w:numPr>
      </w:pPr>
      <w:bookmarkStart w:id="193" w:name="_Toc158365497"/>
      <w:r w:rsidRPr="0076589C">
        <w:t>OPERACIONALIZACIÓN DE LAS VARIABLES</w:t>
      </w:r>
      <w:bookmarkEnd w:id="193"/>
    </w:p>
    <w:p w14:paraId="0BE13D92" w14:textId="2DE411BC" w:rsidR="006956D6" w:rsidRPr="0076589C" w:rsidRDefault="1C8D6E3A" w:rsidP="004D32D3">
      <w:pPr>
        <w:pStyle w:val="TextoPrincipal"/>
        <w:rPr>
          <w:lang w:val="es-HN"/>
        </w:rPr>
      </w:pPr>
      <w:r w:rsidRPr="0076589C">
        <w:t xml:space="preserve">Según </w:t>
      </w:r>
      <w:r w:rsidR="7A54A044" w:rsidRPr="0076589C">
        <w:rPr>
          <w:lang w:val="es-HN"/>
        </w:rPr>
        <w:fldChar w:fldCharType="begin"/>
      </w:r>
      <w:r w:rsidR="7A54A044" w:rsidRPr="0076589C">
        <w:rPr>
          <w:lang w:val="es-HN"/>
        </w:rPr>
        <w:instrText xml:space="preserve"> ADDIN ZOTERO_ITEM CSL_CITATION {"citationID":"FfJMSYhg","properties":{"formattedCitation":"(Alvarez &amp; Mart\\uc0\\u237{}nez-Olmo, 2014)","plainCitation":"(Alvarez &amp; Martínez-Olmo, 2014)","dontUpdate":true,"noteIndex":0},"citationItems":[{"id":254,"uris":["http://zotero.org/users/12108825/items/TKSK53PW"],"itemData":{"id":254,"type":"article-journal","language":"es","source":"Zotero","title":"Operacionalización de conceptos/variables","author":[{"family":"Alvarez","given":"Mercedes Reguant"},{"family":"Martínez-Olmo","given":"Francesc"}],"issued":{"date-parts":[["2014"]]}}}],"schema":"https://github.com/citation-style-language/schema/raw/master/csl-citation.json"} </w:instrText>
      </w:r>
      <w:r w:rsidR="7A54A044" w:rsidRPr="0076589C">
        <w:rPr>
          <w:lang w:val="es-HN"/>
        </w:rPr>
        <w:fldChar w:fldCharType="separate"/>
      </w:r>
      <w:r w:rsidRPr="0076589C">
        <w:t>Álvarez &amp; Martínez, (2014)</w:t>
      </w:r>
      <w:r w:rsidR="7A54A044" w:rsidRPr="0076589C">
        <w:rPr>
          <w:lang w:val="es-HN"/>
        </w:rPr>
        <w:fldChar w:fldCharType="end"/>
      </w:r>
      <w:r w:rsidRPr="0076589C">
        <w:t xml:space="preserve"> defin</w:t>
      </w:r>
      <w:r w:rsidR="0010436C" w:rsidRPr="0076589C">
        <w:t>ió</w:t>
      </w:r>
      <w:r w:rsidRPr="0076589C">
        <w:t>:</w:t>
      </w:r>
    </w:p>
    <w:p w14:paraId="6538D7FD" w14:textId="21725A60" w:rsidR="00426932" w:rsidRPr="0076589C" w:rsidRDefault="1C8D6E3A" w:rsidP="00083AAE">
      <w:pPr>
        <w:pStyle w:val="CitaLarga"/>
        <w:spacing w:line="240" w:lineRule="auto"/>
      </w:pPr>
      <w:r w:rsidRPr="0076589C">
        <w:t>La operacionalización de conceptos o variables es un proceso lógico de desagregación de los elementos más abstractos (los conceptos teóricos), hasta llegar al nivel más concreto, los hechos producidos en la realidad y que representan indicios del concepto, pero que podemos observar, recoger, valorar, es decir, sus indicadores. (pág.3)</w:t>
      </w:r>
    </w:p>
    <w:p w14:paraId="28FF5281" w14:textId="77777777" w:rsidR="00426932" w:rsidRPr="0076589C" w:rsidRDefault="00426932" w:rsidP="00426932">
      <w:pPr>
        <w:ind w:left="0"/>
      </w:pPr>
    </w:p>
    <w:p w14:paraId="7EA645F1" w14:textId="77777777" w:rsidR="00426932" w:rsidRPr="0076589C" w:rsidRDefault="00426932" w:rsidP="00426932">
      <w:pPr>
        <w:ind w:left="0"/>
      </w:pPr>
    </w:p>
    <w:p w14:paraId="09269379" w14:textId="77777777" w:rsidR="00426932" w:rsidRPr="0076589C" w:rsidRDefault="00426932" w:rsidP="00426932">
      <w:pPr>
        <w:ind w:left="0"/>
        <w:sectPr w:rsidR="00426932" w:rsidRPr="0076589C" w:rsidSect="008C6BD1">
          <w:pgSz w:w="12240" w:h="15840" w:code="1"/>
          <w:pgMar w:top="1440" w:right="1440" w:bottom="1440" w:left="1440" w:header="720" w:footer="720" w:gutter="0"/>
          <w:cols w:space="720"/>
          <w:docGrid w:linePitch="360"/>
        </w:sectPr>
      </w:pPr>
    </w:p>
    <w:p w14:paraId="39BD5E31" w14:textId="50CE9579" w:rsidR="002F0954" w:rsidRPr="0076589C" w:rsidRDefault="1C8D6E3A" w:rsidP="1C8D6E3A">
      <w:pPr>
        <w:pStyle w:val="ImagenyTabla"/>
        <w:rPr>
          <w:rFonts w:eastAsiaTheme="minorEastAsia"/>
          <w:noProof w:val="0"/>
        </w:rPr>
      </w:pPr>
      <w:bookmarkStart w:id="194" w:name="_Toc158365552"/>
      <w:r w:rsidRPr="0076589C">
        <w:lastRenderedPageBreak/>
        <w:t xml:space="preserve">Tabla </w:t>
      </w:r>
      <w:r w:rsidR="7A54A044" w:rsidRPr="0076589C">
        <w:rPr>
          <w:noProof w:val="0"/>
        </w:rPr>
        <w:fldChar w:fldCharType="begin"/>
      </w:r>
      <w:r w:rsidR="7A54A044" w:rsidRPr="0076589C">
        <w:rPr>
          <w:noProof w:val="0"/>
        </w:rPr>
        <w:instrText xml:space="preserve"> SEQ Tabla \* ARABIC </w:instrText>
      </w:r>
      <w:r w:rsidR="7A54A044" w:rsidRPr="0076589C">
        <w:rPr>
          <w:noProof w:val="0"/>
        </w:rPr>
        <w:fldChar w:fldCharType="separate"/>
      </w:r>
      <w:r w:rsidR="009F171A">
        <w:t>4</w:t>
      </w:r>
      <w:r w:rsidR="7A54A044" w:rsidRPr="0076589C">
        <w:rPr>
          <w:noProof w:val="0"/>
        </w:rPr>
        <w:fldChar w:fldCharType="end"/>
      </w:r>
      <w:r w:rsidRPr="0076589C">
        <w:t>. Operacionalización de las variables</w:t>
      </w:r>
      <w:bookmarkEnd w:id="194"/>
      <w:r w:rsidRPr="0076589C">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0"/>
        <w:gridCol w:w="1835"/>
        <w:gridCol w:w="1441"/>
        <w:gridCol w:w="1349"/>
        <w:gridCol w:w="2251"/>
        <w:gridCol w:w="1888"/>
        <w:gridCol w:w="1080"/>
        <w:gridCol w:w="899"/>
        <w:gridCol w:w="1077"/>
      </w:tblGrid>
      <w:tr w:rsidR="002A4366" w:rsidRPr="0076589C" w14:paraId="333611A3" w14:textId="77777777" w:rsidTr="1C8D6E3A">
        <w:trPr>
          <w:trHeight w:val="68"/>
          <w:tblHeader/>
        </w:trPr>
        <w:tc>
          <w:tcPr>
            <w:tcW w:w="436" w:type="pct"/>
            <w:vMerge w:val="restart"/>
            <w:shd w:val="clear" w:color="auto" w:fill="85BADC"/>
            <w:vAlign w:val="center"/>
          </w:tcPr>
          <w:p w14:paraId="5B18A55A" w14:textId="02812BAE" w:rsidR="00443717" w:rsidRPr="0076589C" w:rsidRDefault="1C8D6E3A" w:rsidP="72A91A42">
            <w:pPr>
              <w:pStyle w:val="Tabla"/>
              <w:jc w:val="center"/>
              <w:rPr>
                <w:b/>
                <w:bCs/>
                <w:lang w:val="es-HN"/>
              </w:rPr>
            </w:pPr>
            <w:r w:rsidRPr="0076589C">
              <w:rPr>
                <w:b/>
                <w:bCs/>
              </w:rPr>
              <w:t>Variable</w:t>
            </w:r>
          </w:p>
        </w:tc>
        <w:tc>
          <w:tcPr>
            <w:tcW w:w="708" w:type="pct"/>
            <w:vMerge w:val="restart"/>
            <w:shd w:val="clear" w:color="auto" w:fill="85BADC"/>
            <w:vAlign w:val="center"/>
          </w:tcPr>
          <w:p w14:paraId="5B8C4AAE" w14:textId="43428542" w:rsidR="00443717" w:rsidRPr="0076589C" w:rsidRDefault="1C8D6E3A" w:rsidP="72A91A42">
            <w:pPr>
              <w:pStyle w:val="Tabla"/>
              <w:jc w:val="center"/>
              <w:rPr>
                <w:b/>
                <w:bCs/>
                <w:lang w:val="es-HN"/>
              </w:rPr>
            </w:pPr>
            <w:r w:rsidRPr="0076589C">
              <w:rPr>
                <w:b/>
                <w:bCs/>
              </w:rPr>
              <w:t>Definición conceptual</w:t>
            </w:r>
          </w:p>
        </w:tc>
        <w:tc>
          <w:tcPr>
            <w:tcW w:w="556" w:type="pct"/>
            <w:vMerge w:val="restart"/>
            <w:shd w:val="clear" w:color="auto" w:fill="85BADC"/>
            <w:vAlign w:val="center"/>
          </w:tcPr>
          <w:p w14:paraId="3019DF03" w14:textId="093B6242" w:rsidR="00443717" w:rsidRPr="0076589C" w:rsidRDefault="1C8D6E3A" w:rsidP="72A91A42">
            <w:pPr>
              <w:pStyle w:val="Tabla"/>
              <w:jc w:val="center"/>
              <w:rPr>
                <w:b/>
                <w:bCs/>
                <w:lang w:val="es-HN"/>
              </w:rPr>
            </w:pPr>
            <w:r w:rsidRPr="0076589C">
              <w:rPr>
                <w:b/>
                <w:bCs/>
              </w:rPr>
              <w:t>Definición operacional</w:t>
            </w:r>
          </w:p>
        </w:tc>
        <w:tc>
          <w:tcPr>
            <w:tcW w:w="521" w:type="pct"/>
            <w:vMerge w:val="restart"/>
            <w:shd w:val="clear" w:color="auto" w:fill="85BADC"/>
            <w:vAlign w:val="center"/>
          </w:tcPr>
          <w:p w14:paraId="6B8D3BD9" w14:textId="587071A7" w:rsidR="00443717" w:rsidRPr="0076589C" w:rsidRDefault="1C8D6E3A" w:rsidP="72A91A42">
            <w:pPr>
              <w:pStyle w:val="Tabla"/>
              <w:jc w:val="center"/>
              <w:rPr>
                <w:b/>
                <w:bCs/>
                <w:lang w:val="es-HN"/>
              </w:rPr>
            </w:pPr>
            <w:r w:rsidRPr="0076589C">
              <w:rPr>
                <w:b/>
                <w:bCs/>
              </w:rPr>
              <w:t>Dimensión</w:t>
            </w:r>
          </w:p>
        </w:tc>
        <w:tc>
          <w:tcPr>
            <w:tcW w:w="869" w:type="pct"/>
            <w:vMerge w:val="restart"/>
            <w:shd w:val="clear" w:color="auto" w:fill="85BADC"/>
            <w:vAlign w:val="center"/>
          </w:tcPr>
          <w:p w14:paraId="243DD1CB" w14:textId="648A5405" w:rsidR="00443717" w:rsidRPr="0076589C" w:rsidRDefault="1C8D6E3A" w:rsidP="72A91A42">
            <w:pPr>
              <w:pStyle w:val="Tabla"/>
              <w:jc w:val="center"/>
              <w:rPr>
                <w:b/>
                <w:bCs/>
                <w:lang w:val="es-HN"/>
              </w:rPr>
            </w:pPr>
            <w:r w:rsidRPr="0076589C">
              <w:rPr>
                <w:b/>
                <w:bCs/>
              </w:rPr>
              <w:t>Indicadores</w:t>
            </w:r>
          </w:p>
        </w:tc>
        <w:tc>
          <w:tcPr>
            <w:tcW w:w="729" w:type="pct"/>
            <w:vMerge w:val="restart"/>
            <w:shd w:val="clear" w:color="auto" w:fill="85BADC"/>
            <w:vAlign w:val="center"/>
          </w:tcPr>
          <w:p w14:paraId="72A62A31" w14:textId="2942E8D4" w:rsidR="00443717" w:rsidRPr="0076589C" w:rsidRDefault="1C8D6E3A" w:rsidP="72A91A42">
            <w:pPr>
              <w:pStyle w:val="Tabla"/>
              <w:jc w:val="center"/>
              <w:rPr>
                <w:b/>
                <w:bCs/>
                <w:lang w:val="es-HN"/>
              </w:rPr>
            </w:pPr>
            <w:r w:rsidRPr="0076589C">
              <w:rPr>
                <w:b/>
                <w:bCs/>
              </w:rPr>
              <w:t>Ítem</w:t>
            </w:r>
          </w:p>
        </w:tc>
        <w:tc>
          <w:tcPr>
            <w:tcW w:w="417" w:type="pct"/>
            <w:vMerge w:val="restart"/>
            <w:shd w:val="clear" w:color="auto" w:fill="85BADC"/>
            <w:vAlign w:val="center"/>
          </w:tcPr>
          <w:p w14:paraId="6BAD84A5" w14:textId="6429D6EA" w:rsidR="00443717" w:rsidRPr="0076589C" w:rsidRDefault="1C8D6E3A" w:rsidP="72A91A42">
            <w:pPr>
              <w:pStyle w:val="Tabla"/>
              <w:jc w:val="center"/>
              <w:rPr>
                <w:b/>
                <w:bCs/>
                <w:lang w:val="es-HN"/>
              </w:rPr>
            </w:pPr>
            <w:r w:rsidRPr="0076589C">
              <w:rPr>
                <w:b/>
                <w:bCs/>
              </w:rPr>
              <w:t>Estrategia</w:t>
            </w:r>
          </w:p>
        </w:tc>
        <w:tc>
          <w:tcPr>
            <w:tcW w:w="763" w:type="pct"/>
            <w:gridSpan w:val="2"/>
            <w:shd w:val="clear" w:color="auto" w:fill="85BADC"/>
            <w:vAlign w:val="center"/>
          </w:tcPr>
          <w:p w14:paraId="7AC6AF0A" w14:textId="578ED354" w:rsidR="00443717" w:rsidRPr="0076589C" w:rsidRDefault="1C8D6E3A" w:rsidP="72A91A42">
            <w:pPr>
              <w:pStyle w:val="Tabla"/>
              <w:jc w:val="center"/>
              <w:rPr>
                <w:b/>
                <w:bCs/>
                <w:lang w:val="es-HN"/>
              </w:rPr>
            </w:pPr>
            <w:r w:rsidRPr="0076589C">
              <w:rPr>
                <w:b/>
                <w:bCs/>
              </w:rPr>
              <w:t>Dirigido a</w:t>
            </w:r>
          </w:p>
        </w:tc>
      </w:tr>
      <w:tr w:rsidR="002A4366" w:rsidRPr="0076589C" w14:paraId="32067190" w14:textId="6BB3CC2C" w:rsidTr="1C8D6E3A">
        <w:trPr>
          <w:trHeight w:val="163"/>
          <w:tblHeader/>
        </w:trPr>
        <w:tc>
          <w:tcPr>
            <w:tcW w:w="436" w:type="pct"/>
            <w:vMerge/>
            <w:vAlign w:val="center"/>
          </w:tcPr>
          <w:p w14:paraId="63FF31E9" w14:textId="77777777" w:rsidR="00413B37" w:rsidRPr="0076589C" w:rsidRDefault="00413B37" w:rsidP="002B6C73">
            <w:pPr>
              <w:pStyle w:val="Tabla"/>
              <w:jc w:val="center"/>
              <w:rPr>
                <w:b/>
                <w:bCs/>
                <w:szCs w:val="20"/>
                <w:lang w:val="es-HN"/>
              </w:rPr>
            </w:pPr>
          </w:p>
        </w:tc>
        <w:tc>
          <w:tcPr>
            <w:tcW w:w="708" w:type="pct"/>
            <w:vMerge/>
            <w:vAlign w:val="center"/>
          </w:tcPr>
          <w:p w14:paraId="502AB35A" w14:textId="77777777" w:rsidR="00413B37" w:rsidRPr="0076589C" w:rsidRDefault="00413B37" w:rsidP="002B6C73">
            <w:pPr>
              <w:pStyle w:val="Tabla"/>
              <w:jc w:val="center"/>
              <w:rPr>
                <w:b/>
                <w:bCs/>
                <w:szCs w:val="20"/>
                <w:lang w:val="es-HN"/>
              </w:rPr>
            </w:pPr>
          </w:p>
        </w:tc>
        <w:tc>
          <w:tcPr>
            <w:tcW w:w="556" w:type="pct"/>
            <w:vMerge/>
            <w:vAlign w:val="center"/>
          </w:tcPr>
          <w:p w14:paraId="112F5944" w14:textId="77777777" w:rsidR="00413B37" w:rsidRPr="0076589C" w:rsidRDefault="00413B37" w:rsidP="002B6C73">
            <w:pPr>
              <w:pStyle w:val="Tabla"/>
              <w:jc w:val="center"/>
              <w:rPr>
                <w:b/>
                <w:bCs/>
                <w:szCs w:val="20"/>
                <w:lang w:val="es-HN"/>
              </w:rPr>
            </w:pPr>
          </w:p>
        </w:tc>
        <w:tc>
          <w:tcPr>
            <w:tcW w:w="521" w:type="pct"/>
            <w:vMerge/>
            <w:vAlign w:val="center"/>
          </w:tcPr>
          <w:p w14:paraId="608049D0" w14:textId="77777777" w:rsidR="00413B37" w:rsidRPr="0076589C" w:rsidRDefault="00413B37" w:rsidP="002B6C73">
            <w:pPr>
              <w:pStyle w:val="Tabla"/>
              <w:jc w:val="center"/>
              <w:rPr>
                <w:b/>
                <w:bCs/>
                <w:szCs w:val="20"/>
                <w:lang w:val="es-HN"/>
              </w:rPr>
            </w:pPr>
          </w:p>
        </w:tc>
        <w:tc>
          <w:tcPr>
            <w:tcW w:w="869" w:type="pct"/>
            <w:vMerge/>
            <w:vAlign w:val="center"/>
          </w:tcPr>
          <w:p w14:paraId="349C8EAC" w14:textId="77777777" w:rsidR="00413B37" w:rsidRPr="0076589C" w:rsidRDefault="00413B37" w:rsidP="002B6C73">
            <w:pPr>
              <w:pStyle w:val="Tabla"/>
              <w:jc w:val="center"/>
              <w:rPr>
                <w:b/>
                <w:bCs/>
                <w:szCs w:val="20"/>
                <w:lang w:val="es-HN"/>
              </w:rPr>
            </w:pPr>
          </w:p>
        </w:tc>
        <w:tc>
          <w:tcPr>
            <w:tcW w:w="729" w:type="pct"/>
            <w:vMerge/>
            <w:vAlign w:val="center"/>
          </w:tcPr>
          <w:p w14:paraId="751A3BB7" w14:textId="77777777" w:rsidR="00413B37" w:rsidRPr="0076589C" w:rsidRDefault="00413B37" w:rsidP="002B6C73">
            <w:pPr>
              <w:pStyle w:val="Tabla"/>
              <w:jc w:val="center"/>
              <w:rPr>
                <w:b/>
                <w:bCs/>
                <w:szCs w:val="20"/>
                <w:lang w:val="es-HN"/>
              </w:rPr>
            </w:pPr>
          </w:p>
        </w:tc>
        <w:tc>
          <w:tcPr>
            <w:tcW w:w="417" w:type="pct"/>
            <w:vMerge/>
            <w:vAlign w:val="center"/>
          </w:tcPr>
          <w:p w14:paraId="0A71D684" w14:textId="77777777" w:rsidR="00413B37" w:rsidRPr="0076589C" w:rsidRDefault="00413B37" w:rsidP="002B6C73">
            <w:pPr>
              <w:pStyle w:val="Tabla"/>
              <w:jc w:val="center"/>
              <w:rPr>
                <w:b/>
                <w:bCs/>
                <w:szCs w:val="20"/>
                <w:lang w:val="es-HN"/>
              </w:rPr>
            </w:pPr>
          </w:p>
        </w:tc>
        <w:tc>
          <w:tcPr>
            <w:tcW w:w="347" w:type="pct"/>
            <w:shd w:val="clear" w:color="auto" w:fill="85BADC"/>
            <w:vAlign w:val="center"/>
          </w:tcPr>
          <w:p w14:paraId="4C3F4352" w14:textId="52116EBC" w:rsidR="00413B37" w:rsidRPr="0076589C" w:rsidRDefault="1C8D6E3A" w:rsidP="72A91A42">
            <w:pPr>
              <w:pStyle w:val="Tabla"/>
              <w:jc w:val="center"/>
              <w:rPr>
                <w:b/>
                <w:bCs/>
                <w:lang w:val="es-HN"/>
              </w:rPr>
            </w:pPr>
            <w:r w:rsidRPr="0076589C">
              <w:rPr>
                <w:b/>
                <w:bCs/>
              </w:rPr>
              <w:t>Gerente</w:t>
            </w:r>
          </w:p>
        </w:tc>
        <w:tc>
          <w:tcPr>
            <w:tcW w:w="416" w:type="pct"/>
            <w:shd w:val="clear" w:color="auto" w:fill="85BADC"/>
            <w:vAlign w:val="center"/>
          </w:tcPr>
          <w:p w14:paraId="6BACB4DC" w14:textId="04BF0419" w:rsidR="00413B37" w:rsidRPr="0076589C" w:rsidRDefault="1C8D6E3A" w:rsidP="72A91A42">
            <w:pPr>
              <w:pStyle w:val="Tabla"/>
              <w:jc w:val="center"/>
              <w:rPr>
                <w:b/>
                <w:bCs/>
                <w:lang w:val="es-HN"/>
              </w:rPr>
            </w:pPr>
            <w:r w:rsidRPr="0076589C">
              <w:rPr>
                <w:b/>
                <w:bCs/>
              </w:rPr>
              <w:t>Empleado</w:t>
            </w:r>
          </w:p>
        </w:tc>
      </w:tr>
      <w:tr w:rsidR="002A4366" w:rsidRPr="0076589C" w14:paraId="5449CB3D" w14:textId="77777777" w:rsidTr="1C8D6E3A">
        <w:trPr>
          <w:trHeight w:val="2429"/>
        </w:trPr>
        <w:tc>
          <w:tcPr>
            <w:tcW w:w="436" w:type="pct"/>
            <w:vMerge w:val="restart"/>
            <w:vAlign w:val="center"/>
          </w:tcPr>
          <w:p w14:paraId="04282DB8" w14:textId="3FF986A5" w:rsidR="00531264" w:rsidRPr="0076589C" w:rsidRDefault="1C8D6E3A" w:rsidP="72A91A42">
            <w:pPr>
              <w:pStyle w:val="Tabla"/>
              <w:jc w:val="center"/>
              <w:rPr>
                <w:b/>
                <w:bCs/>
                <w:lang w:val="es-HN"/>
              </w:rPr>
            </w:pPr>
            <w:r w:rsidRPr="0076589C">
              <w:rPr>
                <w:b/>
                <w:bCs/>
              </w:rPr>
              <w:t>Situación Financiera</w:t>
            </w:r>
          </w:p>
        </w:tc>
        <w:tc>
          <w:tcPr>
            <w:tcW w:w="708" w:type="pct"/>
            <w:vMerge w:val="restart"/>
            <w:vAlign w:val="center"/>
          </w:tcPr>
          <w:p w14:paraId="146EA518" w14:textId="4903E49F" w:rsidR="00531264" w:rsidRPr="0076589C" w:rsidRDefault="1C8D6E3A" w:rsidP="00615526">
            <w:pPr>
              <w:pStyle w:val="Tabla"/>
              <w:rPr>
                <w:lang w:val="es-HN"/>
              </w:rPr>
            </w:pPr>
            <w:r w:rsidRPr="0076589C">
              <w:rPr>
                <w:lang w:val="es-HN"/>
              </w:rPr>
              <w:t xml:space="preserve">“El estado de situación financiera, también llamado estado de situación financiera o estado de posición financiera, que muestra información relativa a una fecha determinada sobre los recursos y obligaciones financieros de la entidad.”  </w:t>
            </w:r>
            <w:r w:rsidR="7A54A044" w:rsidRPr="0076589C">
              <w:rPr>
                <w:lang w:val="es-HN"/>
              </w:rPr>
              <w:fldChar w:fldCharType="begin"/>
            </w:r>
            <w:r w:rsidR="7A54A044" w:rsidRPr="0076589C">
              <w:rPr>
                <w:lang w:val="es-HN"/>
              </w:rPr>
              <w:instrText xml:space="preserve"> ADDIN ZOTERO_ITEM CSL_CITATION {"citationID":"lMqjnJL0","properties":{"formattedCitation":"(Fuentes, 2019)","plainCitation":"(Fuentes, 2019)","noteIndex":0},"citationItems":[{"id":269,"uris":["http://zotero.org/users/12108825/items/FZUZH7AG"],"itemData":{"id":269,"type":"book","abstract":"La Información Financiera que se produce a través de la técnica contable, representa un valioso insumo que permite fundamentar el proceso de la toma de decisiones en las organizaciones. Es por esto, que el contenido medular de esta obra, ESTADOS FINANCIEROS BÁSICOS, es precisamente la presentación de esta información. Además de casos prácticos para cada estado financiero básico, se incluye una práctica que incluye de forma integral, el proceso a seguir para la obtención de información financiera durante un proceso contable.Contenido:INTRODUCCION        CAPITULO I. SISTEMAS DE INFORMACION CONTABLE        1. Conceptos e importancia        2. Sistemas de información contable        3. Etapas para la implantación de un sistema de información financiera        4. Normas de información financiera        4.1. Normas relacionadas con los sistemas de información contable        CAPITULO II. ESTADOS FINANCIEROS BASICOS. CARACTERISTICAS Y OBJETIVOS        1. Estados financieros básicos        2. Objetivos de los estados financieros básicos3. Usuarios de los estados financieros         4. Características de los estados financieros        5. Partes que integran a los estados financieros        6. Limitaciones en el uso de los estados financieros        7. Notas a los estados financieros        7.1.Revelación de políticas contables significativas        CAPITULO III. ESTADO DE SITUACION FINANCIERA        1. Conceptos        2. Objetivos que persigue3. Formas de presentación        3.1. Presentación en forma de cuenta        3.2. Presentación en forma de reporte        3.3. Presentación en forma inglesa        3.4. Formas de presentación según la NIF B-6         4. Definición de conceptos básicos        4.1. Activo        4.2. Pasivo        4.3. Capital contable        5. Clasificación de los conceptos del estado de situación financiera        5.1. Clasificación del activo y pasivo        6. Estructura del estado de situación financiera        7.Proceso de elaboración        8.Prácticas resueltas        8.1.Ejercicios para resolver        CAPITULO IV. ESTADO DE RESULTADOS INTEGRAL        1. Conceptos        2. Objetivos que persigue        3. Rubros y niveles de resultados        3.1. Definición de los rubros que lo integran        4. Clasificación de costos y gastos5.Opciones para la presentación del estado de resultados integral        6. Estructura del estado de resultados integral, a partir de las opciones de presentación existentes        6.1. Estructura del estado de resultados integral (un solo estado)        6.2. Estructura del estado de resultados integral (en dos estados)        7. Prácticas resueltas        7.1. Ejercicios para resolver        7.2. Práctica conjunta de estado de resultados integral y estado de situación financiera        7.3. Ejercicio para resolverCAPITULO V. EL ESTADO DE FLUJOS DE EFECTIVO        1. Conceptos        2. Objetivos        3. Definición de conceptos        4. Estructura general del estado        5. Mecanismo para su elaboración        6. Clasificación de las principales partidas del estado de situación financiera por tipo de actividad        7. Variaciones de las principales partidas que integran un estado de situación financiera y repercusiones en el estado de flujos de efectivo        8. Pasos y recomendaciones mínimos para la formulación del estado de flujos de efectivo        9. Prácticas resueltas        10. Procedimiento simplificado para elaborar el estado de flujos de efectivo sin necesidad de formular hoja de trabajo        10.1. Ejemplo de utilización de las fórmulas propuestas        11. Ejercicios para resolver        CAPITULO VI. EL ESTADO DE CAMBIOS EN EL CAPITAL CONTABLE        1. Conceptos        2. Objetivos que persigue        3. Conceptos básicos        4. Normas de presentación        4.1. Estructura básica        4.2. Ejemplos de presentación        5. Pasos para su elaboración        6. Prácticas resueltas        6.1. Ejercicios para resolver        CAPITULO VII. PROCESO INTEGRAL DE ELABORACION DE LOS ESTADOS FINANCIEROS BASICOS        1.Consideraciones para su solución        2. Planteamiento        3. Solución        3.1. Ejercicios para resolverCAPITULO VIII. LA INFLACION Y LA REEXPRESION DE LA INFORMACION FINANCIERA        1. Conceptos de inflación        2. Causas internas y externas        3. Comportamiento histórico de la inflación en México        4. Efectos de la inflación en la información financiera        5. Cuantificación de la inflación en México        6. Antecedentes de la normatividad actual        7. Principales adecuaciones al Boletín B-10, como precedente de la actual NIF B-10        8. Métodos de reexpresión        9. Principales disposiciones contenidas en la actual NIF B-10 9.1. Justificación para la emisión de la norma        9.2. Principales cambios incluidos en la normatividad actual        9.3. Conceptos básicos contenidos en la norma        ]9.4. Normas de reexpresión del método integral aplicable a entornos inflacionarios        9.5. Normas de reexpresión en un entorno no inflacionario        9.6. Cambio de entorno económico        9.7. Cambio de un entorno económico inflacionario a uno no inflacionario        9.8. Cambio de un entorno económico no inflacionario a uno inflacionario        10. Caso práctico de reexpresión utilizando el método integral         11. ¿Cómo deben presentarse en los estados financieros comparativos las cifras de períodos anteriores a 2008, por la entrada en vigor de la NIF B-10?        12. Datos sobre el entorno económico de los últimos años13. Normatividad internacional aplicable a la reexpresión de estados financierosGLOSARIOBIBLIOGRAFIAREFERENCIAS ELECTRONICAS","ISBN":"978-607-541-128-6","language":"en","note":"Google-Books-ID: a3eUDwAAQBAJ","number-of-pages":"195","publisher":"Ediciones Fiscales ISEF","source":"Google Books","title":"ESTADOS FINANCIEROS BÁSICOS 2019: Proceso de elaboración y reexpresión","title-short":"ESTADOS FINANCIEROS BÁSICOS 2019","author":[{"family":"Fuentes","given":"C. P. Juan Carlos Róman"}],"issued":{"date-parts":[["2019"]]}}}],"schema":"https://github.com/citation-style-language/schema/raw/master/csl-citation.json"} </w:instrText>
            </w:r>
            <w:r w:rsidR="7A54A044" w:rsidRPr="0076589C">
              <w:rPr>
                <w:lang w:val="es-HN"/>
              </w:rPr>
              <w:fldChar w:fldCharType="separate"/>
            </w:r>
            <w:r w:rsidRPr="0076589C">
              <w:rPr>
                <w:lang w:val="es-HN"/>
              </w:rPr>
              <w:t>(Fuentes, 2019)</w:t>
            </w:r>
            <w:r w:rsidR="7A54A044" w:rsidRPr="0076589C">
              <w:rPr>
                <w:lang w:val="es-HN"/>
              </w:rPr>
              <w:fldChar w:fldCharType="end"/>
            </w:r>
          </w:p>
        </w:tc>
        <w:tc>
          <w:tcPr>
            <w:tcW w:w="556" w:type="pct"/>
            <w:vMerge w:val="restart"/>
            <w:vAlign w:val="center"/>
          </w:tcPr>
          <w:p w14:paraId="73C03480" w14:textId="293E1D71" w:rsidR="00531264" w:rsidRPr="0076589C" w:rsidRDefault="1C8D6E3A" w:rsidP="00615526">
            <w:pPr>
              <w:pStyle w:val="Tabla"/>
              <w:rPr>
                <w:lang w:val="es-HN"/>
              </w:rPr>
            </w:pPr>
            <w:r w:rsidRPr="0076589C">
              <w:rPr>
                <w:lang w:val="es-HN"/>
              </w:rPr>
              <w:t>La situación financiera se refiere a la salud económica y el estado de una empresa o entidad en un momento específico, generalmente evaluada mediante el análisis de sus activos, pasivos y patrimonio neto.</w:t>
            </w:r>
          </w:p>
        </w:tc>
        <w:tc>
          <w:tcPr>
            <w:tcW w:w="521" w:type="pct"/>
            <w:vMerge w:val="restart"/>
            <w:vAlign w:val="center"/>
          </w:tcPr>
          <w:p w14:paraId="2FAB07D7" w14:textId="509601AA" w:rsidR="00531264" w:rsidRPr="0076589C" w:rsidRDefault="1C8D6E3A" w:rsidP="00A17B9B">
            <w:pPr>
              <w:pStyle w:val="Tabla"/>
              <w:jc w:val="center"/>
              <w:rPr>
                <w:lang w:val="es-HN"/>
              </w:rPr>
            </w:pPr>
            <w:r w:rsidRPr="0076589C">
              <w:rPr>
                <w:lang w:val="es-HN"/>
              </w:rPr>
              <w:t>Contable</w:t>
            </w:r>
          </w:p>
        </w:tc>
        <w:tc>
          <w:tcPr>
            <w:tcW w:w="869" w:type="pct"/>
            <w:vAlign w:val="center"/>
          </w:tcPr>
          <w:p w14:paraId="4F5887F7" w14:textId="4179F9F9" w:rsidR="00531264" w:rsidRPr="0076589C" w:rsidRDefault="1C8D6E3A" w:rsidP="72A91A42">
            <w:pPr>
              <w:pStyle w:val="Tabla"/>
              <w:jc w:val="center"/>
              <w:rPr>
                <w:lang w:val="es-HN"/>
              </w:rPr>
            </w:pPr>
            <w:r w:rsidRPr="0076589C">
              <w:rPr>
                <w:lang w:val="es-HN"/>
              </w:rPr>
              <w:t>Balance General</w:t>
            </w:r>
          </w:p>
        </w:tc>
        <w:tc>
          <w:tcPr>
            <w:tcW w:w="729" w:type="pct"/>
            <w:vMerge w:val="restart"/>
            <w:vAlign w:val="center"/>
          </w:tcPr>
          <w:p w14:paraId="1264E5CD" w14:textId="153AC2F1" w:rsidR="00531264" w:rsidRPr="0076589C" w:rsidRDefault="1C8D6E3A" w:rsidP="72A91A42">
            <w:pPr>
              <w:pStyle w:val="Tabla"/>
              <w:jc w:val="center"/>
              <w:rPr>
                <w:lang w:val="es-HN"/>
              </w:rPr>
            </w:pPr>
            <w:r w:rsidRPr="0076589C">
              <w:rPr>
                <w:lang w:val="es-HN"/>
              </w:rPr>
              <w:t>N/A</w:t>
            </w:r>
          </w:p>
        </w:tc>
        <w:tc>
          <w:tcPr>
            <w:tcW w:w="417" w:type="pct"/>
            <w:vMerge w:val="restart"/>
            <w:vAlign w:val="center"/>
          </w:tcPr>
          <w:p w14:paraId="43D09F7F" w14:textId="69E2AE5C" w:rsidR="00531264" w:rsidRPr="0076589C" w:rsidRDefault="1C8D6E3A" w:rsidP="00F53A2D">
            <w:pPr>
              <w:pStyle w:val="Tabla"/>
              <w:jc w:val="center"/>
              <w:rPr>
                <w:lang w:val="es-HN"/>
              </w:rPr>
            </w:pPr>
            <w:r w:rsidRPr="0076589C">
              <w:rPr>
                <w:lang w:val="es-HN"/>
              </w:rPr>
              <w:t>Análisis vertical y horizontal de estados financieros</w:t>
            </w:r>
          </w:p>
        </w:tc>
        <w:tc>
          <w:tcPr>
            <w:tcW w:w="347" w:type="pct"/>
            <w:vMerge w:val="restart"/>
          </w:tcPr>
          <w:p w14:paraId="3583A38E" w14:textId="77777777" w:rsidR="00531264" w:rsidRPr="0076589C" w:rsidRDefault="00531264" w:rsidP="00615526">
            <w:pPr>
              <w:pStyle w:val="Tabla"/>
              <w:rPr>
                <w:lang w:val="es-HN"/>
              </w:rPr>
            </w:pPr>
          </w:p>
        </w:tc>
        <w:tc>
          <w:tcPr>
            <w:tcW w:w="416" w:type="pct"/>
            <w:vMerge w:val="restart"/>
          </w:tcPr>
          <w:p w14:paraId="16263EF4" w14:textId="77777777" w:rsidR="00531264" w:rsidRPr="0076589C" w:rsidRDefault="00531264" w:rsidP="00615526">
            <w:pPr>
              <w:pStyle w:val="Tabla"/>
              <w:rPr>
                <w:lang w:val="es-HN"/>
              </w:rPr>
            </w:pPr>
          </w:p>
        </w:tc>
      </w:tr>
      <w:tr w:rsidR="002A4366" w:rsidRPr="0076589C" w14:paraId="0DE9AD4E" w14:textId="77777777" w:rsidTr="1C8D6E3A">
        <w:trPr>
          <w:trHeight w:val="1207"/>
        </w:trPr>
        <w:tc>
          <w:tcPr>
            <w:tcW w:w="436" w:type="pct"/>
            <w:vMerge/>
            <w:vAlign w:val="center"/>
          </w:tcPr>
          <w:p w14:paraId="2B8AE69E" w14:textId="77777777" w:rsidR="00531264" w:rsidRPr="0076589C" w:rsidRDefault="00531264" w:rsidP="00D37929">
            <w:pPr>
              <w:pStyle w:val="Tabla"/>
              <w:jc w:val="center"/>
              <w:rPr>
                <w:b/>
                <w:bCs/>
                <w:szCs w:val="20"/>
                <w:lang w:val="es-HN"/>
              </w:rPr>
            </w:pPr>
          </w:p>
        </w:tc>
        <w:tc>
          <w:tcPr>
            <w:tcW w:w="708" w:type="pct"/>
            <w:vMerge/>
            <w:vAlign w:val="center"/>
          </w:tcPr>
          <w:p w14:paraId="0ABDFAA4" w14:textId="77777777" w:rsidR="00531264" w:rsidRPr="0076589C" w:rsidRDefault="00531264" w:rsidP="00615526">
            <w:pPr>
              <w:pStyle w:val="Tabla"/>
              <w:rPr>
                <w:szCs w:val="20"/>
                <w:lang w:val="es-HN"/>
              </w:rPr>
            </w:pPr>
          </w:p>
        </w:tc>
        <w:tc>
          <w:tcPr>
            <w:tcW w:w="556" w:type="pct"/>
            <w:vMerge/>
            <w:vAlign w:val="center"/>
          </w:tcPr>
          <w:p w14:paraId="354524BE" w14:textId="77777777" w:rsidR="00531264" w:rsidRPr="0076589C" w:rsidRDefault="00531264" w:rsidP="00615526">
            <w:pPr>
              <w:pStyle w:val="Tabla"/>
              <w:rPr>
                <w:szCs w:val="20"/>
                <w:lang w:val="es-HN"/>
              </w:rPr>
            </w:pPr>
          </w:p>
        </w:tc>
        <w:tc>
          <w:tcPr>
            <w:tcW w:w="521" w:type="pct"/>
            <w:vMerge/>
            <w:vAlign w:val="center"/>
          </w:tcPr>
          <w:p w14:paraId="389F6B95" w14:textId="77777777" w:rsidR="00531264" w:rsidRPr="0076589C" w:rsidRDefault="00531264" w:rsidP="00A17B9B">
            <w:pPr>
              <w:pStyle w:val="Tabla"/>
              <w:jc w:val="center"/>
              <w:rPr>
                <w:szCs w:val="20"/>
                <w:lang w:val="es-HN"/>
              </w:rPr>
            </w:pPr>
          </w:p>
        </w:tc>
        <w:tc>
          <w:tcPr>
            <w:tcW w:w="869" w:type="pct"/>
            <w:vAlign w:val="center"/>
          </w:tcPr>
          <w:p w14:paraId="56EF15CF" w14:textId="74EAB91C" w:rsidR="00531264" w:rsidRPr="0076589C" w:rsidRDefault="1C8D6E3A" w:rsidP="72A91A42">
            <w:pPr>
              <w:pStyle w:val="Tabla"/>
              <w:jc w:val="center"/>
              <w:rPr>
                <w:lang w:val="es-HN"/>
              </w:rPr>
            </w:pPr>
            <w:r w:rsidRPr="0076589C">
              <w:rPr>
                <w:lang w:val="es-HN"/>
              </w:rPr>
              <w:t>Estado de Resultados</w:t>
            </w:r>
          </w:p>
        </w:tc>
        <w:tc>
          <w:tcPr>
            <w:tcW w:w="729" w:type="pct"/>
            <w:vMerge/>
            <w:vAlign w:val="center"/>
          </w:tcPr>
          <w:p w14:paraId="2D248882" w14:textId="77777777" w:rsidR="00531264" w:rsidRPr="0076589C" w:rsidRDefault="00531264" w:rsidP="00F53A2D">
            <w:pPr>
              <w:pStyle w:val="Tabla"/>
              <w:jc w:val="center"/>
              <w:rPr>
                <w:szCs w:val="20"/>
                <w:lang w:val="es-HN"/>
              </w:rPr>
            </w:pPr>
          </w:p>
        </w:tc>
        <w:tc>
          <w:tcPr>
            <w:tcW w:w="417" w:type="pct"/>
            <w:vMerge/>
            <w:vAlign w:val="center"/>
          </w:tcPr>
          <w:p w14:paraId="6D95A2B0" w14:textId="77777777" w:rsidR="00531264" w:rsidRPr="0076589C" w:rsidRDefault="00531264" w:rsidP="00F53A2D">
            <w:pPr>
              <w:pStyle w:val="Tabla"/>
              <w:jc w:val="center"/>
              <w:rPr>
                <w:szCs w:val="20"/>
                <w:lang w:val="es-HN"/>
              </w:rPr>
            </w:pPr>
          </w:p>
        </w:tc>
        <w:tc>
          <w:tcPr>
            <w:tcW w:w="347" w:type="pct"/>
            <w:vMerge/>
          </w:tcPr>
          <w:p w14:paraId="208F345F" w14:textId="77777777" w:rsidR="00531264" w:rsidRPr="0076589C" w:rsidRDefault="00531264" w:rsidP="00615526">
            <w:pPr>
              <w:pStyle w:val="Tabla"/>
              <w:rPr>
                <w:szCs w:val="20"/>
                <w:lang w:val="es-HN"/>
              </w:rPr>
            </w:pPr>
          </w:p>
        </w:tc>
        <w:tc>
          <w:tcPr>
            <w:tcW w:w="416" w:type="pct"/>
            <w:vMerge/>
          </w:tcPr>
          <w:p w14:paraId="30D8F2DC" w14:textId="77777777" w:rsidR="00531264" w:rsidRPr="0076589C" w:rsidRDefault="00531264" w:rsidP="00615526">
            <w:pPr>
              <w:pStyle w:val="Tabla"/>
              <w:rPr>
                <w:szCs w:val="20"/>
                <w:lang w:val="es-HN"/>
              </w:rPr>
            </w:pPr>
          </w:p>
        </w:tc>
      </w:tr>
      <w:tr w:rsidR="002A4366" w:rsidRPr="0076589C" w14:paraId="3B06B55C" w14:textId="28B96AF3" w:rsidTr="1C8D6E3A">
        <w:trPr>
          <w:trHeight w:val="482"/>
        </w:trPr>
        <w:tc>
          <w:tcPr>
            <w:tcW w:w="436" w:type="pct"/>
            <w:vMerge w:val="restart"/>
            <w:vAlign w:val="center"/>
          </w:tcPr>
          <w:p w14:paraId="4A8F2041" w14:textId="77777777" w:rsidR="00472C0B" w:rsidRPr="0076589C" w:rsidRDefault="1C8D6E3A" w:rsidP="72A91A42">
            <w:pPr>
              <w:pStyle w:val="Tabla"/>
              <w:jc w:val="center"/>
              <w:rPr>
                <w:b/>
                <w:bCs/>
                <w:lang w:val="es-HN"/>
              </w:rPr>
            </w:pPr>
            <w:bookmarkStart w:id="195" w:name="_Hlk144500101"/>
            <w:r w:rsidRPr="0076589C">
              <w:rPr>
                <w:b/>
                <w:bCs/>
                <w:lang w:val="es-HN"/>
              </w:rPr>
              <w:t>Cartera de crédito</w:t>
            </w:r>
          </w:p>
          <w:p w14:paraId="3C4F6F8F" w14:textId="290FCBEF" w:rsidR="00CE2592" w:rsidRPr="0076589C" w:rsidRDefault="00CE2592" w:rsidP="72A91A42">
            <w:pPr>
              <w:pStyle w:val="Tabla"/>
              <w:rPr>
                <w:b/>
                <w:bCs/>
                <w:lang w:val="es-HN"/>
              </w:rPr>
            </w:pPr>
          </w:p>
        </w:tc>
        <w:tc>
          <w:tcPr>
            <w:tcW w:w="708" w:type="pct"/>
            <w:vMerge w:val="restart"/>
            <w:vAlign w:val="center"/>
          </w:tcPr>
          <w:p w14:paraId="4E779684" w14:textId="34ED30CF" w:rsidR="00CE2592" w:rsidRPr="0076589C" w:rsidRDefault="1C8D6E3A" w:rsidP="00615526">
            <w:pPr>
              <w:pStyle w:val="Tabla"/>
              <w:rPr>
                <w:lang w:val="es-HN"/>
              </w:rPr>
            </w:pPr>
            <w:r w:rsidRPr="0076589C">
              <w:rPr>
                <w:lang w:val="es-HN"/>
              </w:rPr>
              <w:t xml:space="preserve">“La cartera de créditos definida como el conjunto de valores activos (colocaciones representadas por títulos de crédito) que posee un intermediario financiero, constituye el mayor de los activos </w:t>
            </w:r>
            <w:r w:rsidRPr="0076589C">
              <w:rPr>
                <w:lang w:val="es-HN"/>
              </w:rPr>
              <w:lastRenderedPageBreak/>
              <w:t xml:space="preserve">y la más importante fuente generadora de utilidades para la institución”. </w:t>
            </w:r>
            <w:r w:rsidR="7A54A044" w:rsidRPr="0076589C">
              <w:rPr>
                <w:lang w:val="es-HN"/>
              </w:rPr>
              <w:fldChar w:fldCharType="begin"/>
            </w:r>
            <w:r w:rsidR="7A54A044" w:rsidRPr="0076589C">
              <w:rPr>
                <w:lang w:val="es-HN"/>
              </w:rPr>
              <w:instrText xml:space="preserve"> ADDIN ZOTERO_ITEM CSL_CITATION {"citationID":"F6ftmoyD","properties":{"formattedCitation":"(Arias, 1993)","plainCitation":"(Arias, 1993)","noteIndex":0},"citationItems":[{"id":259,"uris":["http://zotero.org/users/12108825/items/ZBM6PQT7"],"itemData":{"id":259,"type":"book","ISBN":"978-9977-64-421-9","language":"es","note":"Google-Books-ID: Uuitt78YB8QC","number-of-pages":"264","publisher":"EUNED","source":"Google Books","title":"El crédito bancario en Costa Rica: una perspectiva de análisis","title-short":"El crédito bancario en Costa Rica","author":[{"family":"Arias","given":"Moisés Daniel Hernández"}],"issued":{"date-parts":[["1993"]]}}}],"schema":"https://github.com/citation-style-language/schema/raw/master/csl-citation.json"} </w:instrText>
            </w:r>
            <w:r w:rsidR="7A54A044" w:rsidRPr="0076589C">
              <w:rPr>
                <w:lang w:val="es-HN"/>
              </w:rPr>
              <w:fldChar w:fldCharType="separate"/>
            </w:r>
            <w:r w:rsidRPr="0076589C">
              <w:rPr>
                <w:lang w:val="es-HN"/>
              </w:rPr>
              <w:t>(Arias, 1993)</w:t>
            </w:r>
            <w:r w:rsidR="7A54A044" w:rsidRPr="0076589C">
              <w:rPr>
                <w:lang w:val="es-HN"/>
              </w:rPr>
              <w:fldChar w:fldCharType="end"/>
            </w:r>
          </w:p>
        </w:tc>
        <w:tc>
          <w:tcPr>
            <w:tcW w:w="556" w:type="pct"/>
            <w:vMerge w:val="restart"/>
            <w:vAlign w:val="center"/>
          </w:tcPr>
          <w:p w14:paraId="50C4A980" w14:textId="77777777" w:rsidR="00472C0B" w:rsidRPr="0076589C" w:rsidRDefault="1C8D6E3A" w:rsidP="00615526">
            <w:pPr>
              <w:pStyle w:val="Tabla"/>
              <w:rPr>
                <w:lang w:val="es-HN"/>
              </w:rPr>
            </w:pPr>
            <w:r w:rsidRPr="0076589C">
              <w:rPr>
                <w:lang w:val="es-HN"/>
              </w:rPr>
              <w:lastRenderedPageBreak/>
              <w:t>Monto total de crédito otorgado a los clientes por la adquisición de sus productos.</w:t>
            </w:r>
          </w:p>
          <w:p w14:paraId="5CD6306D" w14:textId="6A79F3E2" w:rsidR="00CE2592" w:rsidRPr="0076589C" w:rsidRDefault="00CE2592" w:rsidP="00615526">
            <w:pPr>
              <w:pStyle w:val="Tabla"/>
              <w:rPr>
                <w:lang w:val="es-HN"/>
              </w:rPr>
            </w:pPr>
          </w:p>
        </w:tc>
        <w:tc>
          <w:tcPr>
            <w:tcW w:w="521" w:type="pct"/>
            <w:vMerge w:val="restart"/>
            <w:vAlign w:val="center"/>
          </w:tcPr>
          <w:p w14:paraId="25823F23" w14:textId="7AFED079" w:rsidR="00472C0B" w:rsidRPr="0076589C" w:rsidRDefault="1C8D6E3A" w:rsidP="00A17B9B">
            <w:pPr>
              <w:pStyle w:val="Tabla"/>
              <w:jc w:val="center"/>
              <w:rPr>
                <w:lang w:val="es-HN"/>
              </w:rPr>
            </w:pPr>
            <w:r w:rsidRPr="0076589C">
              <w:rPr>
                <w:lang w:val="es-HN"/>
              </w:rPr>
              <w:t>Financiera</w:t>
            </w:r>
          </w:p>
          <w:p w14:paraId="200CA3B6" w14:textId="549587D7" w:rsidR="00CE2592" w:rsidRPr="0076589C" w:rsidRDefault="00CE2592" w:rsidP="00A17B9B">
            <w:pPr>
              <w:pStyle w:val="Tabla"/>
              <w:jc w:val="center"/>
              <w:rPr>
                <w:lang w:val="es-HN"/>
              </w:rPr>
            </w:pPr>
          </w:p>
        </w:tc>
        <w:tc>
          <w:tcPr>
            <w:tcW w:w="869" w:type="pct"/>
            <w:vAlign w:val="center"/>
          </w:tcPr>
          <w:p w14:paraId="1FF135FD" w14:textId="0FAE6C17" w:rsidR="00CE2592" w:rsidRPr="0076589C" w:rsidRDefault="1C8D6E3A" w:rsidP="00F53A2D">
            <w:pPr>
              <w:pStyle w:val="Tabla"/>
              <w:jc w:val="center"/>
              <w:rPr>
                <w:lang w:val="es-HN"/>
              </w:rPr>
            </w:pPr>
            <w:r w:rsidRPr="0076589C">
              <w:rPr>
                <w:lang w:val="es-HN"/>
              </w:rPr>
              <w:t>Tasa de crecimiento de la cartera de crédito con respecto a sus ventas</w:t>
            </w:r>
          </w:p>
        </w:tc>
        <w:tc>
          <w:tcPr>
            <w:tcW w:w="729" w:type="pct"/>
            <w:vAlign w:val="center"/>
          </w:tcPr>
          <w:p w14:paraId="36076215" w14:textId="77777777" w:rsidR="00CE2592" w:rsidRPr="0076589C" w:rsidRDefault="1C8D6E3A" w:rsidP="72A91A42">
            <w:pPr>
              <w:pStyle w:val="Tabla"/>
              <w:jc w:val="center"/>
              <w:rPr>
                <w:lang w:val="es-HN"/>
              </w:rPr>
            </w:pPr>
            <w:r w:rsidRPr="0076589C">
              <w:t>N/A</w:t>
            </w:r>
          </w:p>
          <w:p w14:paraId="03B0FF95" w14:textId="77025FE2" w:rsidR="00CE2592" w:rsidRPr="0076589C" w:rsidRDefault="00CE2592" w:rsidP="00F53A2D">
            <w:pPr>
              <w:pStyle w:val="Tabla"/>
              <w:jc w:val="center"/>
              <w:rPr>
                <w:lang w:val="es-HN"/>
              </w:rPr>
            </w:pPr>
          </w:p>
        </w:tc>
        <w:tc>
          <w:tcPr>
            <w:tcW w:w="417" w:type="pct"/>
            <w:vMerge w:val="restart"/>
            <w:vAlign w:val="center"/>
          </w:tcPr>
          <w:p w14:paraId="3849B459" w14:textId="2D25FE70" w:rsidR="00CE2592" w:rsidRPr="0076589C" w:rsidRDefault="1C8D6E3A" w:rsidP="00F53A2D">
            <w:pPr>
              <w:pStyle w:val="Tabla"/>
              <w:jc w:val="center"/>
              <w:rPr>
                <w:lang w:val="es-HN"/>
              </w:rPr>
            </w:pPr>
            <w:r w:rsidRPr="0076589C">
              <w:rPr>
                <w:lang w:val="es-HN"/>
              </w:rPr>
              <w:t>Análisis de las bases de datos de la empresa</w:t>
            </w:r>
          </w:p>
        </w:tc>
        <w:tc>
          <w:tcPr>
            <w:tcW w:w="347" w:type="pct"/>
            <w:vMerge w:val="restart"/>
          </w:tcPr>
          <w:p w14:paraId="7E987D2A" w14:textId="77777777" w:rsidR="00CE2592" w:rsidRPr="0076589C" w:rsidRDefault="00CE2592" w:rsidP="00615526">
            <w:pPr>
              <w:pStyle w:val="Tabla"/>
              <w:rPr>
                <w:lang w:val="es-HN"/>
              </w:rPr>
            </w:pPr>
          </w:p>
        </w:tc>
        <w:tc>
          <w:tcPr>
            <w:tcW w:w="416" w:type="pct"/>
            <w:vMerge w:val="restart"/>
          </w:tcPr>
          <w:p w14:paraId="6C48AD50" w14:textId="77777777" w:rsidR="00CE2592" w:rsidRPr="0076589C" w:rsidRDefault="00CE2592" w:rsidP="00615526">
            <w:pPr>
              <w:pStyle w:val="Tabla"/>
              <w:rPr>
                <w:lang w:val="es-HN"/>
              </w:rPr>
            </w:pPr>
          </w:p>
        </w:tc>
      </w:tr>
      <w:tr w:rsidR="002A4366" w:rsidRPr="0076589C" w14:paraId="2042F1ED" w14:textId="77777777" w:rsidTr="1C8D6E3A">
        <w:trPr>
          <w:trHeight w:val="710"/>
        </w:trPr>
        <w:tc>
          <w:tcPr>
            <w:tcW w:w="436" w:type="pct"/>
            <w:vMerge/>
            <w:vAlign w:val="center"/>
          </w:tcPr>
          <w:p w14:paraId="7FA4D330" w14:textId="5C8E3B93" w:rsidR="00CE2592" w:rsidRPr="0076589C" w:rsidRDefault="00CE2592" w:rsidP="00615526">
            <w:pPr>
              <w:pStyle w:val="Tabla"/>
              <w:rPr>
                <w:szCs w:val="20"/>
                <w:lang w:val="es-HN"/>
              </w:rPr>
            </w:pPr>
            <w:bookmarkStart w:id="196" w:name="_Hlk149229758"/>
            <w:bookmarkEnd w:id="195"/>
          </w:p>
        </w:tc>
        <w:tc>
          <w:tcPr>
            <w:tcW w:w="708" w:type="pct"/>
            <w:vMerge/>
            <w:vAlign w:val="center"/>
          </w:tcPr>
          <w:p w14:paraId="7146DABC" w14:textId="37E988DD" w:rsidR="00CE2592" w:rsidRPr="0076589C" w:rsidRDefault="00CE2592" w:rsidP="00615526">
            <w:pPr>
              <w:pStyle w:val="Tabla"/>
              <w:rPr>
                <w:szCs w:val="20"/>
                <w:lang w:val="es-HN"/>
              </w:rPr>
            </w:pPr>
          </w:p>
        </w:tc>
        <w:tc>
          <w:tcPr>
            <w:tcW w:w="556" w:type="pct"/>
            <w:vMerge/>
            <w:vAlign w:val="center"/>
          </w:tcPr>
          <w:p w14:paraId="464259B4" w14:textId="282CCFD5" w:rsidR="00CE2592" w:rsidRPr="0076589C" w:rsidRDefault="00CE2592" w:rsidP="00615526">
            <w:pPr>
              <w:pStyle w:val="Tabla"/>
              <w:rPr>
                <w:szCs w:val="20"/>
                <w:lang w:val="es-HN"/>
              </w:rPr>
            </w:pPr>
          </w:p>
        </w:tc>
        <w:tc>
          <w:tcPr>
            <w:tcW w:w="521" w:type="pct"/>
            <w:vMerge/>
            <w:vAlign w:val="center"/>
          </w:tcPr>
          <w:p w14:paraId="7A782E85" w14:textId="4EB6E4DA" w:rsidR="00CE2592" w:rsidRPr="0076589C" w:rsidRDefault="00CE2592" w:rsidP="00F53A2D">
            <w:pPr>
              <w:pStyle w:val="Tabla"/>
              <w:jc w:val="center"/>
              <w:rPr>
                <w:szCs w:val="20"/>
                <w:lang w:val="es-HN"/>
              </w:rPr>
            </w:pPr>
          </w:p>
        </w:tc>
        <w:tc>
          <w:tcPr>
            <w:tcW w:w="869" w:type="pct"/>
            <w:tcBorders>
              <w:bottom w:val="single" w:sz="4" w:space="0" w:color="auto"/>
            </w:tcBorders>
            <w:vAlign w:val="center"/>
          </w:tcPr>
          <w:p w14:paraId="6F9DA63D" w14:textId="7B224AF3" w:rsidR="00CE2592" w:rsidRPr="0076589C" w:rsidRDefault="1C8D6E3A" w:rsidP="008560D3">
            <w:pPr>
              <w:pStyle w:val="Tabla"/>
              <w:jc w:val="center"/>
              <w:rPr>
                <w:lang w:val="es-HN"/>
              </w:rPr>
            </w:pPr>
            <w:r w:rsidRPr="0076589C">
              <w:rPr>
                <w:lang w:val="es-HN"/>
              </w:rPr>
              <w:t>Evolución del monto de la cartera en moneda nacional con respecto a sus ventas</w:t>
            </w:r>
          </w:p>
        </w:tc>
        <w:tc>
          <w:tcPr>
            <w:tcW w:w="729" w:type="pct"/>
            <w:tcBorders>
              <w:bottom w:val="single" w:sz="4" w:space="0" w:color="auto"/>
            </w:tcBorders>
            <w:vAlign w:val="center"/>
          </w:tcPr>
          <w:p w14:paraId="0DFF712B" w14:textId="45D48381" w:rsidR="00CE2592" w:rsidRPr="0076589C" w:rsidRDefault="1C8D6E3A" w:rsidP="72A91A42">
            <w:pPr>
              <w:pStyle w:val="Tabla"/>
              <w:jc w:val="center"/>
              <w:rPr>
                <w:lang w:val="es-HN"/>
              </w:rPr>
            </w:pPr>
            <w:r w:rsidRPr="0076589C">
              <w:t>N/A</w:t>
            </w:r>
          </w:p>
        </w:tc>
        <w:tc>
          <w:tcPr>
            <w:tcW w:w="417" w:type="pct"/>
            <w:vMerge/>
          </w:tcPr>
          <w:p w14:paraId="1BA52D9B" w14:textId="77777777" w:rsidR="00CE2592" w:rsidRPr="0076589C" w:rsidRDefault="00CE2592" w:rsidP="00F53A2D">
            <w:pPr>
              <w:pStyle w:val="Tabla"/>
              <w:jc w:val="center"/>
              <w:rPr>
                <w:szCs w:val="20"/>
                <w:lang w:val="es-HN"/>
              </w:rPr>
            </w:pPr>
          </w:p>
        </w:tc>
        <w:tc>
          <w:tcPr>
            <w:tcW w:w="347" w:type="pct"/>
            <w:vMerge/>
          </w:tcPr>
          <w:p w14:paraId="2AD34284" w14:textId="77777777" w:rsidR="00CE2592" w:rsidRPr="0076589C" w:rsidRDefault="00CE2592" w:rsidP="00615526">
            <w:pPr>
              <w:pStyle w:val="Tabla"/>
              <w:rPr>
                <w:szCs w:val="20"/>
                <w:lang w:val="es-HN"/>
              </w:rPr>
            </w:pPr>
          </w:p>
        </w:tc>
        <w:tc>
          <w:tcPr>
            <w:tcW w:w="416" w:type="pct"/>
            <w:vMerge/>
          </w:tcPr>
          <w:p w14:paraId="05AB8611" w14:textId="77777777" w:rsidR="00CE2592" w:rsidRPr="0076589C" w:rsidRDefault="00CE2592" w:rsidP="00615526">
            <w:pPr>
              <w:pStyle w:val="Tabla"/>
              <w:rPr>
                <w:szCs w:val="20"/>
                <w:lang w:val="es-HN"/>
              </w:rPr>
            </w:pPr>
          </w:p>
        </w:tc>
      </w:tr>
      <w:bookmarkEnd w:id="196"/>
      <w:tr w:rsidR="002A4366" w:rsidRPr="0076589C" w14:paraId="11F2F105" w14:textId="77777777" w:rsidTr="1C8D6E3A">
        <w:trPr>
          <w:trHeight w:val="567"/>
        </w:trPr>
        <w:tc>
          <w:tcPr>
            <w:tcW w:w="436" w:type="pct"/>
            <w:vMerge/>
            <w:vAlign w:val="center"/>
          </w:tcPr>
          <w:p w14:paraId="774C3996" w14:textId="1F1F5E4C" w:rsidR="00CE2592" w:rsidRPr="0076589C" w:rsidRDefault="00CE2592" w:rsidP="00615526">
            <w:pPr>
              <w:pStyle w:val="Tabla"/>
              <w:rPr>
                <w:szCs w:val="20"/>
                <w:lang w:val="es-HN"/>
              </w:rPr>
            </w:pPr>
          </w:p>
        </w:tc>
        <w:tc>
          <w:tcPr>
            <w:tcW w:w="708" w:type="pct"/>
            <w:vMerge/>
            <w:vAlign w:val="center"/>
          </w:tcPr>
          <w:p w14:paraId="424A3264" w14:textId="51064D05" w:rsidR="00CE2592" w:rsidRPr="0076589C" w:rsidRDefault="00CE2592" w:rsidP="00615526">
            <w:pPr>
              <w:pStyle w:val="Tabla"/>
              <w:rPr>
                <w:szCs w:val="20"/>
                <w:lang w:val="es-HN"/>
              </w:rPr>
            </w:pPr>
          </w:p>
        </w:tc>
        <w:tc>
          <w:tcPr>
            <w:tcW w:w="556" w:type="pct"/>
            <w:vMerge/>
            <w:vAlign w:val="center"/>
          </w:tcPr>
          <w:p w14:paraId="337C0CC2" w14:textId="62BF0385" w:rsidR="00CE2592" w:rsidRPr="0076589C" w:rsidRDefault="00CE2592" w:rsidP="00615526">
            <w:pPr>
              <w:pStyle w:val="Tabla"/>
              <w:rPr>
                <w:szCs w:val="20"/>
                <w:lang w:val="es-HN"/>
              </w:rPr>
            </w:pPr>
          </w:p>
        </w:tc>
        <w:tc>
          <w:tcPr>
            <w:tcW w:w="521" w:type="pct"/>
            <w:vMerge/>
            <w:vAlign w:val="center"/>
          </w:tcPr>
          <w:p w14:paraId="39022D91" w14:textId="0AD412E7" w:rsidR="00CE2592" w:rsidRPr="0076589C" w:rsidRDefault="00CE2592" w:rsidP="00F53A2D">
            <w:pPr>
              <w:pStyle w:val="Tabla"/>
              <w:jc w:val="center"/>
              <w:rPr>
                <w:szCs w:val="20"/>
                <w:lang w:val="es-HN"/>
              </w:rPr>
            </w:pPr>
          </w:p>
        </w:tc>
        <w:tc>
          <w:tcPr>
            <w:tcW w:w="869" w:type="pct"/>
            <w:vMerge w:val="restart"/>
            <w:vAlign w:val="center"/>
          </w:tcPr>
          <w:p w14:paraId="239AEB45" w14:textId="0EB9C9AD" w:rsidR="00CE2592" w:rsidRPr="0076589C" w:rsidRDefault="1C8D6E3A" w:rsidP="0094066F">
            <w:pPr>
              <w:pStyle w:val="Tabla"/>
              <w:jc w:val="center"/>
              <w:rPr>
                <w:lang w:val="es-HN"/>
              </w:rPr>
            </w:pPr>
            <w:r w:rsidRPr="0076589C">
              <w:t xml:space="preserve">Riesgo Crediticio </w:t>
            </w:r>
          </w:p>
        </w:tc>
        <w:tc>
          <w:tcPr>
            <w:tcW w:w="729" w:type="pct"/>
            <w:tcBorders>
              <w:bottom w:val="single" w:sz="4" w:space="0" w:color="auto"/>
            </w:tcBorders>
            <w:vAlign w:val="center"/>
          </w:tcPr>
          <w:p w14:paraId="09407682" w14:textId="4E783C18" w:rsidR="00CE2592" w:rsidRPr="0076589C" w:rsidRDefault="1C8D6E3A" w:rsidP="008621B0">
            <w:pPr>
              <w:pStyle w:val="Tabla"/>
              <w:rPr>
                <w:lang w:val="es-HN"/>
              </w:rPr>
            </w:pPr>
            <w:r w:rsidRPr="0076589C">
              <w:rPr>
                <w:lang w:val="es-HN"/>
              </w:rPr>
              <w:t xml:space="preserve">Durante el periodo de 2019-2022 ¿Cuántas cuentas incobrables ha tenido IPRA y cuál ha </w:t>
            </w:r>
            <w:r w:rsidRPr="0076589C">
              <w:rPr>
                <w:lang w:val="es-HN"/>
              </w:rPr>
              <w:lastRenderedPageBreak/>
              <w:t>sido el monto de forma anual?</w:t>
            </w:r>
          </w:p>
        </w:tc>
        <w:tc>
          <w:tcPr>
            <w:tcW w:w="417" w:type="pct"/>
            <w:tcBorders>
              <w:bottom w:val="single" w:sz="4" w:space="0" w:color="auto"/>
            </w:tcBorders>
          </w:tcPr>
          <w:p w14:paraId="090F14CC" w14:textId="77777777" w:rsidR="00CE2592" w:rsidRPr="0076589C" w:rsidRDefault="00CE2592" w:rsidP="00F53A2D">
            <w:pPr>
              <w:pStyle w:val="Tabla"/>
              <w:jc w:val="center"/>
              <w:rPr>
                <w:lang w:val="es-HN"/>
              </w:rPr>
            </w:pPr>
          </w:p>
        </w:tc>
        <w:tc>
          <w:tcPr>
            <w:tcW w:w="347" w:type="pct"/>
            <w:tcBorders>
              <w:bottom w:val="single" w:sz="4" w:space="0" w:color="auto"/>
            </w:tcBorders>
            <w:vAlign w:val="center"/>
          </w:tcPr>
          <w:p w14:paraId="229D9919" w14:textId="554CB066" w:rsidR="00CE2592" w:rsidRPr="0076589C" w:rsidRDefault="1C8D6E3A" w:rsidP="5393A8FF">
            <w:pPr>
              <w:pStyle w:val="Tabla"/>
              <w:jc w:val="center"/>
              <w:rPr>
                <w:lang w:val="es-HN"/>
              </w:rPr>
            </w:pPr>
            <w:r w:rsidRPr="0076589C">
              <w:t>X</w:t>
            </w:r>
          </w:p>
        </w:tc>
        <w:tc>
          <w:tcPr>
            <w:tcW w:w="416" w:type="pct"/>
            <w:tcBorders>
              <w:bottom w:val="single" w:sz="4" w:space="0" w:color="auto"/>
            </w:tcBorders>
          </w:tcPr>
          <w:p w14:paraId="13071666" w14:textId="77777777" w:rsidR="00CE2592" w:rsidRPr="0076589C" w:rsidRDefault="00CE2592" w:rsidP="00615526">
            <w:pPr>
              <w:pStyle w:val="Tabla"/>
              <w:rPr>
                <w:lang w:val="es-HN"/>
              </w:rPr>
            </w:pPr>
          </w:p>
        </w:tc>
      </w:tr>
      <w:tr w:rsidR="002A4366" w:rsidRPr="0076589C" w14:paraId="2B47E749" w14:textId="77777777" w:rsidTr="1C8D6E3A">
        <w:trPr>
          <w:trHeight w:val="899"/>
        </w:trPr>
        <w:tc>
          <w:tcPr>
            <w:tcW w:w="436" w:type="pct"/>
            <w:vMerge/>
            <w:vAlign w:val="center"/>
          </w:tcPr>
          <w:p w14:paraId="27BC49F9" w14:textId="3E12B1A1" w:rsidR="00CE2592" w:rsidRPr="0076589C" w:rsidRDefault="00CE2592" w:rsidP="00615526">
            <w:pPr>
              <w:pStyle w:val="Tabla"/>
              <w:rPr>
                <w:szCs w:val="20"/>
                <w:lang w:val="es-HN"/>
              </w:rPr>
            </w:pPr>
          </w:p>
        </w:tc>
        <w:tc>
          <w:tcPr>
            <w:tcW w:w="708" w:type="pct"/>
            <w:vMerge/>
            <w:vAlign w:val="center"/>
          </w:tcPr>
          <w:p w14:paraId="7D6EAB9F" w14:textId="7D90EE9F" w:rsidR="00CE2592" w:rsidRPr="0076589C" w:rsidRDefault="00CE2592" w:rsidP="00615526">
            <w:pPr>
              <w:pStyle w:val="Tabla"/>
              <w:rPr>
                <w:szCs w:val="20"/>
                <w:lang w:val="es-HN"/>
              </w:rPr>
            </w:pPr>
          </w:p>
        </w:tc>
        <w:tc>
          <w:tcPr>
            <w:tcW w:w="556" w:type="pct"/>
            <w:vMerge/>
            <w:vAlign w:val="center"/>
          </w:tcPr>
          <w:p w14:paraId="19BAEE9F" w14:textId="1090FBF2" w:rsidR="00CE2592" w:rsidRPr="0076589C" w:rsidRDefault="00CE2592" w:rsidP="00615526">
            <w:pPr>
              <w:pStyle w:val="Tabla"/>
              <w:rPr>
                <w:szCs w:val="20"/>
                <w:lang w:val="es-HN"/>
              </w:rPr>
            </w:pPr>
          </w:p>
        </w:tc>
        <w:tc>
          <w:tcPr>
            <w:tcW w:w="521" w:type="pct"/>
            <w:vMerge/>
            <w:vAlign w:val="center"/>
          </w:tcPr>
          <w:p w14:paraId="336106FB" w14:textId="44E8841D" w:rsidR="00CE2592" w:rsidRPr="0076589C" w:rsidRDefault="00CE2592" w:rsidP="00F53A2D">
            <w:pPr>
              <w:pStyle w:val="Tabla"/>
              <w:jc w:val="center"/>
              <w:rPr>
                <w:szCs w:val="20"/>
                <w:lang w:val="es-HN"/>
              </w:rPr>
            </w:pPr>
          </w:p>
        </w:tc>
        <w:tc>
          <w:tcPr>
            <w:tcW w:w="869" w:type="pct"/>
            <w:vMerge/>
            <w:vAlign w:val="center"/>
          </w:tcPr>
          <w:p w14:paraId="2C558E05" w14:textId="7D822650" w:rsidR="00CE2592" w:rsidRPr="0076589C" w:rsidRDefault="00CE2592" w:rsidP="00A17B9B">
            <w:pPr>
              <w:pStyle w:val="Tabla"/>
              <w:jc w:val="center"/>
              <w:rPr>
                <w:szCs w:val="20"/>
                <w:lang w:val="es-HN"/>
              </w:rPr>
            </w:pPr>
          </w:p>
        </w:tc>
        <w:tc>
          <w:tcPr>
            <w:tcW w:w="729" w:type="pct"/>
            <w:tcBorders>
              <w:bottom w:val="single" w:sz="4" w:space="0" w:color="auto"/>
            </w:tcBorders>
            <w:vAlign w:val="center"/>
          </w:tcPr>
          <w:p w14:paraId="6936308D" w14:textId="300FFA10" w:rsidR="00CE2592" w:rsidRPr="0076589C" w:rsidRDefault="1C8D6E3A" w:rsidP="008621B0">
            <w:pPr>
              <w:pStyle w:val="Tabla"/>
              <w:rPr>
                <w:lang w:val="es-HN"/>
              </w:rPr>
            </w:pPr>
            <w:r w:rsidRPr="0076589C">
              <w:rPr>
                <w:lang w:val="es-HN"/>
              </w:rPr>
              <w:t xml:space="preserve">¿En IPRA que estrategia manejan para la recuperación cuentas incobrables? </w:t>
            </w:r>
          </w:p>
        </w:tc>
        <w:tc>
          <w:tcPr>
            <w:tcW w:w="417" w:type="pct"/>
            <w:tcBorders>
              <w:bottom w:val="single" w:sz="4" w:space="0" w:color="auto"/>
            </w:tcBorders>
          </w:tcPr>
          <w:p w14:paraId="5EF19026" w14:textId="77777777" w:rsidR="00CE2592" w:rsidRPr="0076589C" w:rsidRDefault="00CE2592" w:rsidP="00F53A2D">
            <w:pPr>
              <w:pStyle w:val="Tabla"/>
              <w:jc w:val="center"/>
              <w:rPr>
                <w:lang w:val="es-HN"/>
              </w:rPr>
            </w:pPr>
          </w:p>
        </w:tc>
        <w:tc>
          <w:tcPr>
            <w:tcW w:w="347" w:type="pct"/>
            <w:tcBorders>
              <w:bottom w:val="single" w:sz="4" w:space="0" w:color="auto"/>
            </w:tcBorders>
            <w:vAlign w:val="center"/>
          </w:tcPr>
          <w:p w14:paraId="7433F677" w14:textId="0F381757" w:rsidR="00CE2592" w:rsidRPr="0076589C" w:rsidRDefault="1C8D6E3A" w:rsidP="5393A8FF">
            <w:pPr>
              <w:pStyle w:val="Tabla"/>
              <w:jc w:val="center"/>
              <w:rPr>
                <w:lang w:val="es-HN"/>
              </w:rPr>
            </w:pPr>
            <w:r w:rsidRPr="0076589C">
              <w:t>X</w:t>
            </w:r>
          </w:p>
        </w:tc>
        <w:tc>
          <w:tcPr>
            <w:tcW w:w="416" w:type="pct"/>
            <w:tcBorders>
              <w:bottom w:val="single" w:sz="4" w:space="0" w:color="auto"/>
            </w:tcBorders>
          </w:tcPr>
          <w:p w14:paraId="08832C51" w14:textId="77777777" w:rsidR="00CE2592" w:rsidRPr="0076589C" w:rsidRDefault="00CE2592" w:rsidP="00615526">
            <w:pPr>
              <w:pStyle w:val="Tabla"/>
              <w:rPr>
                <w:lang w:val="es-HN"/>
              </w:rPr>
            </w:pPr>
          </w:p>
        </w:tc>
      </w:tr>
      <w:tr w:rsidR="002A4366" w:rsidRPr="0076589C" w14:paraId="676CF1E7" w14:textId="77777777" w:rsidTr="1C8D6E3A">
        <w:trPr>
          <w:trHeight w:val="890"/>
        </w:trPr>
        <w:tc>
          <w:tcPr>
            <w:tcW w:w="436" w:type="pct"/>
            <w:vMerge/>
            <w:vAlign w:val="center"/>
          </w:tcPr>
          <w:p w14:paraId="44D6A8D1" w14:textId="135D2F0C" w:rsidR="00CE2592" w:rsidRPr="0076589C" w:rsidRDefault="00CE2592" w:rsidP="00615526">
            <w:pPr>
              <w:pStyle w:val="Tabla"/>
              <w:rPr>
                <w:szCs w:val="20"/>
                <w:lang w:val="es-HN"/>
              </w:rPr>
            </w:pPr>
          </w:p>
        </w:tc>
        <w:tc>
          <w:tcPr>
            <w:tcW w:w="708" w:type="pct"/>
            <w:vMerge/>
            <w:vAlign w:val="center"/>
          </w:tcPr>
          <w:p w14:paraId="7A172261" w14:textId="45726328" w:rsidR="00CE2592" w:rsidRPr="0076589C" w:rsidRDefault="00CE2592" w:rsidP="00615526">
            <w:pPr>
              <w:pStyle w:val="Tabla"/>
              <w:rPr>
                <w:szCs w:val="20"/>
                <w:lang w:val="es-HN"/>
              </w:rPr>
            </w:pPr>
          </w:p>
        </w:tc>
        <w:tc>
          <w:tcPr>
            <w:tcW w:w="556" w:type="pct"/>
            <w:vMerge/>
            <w:vAlign w:val="center"/>
          </w:tcPr>
          <w:p w14:paraId="648ED5E0" w14:textId="0472EF05" w:rsidR="00CE2592" w:rsidRPr="0076589C" w:rsidRDefault="00CE2592" w:rsidP="00615526">
            <w:pPr>
              <w:pStyle w:val="Tabla"/>
              <w:rPr>
                <w:szCs w:val="20"/>
                <w:lang w:val="es-HN"/>
              </w:rPr>
            </w:pPr>
          </w:p>
        </w:tc>
        <w:tc>
          <w:tcPr>
            <w:tcW w:w="521" w:type="pct"/>
            <w:vMerge/>
            <w:vAlign w:val="center"/>
          </w:tcPr>
          <w:p w14:paraId="56AFEF48" w14:textId="186425BA" w:rsidR="00CE2592" w:rsidRPr="0076589C" w:rsidRDefault="00CE2592" w:rsidP="00F53A2D">
            <w:pPr>
              <w:pStyle w:val="Tabla"/>
              <w:jc w:val="center"/>
              <w:rPr>
                <w:szCs w:val="20"/>
                <w:lang w:val="es-HN"/>
              </w:rPr>
            </w:pPr>
          </w:p>
        </w:tc>
        <w:tc>
          <w:tcPr>
            <w:tcW w:w="869" w:type="pct"/>
            <w:vMerge/>
            <w:vAlign w:val="center"/>
          </w:tcPr>
          <w:p w14:paraId="367B6F21" w14:textId="6BCFF4A8" w:rsidR="00CE2592" w:rsidRPr="0076589C" w:rsidRDefault="00CE2592" w:rsidP="00A17B9B">
            <w:pPr>
              <w:pStyle w:val="Tabla"/>
              <w:jc w:val="center"/>
              <w:rPr>
                <w:szCs w:val="20"/>
                <w:lang w:val="es-HN"/>
              </w:rPr>
            </w:pPr>
          </w:p>
        </w:tc>
        <w:tc>
          <w:tcPr>
            <w:tcW w:w="729" w:type="pct"/>
            <w:tcBorders>
              <w:bottom w:val="single" w:sz="4" w:space="0" w:color="auto"/>
            </w:tcBorders>
            <w:vAlign w:val="center"/>
          </w:tcPr>
          <w:p w14:paraId="386313E3" w14:textId="0AB67EEE" w:rsidR="00CE2592" w:rsidRPr="0076589C" w:rsidRDefault="1C8D6E3A" w:rsidP="008621B0">
            <w:pPr>
              <w:pStyle w:val="Tabla"/>
              <w:rPr>
                <w:lang w:val="es-HN"/>
              </w:rPr>
            </w:pPr>
            <w:r w:rsidRPr="0076589C">
              <w:rPr>
                <w:lang w:val="es-HN"/>
              </w:rPr>
              <w:t>¿Aplican medidas legales para lograr la recuperación de la cuentas incobrable?</w:t>
            </w:r>
          </w:p>
        </w:tc>
        <w:tc>
          <w:tcPr>
            <w:tcW w:w="417" w:type="pct"/>
            <w:tcBorders>
              <w:bottom w:val="single" w:sz="4" w:space="0" w:color="auto"/>
            </w:tcBorders>
          </w:tcPr>
          <w:p w14:paraId="4BFECF92" w14:textId="77777777" w:rsidR="00CE2592" w:rsidRPr="0076589C" w:rsidRDefault="00CE2592" w:rsidP="00F53A2D">
            <w:pPr>
              <w:pStyle w:val="Tabla"/>
              <w:jc w:val="center"/>
              <w:rPr>
                <w:lang w:val="es-HN"/>
              </w:rPr>
            </w:pPr>
          </w:p>
        </w:tc>
        <w:tc>
          <w:tcPr>
            <w:tcW w:w="347" w:type="pct"/>
            <w:tcBorders>
              <w:bottom w:val="single" w:sz="4" w:space="0" w:color="auto"/>
            </w:tcBorders>
            <w:vAlign w:val="center"/>
          </w:tcPr>
          <w:p w14:paraId="096DE14B" w14:textId="4A7F6133" w:rsidR="00CE2592" w:rsidRPr="0076589C" w:rsidRDefault="1C8D6E3A" w:rsidP="5393A8FF">
            <w:pPr>
              <w:pStyle w:val="Tabla"/>
              <w:jc w:val="center"/>
              <w:rPr>
                <w:lang w:val="es-HN"/>
              </w:rPr>
            </w:pPr>
            <w:r w:rsidRPr="0076589C">
              <w:t>X</w:t>
            </w:r>
          </w:p>
        </w:tc>
        <w:tc>
          <w:tcPr>
            <w:tcW w:w="416" w:type="pct"/>
            <w:tcBorders>
              <w:bottom w:val="single" w:sz="4" w:space="0" w:color="auto"/>
            </w:tcBorders>
          </w:tcPr>
          <w:p w14:paraId="5768B823" w14:textId="77777777" w:rsidR="00CE2592" w:rsidRPr="0076589C" w:rsidRDefault="00CE2592" w:rsidP="00615526">
            <w:pPr>
              <w:pStyle w:val="Tabla"/>
              <w:rPr>
                <w:lang w:val="es-HN"/>
              </w:rPr>
            </w:pPr>
          </w:p>
        </w:tc>
      </w:tr>
      <w:tr w:rsidR="002A4366" w:rsidRPr="0076589C" w14:paraId="7E53D193" w14:textId="02E9DF7D" w:rsidTr="1C8D6E3A">
        <w:trPr>
          <w:trHeight w:val="548"/>
        </w:trPr>
        <w:tc>
          <w:tcPr>
            <w:tcW w:w="436" w:type="pct"/>
            <w:vMerge w:val="restart"/>
            <w:vAlign w:val="center"/>
          </w:tcPr>
          <w:p w14:paraId="67BE27DB" w14:textId="77777777" w:rsidR="00472C0B" w:rsidRPr="0076589C" w:rsidRDefault="1C8D6E3A" w:rsidP="72A91A42">
            <w:pPr>
              <w:pStyle w:val="Tabla"/>
              <w:jc w:val="center"/>
              <w:rPr>
                <w:b/>
                <w:bCs/>
                <w:lang w:val="es-HN"/>
              </w:rPr>
            </w:pPr>
            <w:r w:rsidRPr="0076589C">
              <w:rPr>
                <w:b/>
                <w:bCs/>
              </w:rPr>
              <w:t>Política de crédito</w:t>
            </w:r>
          </w:p>
          <w:p w14:paraId="0B686311" w14:textId="7869A419" w:rsidR="00E00235" w:rsidRPr="0076589C" w:rsidRDefault="00E00235" w:rsidP="72A91A42">
            <w:pPr>
              <w:pStyle w:val="Tabla"/>
              <w:jc w:val="center"/>
              <w:rPr>
                <w:b/>
                <w:bCs/>
                <w:lang w:val="es-HN"/>
              </w:rPr>
            </w:pPr>
          </w:p>
        </w:tc>
        <w:tc>
          <w:tcPr>
            <w:tcW w:w="708" w:type="pct"/>
            <w:vMerge w:val="restart"/>
            <w:vAlign w:val="center"/>
          </w:tcPr>
          <w:p w14:paraId="10F59591" w14:textId="77777777" w:rsidR="00472C0B" w:rsidRPr="0076589C" w:rsidRDefault="1C8D6E3A" w:rsidP="00615526">
            <w:pPr>
              <w:pStyle w:val="Tabla"/>
              <w:rPr>
                <w:lang w:val="es-HN"/>
              </w:rPr>
            </w:pPr>
            <w:r w:rsidRPr="0076589C">
              <w:rPr>
                <w:lang w:val="es-HN"/>
              </w:rPr>
              <w:t xml:space="preserve">“Es el resultado de la evaluación de numerosos factores y no se modifica de pronto a causa de un solo cambio temporal de su situación. Una inteligente política de crédito está enmarcada por el propósito de conseguir o que a la larga sea más conveniente para la empresa, y no que solo pueda ser de beneficio inmediato o </w:t>
            </w:r>
            <w:r w:rsidRPr="0076589C">
              <w:rPr>
                <w:lang w:val="es-HN"/>
              </w:rPr>
              <w:lastRenderedPageBreak/>
              <w:t xml:space="preserve">temporal”. </w:t>
            </w:r>
            <w:r w:rsidR="7A54A044" w:rsidRPr="0076589C">
              <w:rPr>
                <w:lang w:val="es-HN"/>
              </w:rPr>
              <w:fldChar w:fldCharType="begin"/>
            </w:r>
            <w:r w:rsidR="7A54A044" w:rsidRPr="0076589C">
              <w:rPr>
                <w:lang w:val="es-HN"/>
              </w:rPr>
              <w:instrText xml:space="preserve"> ADDIN ZOTERO_ITEM CSL_CITATION {"citationID":"iHu3lR6n","properties":{"formattedCitation":"(Castro &amp; Castro, 2014)","plainCitation":"(Castro &amp; Castro, 2014)","dontUpdate":true,"noteIndex":0},"citationItems":[{"id":62,"uris":["http://zotero.org/users/12108825/items/FRR5QZS5"],"itemData":{"id":62,"type":"book","abstract":"El crédito es el mecanismo por excelencia que aumenta las ventas de las empresas, y cuando éste sucede las compañías incrementan la intensidad de su ciclo financiero y las compras que hacen a otras empresas de materias primas y servicios necesarios para sus procesos de producción, y con ello se presenta un efecto multiplicador en la economía porque las empresas aumentan sus operaciones y con ello compras de materias primas, pago de servicios diversos, pago de impuestos, etc., por ello el crédito es una herramienta que ayuda a reactivar la economía. Crédito y cobranza proporciona a las empresas las herramientas para aumentar las ventas y los ingresos en sus ciclos financieros, pero es fundamental que las actividades desarrolladas en el otorgamiento de créditos sean precisas para que éstos se puedan recuperar, lo cual se logra mediante un análisis minucioso de los solicitantes de crédito para asegurar que sí tendrán los recursos necesarios para saldar sus deudas y que además estén dispuestos a pagar.","ISBN":"978-607-438-840-4","language":"es","note":"Google-Books-ID: gtXhBAAAQBAJ","number-of-pages":"309","publisher":"Grupo Editorial Patria","source":"Google Books","title":"Crédito y Cobranza","author":[{"family":"Morales Castro","given":"Arturo"},{"family":"Morales Castro","given":"José Antonio"}],"issued":{"date-parts":[["2014",10,21]]}}}],"schema":"https://github.com/citation-style-language/schema/raw/master/csl-citation.json"} </w:instrText>
            </w:r>
            <w:r w:rsidR="7A54A044" w:rsidRPr="0076589C">
              <w:rPr>
                <w:lang w:val="es-HN"/>
              </w:rPr>
              <w:fldChar w:fldCharType="separate"/>
            </w:r>
            <w:r w:rsidRPr="0076589C">
              <w:t>(Castro &amp; Castro, 2014</w:t>
            </w:r>
            <w:r w:rsidR="7A54A044" w:rsidRPr="0076589C">
              <w:rPr>
                <w:lang w:val="es-HN"/>
              </w:rPr>
              <w:fldChar w:fldCharType="end"/>
            </w:r>
            <w:r w:rsidRPr="0076589C">
              <w:t>, pág.43)</w:t>
            </w:r>
          </w:p>
          <w:p w14:paraId="3EAD3215" w14:textId="6F7634E1" w:rsidR="00E00235" w:rsidRPr="0076589C" w:rsidRDefault="00E00235" w:rsidP="00615526">
            <w:pPr>
              <w:pStyle w:val="Tabla"/>
              <w:rPr>
                <w:lang w:val="es-HN"/>
              </w:rPr>
            </w:pPr>
          </w:p>
        </w:tc>
        <w:tc>
          <w:tcPr>
            <w:tcW w:w="556" w:type="pct"/>
            <w:vMerge w:val="restart"/>
            <w:vAlign w:val="center"/>
          </w:tcPr>
          <w:p w14:paraId="265B10E7" w14:textId="77777777" w:rsidR="00472C0B" w:rsidRPr="0076589C" w:rsidRDefault="1C8D6E3A" w:rsidP="00615526">
            <w:pPr>
              <w:pStyle w:val="Tabla"/>
              <w:rPr>
                <w:lang w:val="es-HN"/>
              </w:rPr>
            </w:pPr>
            <w:r w:rsidRPr="0076589C">
              <w:rPr>
                <w:lang w:val="es-HN"/>
              </w:rPr>
              <w:lastRenderedPageBreak/>
              <w:t>Son los lineamientos establecidos para el otorgamiento de crédito a los clientes.</w:t>
            </w:r>
          </w:p>
          <w:p w14:paraId="15671E3B" w14:textId="7449F757" w:rsidR="00E00235" w:rsidRPr="0076589C" w:rsidRDefault="00E00235" w:rsidP="00DB046A">
            <w:pPr>
              <w:pStyle w:val="Tabla"/>
              <w:jc w:val="left"/>
              <w:rPr>
                <w:lang w:val="es-HN"/>
              </w:rPr>
            </w:pPr>
          </w:p>
        </w:tc>
        <w:tc>
          <w:tcPr>
            <w:tcW w:w="521" w:type="pct"/>
            <w:vMerge w:val="restart"/>
            <w:vAlign w:val="center"/>
          </w:tcPr>
          <w:p w14:paraId="2FFF85AA" w14:textId="5DD415D1" w:rsidR="00E00235" w:rsidRPr="0076589C" w:rsidRDefault="1C8D6E3A" w:rsidP="72A91A42">
            <w:pPr>
              <w:pStyle w:val="Tabla"/>
              <w:jc w:val="center"/>
              <w:rPr>
                <w:lang w:val="es-HN"/>
              </w:rPr>
            </w:pPr>
            <w:r w:rsidRPr="0076589C">
              <w:t>Políticas</w:t>
            </w:r>
          </w:p>
        </w:tc>
        <w:tc>
          <w:tcPr>
            <w:tcW w:w="869" w:type="pct"/>
            <w:vMerge w:val="restart"/>
            <w:vAlign w:val="center"/>
          </w:tcPr>
          <w:p w14:paraId="78B7A87D" w14:textId="2D6891FF" w:rsidR="00E00235" w:rsidRPr="0076589C" w:rsidRDefault="1C8D6E3A" w:rsidP="00755603">
            <w:pPr>
              <w:pStyle w:val="Tabla"/>
              <w:jc w:val="center"/>
              <w:rPr>
                <w:lang w:val="es-HN"/>
              </w:rPr>
            </w:pPr>
            <w:r w:rsidRPr="0076589C">
              <w:t xml:space="preserve">Proceso de crédito </w:t>
            </w:r>
          </w:p>
        </w:tc>
        <w:tc>
          <w:tcPr>
            <w:tcW w:w="729" w:type="pct"/>
            <w:vAlign w:val="center"/>
          </w:tcPr>
          <w:p w14:paraId="38C7CC88" w14:textId="2B805562" w:rsidR="00E00235" w:rsidRPr="0076589C" w:rsidRDefault="1C8D6E3A" w:rsidP="00B43E1B">
            <w:pPr>
              <w:pStyle w:val="Tabla"/>
              <w:rPr>
                <w:lang w:val="es-HN"/>
              </w:rPr>
            </w:pPr>
            <w:r w:rsidRPr="0076589C">
              <w:rPr>
                <w:lang w:val="es-HN"/>
              </w:rPr>
              <w:t>¿Cuentan con una política de crédito vigente?</w:t>
            </w:r>
          </w:p>
        </w:tc>
        <w:tc>
          <w:tcPr>
            <w:tcW w:w="417" w:type="pct"/>
            <w:vMerge w:val="restart"/>
            <w:vAlign w:val="center"/>
          </w:tcPr>
          <w:p w14:paraId="63FE4077" w14:textId="53C3816F" w:rsidR="00E00235" w:rsidRPr="0076589C" w:rsidRDefault="1C8D6E3A" w:rsidP="72A91A42">
            <w:pPr>
              <w:pStyle w:val="Tabla"/>
              <w:jc w:val="center"/>
              <w:rPr>
                <w:lang w:val="es-HN"/>
              </w:rPr>
            </w:pPr>
            <w:r w:rsidRPr="0076589C">
              <w:t>N/A</w:t>
            </w:r>
          </w:p>
        </w:tc>
        <w:tc>
          <w:tcPr>
            <w:tcW w:w="347" w:type="pct"/>
            <w:vAlign w:val="center"/>
          </w:tcPr>
          <w:p w14:paraId="2BFC04E0" w14:textId="77F27A5D" w:rsidR="00E00235" w:rsidRPr="0076589C" w:rsidRDefault="1C8D6E3A" w:rsidP="72A91A42">
            <w:pPr>
              <w:pStyle w:val="Tabla"/>
              <w:jc w:val="center"/>
              <w:rPr>
                <w:lang w:val="es-HN"/>
              </w:rPr>
            </w:pPr>
            <w:r w:rsidRPr="0076589C">
              <w:t>X</w:t>
            </w:r>
          </w:p>
        </w:tc>
        <w:tc>
          <w:tcPr>
            <w:tcW w:w="416" w:type="pct"/>
            <w:vAlign w:val="center"/>
          </w:tcPr>
          <w:p w14:paraId="612F7A34" w14:textId="77777777" w:rsidR="00E00235" w:rsidRPr="0076589C" w:rsidRDefault="00E00235" w:rsidP="00DA490E">
            <w:pPr>
              <w:pStyle w:val="Tabla"/>
              <w:jc w:val="center"/>
              <w:rPr>
                <w:lang w:val="es-HN"/>
              </w:rPr>
            </w:pPr>
          </w:p>
        </w:tc>
      </w:tr>
      <w:tr w:rsidR="002A4366" w:rsidRPr="0076589C" w14:paraId="36164813" w14:textId="77777777" w:rsidTr="1C8D6E3A">
        <w:trPr>
          <w:trHeight w:val="710"/>
        </w:trPr>
        <w:tc>
          <w:tcPr>
            <w:tcW w:w="436" w:type="pct"/>
            <w:vMerge/>
            <w:vAlign w:val="center"/>
          </w:tcPr>
          <w:p w14:paraId="7F63EF6B" w14:textId="39EFFE69" w:rsidR="00E00235" w:rsidRPr="0076589C" w:rsidRDefault="00E00235" w:rsidP="00DB046A">
            <w:pPr>
              <w:pStyle w:val="Tabla"/>
              <w:jc w:val="center"/>
              <w:rPr>
                <w:b/>
                <w:bCs/>
                <w:szCs w:val="20"/>
                <w:lang w:val="es-HN"/>
              </w:rPr>
            </w:pPr>
          </w:p>
        </w:tc>
        <w:tc>
          <w:tcPr>
            <w:tcW w:w="708" w:type="pct"/>
            <w:vMerge/>
            <w:vAlign w:val="center"/>
          </w:tcPr>
          <w:p w14:paraId="37E4E7FD" w14:textId="789E7A47" w:rsidR="00E00235" w:rsidRPr="0076589C" w:rsidRDefault="00E00235" w:rsidP="00DB046A">
            <w:pPr>
              <w:pStyle w:val="Tabla"/>
              <w:rPr>
                <w:szCs w:val="20"/>
                <w:lang w:val="es-HN"/>
              </w:rPr>
            </w:pPr>
          </w:p>
        </w:tc>
        <w:tc>
          <w:tcPr>
            <w:tcW w:w="556" w:type="pct"/>
            <w:vMerge/>
            <w:vAlign w:val="center"/>
          </w:tcPr>
          <w:p w14:paraId="63A4A229" w14:textId="3A62538E" w:rsidR="00E00235" w:rsidRPr="0076589C" w:rsidRDefault="00E00235" w:rsidP="00DB046A">
            <w:pPr>
              <w:pStyle w:val="Tabla"/>
              <w:jc w:val="left"/>
              <w:rPr>
                <w:szCs w:val="20"/>
                <w:lang w:val="es-HN"/>
              </w:rPr>
            </w:pPr>
          </w:p>
        </w:tc>
        <w:tc>
          <w:tcPr>
            <w:tcW w:w="521" w:type="pct"/>
            <w:vMerge/>
            <w:vAlign w:val="center"/>
          </w:tcPr>
          <w:p w14:paraId="3DEDE326" w14:textId="77777777" w:rsidR="00E00235" w:rsidRPr="0076589C" w:rsidRDefault="00E00235" w:rsidP="00DB046A">
            <w:pPr>
              <w:pStyle w:val="Tabla"/>
              <w:jc w:val="center"/>
              <w:rPr>
                <w:szCs w:val="20"/>
                <w:lang w:val="es-HN"/>
              </w:rPr>
            </w:pPr>
          </w:p>
        </w:tc>
        <w:tc>
          <w:tcPr>
            <w:tcW w:w="869" w:type="pct"/>
            <w:vMerge/>
            <w:vAlign w:val="center"/>
          </w:tcPr>
          <w:p w14:paraId="6A3003FD" w14:textId="77777777" w:rsidR="00E00235" w:rsidRPr="0076589C" w:rsidRDefault="00E00235" w:rsidP="00DB046A">
            <w:pPr>
              <w:pStyle w:val="Tabla"/>
              <w:jc w:val="center"/>
              <w:rPr>
                <w:szCs w:val="20"/>
                <w:lang w:val="es-HN"/>
              </w:rPr>
            </w:pPr>
          </w:p>
        </w:tc>
        <w:tc>
          <w:tcPr>
            <w:tcW w:w="729" w:type="pct"/>
            <w:vAlign w:val="center"/>
          </w:tcPr>
          <w:p w14:paraId="4F160349" w14:textId="1BBC9C5B" w:rsidR="00E00235" w:rsidRPr="0076589C" w:rsidRDefault="1C8D6E3A" w:rsidP="00DB046A">
            <w:pPr>
              <w:pStyle w:val="Tabla"/>
              <w:rPr>
                <w:lang w:val="es-HN"/>
              </w:rPr>
            </w:pPr>
            <w:r w:rsidRPr="0076589C">
              <w:rPr>
                <w:lang w:val="es-HN"/>
              </w:rPr>
              <w:t>¿Cuál es el procedimiento actual para otorgar crédito a sus clientes?</w:t>
            </w:r>
          </w:p>
        </w:tc>
        <w:tc>
          <w:tcPr>
            <w:tcW w:w="417" w:type="pct"/>
            <w:vMerge/>
            <w:vAlign w:val="center"/>
          </w:tcPr>
          <w:p w14:paraId="1A88E376" w14:textId="65836FF9" w:rsidR="00E00235" w:rsidRPr="0076589C" w:rsidRDefault="00E00235" w:rsidP="00DB046A">
            <w:pPr>
              <w:pStyle w:val="Tabla"/>
              <w:jc w:val="center"/>
              <w:rPr>
                <w:szCs w:val="20"/>
                <w:lang w:val="es-HN"/>
              </w:rPr>
            </w:pPr>
          </w:p>
        </w:tc>
        <w:tc>
          <w:tcPr>
            <w:tcW w:w="347" w:type="pct"/>
            <w:vAlign w:val="center"/>
          </w:tcPr>
          <w:p w14:paraId="108AD47A" w14:textId="7B06E3F0" w:rsidR="00E00235" w:rsidRPr="0076589C" w:rsidRDefault="1C8D6E3A" w:rsidP="72A91A42">
            <w:pPr>
              <w:pStyle w:val="Tabla"/>
              <w:jc w:val="center"/>
              <w:rPr>
                <w:lang w:val="es-HN"/>
              </w:rPr>
            </w:pPr>
            <w:r w:rsidRPr="0076589C">
              <w:t>X</w:t>
            </w:r>
          </w:p>
        </w:tc>
        <w:tc>
          <w:tcPr>
            <w:tcW w:w="416" w:type="pct"/>
            <w:vAlign w:val="center"/>
          </w:tcPr>
          <w:p w14:paraId="3905FF0C" w14:textId="77777777" w:rsidR="00E00235" w:rsidRPr="0076589C" w:rsidRDefault="00E00235" w:rsidP="00DB046A">
            <w:pPr>
              <w:pStyle w:val="Tabla"/>
              <w:jc w:val="center"/>
              <w:rPr>
                <w:lang w:val="es-HN"/>
              </w:rPr>
            </w:pPr>
          </w:p>
        </w:tc>
      </w:tr>
      <w:tr w:rsidR="002A4366" w:rsidRPr="0076589C" w14:paraId="7432A865" w14:textId="77777777" w:rsidTr="1C8D6E3A">
        <w:trPr>
          <w:trHeight w:val="1160"/>
        </w:trPr>
        <w:tc>
          <w:tcPr>
            <w:tcW w:w="436" w:type="pct"/>
            <w:vMerge/>
            <w:vAlign w:val="center"/>
          </w:tcPr>
          <w:p w14:paraId="0239DA39" w14:textId="64B5D6D5" w:rsidR="00E00235" w:rsidRPr="0076589C" w:rsidRDefault="00E00235" w:rsidP="00DB046A">
            <w:pPr>
              <w:pStyle w:val="Tabla"/>
              <w:jc w:val="center"/>
              <w:rPr>
                <w:b/>
                <w:bCs/>
                <w:szCs w:val="20"/>
                <w:lang w:val="es-HN"/>
              </w:rPr>
            </w:pPr>
          </w:p>
        </w:tc>
        <w:tc>
          <w:tcPr>
            <w:tcW w:w="708" w:type="pct"/>
            <w:vMerge/>
            <w:vAlign w:val="center"/>
          </w:tcPr>
          <w:p w14:paraId="00756120" w14:textId="6ECCFE3A" w:rsidR="00E00235" w:rsidRPr="0076589C" w:rsidRDefault="00E00235" w:rsidP="00DB046A">
            <w:pPr>
              <w:pStyle w:val="Tabla"/>
              <w:rPr>
                <w:szCs w:val="20"/>
                <w:lang w:val="es-HN"/>
              </w:rPr>
            </w:pPr>
          </w:p>
        </w:tc>
        <w:tc>
          <w:tcPr>
            <w:tcW w:w="556" w:type="pct"/>
            <w:vMerge/>
            <w:vAlign w:val="center"/>
          </w:tcPr>
          <w:p w14:paraId="321BC6BE" w14:textId="5174EA60" w:rsidR="00E00235" w:rsidRPr="0076589C" w:rsidRDefault="00E00235" w:rsidP="00DB046A">
            <w:pPr>
              <w:pStyle w:val="Tabla"/>
              <w:jc w:val="left"/>
              <w:rPr>
                <w:szCs w:val="20"/>
                <w:lang w:val="es-HN"/>
              </w:rPr>
            </w:pPr>
          </w:p>
        </w:tc>
        <w:tc>
          <w:tcPr>
            <w:tcW w:w="521" w:type="pct"/>
            <w:vMerge/>
            <w:vAlign w:val="center"/>
          </w:tcPr>
          <w:p w14:paraId="6EA447BF" w14:textId="77777777" w:rsidR="00E00235" w:rsidRPr="0076589C" w:rsidRDefault="00E00235" w:rsidP="00DB046A">
            <w:pPr>
              <w:pStyle w:val="Tabla"/>
              <w:jc w:val="center"/>
              <w:rPr>
                <w:szCs w:val="20"/>
                <w:lang w:val="es-HN"/>
              </w:rPr>
            </w:pPr>
          </w:p>
        </w:tc>
        <w:tc>
          <w:tcPr>
            <w:tcW w:w="869" w:type="pct"/>
            <w:vMerge/>
            <w:vAlign w:val="center"/>
          </w:tcPr>
          <w:p w14:paraId="2F616A8E" w14:textId="77777777" w:rsidR="00E00235" w:rsidRPr="0076589C" w:rsidRDefault="00E00235" w:rsidP="00DB046A">
            <w:pPr>
              <w:pStyle w:val="Tabla"/>
              <w:jc w:val="center"/>
              <w:rPr>
                <w:szCs w:val="20"/>
                <w:lang w:val="es-HN"/>
              </w:rPr>
            </w:pPr>
          </w:p>
        </w:tc>
        <w:tc>
          <w:tcPr>
            <w:tcW w:w="729" w:type="pct"/>
            <w:vAlign w:val="center"/>
          </w:tcPr>
          <w:p w14:paraId="474184B4" w14:textId="18720C79" w:rsidR="00E00235" w:rsidRPr="0076589C" w:rsidRDefault="1C8D6E3A" w:rsidP="00DB046A">
            <w:pPr>
              <w:pStyle w:val="Tabla"/>
              <w:rPr>
                <w:lang w:val="es-HN"/>
              </w:rPr>
            </w:pPr>
            <w:r w:rsidRPr="0076589C">
              <w:rPr>
                <w:lang w:val="es-HN"/>
              </w:rPr>
              <w:t>¿Considera que el proceso actual de crédito tiene debilidades?, y si es así, ¿cuáles son esas debilidades?</w:t>
            </w:r>
          </w:p>
        </w:tc>
        <w:tc>
          <w:tcPr>
            <w:tcW w:w="417" w:type="pct"/>
            <w:vMerge/>
            <w:vAlign w:val="center"/>
          </w:tcPr>
          <w:p w14:paraId="378CD34B" w14:textId="249099E1" w:rsidR="00E00235" w:rsidRPr="0076589C" w:rsidRDefault="00E00235" w:rsidP="00DB046A">
            <w:pPr>
              <w:pStyle w:val="Tabla"/>
              <w:jc w:val="center"/>
              <w:rPr>
                <w:szCs w:val="20"/>
                <w:lang w:val="es-HN"/>
              </w:rPr>
            </w:pPr>
          </w:p>
        </w:tc>
        <w:tc>
          <w:tcPr>
            <w:tcW w:w="347" w:type="pct"/>
            <w:vAlign w:val="center"/>
          </w:tcPr>
          <w:p w14:paraId="3092BF49" w14:textId="3CC91A41" w:rsidR="00E00235" w:rsidRPr="0076589C" w:rsidRDefault="1C8D6E3A" w:rsidP="72A91A42">
            <w:pPr>
              <w:pStyle w:val="Tabla"/>
              <w:jc w:val="center"/>
              <w:rPr>
                <w:lang w:val="es-HN"/>
              </w:rPr>
            </w:pPr>
            <w:r w:rsidRPr="0076589C">
              <w:t>X</w:t>
            </w:r>
          </w:p>
        </w:tc>
        <w:tc>
          <w:tcPr>
            <w:tcW w:w="416" w:type="pct"/>
            <w:vAlign w:val="center"/>
          </w:tcPr>
          <w:p w14:paraId="08C12199" w14:textId="77777777" w:rsidR="00E00235" w:rsidRPr="0076589C" w:rsidRDefault="00E00235" w:rsidP="00DB046A">
            <w:pPr>
              <w:pStyle w:val="Tabla"/>
              <w:jc w:val="center"/>
              <w:rPr>
                <w:lang w:val="es-HN"/>
              </w:rPr>
            </w:pPr>
          </w:p>
        </w:tc>
      </w:tr>
      <w:tr w:rsidR="002A4366" w:rsidRPr="0076589C" w14:paraId="5AF87728" w14:textId="77777777" w:rsidTr="1C8D6E3A">
        <w:trPr>
          <w:trHeight w:val="917"/>
        </w:trPr>
        <w:tc>
          <w:tcPr>
            <w:tcW w:w="436" w:type="pct"/>
            <w:vMerge/>
            <w:vAlign w:val="center"/>
          </w:tcPr>
          <w:p w14:paraId="2D41BB26" w14:textId="0FC161D2" w:rsidR="00505809" w:rsidRPr="0076589C" w:rsidRDefault="00505809" w:rsidP="00DB046A">
            <w:pPr>
              <w:pStyle w:val="Tabla"/>
              <w:jc w:val="center"/>
              <w:rPr>
                <w:b/>
                <w:bCs/>
                <w:szCs w:val="20"/>
                <w:lang w:val="es-HN"/>
              </w:rPr>
            </w:pPr>
          </w:p>
        </w:tc>
        <w:tc>
          <w:tcPr>
            <w:tcW w:w="708" w:type="pct"/>
            <w:vMerge/>
            <w:vAlign w:val="center"/>
          </w:tcPr>
          <w:p w14:paraId="4DB5607E" w14:textId="6BE06D44" w:rsidR="00505809" w:rsidRPr="0076589C" w:rsidRDefault="00505809" w:rsidP="00DB046A">
            <w:pPr>
              <w:pStyle w:val="Tabla"/>
              <w:rPr>
                <w:szCs w:val="20"/>
                <w:lang w:val="es-HN"/>
              </w:rPr>
            </w:pPr>
          </w:p>
        </w:tc>
        <w:tc>
          <w:tcPr>
            <w:tcW w:w="556" w:type="pct"/>
            <w:vMerge/>
            <w:vAlign w:val="center"/>
          </w:tcPr>
          <w:p w14:paraId="4243AAC0" w14:textId="7DCBB701" w:rsidR="00505809" w:rsidRPr="0076589C" w:rsidRDefault="00505809" w:rsidP="00DB046A">
            <w:pPr>
              <w:pStyle w:val="Tabla"/>
              <w:jc w:val="left"/>
              <w:rPr>
                <w:szCs w:val="20"/>
                <w:lang w:val="es-HN"/>
              </w:rPr>
            </w:pPr>
          </w:p>
        </w:tc>
        <w:tc>
          <w:tcPr>
            <w:tcW w:w="521" w:type="pct"/>
            <w:vMerge w:val="restart"/>
            <w:vAlign w:val="center"/>
          </w:tcPr>
          <w:p w14:paraId="4134D70F" w14:textId="77777777" w:rsidR="00472C0B" w:rsidRPr="0076589C" w:rsidRDefault="1C8D6E3A" w:rsidP="00DB046A">
            <w:pPr>
              <w:pStyle w:val="Tabla"/>
              <w:jc w:val="center"/>
              <w:rPr>
                <w:lang w:val="es-HN"/>
              </w:rPr>
            </w:pPr>
            <w:r w:rsidRPr="0076589C">
              <w:t>Financiera</w:t>
            </w:r>
          </w:p>
          <w:p w14:paraId="38FA4D95" w14:textId="0D36CA3A" w:rsidR="00505809" w:rsidRPr="0076589C" w:rsidRDefault="00505809" w:rsidP="00DB046A">
            <w:pPr>
              <w:pStyle w:val="Tabla"/>
              <w:jc w:val="center"/>
              <w:rPr>
                <w:lang w:val="es-HN"/>
              </w:rPr>
            </w:pPr>
          </w:p>
        </w:tc>
        <w:tc>
          <w:tcPr>
            <w:tcW w:w="869" w:type="pct"/>
            <w:vAlign w:val="center"/>
          </w:tcPr>
          <w:p w14:paraId="757F320E" w14:textId="281006AE" w:rsidR="00505809" w:rsidRPr="0076589C" w:rsidRDefault="1C8D6E3A" w:rsidP="00273198">
            <w:pPr>
              <w:pStyle w:val="Tabla"/>
              <w:jc w:val="center"/>
              <w:rPr>
                <w:lang w:val="es-HN"/>
              </w:rPr>
            </w:pPr>
            <w:r w:rsidRPr="0076589C">
              <w:rPr>
                <w:lang w:val="es-HN"/>
              </w:rPr>
              <w:t>Plazos de crédito según cliente</w:t>
            </w:r>
          </w:p>
        </w:tc>
        <w:tc>
          <w:tcPr>
            <w:tcW w:w="729" w:type="pct"/>
            <w:vAlign w:val="center"/>
          </w:tcPr>
          <w:p w14:paraId="2BB036A0" w14:textId="2ADE119B" w:rsidR="00505809" w:rsidRPr="0076589C" w:rsidRDefault="1C8D6E3A" w:rsidP="72A91A42">
            <w:pPr>
              <w:pStyle w:val="Tabla"/>
              <w:jc w:val="center"/>
              <w:rPr>
                <w:lang w:val="es-HN"/>
              </w:rPr>
            </w:pPr>
            <w:r w:rsidRPr="0076589C">
              <w:t>N/A</w:t>
            </w:r>
          </w:p>
        </w:tc>
        <w:tc>
          <w:tcPr>
            <w:tcW w:w="417" w:type="pct"/>
            <w:vAlign w:val="center"/>
          </w:tcPr>
          <w:p w14:paraId="222C7590" w14:textId="46A98C93" w:rsidR="00505809" w:rsidRPr="0076589C" w:rsidRDefault="1C8D6E3A" w:rsidP="00DB046A">
            <w:pPr>
              <w:pStyle w:val="Tabla"/>
              <w:jc w:val="center"/>
              <w:rPr>
                <w:lang w:val="es-HN"/>
              </w:rPr>
            </w:pPr>
            <w:r w:rsidRPr="0076589C">
              <w:rPr>
                <w:lang w:val="es-HN"/>
              </w:rPr>
              <w:t>Análisis de las bases de datos de la empresa</w:t>
            </w:r>
          </w:p>
        </w:tc>
        <w:tc>
          <w:tcPr>
            <w:tcW w:w="347" w:type="pct"/>
            <w:vAlign w:val="center"/>
          </w:tcPr>
          <w:p w14:paraId="1EA6DC32" w14:textId="2869F860" w:rsidR="00505809" w:rsidRPr="0076589C" w:rsidRDefault="00505809" w:rsidP="00DB046A">
            <w:pPr>
              <w:pStyle w:val="Tabla"/>
              <w:jc w:val="center"/>
              <w:rPr>
                <w:lang w:val="es-HN"/>
              </w:rPr>
            </w:pPr>
          </w:p>
        </w:tc>
        <w:tc>
          <w:tcPr>
            <w:tcW w:w="416" w:type="pct"/>
            <w:vAlign w:val="center"/>
          </w:tcPr>
          <w:p w14:paraId="025A3D90" w14:textId="77777777" w:rsidR="00505809" w:rsidRPr="0076589C" w:rsidRDefault="00505809" w:rsidP="00DB046A">
            <w:pPr>
              <w:pStyle w:val="Tabla"/>
              <w:jc w:val="center"/>
              <w:rPr>
                <w:lang w:val="es-HN"/>
              </w:rPr>
            </w:pPr>
          </w:p>
        </w:tc>
      </w:tr>
      <w:tr w:rsidR="002A4366" w:rsidRPr="0076589C" w14:paraId="682FA694" w14:textId="77777777" w:rsidTr="1C8D6E3A">
        <w:trPr>
          <w:trHeight w:val="710"/>
        </w:trPr>
        <w:tc>
          <w:tcPr>
            <w:tcW w:w="436" w:type="pct"/>
            <w:vMerge/>
          </w:tcPr>
          <w:p w14:paraId="09769079" w14:textId="7B5E5A53" w:rsidR="00E00235" w:rsidRPr="0076589C" w:rsidRDefault="00E00235" w:rsidP="00DB046A">
            <w:pPr>
              <w:pStyle w:val="Tabla"/>
              <w:jc w:val="center"/>
              <w:rPr>
                <w:szCs w:val="20"/>
                <w:lang w:val="es-HN"/>
              </w:rPr>
            </w:pPr>
          </w:p>
        </w:tc>
        <w:tc>
          <w:tcPr>
            <w:tcW w:w="708" w:type="pct"/>
            <w:vMerge/>
          </w:tcPr>
          <w:p w14:paraId="249127FB" w14:textId="4DCD7E1C" w:rsidR="00E00235" w:rsidRPr="0076589C" w:rsidRDefault="00E00235" w:rsidP="00DB046A">
            <w:pPr>
              <w:pStyle w:val="Tabla"/>
              <w:rPr>
                <w:szCs w:val="20"/>
                <w:lang w:val="es-HN"/>
              </w:rPr>
            </w:pPr>
          </w:p>
        </w:tc>
        <w:tc>
          <w:tcPr>
            <w:tcW w:w="556" w:type="pct"/>
            <w:vMerge/>
          </w:tcPr>
          <w:p w14:paraId="6FB7A099" w14:textId="64A13416" w:rsidR="00E00235" w:rsidRPr="0076589C" w:rsidRDefault="00E00235" w:rsidP="00DB046A">
            <w:pPr>
              <w:pStyle w:val="Tabla"/>
              <w:jc w:val="left"/>
              <w:rPr>
                <w:szCs w:val="20"/>
                <w:lang w:val="es-HN"/>
              </w:rPr>
            </w:pPr>
          </w:p>
        </w:tc>
        <w:tc>
          <w:tcPr>
            <w:tcW w:w="521" w:type="pct"/>
            <w:vMerge/>
            <w:vAlign w:val="center"/>
          </w:tcPr>
          <w:p w14:paraId="7298F44E" w14:textId="06DA30DD" w:rsidR="00E00235" w:rsidRPr="0076589C" w:rsidRDefault="00E00235" w:rsidP="00DB046A">
            <w:pPr>
              <w:pStyle w:val="Tabla"/>
              <w:jc w:val="center"/>
              <w:rPr>
                <w:szCs w:val="20"/>
                <w:lang w:val="es-HN"/>
              </w:rPr>
            </w:pPr>
          </w:p>
        </w:tc>
        <w:tc>
          <w:tcPr>
            <w:tcW w:w="869" w:type="pct"/>
            <w:vMerge w:val="restart"/>
            <w:vAlign w:val="center"/>
          </w:tcPr>
          <w:p w14:paraId="358D036C" w14:textId="77777777" w:rsidR="00E00235" w:rsidRPr="0076589C" w:rsidRDefault="1C8D6E3A" w:rsidP="00DB046A">
            <w:pPr>
              <w:pStyle w:val="Tabla"/>
              <w:jc w:val="center"/>
              <w:rPr>
                <w:lang w:val="es-HN"/>
              </w:rPr>
            </w:pPr>
            <w:r w:rsidRPr="0076589C">
              <w:t>Límites de crédito</w:t>
            </w:r>
          </w:p>
          <w:p w14:paraId="1E323A10" w14:textId="77777777" w:rsidR="00472C0B" w:rsidRPr="0076589C" w:rsidRDefault="00472C0B" w:rsidP="00DB046A">
            <w:pPr>
              <w:pStyle w:val="Tabla"/>
              <w:jc w:val="center"/>
              <w:rPr>
                <w:lang w:val="es-HN"/>
              </w:rPr>
            </w:pPr>
          </w:p>
          <w:p w14:paraId="70E155BC" w14:textId="51BC2964" w:rsidR="00E00235" w:rsidRPr="0076589C" w:rsidRDefault="00E00235" w:rsidP="00DB046A">
            <w:pPr>
              <w:pStyle w:val="Tabla"/>
              <w:jc w:val="center"/>
              <w:rPr>
                <w:lang w:val="es-HN"/>
              </w:rPr>
            </w:pPr>
          </w:p>
        </w:tc>
        <w:tc>
          <w:tcPr>
            <w:tcW w:w="729" w:type="pct"/>
            <w:vAlign w:val="center"/>
          </w:tcPr>
          <w:p w14:paraId="0FA301D0" w14:textId="0DCD8CEE" w:rsidR="00E00235" w:rsidRPr="0076589C" w:rsidRDefault="1C8D6E3A" w:rsidP="00DB046A">
            <w:pPr>
              <w:pStyle w:val="Tabla"/>
              <w:rPr>
                <w:lang w:val="es-HN"/>
              </w:rPr>
            </w:pPr>
            <w:r w:rsidRPr="0076589C">
              <w:rPr>
                <w:lang w:val="es-HN"/>
              </w:rPr>
              <w:t>¿Con que frecuencia actualizan los límites de crédito a sus clientes?</w:t>
            </w:r>
          </w:p>
        </w:tc>
        <w:tc>
          <w:tcPr>
            <w:tcW w:w="417" w:type="pct"/>
            <w:vMerge w:val="restart"/>
            <w:vAlign w:val="center"/>
          </w:tcPr>
          <w:p w14:paraId="7B894D6B" w14:textId="34EA23C5" w:rsidR="00E00235" w:rsidRPr="0076589C" w:rsidRDefault="1C8D6E3A" w:rsidP="72A91A42">
            <w:pPr>
              <w:pStyle w:val="Tabla"/>
              <w:jc w:val="center"/>
              <w:rPr>
                <w:lang w:val="es-HN"/>
              </w:rPr>
            </w:pPr>
            <w:r w:rsidRPr="0076589C">
              <w:t>N/A</w:t>
            </w:r>
          </w:p>
        </w:tc>
        <w:tc>
          <w:tcPr>
            <w:tcW w:w="347" w:type="pct"/>
            <w:vAlign w:val="center"/>
          </w:tcPr>
          <w:p w14:paraId="5D6BFF4D" w14:textId="25867662" w:rsidR="00E00235" w:rsidRPr="0076589C" w:rsidRDefault="1C8D6E3A" w:rsidP="72A91A42">
            <w:pPr>
              <w:pStyle w:val="Tabla"/>
              <w:jc w:val="center"/>
              <w:rPr>
                <w:lang w:val="es-HN"/>
              </w:rPr>
            </w:pPr>
            <w:r w:rsidRPr="0076589C">
              <w:t>X</w:t>
            </w:r>
          </w:p>
        </w:tc>
        <w:tc>
          <w:tcPr>
            <w:tcW w:w="416" w:type="pct"/>
          </w:tcPr>
          <w:p w14:paraId="132E0983" w14:textId="77777777" w:rsidR="00E00235" w:rsidRPr="0076589C" w:rsidRDefault="00E00235" w:rsidP="00DB046A">
            <w:pPr>
              <w:pStyle w:val="Tabla"/>
              <w:rPr>
                <w:lang w:val="es-HN"/>
              </w:rPr>
            </w:pPr>
          </w:p>
        </w:tc>
      </w:tr>
      <w:tr w:rsidR="002A4366" w:rsidRPr="0076589C" w14:paraId="56FEFC2F" w14:textId="77777777" w:rsidTr="1C8D6E3A">
        <w:trPr>
          <w:trHeight w:val="1061"/>
        </w:trPr>
        <w:tc>
          <w:tcPr>
            <w:tcW w:w="436" w:type="pct"/>
            <w:vMerge/>
          </w:tcPr>
          <w:p w14:paraId="4EC5BAB7" w14:textId="129AD952" w:rsidR="00E00235" w:rsidRPr="0076589C" w:rsidRDefault="00E00235" w:rsidP="00DB046A">
            <w:pPr>
              <w:pStyle w:val="Tabla"/>
              <w:jc w:val="center"/>
              <w:rPr>
                <w:szCs w:val="20"/>
                <w:lang w:val="es-HN"/>
              </w:rPr>
            </w:pPr>
          </w:p>
        </w:tc>
        <w:tc>
          <w:tcPr>
            <w:tcW w:w="708" w:type="pct"/>
            <w:vMerge/>
          </w:tcPr>
          <w:p w14:paraId="1298DB2B" w14:textId="0663A391" w:rsidR="00E00235" w:rsidRPr="0076589C" w:rsidRDefault="00E00235" w:rsidP="00DB046A">
            <w:pPr>
              <w:pStyle w:val="Tabla"/>
              <w:rPr>
                <w:szCs w:val="20"/>
                <w:lang w:val="es-HN"/>
              </w:rPr>
            </w:pPr>
          </w:p>
        </w:tc>
        <w:tc>
          <w:tcPr>
            <w:tcW w:w="556" w:type="pct"/>
            <w:vMerge/>
          </w:tcPr>
          <w:p w14:paraId="0D1CCE8D" w14:textId="12B26518" w:rsidR="00E00235" w:rsidRPr="0076589C" w:rsidRDefault="00E00235" w:rsidP="00DB046A">
            <w:pPr>
              <w:pStyle w:val="Tabla"/>
              <w:jc w:val="left"/>
              <w:rPr>
                <w:szCs w:val="20"/>
                <w:lang w:val="es-HN"/>
              </w:rPr>
            </w:pPr>
          </w:p>
        </w:tc>
        <w:tc>
          <w:tcPr>
            <w:tcW w:w="521" w:type="pct"/>
            <w:vMerge/>
            <w:vAlign w:val="center"/>
          </w:tcPr>
          <w:p w14:paraId="252CA71B" w14:textId="4259ED11" w:rsidR="00E00235" w:rsidRPr="0076589C" w:rsidRDefault="00E00235" w:rsidP="00DB046A">
            <w:pPr>
              <w:pStyle w:val="Tabla"/>
              <w:jc w:val="center"/>
              <w:rPr>
                <w:szCs w:val="20"/>
                <w:lang w:val="es-HN"/>
              </w:rPr>
            </w:pPr>
          </w:p>
        </w:tc>
        <w:tc>
          <w:tcPr>
            <w:tcW w:w="869" w:type="pct"/>
            <w:vMerge/>
            <w:vAlign w:val="center"/>
          </w:tcPr>
          <w:p w14:paraId="3D136CE8" w14:textId="76BCAB07" w:rsidR="00E00235" w:rsidRPr="0076589C" w:rsidRDefault="00E00235" w:rsidP="00DB046A">
            <w:pPr>
              <w:pStyle w:val="Tabla"/>
              <w:jc w:val="center"/>
              <w:rPr>
                <w:szCs w:val="20"/>
                <w:lang w:val="es-HN"/>
              </w:rPr>
            </w:pPr>
          </w:p>
        </w:tc>
        <w:tc>
          <w:tcPr>
            <w:tcW w:w="729" w:type="pct"/>
            <w:vAlign w:val="center"/>
          </w:tcPr>
          <w:p w14:paraId="2D45DFAB" w14:textId="4C4385A8" w:rsidR="00E00235" w:rsidRPr="0076589C" w:rsidRDefault="1C8D6E3A" w:rsidP="00DB046A">
            <w:pPr>
              <w:pStyle w:val="Tabla"/>
              <w:rPr>
                <w:lang w:val="es-HN"/>
              </w:rPr>
            </w:pPr>
            <w:r w:rsidRPr="0076589C">
              <w:rPr>
                <w:lang w:val="es-HN"/>
              </w:rPr>
              <w:t>¿Cuáles son los factores por considerar para aumentar/ disminuir el límite de crédito de un cliente?</w:t>
            </w:r>
          </w:p>
        </w:tc>
        <w:tc>
          <w:tcPr>
            <w:tcW w:w="417" w:type="pct"/>
            <w:vMerge/>
            <w:vAlign w:val="center"/>
          </w:tcPr>
          <w:p w14:paraId="6CA25F5C" w14:textId="4D026299" w:rsidR="00E00235" w:rsidRPr="0076589C" w:rsidRDefault="00E00235" w:rsidP="00DB046A">
            <w:pPr>
              <w:pStyle w:val="Tabla"/>
              <w:jc w:val="center"/>
              <w:rPr>
                <w:szCs w:val="20"/>
                <w:lang w:val="es-HN"/>
              </w:rPr>
            </w:pPr>
          </w:p>
        </w:tc>
        <w:tc>
          <w:tcPr>
            <w:tcW w:w="347" w:type="pct"/>
            <w:vAlign w:val="center"/>
          </w:tcPr>
          <w:p w14:paraId="2C314E20" w14:textId="3A32CA49" w:rsidR="00E00235" w:rsidRPr="0076589C" w:rsidRDefault="1C8D6E3A" w:rsidP="72A91A42">
            <w:pPr>
              <w:pStyle w:val="Tabla"/>
              <w:jc w:val="center"/>
              <w:rPr>
                <w:lang w:val="es-HN"/>
              </w:rPr>
            </w:pPr>
            <w:r w:rsidRPr="0076589C">
              <w:t>X</w:t>
            </w:r>
          </w:p>
        </w:tc>
        <w:tc>
          <w:tcPr>
            <w:tcW w:w="416" w:type="pct"/>
          </w:tcPr>
          <w:p w14:paraId="7A8EE548" w14:textId="77777777" w:rsidR="00E00235" w:rsidRPr="0076589C" w:rsidRDefault="00E00235" w:rsidP="00DB046A">
            <w:pPr>
              <w:pStyle w:val="Tabla"/>
              <w:rPr>
                <w:lang w:val="es-HN"/>
              </w:rPr>
            </w:pPr>
          </w:p>
        </w:tc>
      </w:tr>
      <w:tr w:rsidR="00472C0B" w:rsidRPr="0076589C" w14:paraId="4ACEE3A0" w14:textId="77777777" w:rsidTr="1C8D6E3A">
        <w:trPr>
          <w:trHeight w:val="4476"/>
        </w:trPr>
        <w:tc>
          <w:tcPr>
            <w:tcW w:w="436" w:type="pct"/>
            <w:vMerge/>
            <w:vAlign w:val="center"/>
          </w:tcPr>
          <w:p w14:paraId="122E9F7F" w14:textId="31144F24" w:rsidR="00472C0B" w:rsidRPr="0076589C" w:rsidRDefault="00472C0B" w:rsidP="00DB046A">
            <w:pPr>
              <w:pStyle w:val="Tabla"/>
              <w:jc w:val="center"/>
              <w:rPr>
                <w:b/>
                <w:bCs/>
                <w:szCs w:val="20"/>
                <w:lang w:val="es-HN"/>
              </w:rPr>
            </w:pPr>
          </w:p>
        </w:tc>
        <w:tc>
          <w:tcPr>
            <w:tcW w:w="708" w:type="pct"/>
            <w:vMerge/>
            <w:vAlign w:val="center"/>
          </w:tcPr>
          <w:p w14:paraId="21A98CED" w14:textId="4A379D68" w:rsidR="00472C0B" w:rsidRPr="0076589C" w:rsidRDefault="00472C0B" w:rsidP="00DB046A">
            <w:pPr>
              <w:pStyle w:val="Tabla"/>
              <w:rPr>
                <w:szCs w:val="20"/>
                <w:lang w:val="es-HN"/>
              </w:rPr>
            </w:pPr>
          </w:p>
        </w:tc>
        <w:tc>
          <w:tcPr>
            <w:tcW w:w="556" w:type="pct"/>
            <w:vMerge/>
            <w:vAlign w:val="center"/>
          </w:tcPr>
          <w:p w14:paraId="00902603" w14:textId="702C7673" w:rsidR="00472C0B" w:rsidRPr="0076589C" w:rsidRDefault="00472C0B" w:rsidP="00DB046A">
            <w:pPr>
              <w:pStyle w:val="Tabla"/>
              <w:jc w:val="left"/>
              <w:rPr>
                <w:szCs w:val="20"/>
                <w:lang w:val="es-HN"/>
              </w:rPr>
            </w:pPr>
          </w:p>
        </w:tc>
        <w:tc>
          <w:tcPr>
            <w:tcW w:w="521" w:type="pct"/>
            <w:vMerge/>
            <w:vAlign w:val="center"/>
          </w:tcPr>
          <w:p w14:paraId="350EE043" w14:textId="3EA1C16D" w:rsidR="00472C0B" w:rsidRPr="0076589C" w:rsidRDefault="00472C0B" w:rsidP="00DB046A">
            <w:pPr>
              <w:pStyle w:val="Tabla"/>
              <w:jc w:val="center"/>
              <w:rPr>
                <w:szCs w:val="20"/>
                <w:lang w:val="es-HN"/>
              </w:rPr>
            </w:pPr>
          </w:p>
        </w:tc>
        <w:tc>
          <w:tcPr>
            <w:tcW w:w="869" w:type="pct"/>
            <w:vMerge/>
            <w:vAlign w:val="center"/>
          </w:tcPr>
          <w:p w14:paraId="16BE3366" w14:textId="6CF55FF2" w:rsidR="00472C0B" w:rsidRPr="0076589C" w:rsidRDefault="00472C0B" w:rsidP="00DB046A">
            <w:pPr>
              <w:pStyle w:val="Tabla"/>
              <w:jc w:val="center"/>
              <w:rPr>
                <w:szCs w:val="20"/>
                <w:lang w:val="es-HN"/>
              </w:rPr>
            </w:pPr>
          </w:p>
        </w:tc>
        <w:tc>
          <w:tcPr>
            <w:tcW w:w="729" w:type="pct"/>
            <w:vAlign w:val="center"/>
          </w:tcPr>
          <w:p w14:paraId="19C692DB" w14:textId="2D6D85A8" w:rsidR="00472C0B" w:rsidRPr="0076589C" w:rsidRDefault="1C8D6E3A" w:rsidP="00B1029E">
            <w:pPr>
              <w:pStyle w:val="Tabla"/>
              <w:jc w:val="center"/>
              <w:rPr>
                <w:lang w:val="es-HN"/>
              </w:rPr>
            </w:pPr>
            <w:r w:rsidRPr="0076589C">
              <w:t>N/A</w:t>
            </w:r>
          </w:p>
        </w:tc>
        <w:tc>
          <w:tcPr>
            <w:tcW w:w="417" w:type="pct"/>
            <w:vAlign w:val="center"/>
          </w:tcPr>
          <w:p w14:paraId="71FC9FA1" w14:textId="1CFA49E8" w:rsidR="00FC4469" w:rsidRPr="0076589C" w:rsidRDefault="1C8D6E3A" w:rsidP="002D1659">
            <w:pPr>
              <w:pStyle w:val="Tabla"/>
              <w:jc w:val="center"/>
              <w:rPr>
                <w:lang w:val="es-HN"/>
              </w:rPr>
            </w:pPr>
            <w:r w:rsidRPr="0076589C">
              <w:rPr>
                <w:lang w:val="es-HN"/>
              </w:rPr>
              <w:t>Análisis de las bases de datos de la empresa mediante de revisión de los Límites de crédito de los cinco (5) clientes con más ventas de IPRA</w:t>
            </w:r>
          </w:p>
        </w:tc>
        <w:tc>
          <w:tcPr>
            <w:tcW w:w="347" w:type="pct"/>
            <w:vAlign w:val="center"/>
          </w:tcPr>
          <w:p w14:paraId="0384D14D" w14:textId="77777777" w:rsidR="00472C0B" w:rsidRPr="0076589C" w:rsidRDefault="00472C0B" w:rsidP="00DB046A">
            <w:pPr>
              <w:pStyle w:val="Tabla"/>
              <w:jc w:val="center"/>
              <w:rPr>
                <w:lang w:val="es-HN"/>
              </w:rPr>
            </w:pPr>
          </w:p>
        </w:tc>
        <w:tc>
          <w:tcPr>
            <w:tcW w:w="416" w:type="pct"/>
            <w:vAlign w:val="center"/>
          </w:tcPr>
          <w:p w14:paraId="195E1EC3" w14:textId="77777777" w:rsidR="00472C0B" w:rsidRPr="0076589C" w:rsidRDefault="00472C0B" w:rsidP="00DB046A">
            <w:pPr>
              <w:pStyle w:val="Tabla"/>
              <w:jc w:val="left"/>
              <w:rPr>
                <w:lang w:val="es-HN"/>
              </w:rPr>
            </w:pPr>
          </w:p>
        </w:tc>
      </w:tr>
      <w:tr w:rsidR="002D1659" w:rsidRPr="0076589C" w14:paraId="6955AC5D" w14:textId="1C745071" w:rsidTr="1C8D6E3A">
        <w:trPr>
          <w:trHeight w:val="56"/>
        </w:trPr>
        <w:tc>
          <w:tcPr>
            <w:tcW w:w="436" w:type="pct"/>
            <w:vMerge w:val="restart"/>
            <w:vAlign w:val="center"/>
          </w:tcPr>
          <w:p w14:paraId="709BEA30" w14:textId="26D1C1FD" w:rsidR="002D1659" w:rsidRPr="0076589C" w:rsidRDefault="1C8D6E3A" w:rsidP="008F5002">
            <w:pPr>
              <w:pStyle w:val="Tabla"/>
              <w:jc w:val="left"/>
              <w:rPr>
                <w:b/>
                <w:bCs/>
                <w:lang w:val="es-HN"/>
              </w:rPr>
            </w:pPr>
            <w:r w:rsidRPr="0076589C">
              <w:rPr>
                <w:b/>
                <w:bCs/>
              </w:rPr>
              <w:t>Política de cobranza</w:t>
            </w:r>
          </w:p>
        </w:tc>
        <w:tc>
          <w:tcPr>
            <w:tcW w:w="708" w:type="pct"/>
            <w:vMerge w:val="restart"/>
            <w:vAlign w:val="center"/>
          </w:tcPr>
          <w:p w14:paraId="287421F5" w14:textId="44B7FE42" w:rsidR="002D1659" w:rsidRPr="0076589C" w:rsidRDefault="1C8D6E3A" w:rsidP="008F5002">
            <w:pPr>
              <w:pStyle w:val="Tabla"/>
              <w:jc w:val="center"/>
              <w:rPr>
                <w:lang w:val="es-HN"/>
              </w:rPr>
            </w:pPr>
            <w:r w:rsidRPr="0076589C">
              <w:rPr>
                <w:lang w:val="es-HN"/>
              </w:rPr>
              <w:t xml:space="preserve">“Son los procedimientos que la empresa emplea para </w:t>
            </w:r>
            <w:r w:rsidRPr="0076589C">
              <w:rPr>
                <w:lang w:val="es-HN"/>
              </w:rPr>
              <w:lastRenderedPageBreak/>
              <w:t xml:space="preserve">realizar la cobranza de las cuentas por cobrar cuando las mismas llegan a su vencimiento.” </w:t>
            </w:r>
            <w:r w:rsidR="002D1659" w:rsidRPr="0076589C">
              <w:rPr>
                <w:lang w:val="es-HN"/>
              </w:rPr>
              <w:fldChar w:fldCharType="begin"/>
            </w:r>
            <w:r w:rsidR="002D1659" w:rsidRPr="0076589C">
              <w:rPr>
                <w:lang w:val="es-HN"/>
              </w:rPr>
              <w:instrText xml:space="preserve"> ADDIN ZOTERO_ITEM CSL_CITATION {"citationID":"Wj4QKlbo","properties":{"formattedCitation":"(Gitman, 2003)","plainCitation":"(Gitman, 2003)","dontUpdate":true,"noteIndex":0},"citationItems":[{"id":116,"uris":["http://zotero.org/users/12108825/items/S6B9AWMN"],"itemData":{"id":116,"type":"book","abstract":"Papel y entorno de la administración financiera - Estados financieros y su análisis - Flujo de efectivo y planeación financiera - Valor del dinero en el tiempo - Riesgos y rendimiento - Tasas de interés y valuación de bonos - Valuación de acciones - Flujos de efectivo del presupuesto de capital - Técnicas para preparar presupuestos de capital : certeza y riesgo - Costo de capital - Apalancamiento y estructura de capital - Política de dividendos - Administración de capital de trabajo y de activos circulantes - Administración de pasivos circulantes.","ISBN":"978-970-26-0428-0","language":"es","note":"Google-Books-ID: KS_04zILe2gC","number-of-pages":"684","publisher":"Pearson Educación","source":"Google Books","title":"Principios de administración financiera","author":[{"family":"Gitman","given":"Lawrence J."}],"issued":{"date-parts":[["2003"]]}}}],"schema":"https://github.com/citation-style-language/schema/raw/master/csl-citation.json"} </w:instrText>
            </w:r>
            <w:r w:rsidR="002D1659" w:rsidRPr="0076589C">
              <w:rPr>
                <w:lang w:val="es-HN"/>
              </w:rPr>
              <w:fldChar w:fldCharType="separate"/>
            </w:r>
            <w:r w:rsidRPr="0076589C">
              <w:t>(Gitman, 2003, pág.242)</w:t>
            </w:r>
            <w:r w:rsidR="002D1659" w:rsidRPr="0076589C">
              <w:rPr>
                <w:lang w:val="es-HN"/>
              </w:rPr>
              <w:fldChar w:fldCharType="end"/>
            </w:r>
          </w:p>
        </w:tc>
        <w:tc>
          <w:tcPr>
            <w:tcW w:w="556" w:type="pct"/>
            <w:vMerge w:val="restart"/>
            <w:vAlign w:val="center"/>
          </w:tcPr>
          <w:p w14:paraId="0A478AD9" w14:textId="6854B313" w:rsidR="002D1659" w:rsidRPr="0076589C" w:rsidRDefault="1C8D6E3A" w:rsidP="008F5002">
            <w:pPr>
              <w:pStyle w:val="Tabla"/>
              <w:jc w:val="center"/>
              <w:rPr>
                <w:lang w:val="es-HN"/>
              </w:rPr>
            </w:pPr>
            <w:r w:rsidRPr="0076589C">
              <w:rPr>
                <w:lang w:val="es-HN"/>
              </w:rPr>
              <w:lastRenderedPageBreak/>
              <w:t xml:space="preserve">Son los lineamientos establecidos por </w:t>
            </w:r>
            <w:r w:rsidRPr="0076589C">
              <w:rPr>
                <w:lang w:val="es-HN"/>
              </w:rPr>
              <w:lastRenderedPageBreak/>
              <w:t>la empresa para la recuperación de las cuentas por cobrar.</w:t>
            </w:r>
          </w:p>
        </w:tc>
        <w:tc>
          <w:tcPr>
            <w:tcW w:w="521" w:type="pct"/>
            <w:vMerge w:val="restart"/>
            <w:vAlign w:val="center"/>
          </w:tcPr>
          <w:p w14:paraId="75A66E50" w14:textId="62DACACC" w:rsidR="002D1659" w:rsidRPr="0076589C" w:rsidRDefault="002D1659" w:rsidP="004C4975">
            <w:pPr>
              <w:pStyle w:val="Tabla"/>
              <w:jc w:val="center"/>
              <w:rPr>
                <w:lang w:val="es-HN"/>
              </w:rPr>
            </w:pPr>
          </w:p>
        </w:tc>
        <w:tc>
          <w:tcPr>
            <w:tcW w:w="869" w:type="pct"/>
            <w:vMerge w:val="restart"/>
            <w:vAlign w:val="center"/>
          </w:tcPr>
          <w:p w14:paraId="0CE2D7D8" w14:textId="61E56A5A" w:rsidR="002D1659" w:rsidRPr="0076589C" w:rsidRDefault="002D1659" w:rsidP="004C4975">
            <w:pPr>
              <w:pStyle w:val="Tabla"/>
              <w:jc w:val="center"/>
              <w:rPr>
                <w:lang w:val="es-HN"/>
              </w:rPr>
            </w:pPr>
          </w:p>
        </w:tc>
        <w:tc>
          <w:tcPr>
            <w:tcW w:w="729" w:type="pct"/>
            <w:vAlign w:val="center"/>
          </w:tcPr>
          <w:p w14:paraId="757F38C8" w14:textId="3D55FCD8" w:rsidR="008F5002" w:rsidRPr="0076589C" w:rsidRDefault="1C8D6E3A" w:rsidP="00C64A60">
            <w:pPr>
              <w:pStyle w:val="Tabla"/>
              <w:rPr>
                <w:lang w:val="es-HN"/>
              </w:rPr>
            </w:pPr>
            <w:r w:rsidRPr="0076589C">
              <w:rPr>
                <w:lang w:val="es-HN"/>
              </w:rPr>
              <w:t>¿Cuentan con una política de cobro vigente?</w:t>
            </w:r>
          </w:p>
        </w:tc>
        <w:tc>
          <w:tcPr>
            <w:tcW w:w="417" w:type="pct"/>
            <w:vMerge w:val="restart"/>
            <w:vAlign w:val="center"/>
          </w:tcPr>
          <w:p w14:paraId="2CB23D27" w14:textId="17F297DE" w:rsidR="002D1659" w:rsidRPr="0076589C" w:rsidRDefault="002D1659" w:rsidP="72A91A42">
            <w:pPr>
              <w:pStyle w:val="Tabla"/>
              <w:jc w:val="center"/>
              <w:rPr>
                <w:lang w:val="es-HN"/>
              </w:rPr>
            </w:pPr>
          </w:p>
        </w:tc>
        <w:tc>
          <w:tcPr>
            <w:tcW w:w="347" w:type="pct"/>
            <w:vAlign w:val="center"/>
          </w:tcPr>
          <w:p w14:paraId="4CE0DB9B" w14:textId="2713CE20" w:rsidR="002D1659" w:rsidRPr="0076589C" w:rsidRDefault="1C8D6E3A" w:rsidP="72A91A42">
            <w:pPr>
              <w:pStyle w:val="Tabla"/>
              <w:jc w:val="center"/>
              <w:rPr>
                <w:lang w:val="es-HN"/>
              </w:rPr>
            </w:pPr>
            <w:r w:rsidRPr="0076589C">
              <w:t>X</w:t>
            </w:r>
          </w:p>
        </w:tc>
        <w:tc>
          <w:tcPr>
            <w:tcW w:w="416" w:type="pct"/>
            <w:vAlign w:val="center"/>
          </w:tcPr>
          <w:p w14:paraId="353EB00E" w14:textId="26350E1A" w:rsidR="002D1659" w:rsidRPr="0076589C" w:rsidRDefault="002D1659" w:rsidP="00DB046A">
            <w:pPr>
              <w:pStyle w:val="Tabla"/>
              <w:jc w:val="left"/>
              <w:rPr>
                <w:lang w:val="es-HN"/>
              </w:rPr>
            </w:pPr>
          </w:p>
        </w:tc>
      </w:tr>
      <w:tr w:rsidR="00BA620E" w:rsidRPr="0076589C" w14:paraId="26A36BB1" w14:textId="77777777" w:rsidTr="1C8D6E3A">
        <w:trPr>
          <w:trHeight w:val="539"/>
        </w:trPr>
        <w:tc>
          <w:tcPr>
            <w:tcW w:w="436" w:type="pct"/>
            <w:vMerge/>
            <w:vAlign w:val="center"/>
          </w:tcPr>
          <w:p w14:paraId="54A12BB5" w14:textId="77777777" w:rsidR="00BA620E" w:rsidRPr="0076589C" w:rsidRDefault="00BA620E" w:rsidP="004C4975">
            <w:pPr>
              <w:pStyle w:val="Tabla"/>
              <w:jc w:val="center"/>
              <w:rPr>
                <w:b/>
                <w:bCs/>
                <w:szCs w:val="20"/>
                <w:lang w:val="es-HN"/>
              </w:rPr>
            </w:pPr>
          </w:p>
        </w:tc>
        <w:tc>
          <w:tcPr>
            <w:tcW w:w="708" w:type="pct"/>
            <w:vMerge/>
            <w:vAlign w:val="center"/>
          </w:tcPr>
          <w:p w14:paraId="4616B37E" w14:textId="77777777" w:rsidR="00BA620E" w:rsidRPr="0076589C" w:rsidRDefault="00BA620E" w:rsidP="004C4975">
            <w:pPr>
              <w:pStyle w:val="Tabla"/>
              <w:rPr>
                <w:szCs w:val="20"/>
                <w:lang w:val="es-HN"/>
              </w:rPr>
            </w:pPr>
          </w:p>
        </w:tc>
        <w:tc>
          <w:tcPr>
            <w:tcW w:w="556" w:type="pct"/>
            <w:vMerge/>
            <w:vAlign w:val="center"/>
          </w:tcPr>
          <w:p w14:paraId="6FF0C276" w14:textId="77777777" w:rsidR="00BA620E" w:rsidRPr="0076589C" w:rsidRDefault="00BA620E" w:rsidP="004C4975">
            <w:pPr>
              <w:pStyle w:val="Tabla"/>
              <w:jc w:val="left"/>
              <w:rPr>
                <w:szCs w:val="20"/>
                <w:lang w:val="es-HN"/>
              </w:rPr>
            </w:pPr>
          </w:p>
        </w:tc>
        <w:tc>
          <w:tcPr>
            <w:tcW w:w="521" w:type="pct"/>
            <w:vMerge/>
            <w:vAlign w:val="center"/>
          </w:tcPr>
          <w:p w14:paraId="026112F8" w14:textId="77777777" w:rsidR="00BA620E" w:rsidRPr="0076589C" w:rsidRDefault="00BA620E" w:rsidP="004C4975">
            <w:pPr>
              <w:pStyle w:val="Tabla"/>
              <w:jc w:val="center"/>
              <w:rPr>
                <w:szCs w:val="20"/>
                <w:lang w:val="es-HN"/>
              </w:rPr>
            </w:pPr>
          </w:p>
        </w:tc>
        <w:tc>
          <w:tcPr>
            <w:tcW w:w="869" w:type="pct"/>
            <w:vMerge/>
            <w:vAlign w:val="center"/>
          </w:tcPr>
          <w:p w14:paraId="61216F5C" w14:textId="77777777" w:rsidR="00BA620E" w:rsidRPr="0076589C" w:rsidRDefault="00BA620E" w:rsidP="004C4975">
            <w:pPr>
              <w:pStyle w:val="Tabla"/>
              <w:jc w:val="center"/>
              <w:rPr>
                <w:szCs w:val="20"/>
                <w:lang w:val="es-HN"/>
              </w:rPr>
            </w:pPr>
          </w:p>
        </w:tc>
        <w:tc>
          <w:tcPr>
            <w:tcW w:w="729" w:type="pct"/>
            <w:vAlign w:val="center"/>
          </w:tcPr>
          <w:p w14:paraId="5ABA1043" w14:textId="1C9016DC" w:rsidR="00BA620E" w:rsidRPr="0076589C" w:rsidRDefault="1C8D6E3A" w:rsidP="0098191D">
            <w:pPr>
              <w:pStyle w:val="Tabla"/>
              <w:rPr>
                <w:lang w:val="es-HN"/>
              </w:rPr>
            </w:pPr>
            <w:r w:rsidRPr="0076589C">
              <w:rPr>
                <w:lang w:val="es-HN"/>
              </w:rPr>
              <w:t>¿Cuál es el procedimiento actual de cobro?</w:t>
            </w:r>
          </w:p>
        </w:tc>
        <w:tc>
          <w:tcPr>
            <w:tcW w:w="417" w:type="pct"/>
            <w:vMerge/>
            <w:vAlign w:val="center"/>
          </w:tcPr>
          <w:p w14:paraId="2F0EC424" w14:textId="63F3EE13" w:rsidR="00BA620E" w:rsidRPr="0076589C" w:rsidRDefault="00BA620E" w:rsidP="004C4975">
            <w:pPr>
              <w:pStyle w:val="Tabla"/>
              <w:jc w:val="center"/>
              <w:rPr>
                <w:szCs w:val="20"/>
                <w:lang w:val="es-HN"/>
              </w:rPr>
            </w:pPr>
          </w:p>
        </w:tc>
        <w:tc>
          <w:tcPr>
            <w:tcW w:w="347" w:type="pct"/>
            <w:vAlign w:val="center"/>
          </w:tcPr>
          <w:p w14:paraId="64875ED6" w14:textId="75F3C293" w:rsidR="00BA620E" w:rsidRPr="0076589C" w:rsidRDefault="1C8D6E3A" w:rsidP="72A91A42">
            <w:pPr>
              <w:pStyle w:val="Tabla"/>
              <w:jc w:val="center"/>
              <w:rPr>
                <w:lang w:val="es-HN"/>
              </w:rPr>
            </w:pPr>
            <w:r w:rsidRPr="0076589C">
              <w:t>X</w:t>
            </w:r>
          </w:p>
        </w:tc>
        <w:tc>
          <w:tcPr>
            <w:tcW w:w="416" w:type="pct"/>
            <w:vAlign w:val="center"/>
          </w:tcPr>
          <w:p w14:paraId="384E15B4" w14:textId="77777777" w:rsidR="00BA620E" w:rsidRPr="0076589C" w:rsidRDefault="00BA620E" w:rsidP="004C4975">
            <w:pPr>
              <w:pStyle w:val="Tabla"/>
              <w:jc w:val="left"/>
              <w:rPr>
                <w:lang w:val="es-HN"/>
              </w:rPr>
            </w:pPr>
          </w:p>
        </w:tc>
      </w:tr>
      <w:tr w:rsidR="00BA620E" w:rsidRPr="0076589C" w14:paraId="145FEED2" w14:textId="77777777" w:rsidTr="1C8D6E3A">
        <w:trPr>
          <w:trHeight w:val="1052"/>
        </w:trPr>
        <w:tc>
          <w:tcPr>
            <w:tcW w:w="436" w:type="pct"/>
            <w:vMerge/>
            <w:vAlign w:val="center"/>
          </w:tcPr>
          <w:p w14:paraId="3A938744" w14:textId="77777777" w:rsidR="00BA620E" w:rsidRPr="0076589C" w:rsidRDefault="00BA620E" w:rsidP="004C4975">
            <w:pPr>
              <w:pStyle w:val="Tabla"/>
              <w:jc w:val="center"/>
              <w:rPr>
                <w:b/>
                <w:bCs/>
                <w:szCs w:val="20"/>
                <w:lang w:val="es-HN"/>
              </w:rPr>
            </w:pPr>
          </w:p>
        </w:tc>
        <w:tc>
          <w:tcPr>
            <w:tcW w:w="708" w:type="pct"/>
            <w:vMerge/>
            <w:vAlign w:val="center"/>
          </w:tcPr>
          <w:p w14:paraId="48B908A7" w14:textId="77777777" w:rsidR="00BA620E" w:rsidRPr="0076589C" w:rsidRDefault="00BA620E" w:rsidP="004C4975">
            <w:pPr>
              <w:pStyle w:val="Tabla"/>
              <w:rPr>
                <w:szCs w:val="20"/>
                <w:lang w:val="es-HN"/>
              </w:rPr>
            </w:pPr>
          </w:p>
        </w:tc>
        <w:tc>
          <w:tcPr>
            <w:tcW w:w="556" w:type="pct"/>
            <w:vMerge/>
            <w:vAlign w:val="center"/>
          </w:tcPr>
          <w:p w14:paraId="7D8DDD69" w14:textId="77777777" w:rsidR="00BA620E" w:rsidRPr="0076589C" w:rsidRDefault="00BA620E" w:rsidP="004C4975">
            <w:pPr>
              <w:pStyle w:val="Tabla"/>
              <w:jc w:val="left"/>
              <w:rPr>
                <w:szCs w:val="20"/>
                <w:lang w:val="es-HN"/>
              </w:rPr>
            </w:pPr>
          </w:p>
        </w:tc>
        <w:tc>
          <w:tcPr>
            <w:tcW w:w="521" w:type="pct"/>
            <w:vMerge/>
            <w:vAlign w:val="center"/>
          </w:tcPr>
          <w:p w14:paraId="4673F0D1" w14:textId="77777777" w:rsidR="00BA620E" w:rsidRPr="0076589C" w:rsidRDefault="00BA620E" w:rsidP="004C4975">
            <w:pPr>
              <w:pStyle w:val="Tabla"/>
              <w:jc w:val="center"/>
              <w:rPr>
                <w:szCs w:val="20"/>
                <w:lang w:val="es-HN"/>
              </w:rPr>
            </w:pPr>
          </w:p>
        </w:tc>
        <w:tc>
          <w:tcPr>
            <w:tcW w:w="869" w:type="pct"/>
            <w:vMerge/>
            <w:vAlign w:val="center"/>
          </w:tcPr>
          <w:p w14:paraId="68EA5C83" w14:textId="77777777" w:rsidR="00BA620E" w:rsidRPr="0076589C" w:rsidRDefault="00BA620E" w:rsidP="004C4975">
            <w:pPr>
              <w:pStyle w:val="Tabla"/>
              <w:jc w:val="center"/>
              <w:rPr>
                <w:szCs w:val="20"/>
                <w:lang w:val="es-HN"/>
              </w:rPr>
            </w:pPr>
          </w:p>
        </w:tc>
        <w:tc>
          <w:tcPr>
            <w:tcW w:w="729" w:type="pct"/>
            <w:vAlign w:val="center"/>
          </w:tcPr>
          <w:p w14:paraId="01EBFE96" w14:textId="386C66BF" w:rsidR="00BA620E" w:rsidRPr="0076589C" w:rsidRDefault="1C8D6E3A" w:rsidP="0098191D">
            <w:pPr>
              <w:pStyle w:val="Tabla"/>
              <w:rPr>
                <w:lang w:val="es-HN"/>
              </w:rPr>
            </w:pPr>
            <w:r w:rsidRPr="0076589C">
              <w:rPr>
                <w:lang w:val="es-HN"/>
              </w:rPr>
              <w:t>¿Considera que el proceso actual de cobro tiene debilidades?, y si es así, ¿cuáles son esas debilidades?</w:t>
            </w:r>
          </w:p>
        </w:tc>
        <w:tc>
          <w:tcPr>
            <w:tcW w:w="417" w:type="pct"/>
            <w:vMerge/>
            <w:vAlign w:val="center"/>
          </w:tcPr>
          <w:p w14:paraId="559270AC" w14:textId="46FAF1E4" w:rsidR="00BA620E" w:rsidRPr="0076589C" w:rsidRDefault="00BA620E" w:rsidP="004C4975">
            <w:pPr>
              <w:pStyle w:val="Tabla"/>
              <w:jc w:val="center"/>
              <w:rPr>
                <w:szCs w:val="20"/>
                <w:lang w:val="es-HN"/>
              </w:rPr>
            </w:pPr>
          </w:p>
        </w:tc>
        <w:tc>
          <w:tcPr>
            <w:tcW w:w="347" w:type="pct"/>
            <w:vAlign w:val="center"/>
          </w:tcPr>
          <w:p w14:paraId="6DF94875" w14:textId="02063433" w:rsidR="00BA620E" w:rsidRPr="0076589C" w:rsidRDefault="1C8D6E3A" w:rsidP="72A91A42">
            <w:pPr>
              <w:pStyle w:val="Tabla"/>
              <w:jc w:val="center"/>
              <w:rPr>
                <w:lang w:val="es-HN"/>
              </w:rPr>
            </w:pPr>
            <w:r w:rsidRPr="0076589C">
              <w:t>X</w:t>
            </w:r>
          </w:p>
        </w:tc>
        <w:tc>
          <w:tcPr>
            <w:tcW w:w="416" w:type="pct"/>
            <w:vAlign w:val="center"/>
          </w:tcPr>
          <w:p w14:paraId="0F5D9669" w14:textId="77777777" w:rsidR="00BA620E" w:rsidRPr="0076589C" w:rsidRDefault="00BA620E" w:rsidP="004C4975">
            <w:pPr>
              <w:pStyle w:val="Tabla"/>
              <w:jc w:val="left"/>
              <w:rPr>
                <w:lang w:val="es-HN"/>
              </w:rPr>
            </w:pPr>
          </w:p>
        </w:tc>
      </w:tr>
      <w:tr w:rsidR="00BA620E" w:rsidRPr="0076589C" w14:paraId="60213533" w14:textId="77777777" w:rsidTr="1C8D6E3A">
        <w:trPr>
          <w:trHeight w:val="728"/>
        </w:trPr>
        <w:tc>
          <w:tcPr>
            <w:tcW w:w="436" w:type="pct"/>
            <w:vMerge/>
            <w:vAlign w:val="center"/>
          </w:tcPr>
          <w:p w14:paraId="232EE153" w14:textId="77777777" w:rsidR="00BA620E" w:rsidRPr="0076589C" w:rsidRDefault="00BA620E" w:rsidP="004C4975">
            <w:pPr>
              <w:pStyle w:val="Tabla"/>
              <w:jc w:val="center"/>
              <w:rPr>
                <w:b/>
                <w:bCs/>
                <w:szCs w:val="20"/>
                <w:lang w:val="es-HN"/>
              </w:rPr>
            </w:pPr>
          </w:p>
        </w:tc>
        <w:tc>
          <w:tcPr>
            <w:tcW w:w="708" w:type="pct"/>
            <w:vMerge/>
            <w:vAlign w:val="center"/>
          </w:tcPr>
          <w:p w14:paraId="5886E5B9" w14:textId="77777777" w:rsidR="00BA620E" w:rsidRPr="0076589C" w:rsidRDefault="00BA620E" w:rsidP="004C4975">
            <w:pPr>
              <w:pStyle w:val="Tabla"/>
              <w:rPr>
                <w:szCs w:val="20"/>
                <w:lang w:val="es-HN"/>
              </w:rPr>
            </w:pPr>
          </w:p>
        </w:tc>
        <w:tc>
          <w:tcPr>
            <w:tcW w:w="556" w:type="pct"/>
            <w:vMerge/>
            <w:vAlign w:val="center"/>
          </w:tcPr>
          <w:p w14:paraId="4A27C95E" w14:textId="77777777" w:rsidR="00BA620E" w:rsidRPr="0076589C" w:rsidRDefault="00BA620E" w:rsidP="004C4975">
            <w:pPr>
              <w:pStyle w:val="Tabla"/>
              <w:jc w:val="left"/>
              <w:rPr>
                <w:szCs w:val="20"/>
                <w:lang w:val="es-HN"/>
              </w:rPr>
            </w:pPr>
          </w:p>
        </w:tc>
        <w:tc>
          <w:tcPr>
            <w:tcW w:w="521" w:type="pct"/>
            <w:vMerge/>
            <w:vAlign w:val="center"/>
          </w:tcPr>
          <w:p w14:paraId="7364E8D9" w14:textId="77777777" w:rsidR="00BA620E" w:rsidRPr="0076589C" w:rsidRDefault="00BA620E" w:rsidP="004C4975">
            <w:pPr>
              <w:pStyle w:val="Tabla"/>
              <w:jc w:val="center"/>
              <w:rPr>
                <w:szCs w:val="20"/>
                <w:lang w:val="es-HN"/>
              </w:rPr>
            </w:pPr>
          </w:p>
        </w:tc>
        <w:tc>
          <w:tcPr>
            <w:tcW w:w="869" w:type="pct"/>
            <w:vMerge/>
            <w:vAlign w:val="center"/>
          </w:tcPr>
          <w:p w14:paraId="0145B489" w14:textId="77777777" w:rsidR="00BA620E" w:rsidRPr="0076589C" w:rsidRDefault="00BA620E" w:rsidP="004C4975">
            <w:pPr>
              <w:pStyle w:val="Tabla"/>
              <w:jc w:val="center"/>
              <w:rPr>
                <w:szCs w:val="20"/>
                <w:lang w:val="es-HN"/>
              </w:rPr>
            </w:pPr>
          </w:p>
        </w:tc>
        <w:tc>
          <w:tcPr>
            <w:tcW w:w="729" w:type="pct"/>
            <w:vAlign w:val="center"/>
          </w:tcPr>
          <w:p w14:paraId="6A2BAE3B" w14:textId="73A24ADB" w:rsidR="00BA620E" w:rsidRPr="0076589C" w:rsidRDefault="1C8D6E3A" w:rsidP="0098191D">
            <w:pPr>
              <w:pStyle w:val="Tabla"/>
              <w:rPr>
                <w:lang w:val="es-HN"/>
              </w:rPr>
            </w:pPr>
            <w:r w:rsidRPr="0076589C">
              <w:rPr>
                <w:lang w:val="es-HN"/>
              </w:rPr>
              <w:t>¿Cuáles son los incentivos por el pago que ofrecen actualmente?</w:t>
            </w:r>
          </w:p>
        </w:tc>
        <w:tc>
          <w:tcPr>
            <w:tcW w:w="417" w:type="pct"/>
            <w:vMerge/>
            <w:vAlign w:val="center"/>
          </w:tcPr>
          <w:p w14:paraId="28C7EBB2" w14:textId="77777777" w:rsidR="00BA620E" w:rsidRPr="0076589C" w:rsidRDefault="00BA620E" w:rsidP="004C4975">
            <w:pPr>
              <w:pStyle w:val="Tabla"/>
              <w:jc w:val="center"/>
              <w:rPr>
                <w:szCs w:val="20"/>
                <w:lang w:val="es-HN"/>
              </w:rPr>
            </w:pPr>
          </w:p>
        </w:tc>
        <w:tc>
          <w:tcPr>
            <w:tcW w:w="347" w:type="pct"/>
            <w:vAlign w:val="center"/>
          </w:tcPr>
          <w:p w14:paraId="18A9DDF0" w14:textId="0C698E53" w:rsidR="00BA620E" w:rsidRPr="0076589C" w:rsidRDefault="1C8D6E3A" w:rsidP="72A91A42">
            <w:pPr>
              <w:pStyle w:val="Tabla"/>
              <w:jc w:val="center"/>
              <w:rPr>
                <w:lang w:val="es-HN"/>
              </w:rPr>
            </w:pPr>
            <w:r w:rsidRPr="0076589C">
              <w:t>X</w:t>
            </w:r>
          </w:p>
        </w:tc>
        <w:tc>
          <w:tcPr>
            <w:tcW w:w="416" w:type="pct"/>
            <w:vAlign w:val="center"/>
          </w:tcPr>
          <w:p w14:paraId="47B40499" w14:textId="77777777" w:rsidR="00BA620E" w:rsidRPr="0076589C" w:rsidRDefault="00BA620E" w:rsidP="004C4975">
            <w:pPr>
              <w:pStyle w:val="Tabla"/>
              <w:jc w:val="left"/>
              <w:rPr>
                <w:lang w:val="es-HN"/>
              </w:rPr>
            </w:pPr>
          </w:p>
        </w:tc>
      </w:tr>
      <w:tr w:rsidR="00BA620E" w:rsidRPr="0076589C" w14:paraId="4A9AFA89" w14:textId="77777777" w:rsidTr="1C8D6E3A">
        <w:trPr>
          <w:trHeight w:val="710"/>
        </w:trPr>
        <w:tc>
          <w:tcPr>
            <w:tcW w:w="436" w:type="pct"/>
            <w:vMerge/>
            <w:vAlign w:val="center"/>
          </w:tcPr>
          <w:p w14:paraId="3D34687A" w14:textId="77777777" w:rsidR="00BA620E" w:rsidRPr="0076589C" w:rsidRDefault="00BA620E" w:rsidP="004C4975">
            <w:pPr>
              <w:pStyle w:val="Tabla"/>
              <w:jc w:val="center"/>
              <w:rPr>
                <w:b/>
                <w:bCs/>
                <w:szCs w:val="20"/>
                <w:lang w:val="es-HN"/>
              </w:rPr>
            </w:pPr>
          </w:p>
        </w:tc>
        <w:tc>
          <w:tcPr>
            <w:tcW w:w="708" w:type="pct"/>
            <w:vMerge/>
            <w:vAlign w:val="center"/>
          </w:tcPr>
          <w:p w14:paraId="1E98DEEC" w14:textId="77777777" w:rsidR="00BA620E" w:rsidRPr="0076589C" w:rsidRDefault="00BA620E" w:rsidP="004C4975">
            <w:pPr>
              <w:pStyle w:val="Tabla"/>
              <w:rPr>
                <w:szCs w:val="20"/>
                <w:lang w:val="es-HN"/>
              </w:rPr>
            </w:pPr>
          </w:p>
        </w:tc>
        <w:tc>
          <w:tcPr>
            <w:tcW w:w="556" w:type="pct"/>
            <w:vMerge/>
            <w:vAlign w:val="center"/>
          </w:tcPr>
          <w:p w14:paraId="69ACCBF7" w14:textId="77777777" w:rsidR="00BA620E" w:rsidRPr="0076589C" w:rsidRDefault="00BA620E" w:rsidP="004C4975">
            <w:pPr>
              <w:pStyle w:val="Tabla"/>
              <w:jc w:val="left"/>
              <w:rPr>
                <w:szCs w:val="20"/>
                <w:lang w:val="es-HN"/>
              </w:rPr>
            </w:pPr>
          </w:p>
        </w:tc>
        <w:tc>
          <w:tcPr>
            <w:tcW w:w="521" w:type="pct"/>
            <w:vMerge/>
            <w:vAlign w:val="center"/>
          </w:tcPr>
          <w:p w14:paraId="2519A078" w14:textId="77777777" w:rsidR="00BA620E" w:rsidRPr="0076589C" w:rsidRDefault="00BA620E" w:rsidP="004C4975">
            <w:pPr>
              <w:pStyle w:val="Tabla"/>
              <w:jc w:val="center"/>
              <w:rPr>
                <w:szCs w:val="20"/>
                <w:lang w:val="es-HN"/>
              </w:rPr>
            </w:pPr>
          </w:p>
        </w:tc>
        <w:tc>
          <w:tcPr>
            <w:tcW w:w="869" w:type="pct"/>
            <w:vMerge/>
            <w:vAlign w:val="center"/>
          </w:tcPr>
          <w:p w14:paraId="632DD7FC" w14:textId="77777777" w:rsidR="00BA620E" w:rsidRPr="0076589C" w:rsidRDefault="00BA620E" w:rsidP="004C4975">
            <w:pPr>
              <w:pStyle w:val="Tabla"/>
              <w:jc w:val="center"/>
              <w:rPr>
                <w:szCs w:val="20"/>
                <w:lang w:val="es-HN"/>
              </w:rPr>
            </w:pPr>
          </w:p>
        </w:tc>
        <w:tc>
          <w:tcPr>
            <w:tcW w:w="729" w:type="pct"/>
            <w:vAlign w:val="center"/>
          </w:tcPr>
          <w:p w14:paraId="70C3C7D2" w14:textId="21DCEFDE" w:rsidR="00BA620E" w:rsidRPr="0076589C" w:rsidRDefault="1C8D6E3A" w:rsidP="0098191D">
            <w:pPr>
              <w:pStyle w:val="Tabla"/>
              <w:rPr>
                <w:lang w:val="es-HN"/>
              </w:rPr>
            </w:pPr>
            <w:r w:rsidRPr="0076589C">
              <w:rPr>
                <w:lang w:val="es-HN"/>
              </w:rPr>
              <w:t>¿Con que frecuencia se supervisan las gestiones de cobro?</w:t>
            </w:r>
          </w:p>
        </w:tc>
        <w:tc>
          <w:tcPr>
            <w:tcW w:w="417" w:type="pct"/>
            <w:vMerge/>
            <w:vAlign w:val="center"/>
          </w:tcPr>
          <w:p w14:paraId="21D5A4FF" w14:textId="77777777" w:rsidR="00BA620E" w:rsidRPr="0076589C" w:rsidRDefault="00BA620E" w:rsidP="00E00235">
            <w:pPr>
              <w:pStyle w:val="Tabla"/>
              <w:jc w:val="center"/>
              <w:rPr>
                <w:szCs w:val="20"/>
                <w:lang w:val="es-HN"/>
              </w:rPr>
            </w:pPr>
          </w:p>
        </w:tc>
        <w:tc>
          <w:tcPr>
            <w:tcW w:w="347" w:type="pct"/>
            <w:vAlign w:val="center"/>
          </w:tcPr>
          <w:p w14:paraId="1C279F15" w14:textId="4885B4D5" w:rsidR="00BA620E" w:rsidRPr="0076589C" w:rsidRDefault="1C8D6E3A" w:rsidP="72A91A42">
            <w:pPr>
              <w:pStyle w:val="Tabla"/>
              <w:jc w:val="center"/>
              <w:rPr>
                <w:lang w:val="es-HN"/>
              </w:rPr>
            </w:pPr>
            <w:r w:rsidRPr="0076589C">
              <w:t>X</w:t>
            </w:r>
          </w:p>
        </w:tc>
        <w:tc>
          <w:tcPr>
            <w:tcW w:w="416" w:type="pct"/>
            <w:vAlign w:val="center"/>
          </w:tcPr>
          <w:p w14:paraId="370EB74E" w14:textId="77777777" w:rsidR="00BA620E" w:rsidRPr="0076589C" w:rsidRDefault="00BA620E" w:rsidP="004C4975">
            <w:pPr>
              <w:pStyle w:val="Tabla"/>
              <w:jc w:val="left"/>
              <w:rPr>
                <w:lang w:val="es-HN"/>
              </w:rPr>
            </w:pPr>
          </w:p>
        </w:tc>
      </w:tr>
      <w:tr w:rsidR="00BA620E" w:rsidRPr="0076589C" w14:paraId="571E88C6" w14:textId="77777777" w:rsidTr="1C8D6E3A">
        <w:trPr>
          <w:trHeight w:val="890"/>
        </w:trPr>
        <w:tc>
          <w:tcPr>
            <w:tcW w:w="436" w:type="pct"/>
            <w:vMerge/>
            <w:vAlign w:val="center"/>
          </w:tcPr>
          <w:p w14:paraId="6817900D" w14:textId="77777777" w:rsidR="00BA620E" w:rsidRPr="0076589C" w:rsidRDefault="00BA620E" w:rsidP="004C4975">
            <w:pPr>
              <w:pStyle w:val="Tabla"/>
              <w:jc w:val="center"/>
              <w:rPr>
                <w:b/>
                <w:bCs/>
                <w:szCs w:val="20"/>
                <w:lang w:val="es-HN"/>
              </w:rPr>
            </w:pPr>
          </w:p>
        </w:tc>
        <w:tc>
          <w:tcPr>
            <w:tcW w:w="708" w:type="pct"/>
            <w:vMerge/>
            <w:vAlign w:val="center"/>
          </w:tcPr>
          <w:p w14:paraId="6AFE3F7A" w14:textId="77777777" w:rsidR="00BA620E" w:rsidRPr="0076589C" w:rsidRDefault="00BA620E" w:rsidP="004C4975">
            <w:pPr>
              <w:pStyle w:val="Tabla"/>
              <w:rPr>
                <w:szCs w:val="20"/>
                <w:lang w:val="es-HN"/>
              </w:rPr>
            </w:pPr>
          </w:p>
        </w:tc>
        <w:tc>
          <w:tcPr>
            <w:tcW w:w="556" w:type="pct"/>
            <w:vMerge/>
            <w:vAlign w:val="center"/>
          </w:tcPr>
          <w:p w14:paraId="36D615B8" w14:textId="77777777" w:rsidR="00BA620E" w:rsidRPr="0076589C" w:rsidRDefault="00BA620E" w:rsidP="004C4975">
            <w:pPr>
              <w:pStyle w:val="Tabla"/>
              <w:jc w:val="left"/>
              <w:rPr>
                <w:szCs w:val="20"/>
                <w:lang w:val="es-HN"/>
              </w:rPr>
            </w:pPr>
          </w:p>
        </w:tc>
        <w:tc>
          <w:tcPr>
            <w:tcW w:w="521" w:type="pct"/>
            <w:vMerge/>
            <w:vAlign w:val="center"/>
          </w:tcPr>
          <w:p w14:paraId="4E0C0AFC" w14:textId="77777777" w:rsidR="00BA620E" w:rsidRPr="0076589C" w:rsidRDefault="00BA620E" w:rsidP="004C4975">
            <w:pPr>
              <w:pStyle w:val="Tabla"/>
              <w:jc w:val="center"/>
              <w:rPr>
                <w:szCs w:val="20"/>
                <w:lang w:val="es-HN"/>
              </w:rPr>
            </w:pPr>
          </w:p>
        </w:tc>
        <w:tc>
          <w:tcPr>
            <w:tcW w:w="869" w:type="pct"/>
            <w:vMerge/>
            <w:vAlign w:val="center"/>
          </w:tcPr>
          <w:p w14:paraId="3F0E48E7" w14:textId="77777777" w:rsidR="00BA620E" w:rsidRPr="0076589C" w:rsidRDefault="00BA620E" w:rsidP="004C4975">
            <w:pPr>
              <w:pStyle w:val="Tabla"/>
              <w:jc w:val="center"/>
              <w:rPr>
                <w:szCs w:val="20"/>
                <w:lang w:val="es-HN"/>
              </w:rPr>
            </w:pPr>
          </w:p>
        </w:tc>
        <w:tc>
          <w:tcPr>
            <w:tcW w:w="729" w:type="pct"/>
            <w:vAlign w:val="center"/>
          </w:tcPr>
          <w:p w14:paraId="220F9A37" w14:textId="38976A0E" w:rsidR="00BA620E" w:rsidRPr="0076589C" w:rsidRDefault="1C8D6E3A" w:rsidP="0098191D">
            <w:pPr>
              <w:pStyle w:val="Tabla"/>
              <w:rPr>
                <w:lang w:val="es-HN"/>
              </w:rPr>
            </w:pPr>
            <w:r w:rsidRPr="0076589C">
              <w:rPr>
                <w:lang w:val="es-HN"/>
              </w:rPr>
              <w:t>¿Cuáles son las estrategias que se siguen para la recuperación exitosa?</w:t>
            </w:r>
          </w:p>
        </w:tc>
        <w:tc>
          <w:tcPr>
            <w:tcW w:w="417" w:type="pct"/>
            <w:vMerge/>
            <w:vAlign w:val="center"/>
          </w:tcPr>
          <w:p w14:paraId="4B9BF0B8" w14:textId="77777777" w:rsidR="00BA620E" w:rsidRPr="0076589C" w:rsidRDefault="00BA620E" w:rsidP="00E00235">
            <w:pPr>
              <w:pStyle w:val="Tabla"/>
              <w:jc w:val="center"/>
              <w:rPr>
                <w:szCs w:val="20"/>
                <w:lang w:val="es-HN"/>
              </w:rPr>
            </w:pPr>
          </w:p>
        </w:tc>
        <w:tc>
          <w:tcPr>
            <w:tcW w:w="347" w:type="pct"/>
            <w:vAlign w:val="center"/>
          </w:tcPr>
          <w:p w14:paraId="386E9A49" w14:textId="16EB27E1" w:rsidR="00BA620E" w:rsidRPr="0076589C" w:rsidRDefault="1C8D6E3A" w:rsidP="72A91A42">
            <w:pPr>
              <w:pStyle w:val="Tabla"/>
              <w:jc w:val="center"/>
              <w:rPr>
                <w:lang w:val="es-HN"/>
              </w:rPr>
            </w:pPr>
            <w:r w:rsidRPr="0076589C">
              <w:t>X</w:t>
            </w:r>
          </w:p>
        </w:tc>
        <w:tc>
          <w:tcPr>
            <w:tcW w:w="416" w:type="pct"/>
            <w:vAlign w:val="center"/>
          </w:tcPr>
          <w:p w14:paraId="0621BB63" w14:textId="77777777" w:rsidR="00BA620E" w:rsidRPr="0076589C" w:rsidRDefault="00BA620E" w:rsidP="004C4975">
            <w:pPr>
              <w:pStyle w:val="Tabla"/>
              <w:jc w:val="left"/>
              <w:rPr>
                <w:lang w:val="es-HN"/>
              </w:rPr>
            </w:pPr>
          </w:p>
        </w:tc>
      </w:tr>
      <w:tr w:rsidR="000B7649" w:rsidRPr="0076589C" w14:paraId="28C6C376" w14:textId="77777777" w:rsidTr="1C8D6E3A">
        <w:trPr>
          <w:trHeight w:val="530"/>
        </w:trPr>
        <w:tc>
          <w:tcPr>
            <w:tcW w:w="436" w:type="pct"/>
            <w:vMerge/>
            <w:vAlign w:val="center"/>
          </w:tcPr>
          <w:p w14:paraId="0A854E06" w14:textId="77777777" w:rsidR="000B7649" w:rsidRPr="0076589C" w:rsidRDefault="000B7649" w:rsidP="00954A5A">
            <w:pPr>
              <w:pStyle w:val="Tabla"/>
              <w:jc w:val="center"/>
              <w:rPr>
                <w:b/>
                <w:bCs/>
                <w:szCs w:val="20"/>
                <w:lang w:val="es-HN"/>
              </w:rPr>
            </w:pPr>
          </w:p>
        </w:tc>
        <w:tc>
          <w:tcPr>
            <w:tcW w:w="708" w:type="pct"/>
            <w:vMerge/>
            <w:vAlign w:val="center"/>
          </w:tcPr>
          <w:p w14:paraId="370EEE4F" w14:textId="77777777" w:rsidR="000B7649" w:rsidRPr="0076589C" w:rsidRDefault="000B7649" w:rsidP="00954A5A">
            <w:pPr>
              <w:pStyle w:val="Tabla"/>
              <w:rPr>
                <w:szCs w:val="20"/>
                <w:lang w:val="es-HN"/>
              </w:rPr>
            </w:pPr>
          </w:p>
        </w:tc>
        <w:tc>
          <w:tcPr>
            <w:tcW w:w="556" w:type="pct"/>
            <w:vMerge/>
            <w:vAlign w:val="center"/>
          </w:tcPr>
          <w:p w14:paraId="52D91408" w14:textId="77777777" w:rsidR="000B7649" w:rsidRPr="0076589C" w:rsidRDefault="000B7649" w:rsidP="00954A5A">
            <w:pPr>
              <w:pStyle w:val="Tabla"/>
              <w:jc w:val="left"/>
              <w:rPr>
                <w:szCs w:val="20"/>
                <w:lang w:val="es-HN"/>
              </w:rPr>
            </w:pPr>
          </w:p>
        </w:tc>
        <w:tc>
          <w:tcPr>
            <w:tcW w:w="521" w:type="pct"/>
            <w:vMerge w:val="restart"/>
            <w:vAlign w:val="center"/>
          </w:tcPr>
          <w:p w14:paraId="6CE24DBF" w14:textId="66DBECEE" w:rsidR="000B7649" w:rsidRPr="0076589C" w:rsidRDefault="1C8D6E3A" w:rsidP="00954A5A">
            <w:pPr>
              <w:pStyle w:val="Tabla"/>
              <w:jc w:val="center"/>
              <w:rPr>
                <w:lang w:val="es-HN"/>
              </w:rPr>
            </w:pPr>
            <w:r w:rsidRPr="0076589C">
              <w:t>Comunicación con clientes</w:t>
            </w:r>
          </w:p>
        </w:tc>
        <w:tc>
          <w:tcPr>
            <w:tcW w:w="869" w:type="pct"/>
            <w:vMerge w:val="restart"/>
            <w:vAlign w:val="center"/>
          </w:tcPr>
          <w:p w14:paraId="40CD863B" w14:textId="1F15C6A1" w:rsidR="000B7649" w:rsidRPr="0076589C" w:rsidRDefault="1C8D6E3A" w:rsidP="00954A5A">
            <w:pPr>
              <w:pStyle w:val="Tabla"/>
              <w:jc w:val="center"/>
              <w:rPr>
                <w:lang w:val="es-HN"/>
              </w:rPr>
            </w:pPr>
            <w:r w:rsidRPr="0076589C">
              <w:rPr>
                <w:lang w:val="es-HN"/>
              </w:rPr>
              <w:t>Tipos y medios de comunicación</w:t>
            </w:r>
          </w:p>
        </w:tc>
        <w:tc>
          <w:tcPr>
            <w:tcW w:w="729" w:type="pct"/>
            <w:vAlign w:val="center"/>
          </w:tcPr>
          <w:p w14:paraId="27A36A5D" w14:textId="2821A895" w:rsidR="000B7649" w:rsidRPr="0076589C" w:rsidRDefault="1C8D6E3A" w:rsidP="0098191D">
            <w:pPr>
              <w:pStyle w:val="Tabla"/>
              <w:rPr>
                <w:lang w:val="es-HN"/>
              </w:rPr>
            </w:pPr>
            <w:r w:rsidRPr="0076589C">
              <w:rPr>
                <w:lang w:val="es-HN"/>
              </w:rPr>
              <w:t xml:space="preserve">¿Bajo qué medio se les envía la factura a los clientes? </w:t>
            </w:r>
          </w:p>
        </w:tc>
        <w:tc>
          <w:tcPr>
            <w:tcW w:w="417" w:type="pct"/>
            <w:vMerge w:val="restart"/>
            <w:vAlign w:val="center"/>
          </w:tcPr>
          <w:p w14:paraId="43343EF6" w14:textId="69EA3805" w:rsidR="000B7649" w:rsidRPr="0076589C" w:rsidRDefault="1C8D6E3A" w:rsidP="72A91A42">
            <w:pPr>
              <w:pStyle w:val="Tabla"/>
              <w:jc w:val="center"/>
              <w:rPr>
                <w:lang w:val="es-HN"/>
              </w:rPr>
            </w:pPr>
            <w:r w:rsidRPr="0076589C">
              <w:t>N/A</w:t>
            </w:r>
          </w:p>
        </w:tc>
        <w:tc>
          <w:tcPr>
            <w:tcW w:w="347" w:type="pct"/>
            <w:vAlign w:val="center"/>
          </w:tcPr>
          <w:p w14:paraId="466040A7" w14:textId="650963C9" w:rsidR="000B7649" w:rsidRPr="0076589C" w:rsidRDefault="1C8D6E3A" w:rsidP="72A91A42">
            <w:pPr>
              <w:pStyle w:val="Tabla"/>
              <w:jc w:val="center"/>
              <w:rPr>
                <w:lang w:val="es-HN"/>
              </w:rPr>
            </w:pPr>
            <w:r w:rsidRPr="0076589C">
              <w:t>X</w:t>
            </w:r>
          </w:p>
        </w:tc>
        <w:tc>
          <w:tcPr>
            <w:tcW w:w="416" w:type="pct"/>
            <w:vAlign w:val="center"/>
          </w:tcPr>
          <w:p w14:paraId="759D25F9" w14:textId="77777777" w:rsidR="000B7649" w:rsidRPr="0076589C" w:rsidRDefault="000B7649" w:rsidP="00954A5A">
            <w:pPr>
              <w:pStyle w:val="Tabla"/>
              <w:jc w:val="left"/>
              <w:rPr>
                <w:lang w:val="es-HN"/>
              </w:rPr>
            </w:pPr>
          </w:p>
        </w:tc>
      </w:tr>
      <w:tr w:rsidR="000B7649" w:rsidRPr="0076589C" w14:paraId="3ECA5030" w14:textId="77777777" w:rsidTr="1C8D6E3A">
        <w:trPr>
          <w:trHeight w:val="890"/>
        </w:trPr>
        <w:tc>
          <w:tcPr>
            <w:tcW w:w="436" w:type="pct"/>
            <w:vMerge/>
            <w:vAlign w:val="center"/>
          </w:tcPr>
          <w:p w14:paraId="224C6175" w14:textId="77777777" w:rsidR="000B7649" w:rsidRPr="0076589C" w:rsidRDefault="000B7649" w:rsidP="004C4975">
            <w:pPr>
              <w:pStyle w:val="Tabla"/>
              <w:jc w:val="center"/>
              <w:rPr>
                <w:b/>
                <w:bCs/>
                <w:szCs w:val="20"/>
                <w:lang w:val="es-HN"/>
              </w:rPr>
            </w:pPr>
          </w:p>
        </w:tc>
        <w:tc>
          <w:tcPr>
            <w:tcW w:w="708" w:type="pct"/>
            <w:vMerge/>
            <w:vAlign w:val="center"/>
          </w:tcPr>
          <w:p w14:paraId="67438591" w14:textId="77777777" w:rsidR="000B7649" w:rsidRPr="0076589C" w:rsidRDefault="000B7649" w:rsidP="004C4975">
            <w:pPr>
              <w:pStyle w:val="Tabla"/>
              <w:rPr>
                <w:szCs w:val="20"/>
                <w:lang w:val="es-HN"/>
              </w:rPr>
            </w:pPr>
          </w:p>
        </w:tc>
        <w:tc>
          <w:tcPr>
            <w:tcW w:w="556" w:type="pct"/>
            <w:vMerge/>
            <w:vAlign w:val="center"/>
          </w:tcPr>
          <w:p w14:paraId="2467F121" w14:textId="77777777" w:rsidR="000B7649" w:rsidRPr="0076589C" w:rsidRDefault="000B7649" w:rsidP="004C4975">
            <w:pPr>
              <w:pStyle w:val="Tabla"/>
              <w:jc w:val="left"/>
              <w:rPr>
                <w:szCs w:val="20"/>
                <w:lang w:val="es-HN"/>
              </w:rPr>
            </w:pPr>
          </w:p>
        </w:tc>
        <w:tc>
          <w:tcPr>
            <w:tcW w:w="521" w:type="pct"/>
            <w:vMerge/>
            <w:vAlign w:val="center"/>
          </w:tcPr>
          <w:p w14:paraId="429A5694" w14:textId="15032E8B" w:rsidR="000B7649" w:rsidRPr="0076589C" w:rsidRDefault="000B7649" w:rsidP="004C4975">
            <w:pPr>
              <w:pStyle w:val="Tabla"/>
              <w:jc w:val="center"/>
              <w:rPr>
                <w:szCs w:val="20"/>
                <w:lang w:val="es-HN"/>
              </w:rPr>
            </w:pPr>
          </w:p>
        </w:tc>
        <w:tc>
          <w:tcPr>
            <w:tcW w:w="869" w:type="pct"/>
            <w:vMerge/>
            <w:vAlign w:val="center"/>
          </w:tcPr>
          <w:p w14:paraId="35F85291" w14:textId="1E2E7376" w:rsidR="000B7649" w:rsidRPr="0076589C" w:rsidRDefault="000B7649" w:rsidP="004C4975">
            <w:pPr>
              <w:pStyle w:val="Tabla"/>
              <w:jc w:val="center"/>
              <w:rPr>
                <w:szCs w:val="20"/>
                <w:lang w:val="es-HN"/>
              </w:rPr>
            </w:pPr>
          </w:p>
        </w:tc>
        <w:tc>
          <w:tcPr>
            <w:tcW w:w="729" w:type="pct"/>
            <w:vAlign w:val="center"/>
          </w:tcPr>
          <w:p w14:paraId="1284669C" w14:textId="40D0CA7F" w:rsidR="000B7649" w:rsidRPr="0076589C" w:rsidRDefault="1C8D6E3A" w:rsidP="0098191D">
            <w:pPr>
              <w:pStyle w:val="Tabla"/>
              <w:rPr>
                <w:lang w:val="es-HN"/>
              </w:rPr>
            </w:pPr>
            <w:r w:rsidRPr="0076589C">
              <w:rPr>
                <w:lang w:val="es-HN"/>
              </w:rPr>
              <w:t>¿Cómo se le informa al cliente que su pago está atrasado o vencido?</w:t>
            </w:r>
          </w:p>
        </w:tc>
        <w:tc>
          <w:tcPr>
            <w:tcW w:w="417" w:type="pct"/>
            <w:vMerge/>
            <w:vAlign w:val="center"/>
          </w:tcPr>
          <w:p w14:paraId="7C6131A8" w14:textId="1F3B63C7" w:rsidR="000B7649" w:rsidRPr="0076589C" w:rsidRDefault="000B7649" w:rsidP="00E00235">
            <w:pPr>
              <w:pStyle w:val="Tabla"/>
              <w:jc w:val="center"/>
              <w:rPr>
                <w:szCs w:val="20"/>
                <w:lang w:val="es-HN"/>
              </w:rPr>
            </w:pPr>
          </w:p>
        </w:tc>
        <w:tc>
          <w:tcPr>
            <w:tcW w:w="347" w:type="pct"/>
            <w:vAlign w:val="center"/>
          </w:tcPr>
          <w:p w14:paraId="37BAE2B5" w14:textId="1E7A83AA" w:rsidR="000B7649" w:rsidRPr="0076589C" w:rsidRDefault="1C8D6E3A" w:rsidP="72A91A42">
            <w:pPr>
              <w:pStyle w:val="Tabla"/>
              <w:jc w:val="center"/>
              <w:rPr>
                <w:lang w:val="es-HN"/>
              </w:rPr>
            </w:pPr>
            <w:r w:rsidRPr="0076589C">
              <w:t>X</w:t>
            </w:r>
          </w:p>
        </w:tc>
        <w:tc>
          <w:tcPr>
            <w:tcW w:w="416" w:type="pct"/>
            <w:vAlign w:val="center"/>
          </w:tcPr>
          <w:p w14:paraId="17980A28" w14:textId="77777777" w:rsidR="000B7649" w:rsidRPr="0076589C" w:rsidRDefault="000B7649" w:rsidP="004C4975">
            <w:pPr>
              <w:pStyle w:val="Tabla"/>
              <w:jc w:val="left"/>
              <w:rPr>
                <w:lang w:val="es-HN"/>
              </w:rPr>
            </w:pPr>
          </w:p>
        </w:tc>
      </w:tr>
      <w:tr w:rsidR="000B7649" w:rsidRPr="0076589C" w14:paraId="6E2DE452" w14:textId="77777777" w:rsidTr="1C8D6E3A">
        <w:trPr>
          <w:trHeight w:val="791"/>
        </w:trPr>
        <w:tc>
          <w:tcPr>
            <w:tcW w:w="436" w:type="pct"/>
            <w:vMerge/>
            <w:vAlign w:val="center"/>
          </w:tcPr>
          <w:p w14:paraId="120AD784" w14:textId="77777777" w:rsidR="000B7649" w:rsidRPr="0076589C" w:rsidRDefault="000B7649" w:rsidP="004C4975">
            <w:pPr>
              <w:pStyle w:val="Tabla"/>
              <w:jc w:val="center"/>
              <w:rPr>
                <w:b/>
                <w:bCs/>
                <w:szCs w:val="20"/>
                <w:lang w:val="es-HN"/>
              </w:rPr>
            </w:pPr>
          </w:p>
        </w:tc>
        <w:tc>
          <w:tcPr>
            <w:tcW w:w="708" w:type="pct"/>
            <w:vMerge/>
            <w:vAlign w:val="center"/>
          </w:tcPr>
          <w:p w14:paraId="44FAAA36" w14:textId="77777777" w:rsidR="000B7649" w:rsidRPr="0076589C" w:rsidRDefault="000B7649" w:rsidP="004C4975">
            <w:pPr>
              <w:pStyle w:val="Tabla"/>
              <w:rPr>
                <w:szCs w:val="20"/>
                <w:lang w:val="es-HN"/>
              </w:rPr>
            </w:pPr>
          </w:p>
        </w:tc>
        <w:tc>
          <w:tcPr>
            <w:tcW w:w="556" w:type="pct"/>
            <w:vMerge/>
            <w:vAlign w:val="center"/>
          </w:tcPr>
          <w:p w14:paraId="5F60A97D" w14:textId="77777777" w:rsidR="000B7649" w:rsidRPr="0076589C" w:rsidRDefault="000B7649" w:rsidP="004C4975">
            <w:pPr>
              <w:pStyle w:val="Tabla"/>
              <w:jc w:val="left"/>
              <w:rPr>
                <w:szCs w:val="20"/>
                <w:lang w:val="es-HN"/>
              </w:rPr>
            </w:pPr>
          </w:p>
        </w:tc>
        <w:tc>
          <w:tcPr>
            <w:tcW w:w="521" w:type="pct"/>
            <w:vMerge/>
            <w:vAlign w:val="center"/>
          </w:tcPr>
          <w:p w14:paraId="1A531261" w14:textId="77777777" w:rsidR="000B7649" w:rsidRPr="0076589C" w:rsidRDefault="000B7649" w:rsidP="004C4975">
            <w:pPr>
              <w:pStyle w:val="Tabla"/>
              <w:jc w:val="center"/>
              <w:rPr>
                <w:szCs w:val="20"/>
                <w:lang w:val="es-HN"/>
              </w:rPr>
            </w:pPr>
          </w:p>
        </w:tc>
        <w:tc>
          <w:tcPr>
            <w:tcW w:w="869" w:type="pct"/>
            <w:vMerge/>
            <w:vAlign w:val="center"/>
          </w:tcPr>
          <w:p w14:paraId="7FF4D146" w14:textId="77777777" w:rsidR="000B7649" w:rsidRPr="0076589C" w:rsidRDefault="000B7649" w:rsidP="004C4975">
            <w:pPr>
              <w:pStyle w:val="Tabla"/>
              <w:jc w:val="center"/>
              <w:rPr>
                <w:szCs w:val="20"/>
                <w:lang w:val="es-HN"/>
              </w:rPr>
            </w:pPr>
          </w:p>
        </w:tc>
        <w:tc>
          <w:tcPr>
            <w:tcW w:w="729" w:type="pct"/>
            <w:vAlign w:val="center"/>
          </w:tcPr>
          <w:p w14:paraId="6E0D79EA" w14:textId="62FF7E0F" w:rsidR="000B7649" w:rsidRPr="0076589C" w:rsidRDefault="1C8D6E3A" w:rsidP="0098191D">
            <w:pPr>
              <w:pStyle w:val="Tabla"/>
              <w:rPr>
                <w:lang w:val="es-HN"/>
              </w:rPr>
            </w:pPr>
            <w:r w:rsidRPr="0076589C">
              <w:rPr>
                <w:lang w:val="es-HN"/>
              </w:rPr>
              <w:t xml:space="preserve">¿Por qué medio de que canal se mantiene en </w:t>
            </w:r>
            <w:r w:rsidRPr="0076589C">
              <w:rPr>
                <w:lang w:val="es-HN"/>
              </w:rPr>
              <w:lastRenderedPageBreak/>
              <w:t>contacto con el cliente en la gestión de cobro?</w:t>
            </w:r>
          </w:p>
        </w:tc>
        <w:tc>
          <w:tcPr>
            <w:tcW w:w="417" w:type="pct"/>
            <w:vMerge/>
            <w:vAlign w:val="center"/>
          </w:tcPr>
          <w:p w14:paraId="160B0038" w14:textId="77777777" w:rsidR="000B7649" w:rsidRPr="0076589C" w:rsidRDefault="000B7649" w:rsidP="00E00235">
            <w:pPr>
              <w:pStyle w:val="Tabla"/>
              <w:jc w:val="center"/>
              <w:rPr>
                <w:szCs w:val="20"/>
                <w:lang w:val="es-HN"/>
              </w:rPr>
            </w:pPr>
          </w:p>
        </w:tc>
        <w:tc>
          <w:tcPr>
            <w:tcW w:w="347" w:type="pct"/>
            <w:vAlign w:val="center"/>
          </w:tcPr>
          <w:p w14:paraId="3F1421B6" w14:textId="69B13092" w:rsidR="000B7649" w:rsidRPr="0076589C" w:rsidRDefault="1C8D6E3A" w:rsidP="72A91A42">
            <w:pPr>
              <w:pStyle w:val="Tabla"/>
              <w:jc w:val="center"/>
              <w:rPr>
                <w:lang w:val="es-HN"/>
              </w:rPr>
            </w:pPr>
            <w:r w:rsidRPr="0076589C">
              <w:t>X</w:t>
            </w:r>
          </w:p>
        </w:tc>
        <w:tc>
          <w:tcPr>
            <w:tcW w:w="416" w:type="pct"/>
            <w:vAlign w:val="center"/>
          </w:tcPr>
          <w:p w14:paraId="025E13E5" w14:textId="77777777" w:rsidR="000B7649" w:rsidRPr="0076589C" w:rsidRDefault="000B7649" w:rsidP="004C4975">
            <w:pPr>
              <w:pStyle w:val="Tabla"/>
              <w:jc w:val="left"/>
              <w:rPr>
                <w:lang w:val="es-HN"/>
              </w:rPr>
            </w:pPr>
          </w:p>
        </w:tc>
      </w:tr>
      <w:tr w:rsidR="000B7649" w:rsidRPr="0076589C" w14:paraId="1CAC6CC4" w14:textId="77777777" w:rsidTr="1C8D6E3A">
        <w:trPr>
          <w:trHeight w:val="1133"/>
        </w:trPr>
        <w:tc>
          <w:tcPr>
            <w:tcW w:w="436" w:type="pct"/>
            <w:vMerge/>
            <w:vAlign w:val="center"/>
          </w:tcPr>
          <w:p w14:paraId="145C1BAE" w14:textId="77777777" w:rsidR="000B7649" w:rsidRPr="0076589C" w:rsidRDefault="000B7649" w:rsidP="004C4975">
            <w:pPr>
              <w:pStyle w:val="Tabla"/>
              <w:jc w:val="center"/>
              <w:rPr>
                <w:b/>
                <w:bCs/>
                <w:szCs w:val="20"/>
                <w:lang w:val="es-HN"/>
              </w:rPr>
            </w:pPr>
          </w:p>
        </w:tc>
        <w:tc>
          <w:tcPr>
            <w:tcW w:w="708" w:type="pct"/>
            <w:vMerge/>
            <w:vAlign w:val="center"/>
          </w:tcPr>
          <w:p w14:paraId="2C9EA439" w14:textId="77777777" w:rsidR="000B7649" w:rsidRPr="0076589C" w:rsidRDefault="000B7649" w:rsidP="004C4975">
            <w:pPr>
              <w:pStyle w:val="Tabla"/>
              <w:rPr>
                <w:szCs w:val="20"/>
                <w:lang w:val="es-HN"/>
              </w:rPr>
            </w:pPr>
          </w:p>
        </w:tc>
        <w:tc>
          <w:tcPr>
            <w:tcW w:w="556" w:type="pct"/>
            <w:vMerge/>
            <w:vAlign w:val="center"/>
          </w:tcPr>
          <w:p w14:paraId="5D0EF985" w14:textId="77777777" w:rsidR="000B7649" w:rsidRPr="0076589C" w:rsidRDefault="000B7649" w:rsidP="004C4975">
            <w:pPr>
              <w:pStyle w:val="Tabla"/>
              <w:jc w:val="left"/>
              <w:rPr>
                <w:szCs w:val="20"/>
                <w:lang w:val="es-HN"/>
              </w:rPr>
            </w:pPr>
          </w:p>
        </w:tc>
        <w:tc>
          <w:tcPr>
            <w:tcW w:w="521" w:type="pct"/>
            <w:vMerge/>
            <w:vAlign w:val="center"/>
          </w:tcPr>
          <w:p w14:paraId="228742DA" w14:textId="77777777" w:rsidR="000B7649" w:rsidRPr="0076589C" w:rsidRDefault="000B7649" w:rsidP="004C4975">
            <w:pPr>
              <w:pStyle w:val="Tabla"/>
              <w:jc w:val="center"/>
              <w:rPr>
                <w:szCs w:val="20"/>
                <w:lang w:val="es-HN"/>
              </w:rPr>
            </w:pPr>
          </w:p>
        </w:tc>
        <w:tc>
          <w:tcPr>
            <w:tcW w:w="869" w:type="pct"/>
            <w:vMerge/>
            <w:vAlign w:val="center"/>
          </w:tcPr>
          <w:p w14:paraId="3A1C6F60" w14:textId="77777777" w:rsidR="000B7649" w:rsidRPr="0076589C" w:rsidRDefault="000B7649" w:rsidP="004C4975">
            <w:pPr>
              <w:pStyle w:val="Tabla"/>
              <w:jc w:val="center"/>
              <w:rPr>
                <w:szCs w:val="20"/>
                <w:lang w:val="es-HN"/>
              </w:rPr>
            </w:pPr>
          </w:p>
        </w:tc>
        <w:tc>
          <w:tcPr>
            <w:tcW w:w="729" w:type="pct"/>
            <w:vAlign w:val="center"/>
          </w:tcPr>
          <w:p w14:paraId="6FE988F8" w14:textId="0E1274B3" w:rsidR="000B7649" w:rsidRPr="0076589C" w:rsidRDefault="1C8D6E3A" w:rsidP="0098191D">
            <w:pPr>
              <w:pStyle w:val="Tabla"/>
              <w:rPr>
                <w:lang w:val="es-HN"/>
              </w:rPr>
            </w:pPr>
            <w:r w:rsidRPr="0076589C">
              <w:rPr>
                <w:lang w:val="es-HN"/>
              </w:rPr>
              <w:t>¿Cuál es la frecuencia con la que contacta al cliente para recordar el saldo pendiente de pago?</w:t>
            </w:r>
          </w:p>
        </w:tc>
        <w:tc>
          <w:tcPr>
            <w:tcW w:w="417" w:type="pct"/>
            <w:vMerge/>
            <w:vAlign w:val="center"/>
          </w:tcPr>
          <w:p w14:paraId="6D387CCA" w14:textId="77777777" w:rsidR="000B7649" w:rsidRPr="0076589C" w:rsidRDefault="000B7649" w:rsidP="00E00235">
            <w:pPr>
              <w:pStyle w:val="Tabla"/>
              <w:jc w:val="center"/>
              <w:rPr>
                <w:szCs w:val="20"/>
                <w:lang w:val="es-HN"/>
              </w:rPr>
            </w:pPr>
          </w:p>
        </w:tc>
        <w:tc>
          <w:tcPr>
            <w:tcW w:w="347" w:type="pct"/>
            <w:vAlign w:val="center"/>
          </w:tcPr>
          <w:p w14:paraId="2B184466" w14:textId="76906251" w:rsidR="000B7649" w:rsidRPr="0076589C" w:rsidRDefault="1C8D6E3A" w:rsidP="72A91A42">
            <w:pPr>
              <w:pStyle w:val="Tabla"/>
              <w:jc w:val="center"/>
              <w:rPr>
                <w:lang w:val="es-HN"/>
              </w:rPr>
            </w:pPr>
            <w:r w:rsidRPr="0076589C">
              <w:t>X</w:t>
            </w:r>
          </w:p>
        </w:tc>
        <w:tc>
          <w:tcPr>
            <w:tcW w:w="416" w:type="pct"/>
            <w:vAlign w:val="center"/>
          </w:tcPr>
          <w:p w14:paraId="5D04D000" w14:textId="77777777" w:rsidR="000B7649" w:rsidRPr="0076589C" w:rsidRDefault="000B7649" w:rsidP="004C4975">
            <w:pPr>
              <w:pStyle w:val="Tabla"/>
              <w:jc w:val="left"/>
              <w:rPr>
                <w:lang w:val="es-HN"/>
              </w:rPr>
            </w:pPr>
          </w:p>
        </w:tc>
      </w:tr>
      <w:tr w:rsidR="000B7649" w:rsidRPr="0076589C" w14:paraId="620E7230" w14:textId="77777777" w:rsidTr="1C8D6E3A">
        <w:trPr>
          <w:trHeight w:val="710"/>
        </w:trPr>
        <w:tc>
          <w:tcPr>
            <w:tcW w:w="436" w:type="pct"/>
            <w:vMerge/>
            <w:vAlign w:val="center"/>
          </w:tcPr>
          <w:p w14:paraId="0F6F6A17" w14:textId="77777777" w:rsidR="000B7649" w:rsidRPr="0076589C" w:rsidRDefault="000B7649" w:rsidP="004C4975">
            <w:pPr>
              <w:pStyle w:val="Tabla"/>
              <w:jc w:val="center"/>
              <w:rPr>
                <w:b/>
                <w:bCs/>
                <w:szCs w:val="20"/>
                <w:lang w:val="es-HN"/>
              </w:rPr>
            </w:pPr>
          </w:p>
        </w:tc>
        <w:tc>
          <w:tcPr>
            <w:tcW w:w="708" w:type="pct"/>
            <w:vMerge/>
            <w:vAlign w:val="center"/>
          </w:tcPr>
          <w:p w14:paraId="4045A788" w14:textId="77777777" w:rsidR="000B7649" w:rsidRPr="0076589C" w:rsidRDefault="000B7649" w:rsidP="004C4975">
            <w:pPr>
              <w:pStyle w:val="Tabla"/>
              <w:rPr>
                <w:szCs w:val="20"/>
                <w:lang w:val="es-HN"/>
              </w:rPr>
            </w:pPr>
          </w:p>
        </w:tc>
        <w:tc>
          <w:tcPr>
            <w:tcW w:w="556" w:type="pct"/>
            <w:vMerge/>
            <w:vAlign w:val="center"/>
          </w:tcPr>
          <w:p w14:paraId="4B38E891" w14:textId="77777777" w:rsidR="000B7649" w:rsidRPr="0076589C" w:rsidRDefault="000B7649" w:rsidP="004C4975">
            <w:pPr>
              <w:pStyle w:val="Tabla"/>
              <w:jc w:val="left"/>
              <w:rPr>
                <w:szCs w:val="20"/>
                <w:lang w:val="es-HN"/>
              </w:rPr>
            </w:pPr>
          </w:p>
        </w:tc>
        <w:tc>
          <w:tcPr>
            <w:tcW w:w="521" w:type="pct"/>
            <w:vMerge w:val="restart"/>
            <w:vAlign w:val="center"/>
          </w:tcPr>
          <w:p w14:paraId="613EEC8C" w14:textId="77777777" w:rsidR="000B7649" w:rsidRPr="0076589C" w:rsidRDefault="1C8D6E3A" w:rsidP="00CB7670">
            <w:pPr>
              <w:pStyle w:val="Tabla"/>
              <w:jc w:val="center"/>
              <w:rPr>
                <w:lang w:val="es-HN"/>
              </w:rPr>
            </w:pPr>
            <w:r w:rsidRPr="0076589C">
              <w:t>Financiera</w:t>
            </w:r>
          </w:p>
        </w:tc>
        <w:tc>
          <w:tcPr>
            <w:tcW w:w="869" w:type="pct"/>
            <w:vAlign w:val="center"/>
          </w:tcPr>
          <w:p w14:paraId="4605A9F3" w14:textId="77777777" w:rsidR="000B7649" w:rsidRPr="0076589C" w:rsidRDefault="1C8D6E3A" w:rsidP="004C4975">
            <w:pPr>
              <w:pStyle w:val="Tabla"/>
              <w:rPr>
                <w:lang w:val="es-HN"/>
              </w:rPr>
            </w:pPr>
            <w:r w:rsidRPr="0076589C">
              <w:rPr>
                <w:lang w:val="es-HN"/>
              </w:rPr>
              <w:t>Antigüedad de las cuentas por cobrar arriba de 30, 60, 90 y 120 días</w:t>
            </w:r>
          </w:p>
        </w:tc>
        <w:tc>
          <w:tcPr>
            <w:tcW w:w="729" w:type="pct"/>
            <w:vMerge w:val="restart"/>
            <w:vAlign w:val="center"/>
          </w:tcPr>
          <w:p w14:paraId="6255A91D" w14:textId="6B8B2118" w:rsidR="000B7649" w:rsidRPr="0076589C" w:rsidRDefault="1C8D6E3A" w:rsidP="72A91A42">
            <w:pPr>
              <w:pStyle w:val="Tabla"/>
              <w:jc w:val="center"/>
              <w:rPr>
                <w:lang w:val="es-HN"/>
              </w:rPr>
            </w:pPr>
            <w:r w:rsidRPr="0076589C">
              <w:t>N/A</w:t>
            </w:r>
          </w:p>
        </w:tc>
        <w:tc>
          <w:tcPr>
            <w:tcW w:w="417" w:type="pct"/>
            <w:vMerge w:val="restart"/>
            <w:vAlign w:val="center"/>
          </w:tcPr>
          <w:p w14:paraId="0B45B593" w14:textId="12E08445" w:rsidR="000B7649" w:rsidRPr="0076589C" w:rsidRDefault="1C8D6E3A" w:rsidP="00E66F63">
            <w:pPr>
              <w:pStyle w:val="Tabla"/>
              <w:jc w:val="center"/>
              <w:rPr>
                <w:lang w:val="es-HN"/>
              </w:rPr>
            </w:pPr>
            <w:r w:rsidRPr="0076589C">
              <w:rPr>
                <w:lang w:val="es-HN"/>
              </w:rPr>
              <w:t>Análisis de las bases de datos de la empresa</w:t>
            </w:r>
          </w:p>
        </w:tc>
        <w:tc>
          <w:tcPr>
            <w:tcW w:w="347" w:type="pct"/>
            <w:vMerge w:val="restart"/>
            <w:vAlign w:val="center"/>
          </w:tcPr>
          <w:p w14:paraId="0C537B6F" w14:textId="77777777" w:rsidR="000B7649" w:rsidRPr="0076589C" w:rsidRDefault="000B7649" w:rsidP="004C4975">
            <w:pPr>
              <w:pStyle w:val="Tabla"/>
              <w:jc w:val="left"/>
              <w:rPr>
                <w:lang w:val="es-HN"/>
              </w:rPr>
            </w:pPr>
          </w:p>
        </w:tc>
        <w:tc>
          <w:tcPr>
            <w:tcW w:w="416" w:type="pct"/>
            <w:vMerge w:val="restart"/>
            <w:vAlign w:val="center"/>
          </w:tcPr>
          <w:p w14:paraId="79B2F92F" w14:textId="77777777" w:rsidR="000B7649" w:rsidRPr="0076589C" w:rsidRDefault="000B7649" w:rsidP="004C4975">
            <w:pPr>
              <w:pStyle w:val="Tabla"/>
              <w:jc w:val="left"/>
              <w:rPr>
                <w:lang w:val="es-HN"/>
              </w:rPr>
            </w:pPr>
          </w:p>
        </w:tc>
      </w:tr>
      <w:tr w:rsidR="000B7649" w:rsidRPr="0076589C" w14:paraId="5C6ABAC0" w14:textId="77777777" w:rsidTr="1C8D6E3A">
        <w:trPr>
          <w:trHeight w:val="953"/>
        </w:trPr>
        <w:tc>
          <w:tcPr>
            <w:tcW w:w="436" w:type="pct"/>
            <w:vMerge/>
            <w:vAlign w:val="center"/>
          </w:tcPr>
          <w:p w14:paraId="2D3CF9AC" w14:textId="77777777" w:rsidR="000B7649" w:rsidRPr="0076589C" w:rsidRDefault="000B7649" w:rsidP="004C4975">
            <w:pPr>
              <w:pStyle w:val="Tabla"/>
              <w:jc w:val="left"/>
              <w:rPr>
                <w:b/>
                <w:bCs/>
                <w:szCs w:val="20"/>
                <w:lang w:val="es-HN"/>
              </w:rPr>
            </w:pPr>
          </w:p>
        </w:tc>
        <w:tc>
          <w:tcPr>
            <w:tcW w:w="708" w:type="pct"/>
            <w:vMerge/>
            <w:vAlign w:val="center"/>
          </w:tcPr>
          <w:p w14:paraId="174317E0" w14:textId="77777777" w:rsidR="000B7649" w:rsidRPr="0076589C" w:rsidRDefault="000B7649" w:rsidP="004C4975">
            <w:pPr>
              <w:pStyle w:val="Tabla"/>
              <w:jc w:val="left"/>
              <w:rPr>
                <w:szCs w:val="20"/>
                <w:lang w:val="es-HN"/>
              </w:rPr>
            </w:pPr>
          </w:p>
        </w:tc>
        <w:tc>
          <w:tcPr>
            <w:tcW w:w="556" w:type="pct"/>
            <w:vMerge/>
            <w:vAlign w:val="center"/>
          </w:tcPr>
          <w:p w14:paraId="03F79E6E" w14:textId="77777777" w:rsidR="000B7649" w:rsidRPr="0076589C" w:rsidRDefault="000B7649" w:rsidP="004C4975">
            <w:pPr>
              <w:pStyle w:val="Tabla"/>
              <w:jc w:val="left"/>
              <w:rPr>
                <w:szCs w:val="20"/>
                <w:lang w:val="es-HN"/>
              </w:rPr>
            </w:pPr>
          </w:p>
        </w:tc>
        <w:tc>
          <w:tcPr>
            <w:tcW w:w="521" w:type="pct"/>
            <w:vMerge/>
            <w:vAlign w:val="center"/>
          </w:tcPr>
          <w:p w14:paraId="4D85A253" w14:textId="77777777" w:rsidR="000B7649" w:rsidRPr="0076589C" w:rsidRDefault="000B7649" w:rsidP="004C4975">
            <w:pPr>
              <w:pStyle w:val="Tabla"/>
              <w:jc w:val="center"/>
              <w:rPr>
                <w:szCs w:val="20"/>
                <w:lang w:val="es-HN"/>
              </w:rPr>
            </w:pPr>
          </w:p>
        </w:tc>
        <w:tc>
          <w:tcPr>
            <w:tcW w:w="869" w:type="pct"/>
            <w:vAlign w:val="center"/>
          </w:tcPr>
          <w:p w14:paraId="1659089C" w14:textId="77777777" w:rsidR="000B7649" w:rsidRPr="0076589C" w:rsidRDefault="1C8D6E3A" w:rsidP="004C4975">
            <w:pPr>
              <w:pStyle w:val="Tabla"/>
              <w:jc w:val="left"/>
              <w:rPr>
                <w:lang w:val="es-HN"/>
              </w:rPr>
            </w:pPr>
            <w:bookmarkStart w:id="197" w:name="_Hlk149230979"/>
            <w:r w:rsidRPr="0076589C">
              <w:rPr>
                <w:lang w:val="es-HN"/>
              </w:rPr>
              <w:t>Rotación de las cuentas por cobrar</w:t>
            </w:r>
          </w:p>
          <w:bookmarkEnd w:id="197"/>
          <w:p w14:paraId="1AB1251E" w14:textId="1BE7AC5E" w:rsidR="000B7649" w:rsidRPr="0076589C" w:rsidRDefault="000B7649" w:rsidP="004C4975">
            <w:pPr>
              <w:pStyle w:val="Tabla"/>
              <w:jc w:val="center"/>
              <w:rPr>
                <w:lang w:val="es-HN"/>
              </w:rPr>
            </w:pPr>
            <m:oMathPara>
              <m:oMath>
                <m:r>
                  <w:rPr>
                    <w:rFonts w:ascii="Cambria Math" w:hAnsi="Cambria Math"/>
                    <w:sz w:val="16"/>
                    <w:lang w:val="es-HN"/>
                  </w:rPr>
                  <m:t>=</m:t>
                </m:r>
                <m:f>
                  <m:fPr>
                    <m:ctrlPr>
                      <w:rPr>
                        <w:rFonts w:ascii="Cambria Math" w:hAnsi="Cambria Math"/>
                        <w:i/>
                        <w:sz w:val="16"/>
                        <w:lang w:val="es-HN"/>
                      </w:rPr>
                    </m:ctrlPr>
                  </m:fPr>
                  <m:num>
                    <m:r>
                      <w:rPr>
                        <w:rFonts w:ascii="Cambria Math" w:hAnsi="Cambria Math"/>
                        <w:sz w:val="16"/>
                        <w:lang w:val="es-HN"/>
                      </w:rPr>
                      <m:t>Ventas</m:t>
                    </m:r>
                  </m:num>
                  <m:den>
                    <m:r>
                      <w:rPr>
                        <w:rFonts w:ascii="Cambria Math" w:hAnsi="Cambria Math"/>
                        <w:sz w:val="16"/>
                        <w:lang w:val="es-HN"/>
                      </w:rPr>
                      <m:t>Cuentas por cobrar</m:t>
                    </m:r>
                  </m:den>
                </m:f>
              </m:oMath>
            </m:oMathPara>
          </w:p>
        </w:tc>
        <w:tc>
          <w:tcPr>
            <w:tcW w:w="729" w:type="pct"/>
            <w:vMerge/>
            <w:vAlign w:val="center"/>
          </w:tcPr>
          <w:p w14:paraId="18E9B702" w14:textId="54A4CD49" w:rsidR="000B7649" w:rsidRPr="0076589C" w:rsidRDefault="000B7649" w:rsidP="00E66F63">
            <w:pPr>
              <w:pStyle w:val="Tabla"/>
              <w:jc w:val="center"/>
              <w:rPr>
                <w:szCs w:val="20"/>
                <w:lang w:val="es-HN"/>
              </w:rPr>
            </w:pPr>
          </w:p>
        </w:tc>
        <w:tc>
          <w:tcPr>
            <w:tcW w:w="417" w:type="pct"/>
            <w:vMerge/>
            <w:vAlign w:val="center"/>
          </w:tcPr>
          <w:p w14:paraId="591E89AA" w14:textId="77777777" w:rsidR="000B7649" w:rsidRPr="0076589C" w:rsidRDefault="000B7649" w:rsidP="004C4975">
            <w:pPr>
              <w:pStyle w:val="Tabla"/>
              <w:jc w:val="left"/>
              <w:rPr>
                <w:szCs w:val="20"/>
                <w:lang w:val="es-HN"/>
              </w:rPr>
            </w:pPr>
          </w:p>
        </w:tc>
        <w:tc>
          <w:tcPr>
            <w:tcW w:w="347" w:type="pct"/>
            <w:vMerge/>
            <w:vAlign w:val="center"/>
          </w:tcPr>
          <w:p w14:paraId="0394129B" w14:textId="77777777" w:rsidR="000B7649" w:rsidRPr="0076589C" w:rsidRDefault="000B7649" w:rsidP="004C4975">
            <w:pPr>
              <w:pStyle w:val="Tabla"/>
              <w:jc w:val="left"/>
              <w:rPr>
                <w:szCs w:val="20"/>
                <w:lang w:val="es-HN"/>
              </w:rPr>
            </w:pPr>
          </w:p>
        </w:tc>
        <w:tc>
          <w:tcPr>
            <w:tcW w:w="416" w:type="pct"/>
            <w:vMerge/>
            <w:vAlign w:val="center"/>
          </w:tcPr>
          <w:p w14:paraId="629A8199" w14:textId="77777777" w:rsidR="000B7649" w:rsidRPr="0076589C" w:rsidRDefault="000B7649" w:rsidP="004C4975">
            <w:pPr>
              <w:pStyle w:val="Tabla"/>
              <w:jc w:val="left"/>
              <w:rPr>
                <w:szCs w:val="20"/>
                <w:lang w:val="es-HN"/>
              </w:rPr>
            </w:pPr>
          </w:p>
        </w:tc>
      </w:tr>
      <w:tr w:rsidR="000B7649" w:rsidRPr="0076589C" w14:paraId="7458DAF6" w14:textId="77777777" w:rsidTr="1C8D6E3A">
        <w:trPr>
          <w:trHeight w:val="989"/>
        </w:trPr>
        <w:tc>
          <w:tcPr>
            <w:tcW w:w="436" w:type="pct"/>
            <w:vMerge/>
            <w:vAlign w:val="center"/>
          </w:tcPr>
          <w:p w14:paraId="058B2E5F" w14:textId="77777777" w:rsidR="000B7649" w:rsidRPr="0076589C" w:rsidRDefault="000B7649" w:rsidP="004C4975">
            <w:pPr>
              <w:pStyle w:val="Tabla"/>
              <w:jc w:val="left"/>
              <w:rPr>
                <w:b/>
                <w:bCs/>
                <w:szCs w:val="20"/>
                <w:lang w:val="es-HN"/>
              </w:rPr>
            </w:pPr>
          </w:p>
        </w:tc>
        <w:tc>
          <w:tcPr>
            <w:tcW w:w="708" w:type="pct"/>
            <w:vMerge/>
            <w:vAlign w:val="center"/>
          </w:tcPr>
          <w:p w14:paraId="477EA517" w14:textId="77777777" w:rsidR="000B7649" w:rsidRPr="0076589C" w:rsidRDefault="000B7649" w:rsidP="004C4975">
            <w:pPr>
              <w:pStyle w:val="Tabla"/>
              <w:jc w:val="left"/>
              <w:rPr>
                <w:szCs w:val="20"/>
                <w:lang w:val="es-HN"/>
              </w:rPr>
            </w:pPr>
          </w:p>
        </w:tc>
        <w:tc>
          <w:tcPr>
            <w:tcW w:w="556" w:type="pct"/>
            <w:vMerge/>
            <w:vAlign w:val="center"/>
          </w:tcPr>
          <w:p w14:paraId="60902E22" w14:textId="77777777" w:rsidR="000B7649" w:rsidRPr="0076589C" w:rsidRDefault="000B7649" w:rsidP="004C4975">
            <w:pPr>
              <w:pStyle w:val="Tabla"/>
              <w:jc w:val="left"/>
              <w:rPr>
                <w:szCs w:val="20"/>
                <w:lang w:val="es-HN"/>
              </w:rPr>
            </w:pPr>
          </w:p>
        </w:tc>
        <w:tc>
          <w:tcPr>
            <w:tcW w:w="521" w:type="pct"/>
            <w:vMerge/>
            <w:vAlign w:val="center"/>
          </w:tcPr>
          <w:p w14:paraId="1646B2D5" w14:textId="77777777" w:rsidR="000B7649" w:rsidRPr="0076589C" w:rsidRDefault="000B7649" w:rsidP="004C4975">
            <w:pPr>
              <w:pStyle w:val="Tabla"/>
              <w:jc w:val="center"/>
              <w:rPr>
                <w:szCs w:val="20"/>
                <w:lang w:val="es-HN"/>
              </w:rPr>
            </w:pPr>
          </w:p>
        </w:tc>
        <w:tc>
          <w:tcPr>
            <w:tcW w:w="869" w:type="pct"/>
            <w:vAlign w:val="center"/>
          </w:tcPr>
          <w:p w14:paraId="2C1A4226" w14:textId="77777777" w:rsidR="000B7649" w:rsidRPr="0076589C" w:rsidRDefault="1C8D6E3A" w:rsidP="004C4975">
            <w:pPr>
              <w:pStyle w:val="Tabla"/>
              <w:jc w:val="left"/>
              <w:rPr>
                <w:lang w:val="es-HN"/>
              </w:rPr>
            </w:pPr>
            <w:bookmarkStart w:id="198" w:name="_Hlk149231011"/>
            <w:r w:rsidRPr="0076589C">
              <w:t>Periodo promedio de cobro (PPC)</w:t>
            </w:r>
          </w:p>
          <w:bookmarkEnd w:id="198"/>
          <w:p w14:paraId="31475F1C" w14:textId="350A3D59" w:rsidR="000B7649" w:rsidRPr="0076589C" w:rsidRDefault="000B7649" w:rsidP="00DA1C48">
            <w:pPr>
              <w:pStyle w:val="Tabla"/>
              <w:jc w:val="center"/>
              <w:rPr>
                <w:sz w:val="16"/>
                <w:szCs w:val="16"/>
                <w:lang w:val="es-HN"/>
              </w:rPr>
            </w:pPr>
            <m:oMathPara>
              <m:oMath>
                <m:r>
                  <w:rPr>
                    <w:rFonts w:ascii="Cambria Math" w:hAnsi="Cambria Math"/>
                    <w:sz w:val="16"/>
                    <w:lang w:val="es-HN"/>
                  </w:rPr>
                  <m:t>=</m:t>
                </m:r>
                <m:f>
                  <m:fPr>
                    <m:ctrlPr>
                      <w:rPr>
                        <w:rFonts w:ascii="Cambria Math" w:hAnsi="Cambria Math"/>
                        <w:i/>
                        <w:sz w:val="16"/>
                        <w:lang w:val="es-HN"/>
                      </w:rPr>
                    </m:ctrlPr>
                  </m:fPr>
                  <m:num>
                    <m:r>
                      <w:rPr>
                        <w:rFonts w:ascii="Cambria Math" w:hAnsi="Cambria Math"/>
                        <w:sz w:val="16"/>
                        <w:lang w:val="es-HN"/>
                      </w:rPr>
                      <m:t>Cuentas por cobrar</m:t>
                    </m:r>
                  </m:num>
                  <m:den>
                    <m:r>
                      <w:rPr>
                        <w:rFonts w:ascii="Cambria Math" w:hAnsi="Cambria Math"/>
                        <w:sz w:val="16"/>
                        <w:lang w:val="es-HN"/>
                      </w:rPr>
                      <m:t>Ventas</m:t>
                    </m:r>
                  </m:den>
                </m:f>
                <m:d>
                  <m:dPr>
                    <m:ctrlPr>
                      <w:rPr>
                        <w:rFonts w:ascii="Cambria Math" w:hAnsi="Cambria Math"/>
                        <w:i/>
                        <w:sz w:val="16"/>
                        <w:lang w:val="es-HN"/>
                      </w:rPr>
                    </m:ctrlPr>
                  </m:dPr>
                  <m:e>
                    <m:r>
                      <w:rPr>
                        <w:rFonts w:ascii="Cambria Math" w:hAnsi="Cambria Math"/>
                        <w:sz w:val="16"/>
                        <w:lang w:val="es-HN"/>
                      </w:rPr>
                      <m:t>365</m:t>
                    </m:r>
                  </m:e>
                </m:d>
              </m:oMath>
            </m:oMathPara>
          </w:p>
        </w:tc>
        <w:tc>
          <w:tcPr>
            <w:tcW w:w="729" w:type="pct"/>
            <w:vMerge/>
            <w:vAlign w:val="center"/>
          </w:tcPr>
          <w:p w14:paraId="1A1884D3" w14:textId="2ADB5D0F" w:rsidR="000B7649" w:rsidRPr="0076589C" w:rsidRDefault="000B7649" w:rsidP="004C4975">
            <w:pPr>
              <w:pStyle w:val="Tabla"/>
              <w:jc w:val="center"/>
              <w:rPr>
                <w:szCs w:val="20"/>
                <w:lang w:val="es-HN"/>
              </w:rPr>
            </w:pPr>
          </w:p>
        </w:tc>
        <w:tc>
          <w:tcPr>
            <w:tcW w:w="417" w:type="pct"/>
            <w:vMerge/>
            <w:vAlign w:val="center"/>
          </w:tcPr>
          <w:p w14:paraId="39AC495A" w14:textId="77777777" w:rsidR="000B7649" w:rsidRPr="0076589C" w:rsidRDefault="000B7649" w:rsidP="004C4975">
            <w:pPr>
              <w:pStyle w:val="Tabla"/>
              <w:jc w:val="left"/>
              <w:rPr>
                <w:szCs w:val="20"/>
                <w:lang w:val="es-HN"/>
              </w:rPr>
            </w:pPr>
          </w:p>
        </w:tc>
        <w:tc>
          <w:tcPr>
            <w:tcW w:w="347" w:type="pct"/>
            <w:vMerge/>
            <w:vAlign w:val="center"/>
          </w:tcPr>
          <w:p w14:paraId="2186CC1A" w14:textId="77777777" w:rsidR="000B7649" w:rsidRPr="0076589C" w:rsidRDefault="000B7649" w:rsidP="004C4975">
            <w:pPr>
              <w:pStyle w:val="Tabla"/>
              <w:jc w:val="left"/>
              <w:rPr>
                <w:szCs w:val="20"/>
                <w:lang w:val="es-HN"/>
              </w:rPr>
            </w:pPr>
          </w:p>
        </w:tc>
        <w:tc>
          <w:tcPr>
            <w:tcW w:w="416" w:type="pct"/>
            <w:vMerge/>
            <w:vAlign w:val="center"/>
          </w:tcPr>
          <w:p w14:paraId="4B50C315" w14:textId="77777777" w:rsidR="000B7649" w:rsidRPr="0076589C" w:rsidRDefault="000B7649" w:rsidP="004C4975">
            <w:pPr>
              <w:pStyle w:val="Tabla"/>
              <w:jc w:val="left"/>
              <w:rPr>
                <w:szCs w:val="20"/>
                <w:lang w:val="es-HN"/>
              </w:rPr>
            </w:pPr>
          </w:p>
        </w:tc>
      </w:tr>
      <w:tr w:rsidR="000B7649" w:rsidRPr="0076589C" w14:paraId="15D5BEAC" w14:textId="77777777" w:rsidTr="1C8D6E3A">
        <w:trPr>
          <w:trHeight w:val="818"/>
        </w:trPr>
        <w:tc>
          <w:tcPr>
            <w:tcW w:w="436" w:type="pct"/>
            <w:vMerge/>
            <w:vAlign w:val="center"/>
          </w:tcPr>
          <w:p w14:paraId="4108A923" w14:textId="77777777" w:rsidR="000B7649" w:rsidRPr="0076589C" w:rsidRDefault="000B7649" w:rsidP="00FB3693">
            <w:pPr>
              <w:pStyle w:val="Tabla"/>
              <w:jc w:val="center"/>
              <w:rPr>
                <w:b/>
                <w:bCs/>
                <w:lang w:val="es-HN"/>
              </w:rPr>
            </w:pPr>
          </w:p>
        </w:tc>
        <w:tc>
          <w:tcPr>
            <w:tcW w:w="708" w:type="pct"/>
            <w:vMerge/>
            <w:vAlign w:val="center"/>
          </w:tcPr>
          <w:p w14:paraId="044D8593" w14:textId="77777777" w:rsidR="000B7649" w:rsidRPr="0076589C" w:rsidRDefault="000B7649" w:rsidP="00FB3693">
            <w:pPr>
              <w:pStyle w:val="Tabla"/>
              <w:rPr>
                <w:lang w:val="es-HN"/>
              </w:rPr>
            </w:pPr>
          </w:p>
        </w:tc>
        <w:tc>
          <w:tcPr>
            <w:tcW w:w="556" w:type="pct"/>
            <w:vMerge/>
            <w:vAlign w:val="center"/>
          </w:tcPr>
          <w:p w14:paraId="2D0A146C" w14:textId="77777777" w:rsidR="000B7649" w:rsidRPr="0076589C" w:rsidRDefault="000B7649" w:rsidP="00FB3693">
            <w:pPr>
              <w:pStyle w:val="Tabla"/>
              <w:rPr>
                <w:lang w:val="es-HN"/>
              </w:rPr>
            </w:pPr>
          </w:p>
        </w:tc>
        <w:tc>
          <w:tcPr>
            <w:tcW w:w="521" w:type="pct"/>
            <w:vAlign w:val="center"/>
          </w:tcPr>
          <w:p w14:paraId="76BE39AA" w14:textId="7EA2CCE5" w:rsidR="000B7649" w:rsidRPr="0076589C" w:rsidRDefault="1C8D6E3A" w:rsidP="00FB3693">
            <w:pPr>
              <w:pStyle w:val="Tabla"/>
              <w:jc w:val="center"/>
              <w:rPr>
                <w:lang w:val="es-HN"/>
              </w:rPr>
            </w:pPr>
            <w:r w:rsidRPr="0076589C">
              <w:t>Contable</w:t>
            </w:r>
          </w:p>
        </w:tc>
        <w:tc>
          <w:tcPr>
            <w:tcW w:w="869" w:type="pct"/>
            <w:vAlign w:val="center"/>
          </w:tcPr>
          <w:p w14:paraId="7AB72511" w14:textId="2DB23148" w:rsidR="000B7649" w:rsidRPr="0076589C" w:rsidRDefault="1C8D6E3A" w:rsidP="00FB3693">
            <w:pPr>
              <w:pStyle w:val="Tabla"/>
              <w:rPr>
                <w:lang w:val="es-HN"/>
              </w:rPr>
            </w:pPr>
            <w:r w:rsidRPr="0076589C">
              <w:t>Cuentas por cobrar</w:t>
            </w:r>
          </w:p>
        </w:tc>
        <w:tc>
          <w:tcPr>
            <w:tcW w:w="729" w:type="pct"/>
            <w:vAlign w:val="center"/>
          </w:tcPr>
          <w:p w14:paraId="5F15F62F" w14:textId="768A3F7E" w:rsidR="000B7649" w:rsidRPr="0076589C" w:rsidRDefault="1C8D6E3A" w:rsidP="00FC4469">
            <w:pPr>
              <w:pStyle w:val="Tabla"/>
              <w:jc w:val="center"/>
              <w:rPr>
                <w:lang w:val="es-HN"/>
              </w:rPr>
            </w:pPr>
            <w:r w:rsidRPr="0076589C">
              <w:t>N/A</w:t>
            </w:r>
          </w:p>
        </w:tc>
        <w:tc>
          <w:tcPr>
            <w:tcW w:w="417" w:type="pct"/>
            <w:vAlign w:val="center"/>
          </w:tcPr>
          <w:p w14:paraId="68925066" w14:textId="033BC96B" w:rsidR="000B7649" w:rsidRPr="0076589C" w:rsidRDefault="1C8D6E3A" w:rsidP="00FC4469">
            <w:pPr>
              <w:pStyle w:val="Tabla"/>
              <w:jc w:val="center"/>
              <w:rPr>
                <w:lang w:val="es-HN"/>
              </w:rPr>
            </w:pPr>
            <w:r w:rsidRPr="0076589C">
              <w:t>Análisis del balance general</w:t>
            </w:r>
          </w:p>
        </w:tc>
        <w:tc>
          <w:tcPr>
            <w:tcW w:w="347" w:type="pct"/>
          </w:tcPr>
          <w:p w14:paraId="50234566" w14:textId="77777777" w:rsidR="000B7649" w:rsidRPr="0076589C" w:rsidRDefault="000B7649" w:rsidP="00FB3693">
            <w:pPr>
              <w:pStyle w:val="Tabla"/>
              <w:rPr>
                <w:lang w:val="es-HN"/>
              </w:rPr>
            </w:pPr>
          </w:p>
        </w:tc>
        <w:tc>
          <w:tcPr>
            <w:tcW w:w="416" w:type="pct"/>
          </w:tcPr>
          <w:p w14:paraId="742A4CEB" w14:textId="77777777" w:rsidR="000B7649" w:rsidRPr="0076589C" w:rsidRDefault="000B7649" w:rsidP="00FB3693">
            <w:pPr>
              <w:pStyle w:val="Tabla"/>
              <w:rPr>
                <w:lang w:val="es-HN"/>
              </w:rPr>
            </w:pPr>
          </w:p>
        </w:tc>
      </w:tr>
      <w:tr w:rsidR="00FB3693" w:rsidRPr="0076589C" w14:paraId="04B9ADC0" w14:textId="17105400" w:rsidTr="1C8D6E3A">
        <w:trPr>
          <w:trHeight w:val="818"/>
        </w:trPr>
        <w:tc>
          <w:tcPr>
            <w:tcW w:w="436" w:type="pct"/>
            <w:vMerge w:val="restart"/>
            <w:vAlign w:val="center"/>
          </w:tcPr>
          <w:p w14:paraId="5128078D" w14:textId="3AF5C947" w:rsidR="00FB3693" w:rsidRPr="0076589C" w:rsidRDefault="1C8D6E3A" w:rsidP="00FB3693">
            <w:pPr>
              <w:pStyle w:val="Tabla"/>
              <w:jc w:val="center"/>
              <w:rPr>
                <w:b/>
                <w:bCs/>
                <w:lang w:val="es-HN"/>
              </w:rPr>
            </w:pPr>
            <w:r w:rsidRPr="0076589C">
              <w:rPr>
                <w:b/>
                <w:bCs/>
              </w:rPr>
              <w:t>Indicadores Financieros</w:t>
            </w:r>
          </w:p>
        </w:tc>
        <w:tc>
          <w:tcPr>
            <w:tcW w:w="708" w:type="pct"/>
            <w:vMerge w:val="restart"/>
            <w:vAlign w:val="center"/>
          </w:tcPr>
          <w:p w14:paraId="07B6877E" w14:textId="354DB9A2" w:rsidR="00FB3693" w:rsidRPr="0076589C" w:rsidRDefault="1C8D6E3A" w:rsidP="00FB3693">
            <w:pPr>
              <w:pStyle w:val="Tabla"/>
              <w:rPr>
                <w:lang w:val="es-HN"/>
              </w:rPr>
            </w:pPr>
            <w:r w:rsidRPr="0076589C">
              <w:rPr>
                <w:lang w:val="es-HN"/>
              </w:rPr>
              <w:t xml:space="preserve">Son herramientas gerenciales que permiten evidenciar la información obtenida de los saldos </w:t>
            </w:r>
            <w:r w:rsidRPr="0076589C">
              <w:rPr>
                <w:lang w:val="es-HN"/>
              </w:rPr>
              <w:lastRenderedPageBreak/>
              <w:t xml:space="preserve">contables, cuyo uso correcto permite la toma de decisiones. Un indicador de gestión representa la expresión cuantitativa del comportamiento del desempeño de un proceso, cuya dimensión al compararse con un nivel de referencia, puede demostrar evidencias de desviación sobre las que se toman acciones preventivas o correctivas de acuerdo con el caso. </w:t>
            </w:r>
            <w:r w:rsidRPr="0076589C">
              <w:t>(Párraga Franco et al., 2021, pág.3)</w:t>
            </w:r>
          </w:p>
        </w:tc>
        <w:tc>
          <w:tcPr>
            <w:tcW w:w="556" w:type="pct"/>
            <w:vMerge w:val="restart"/>
            <w:vAlign w:val="center"/>
          </w:tcPr>
          <w:p w14:paraId="00789A09" w14:textId="007A0135" w:rsidR="00FB3693" w:rsidRPr="0076589C" w:rsidRDefault="1C8D6E3A" w:rsidP="00FB3693">
            <w:pPr>
              <w:pStyle w:val="Tabla"/>
              <w:rPr>
                <w:lang w:val="es-HN"/>
              </w:rPr>
            </w:pPr>
            <w:r w:rsidRPr="0076589C">
              <w:rPr>
                <w:lang w:val="es-HN"/>
              </w:rPr>
              <w:lastRenderedPageBreak/>
              <w:t xml:space="preserve">Son medidas cuantitativas que tienen como finalidad evaluar el desempeño </w:t>
            </w:r>
            <w:r w:rsidRPr="0076589C">
              <w:rPr>
                <w:lang w:val="es-HN"/>
              </w:rPr>
              <w:lastRenderedPageBreak/>
              <w:t>financiero de una empresa. Proporcionan un panorama sobre la salud financiera, la eficiencia operativa y la rentabilidad de la misma.</w:t>
            </w:r>
          </w:p>
        </w:tc>
        <w:tc>
          <w:tcPr>
            <w:tcW w:w="521" w:type="pct"/>
            <w:vMerge w:val="restart"/>
            <w:vAlign w:val="center"/>
          </w:tcPr>
          <w:p w14:paraId="2DB9F3A8" w14:textId="16CBE126" w:rsidR="00FB3693" w:rsidRPr="0076589C" w:rsidRDefault="1C8D6E3A" w:rsidP="00FB3693">
            <w:pPr>
              <w:pStyle w:val="Tabla"/>
              <w:jc w:val="center"/>
              <w:rPr>
                <w:lang w:val="es-HN"/>
              </w:rPr>
            </w:pPr>
            <w:r w:rsidRPr="0076589C">
              <w:lastRenderedPageBreak/>
              <w:t>Rentabilidad</w:t>
            </w:r>
          </w:p>
        </w:tc>
        <w:tc>
          <w:tcPr>
            <w:tcW w:w="869" w:type="pct"/>
            <w:vAlign w:val="center"/>
          </w:tcPr>
          <w:p w14:paraId="6E0E72A4" w14:textId="08A08B28" w:rsidR="00FB3693" w:rsidRPr="0076589C" w:rsidRDefault="1C8D6E3A" w:rsidP="00FB3693">
            <w:pPr>
              <w:pStyle w:val="Tabla"/>
              <w:rPr>
                <w:lang w:val="es-HN"/>
              </w:rPr>
            </w:pPr>
            <w:r w:rsidRPr="0076589C">
              <w:t>Margen de utilidad bruta</w:t>
            </w:r>
          </w:p>
          <w:p w14:paraId="51C54A33" w14:textId="6A2A4B04" w:rsidR="00FB3693" w:rsidRPr="0076589C" w:rsidRDefault="00FB3693" w:rsidP="00FB3693">
            <w:pPr>
              <w:pStyle w:val="Tabla"/>
              <w:jc w:val="center"/>
              <w:rPr>
                <w:sz w:val="16"/>
                <w:szCs w:val="16"/>
                <w:lang w:val="es-HN"/>
              </w:rPr>
            </w:pPr>
            <m:oMathPara>
              <m:oMath>
                <m:r>
                  <w:rPr>
                    <w:rFonts w:ascii="Cambria Math" w:hAnsi="Cambria Math"/>
                    <w:sz w:val="16"/>
                    <w:lang w:val="es-HN"/>
                  </w:rPr>
                  <m:t>=</m:t>
                </m:r>
                <m:f>
                  <m:fPr>
                    <m:ctrlPr>
                      <w:rPr>
                        <w:rFonts w:ascii="Cambria Math" w:hAnsi="Cambria Math"/>
                        <w:i/>
                        <w:sz w:val="16"/>
                        <w:lang w:val="es-HN"/>
                      </w:rPr>
                    </m:ctrlPr>
                  </m:fPr>
                  <m:num>
                    <m:r>
                      <w:rPr>
                        <w:rFonts w:ascii="Cambria Math" w:hAnsi="Cambria Math"/>
                        <w:sz w:val="16"/>
                        <w:lang w:val="es-HN"/>
                      </w:rPr>
                      <m:t>Utilidad bruta</m:t>
                    </m:r>
                  </m:num>
                  <m:den>
                    <m:r>
                      <w:rPr>
                        <w:rFonts w:ascii="Cambria Math" w:hAnsi="Cambria Math"/>
                        <w:sz w:val="16"/>
                        <w:lang w:val="es-HN"/>
                      </w:rPr>
                      <m:t>Ventas</m:t>
                    </m:r>
                  </m:den>
                </m:f>
              </m:oMath>
            </m:oMathPara>
          </w:p>
        </w:tc>
        <w:tc>
          <w:tcPr>
            <w:tcW w:w="729" w:type="pct"/>
            <w:vMerge w:val="restart"/>
            <w:vAlign w:val="center"/>
          </w:tcPr>
          <w:p w14:paraId="18BC6786" w14:textId="5CED2588" w:rsidR="00FB3693" w:rsidRPr="0076589C" w:rsidRDefault="1C8D6E3A" w:rsidP="00FB3693">
            <w:pPr>
              <w:pStyle w:val="Tabla"/>
              <w:jc w:val="center"/>
              <w:rPr>
                <w:lang w:val="es-HN"/>
              </w:rPr>
            </w:pPr>
            <w:r w:rsidRPr="0076589C">
              <w:t>N/A</w:t>
            </w:r>
          </w:p>
        </w:tc>
        <w:tc>
          <w:tcPr>
            <w:tcW w:w="417" w:type="pct"/>
            <w:vMerge w:val="restart"/>
            <w:vAlign w:val="center"/>
          </w:tcPr>
          <w:p w14:paraId="0EDC4B83" w14:textId="3402F20D" w:rsidR="00FB3693" w:rsidRPr="0076589C" w:rsidRDefault="1C8D6E3A" w:rsidP="00FB3693">
            <w:pPr>
              <w:pStyle w:val="Tabla"/>
              <w:rPr>
                <w:lang w:val="es-HN"/>
              </w:rPr>
            </w:pPr>
            <w:r w:rsidRPr="0076589C">
              <w:rPr>
                <w:lang w:val="es-HN"/>
              </w:rPr>
              <w:t>Análisis de los estados financieros de la empresa</w:t>
            </w:r>
          </w:p>
        </w:tc>
        <w:tc>
          <w:tcPr>
            <w:tcW w:w="347" w:type="pct"/>
            <w:vMerge w:val="restart"/>
          </w:tcPr>
          <w:p w14:paraId="34498D2C" w14:textId="77777777" w:rsidR="00FB3693" w:rsidRPr="0076589C" w:rsidRDefault="00FB3693" w:rsidP="00FB3693">
            <w:pPr>
              <w:pStyle w:val="Tabla"/>
              <w:rPr>
                <w:lang w:val="es-HN"/>
              </w:rPr>
            </w:pPr>
          </w:p>
        </w:tc>
        <w:tc>
          <w:tcPr>
            <w:tcW w:w="416" w:type="pct"/>
            <w:vMerge w:val="restart"/>
          </w:tcPr>
          <w:p w14:paraId="68734CE7" w14:textId="77777777" w:rsidR="00FB3693" w:rsidRPr="0076589C" w:rsidRDefault="00FB3693" w:rsidP="00FB3693">
            <w:pPr>
              <w:pStyle w:val="Tabla"/>
              <w:rPr>
                <w:lang w:val="es-HN"/>
              </w:rPr>
            </w:pPr>
          </w:p>
        </w:tc>
      </w:tr>
      <w:tr w:rsidR="00FB3693" w:rsidRPr="0076589C" w14:paraId="4C41AF61" w14:textId="77777777" w:rsidTr="1C8D6E3A">
        <w:trPr>
          <w:trHeight w:val="710"/>
        </w:trPr>
        <w:tc>
          <w:tcPr>
            <w:tcW w:w="436" w:type="pct"/>
            <w:vMerge/>
            <w:vAlign w:val="center"/>
          </w:tcPr>
          <w:p w14:paraId="45C7D631" w14:textId="77777777" w:rsidR="00FB3693" w:rsidRPr="0076589C" w:rsidRDefault="00FB3693" w:rsidP="00FB3693">
            <w:pPr>
              <w:pStyle w:val="Tabla"/>
              <w:jc w:val="center"/>
              <w:rPr>
                <w:b/>
                <w:bCs/>
                <w:szCs w:val="20"/>
                <w:lang w:val="es-HN"/>
              </w:rPr>
            </w:pPr>
          </w:p>
        </w:tc>
        <w:tc>
          <w:tcPr>
            <w:tcW w:w="708" w:type="pct"/>
            <w:vMerge/>
            <w:vAlign w:val="center"/>
          </w:tcPr>
          <w:p w14:paraId="1E70F244" w14:textId="77777777" w:rsidR="00FB3693" w:rsidRPr="0076589C" w:rsidRDefault="00FB3693" w:rsidP="00FB3693">
            <w:pPr>
              <w:pStyle w:val="Tabla"/>
              <w:rPr>
                <w:szCs w:val="20"/>
                <w:lang w:val="es-HN"/>
              </w:rPr>
            </w:pPr>
          </w:p>
        </w:tc>
        <w:tc>
          <w:tcPr>
            <w:tcW w:w="556" w:type="pct"/>
            <w:vMerge/>
            <w:vAlign w:val="center"/>
          </w:tcPr>
          <w:p w14:paraId="6E0AD3B9" w14:textId="77777777" w:rsidR="00FB3693" w:rsidRPr="0076589C" w:rsidRDefault="00FB3693" w:rsidP="00FB3693">
            <w:pPr>
              <w:pStyle w:val="Tabla"/>
              <w:rPr>
                <w:szCs w:val="20"/>
                <w:lang w:val="es-HN"/>
              </w:rPr>
            </w:pPr>
          </w:p>
        </w:tc>
        <w:tc>
          <w:tcPr>
            <w:tcW w:w="521" w:type="pct"/>
            <w:vMerge/>
            <w:vAlign w:val="center"/>
          </w:tcPr>
          <w:p w14:paraId="306942D0" w14:textId="77777777" w:rsidR="00FB3693" w:rsidRPr="0076589C" w:rsidRDefault="00FB3693" w:rsidP="00FB3693">
            <w:pPr>
              <w:pStyle w:val="Tabla"/>
              <w:jc w:val="center"/>
              <w:rPr>
                <w:szCs w:val="20"/>
                <w:lang w:val="es-HN"/>
              </w:rPr>
            </w:pPr>
          </w:p>
        </w:tc>
        <w:tc>
          <w:tcPr>
            <w:tcW w:w="869" w:type="pct"/>
            <w:vAlign w:val="center"/>
          </w:tcPr>
          <w:p w14:paraId="68ACA8A8" w14:textId="77777777" w:rsidR="00FB3693" w:rsidRPr="0076589C" w:rsidRDefault="1C8D6E3A" w:rsidP="00FB3693">
            <w:pPr>
              <w:pStyle w:val="Tabla"/>
              <w:rPr>
                <w:lang w:val="es-HN"/>
              </w:rPr>
            </w:pPr>
            <w:r w:rsidRPr="0076589C">
              <w:t>Margen de utilidad neta</w:t>
            </w:r>
          </w:p>
          <w:p w14:paraId="513500E6" w14:textId="1FAE1A1F" w:rsidR="00FB3693" w:rsidRPr="0076589C" w:rsidRDefault="00FB3693" w:rsidP="00FB3693">
            <w:pPr>
              <w:pStyle w:val="Tabla"/>
              <w:jc w:val="center"/>
              <w:rPr>
                <w:lang w:val="es-HN"/>
              </w:rPr>
            </w:pPr>
            <m:oMathPara>
              <m:oMath>
                <m:r>
                  <w:rPr>
                    <w:rFonts w:ascii="Cambria Math" w:hAnsi="Cambria Math"/>
                    <w:sz w:val="16"/>
                    <w:lang w:val="es-HN"/>
                  </w:rPr>
                  <m:t>=</m:t>
                </m:r>
                <m:f>
                  <m:fPr>
                    <m:ctrlPr>
                      <w:rPr>
                        <w:rFonts w:ascii="Cambria Math" w:hAnsi="Cambria Math"/>
                        <w:i/>
                        <w:sz w:val="16"/>
                        <w:lang w:val="es-HN"/>
                      </w:rPr>
                    </m:ctrlPr>
                  </m:fPr>
                  <m:num>
                    <m:r>
                      <w:rPr>
                        <w:rFonts w:ascii="Cambria Math" w:hAnsi="Cambria Math"/>
                        <w:sz w:val="16"/>
                        <w:lang w:val="es-HN"/>
                      </w:rPr>
                      <m:t>Utilidad neta</m:t>
                    </m:r>
                  </m:num>
                  <m:den>
                    <m:r>
                      <w:rPr>
                        <w:rFonts w:ascii="Cambria Math" w:hAnsi="Cambria Math"/>
                        <w:sz w:val="16"/>
                        <w:lang w:val="es-HN"/>
                      </w:rPr>
                      <m:t>Ventas</m:t>
                    </m:r>
                  </m:den>
                </m:f>
              </m:oMath>
            </m:oMathPara>
          </w:p>
        </w:tc>
        <w:tc>
          <w:tcPr>
            <w:tcW w:w="729" w:type="pct"/>
            <w:vMerge/>
            <w:vAlign w:val="center"/>
          </w:tcPr>
          <w:p w14:paraId="79706180" w14:textId="77777777" w:rsidR="00FB3693" w:rsidRPr="0076589C" w:rsidRDefault="00FB3693" w:rsidP="00FB3693">
            <w:pPr>
              <w:pStyle w:val="Tabla"/>
              <w:jc w:val="center"/>
              <w:rPr>
                <w:szCs w:val="20"/>
                <w:lang w:val="es-HN"/>
              </w:rPr>
            </w:pPr>
          </w:p>
        </w:tc>
        <w:tc>
          <w:tcPr>
            <w:tcW w:w="417" w:type="pct"/>
            <w:vMerge/>
            <w:vAlign w:val="center"/>
          </w:tcPr>
          <w:p w14:paraId="6759658E" w14:textId="77777777" w:rsidR="00FB3693" w:rsidRPr="0076589C" w:rsidRDefault="00FB3693" w:rsidP="00FB3693">
            <w:pPr>
              <w:pStyle w:val="Tabla"/>
              <w:rPr>
                <w:szCs w:val="20"/>
                <w:lang w:val="es-HN"/>
              </w:rPr>
            </w:pPr>
          </w:p>
        </w:tc>
        <w:tc>
          <w:tcPr>
            <w:tcW w:w="347" w:type="pct"/>
            <w:vMerge/>
          </w:tcPr>
          <w:p w14:paraId="6B99F4BD" w14:textId="77777777" w:rsidR="00FB3693" w:rsidRPr="0076589C" w:rsidRDefault="00FB3693" w:rsidP="00FB3693">
            <w:pPr>
              <w:pStyle w:val="Tabla"/>
              <w:rPr>
                <w:szCs w:val="20"/>
                <w:lang w:val="es-HN"/>
              </w:rPr>
            </w:pPr>
          </w:p>
        </w:tc>
        <w:tc>
          <w:tcPr>
            <w:tcW w:w="416" w:type="pct"/>
            <w:vMerge/>
          </w:tcPr>
          <w:p w14:paraId="0C4EF60B" w14:textId="77777777" w:rsidR="00FB3693" w:rsidRPr="0076589C" w:rsidRDefault="00FB3693" w:rsidP="00FB3693">
            <w:pPr>
              <w:pStyle w:val="Tabla"/>
              <w:rPr>
                <w:szCs w:val="20"/>
                <w:lang w:val="es-HN"/>
              </w:rPr>
            </w:pPr>
          </w:p>
        </w:tc>
      </w:tr>
      <w:tr w:rsidR="00FB3693" w:rsidRPr="0076589C" w14:paraId="646C6AAF" w14:textId="77777777" w:rsidTr="1C8D6E3A">
        <w:trPr>
          <w:trHeight w:val="899"/>
        </w:trPr>
        <w:tc>
          <w:tcPr>
            <w:tcW w:w="436" w:type="pct"/>
            <w:vMerge/>
            <w:vAlign w:val="center"/>
          </w:tcPr>
          <w:p w14:paraId="124559B8" w14:textId="77777777" w:rsidR="00FB3693" w:rsidRPr="0076589C" w:rsidRDefault="00FB3693" w:rsidP="00FB3693">
            <w:pPr>
              <w:pStyle w:val="Tabla"/>
              <w:jc w:val="center"/>
              <w:rPr>
                <w:b/>
                <w:bCs/>
                <w:szCs w:val="20"/>
                <w:lang w:val="es-HN"/>
              </w:rPr>
            </w:pPr>
          </w:p>
        </w:tc>
        <w:tc>
          <w:tcPr>
            <w:tcW w:w="708" w:type="pct"/>
            <w:vMerge/>
            <w:vAlign w:val="center"/>
          </w:tcPr>
          <w:p w14:paraId="098F9F25" w14:textId="77777777" w:rsidR="00FB3693" w:rsidRPr="0076589C" w:rsidRDefault="00FB3693" w:rsidP="00FB3693">
            <w:pPr>
              <w:pStyle w:val="Tabla"/>
              <w:rPr>
                <w:szCs w:val="20"/>
                <w:lang w:val="es-HN"/>
              </w:rPr>
            </w:pPr>
          </w:p>
        </w:tc>
        <w:tc>
          <w:tcPr>
            <w:tcW w:w="556" w:type="pct"/>
            <w:vMerge/>
            <w:vAlign w:val="center"/>
          </w:tcPr>
          <w:p w14:paraId="65D903DD" w14:textId="77777777" w:rsidR="00FB3693" w:rsidRPr="0076589C" w:rsidRDefault="00FB3693" w:rsidP="00FB3693">
            <w:pPr>
              <w:pStyle w:val="Tabla"/>
              <w:rPr>
                <w:szCs w:val="20"/>
                <w:lang w:val="es-HN"/>
              </w:rPr>
            </w:pPr>
          </w:p>
        </w:tc>
        <w:tc>
          <w:tcPr>
            <w:tcW w:w="521" w:type="pct"/>
            <w:vMerge/>
            <w:vAlign w:val="center"/>
          </w:tcPr>
          <w:p w14:paraId="517622AE" w14:textId="77777777" w:rsidR="00FB3693" w:rsidRPr="0076589C" w:rsidRDefault="00FB3693" w:rsidP="00FB3693">
            <w:pPr>
              <w:pStyle w:val="Tabla"/>
              <w:jc w:val="center"/>
              <w:rPr>
                <w:szCs w:val="20"/>
                <w:lang w:val="es-HN"/>
              </w:rPr>
            </w:pPr>
          </w:p>
        </w:tc>
        <w:tc>
          <w:tcPr>
            <w:tcW w:w="869" w:type="pct"/>
            <w:vAlign w:val="center"/>
          </w:tcPr>
          <w:p w14:paraId="3B0D684A" w14:textId="77777777" w:rsidR="00FB3693" w:rsidRPr="0076589C" w:rsidRDefault="1C8D6E3A" w:rsidP="00FB3693">
            <w:pPr>
              <w:pStyle w:val="Tabla"/>
              <w:rPr>
                <w:lang w:val="es-HN"/>
              </w:rPr>
            </w:pPr>
            <w:r w:rsidRPr="0076589C">
              <w:rPr>
                <w:lang w:val="es-HN"/>
              </w:rPr>
              <w:t>EBITDA</w:t>
            </w:r>
          </w:p>
          <w:p w14:paraId="3C1D4E8B" w14:textId="3F52DE90" w:rsidR="00FB3693" w:rsidRPr="0076589C" w:rsidRDefault="1C8D6E3A" w:rsidP="00FB3693">
            <w:pPr>
              <w:pStyle w:val="Tabla"/>
              <w:jc w:val="center"/>
              <w:rPr>
                <w:lang w:val="es-HN"/>
              </w:rPr>
            </w:pPr>
            <w:r w:rsidRPr="0076589C">
              <w:rPr>
                <w:sz w:val="16"/>
                <w:szCs w:val="16"/>
                <w:lang w:val="es-HN"/>
              </w:rPr>
              <w:t>= Utilidad bruta – (gastos generales, personal y administrativo)</w:t>
            </w:r>
          </w:p>
        </w:tc>
        <w:tc>
          <w:tcPr>
            <w:tcW w:w="729" w:type="pct"/>
            <w:vMerge/>
            <w:vAlign w:val="center"/>
          </w:tcPr>
          <w:p w14:paraId="4B5B0276" w14:textId="77777777" w:rsidR="00FB3693" w:rsidRPr="0076589C" w:rsidRDefault="00FB3693" w:rsidP="00FB3693">
            <w:pPr>
              <w:pStyle w:val="Tabla"/>
              <w:jc w:val="center"/>
              <w:rPr>
                <w:szCs w:val="20"/>
                <w:lang w:val="es-HN"/>
              </w:rPr>
            </w:pPr>
          </w:p>
        </w:tc>
        <w:tc>
          <w:tcPr>
            <w:tcW w:w="417" w:type="pct"/>
            <w:vMerge/>
            <w:vAlign w:val="center"/>
          </w:tcPr>
          <w:p w14:paraId="7D7A4C25" w14:textId="77777777" w:rsidR="00FB3693" w:rsidRPr="0076589C" w:rsidRDefault="00FB3693" w:rsidP="00FB3693">
            <w:pPr>
              <w:pStyle w:val="Tabla"/>
              <w:rPr>
                <w:szCs w:val="20"/>
                <w:lang w:val="es-HN"/>
              </w:rPr>
            </w:pPr>
          </w:p>
        </w:tc>
        <w:tc>
          <w:tcPr>
            <w:tcW w:w="347" w:type="pct"/>
            <w:vMerge/>
          </w:tcPr>
          <w:p w14:paraId="57C81B21" w14:textId="77777777" w:rsidR="00FB3693" w:rsidRPr="0076589C" w:rsidRDefault="00FB3693" w:rsidP="00FB3693">
            <w:pPr>
              <w:pStyle w:val="Tabla"/>
              <w:rPr>
                <w:szCs w:val="20"/>
                <w:lang w:val="es-HN"/>
              </w:rPr>
            </w:pPr>
          </w:p>
        </w:tc>
        <w:tc>
          <w:tcPr>
            <w:tcW w:w="416" w:type="pct"/>
            <w:vMerge/>
          </w:tcPr>
          <w:p w14:paraId="32C5AC36" w14:textId="77777777" w:rsidR="00FB3693" w:rsidRPr="0076589C" w:rsidRDefault="00FB3693" w:rsidP="00FB3693">
            <w:pPr>
              <w:pStyle w:val="Tabla"/>
              <w:rPr>
                <w:szCs w:val="20"/>
                <w:lang w:val="es-HN"/>
              </w:rPr>
            </w:pPr>
          </w:p>
        </w:tc>
      </w:tr>
      <w:tr w:rsidR="00FB3693" w:rsidRPr="0076589C" w14:paraId="26B57BA5" w14:textId="77777777" w:rsidTr="1C8D6E3A">
        <w:trPr>
          <w:trHeight w:val="719"/>
        </w:trPr>
        <w:tc>
          <w:tcPr>
            <w:tcW w:w="436" w:type="pct"/>
            <w:vMerge/>
            <w:vAlign w:val="center"/>
          </w:tcPr>
          <w:p w14:paraId="5476ED8E" w14:textId="77777777" w:rsidR="00FB3693" w:rsidRPr="0076589C" w:rsidRDefault="00FB3693" w:rsidP="00FB3693">
            <w:pPr>
              <w:pStyle w:val="Tabla"/>
              <w:jc w:val="center"/>
              <w:rPr>
                <w:b/>
                <w:bCs/>
                <w:szCs w:val="20"/>
                <w:lang w:val="es-HN"/>
              </w:rPr>
            </w:pPr>
          </w:p>
        </w:tc>
        <w:tc>
          <w:tcPr>
            <w:tcW w:w="708" w:type="pct"/>
            <w:vMerge/>
            <w:vAlign w:val="center"/>
          </w:tcPr>
          <w:p w14:paraId="718442AA" w14:textId="77777777" w:rsidR="00FB3693" w:rsidRPr="0076589C" w:rsidRDefault="00FB3693" w:rsidP="00FB3693">
            <w:pPr>
              <w:pStyle w:val="Tabla"/>
              <w:rPr>
                <w:szCs w:val="20"/>
                <w:lang w:val="es-HN"/>
              </w:rPr>
            </w:pPr>
          </w:p>
        </w:tc>
        <w:tc>
          <w:tcPr>
            <w:tcW w:w="556" w:type="pct"/>
            <w:vMerge/>
            <w:vAlign w:val="center"/>
          </w:tcPr>
          <w:p w14:paraId="79FE6B0A" w14:textId="77777777" w:rsidR="00FB3693" w:rsidRPr="0076589C" w:rsidRDefault="00FB3693" w:rsidP="00FB3693">
            <w:pPr>
              <w:pStyle w:val="Tabla"/>
              <w:rPr>
                <w:szCs w:val="20"/>
                <w:lang w:val="es-HN"/>
              </w:rPr>
            </w:pPr>
          </w:p>
        </w:tc>
        <w:tc>
          <w:tcPr>
            <w:tcW w:w="521" w:type="pct"/>
            <w:vMerge/>
            <w:vAlign w:val="center"/>
          </w:tcPr>
          <w:p w14:paraId="305D656E" w14:textId="77777777" w:rsidR="00FB3693" w:rsidRPr="0076589C" w:rsidRDefault="00FB3693" w:rsidP="00FB3693">
            <w:pPr>
              <w:pStyle w:val="Tabla"/>
              <w:jc w:val="center"/>
              <w:rPr>
                <w:szCs w:val="20"/>
                <w:lang w:val="es-HN"/>
              </w:rPr>
            </w:pPr>
          </w:p>
        </w:tc>
        <w:tc>
          <w:tcPr>
            <w:tcW w:w="869" w:type="pct"/>
            <w:vAlign w:val="center"/>
          </w:tcPr>
          <w:p w14:paraId="6F0ECD28" w14:textId="77777777" w:rsidR="00FB3693" w:rsidRPr="0076589C" w:rsidRDefault="1C8D6E3A" w:rsidP="00FB3693">
            <w:pPr>
              <w:pStyle w:val="Tabla"/>
              <w:rPr>
                <w:lang w:val="es-HN"/>
              </w:rPr>
            </w:pPr>
            <w:r w:rsidRPr="0076589C">
              <w:t>ROA</w:t>
            </w:r>
          </w:p>
          <w:p w14:paraId="0A08FE1D" w14:textId="00870CD6" w:rsidR="00FB3693" w:rsidRPr="0076589C" w:rsidRDefault="00FB3693" w:rsidP="00FB3693">
            <w:pPr>
              <w:pStyle w:val="Tabla"/>
              <w:jc w:val="center"/>
              <w:rPr>
                <w:sz w:val="16"/>
                <w:szCs w:val="16"/>
                <w:lang w:val="es-HN"/>
              </w:rPr>
            </w:pPr>
            <m:oMathPara>
              <m:oMath>
                <m:r>
                  <w:rPr>
                    <w:rFonts w:ascii="Cambria Math" w:hAnsi="Cambria Math"/>
                    <w:sz w:val="16"/>
                    <w:lang w:val="es-HN"/>
                  </w:rPr>
                  <m:t>=</m:t>
                </m:r>
                <m:f>
                  <m:fPr>
                    <m:ctrlPr>
                      <w:rPr>
                        <w:rFonts w:ascii="Cambria Math" w:hAnsi="Cambria Math"/>
                        <w:i/>
                        <w:sz w:val="16"/>
                        <w:lang w:val="es-HN"/>
                      </w:rPr>
                    </m:ctrlPr>
                  </m:fPr>
                  <m:num>
                    <m:r>
                      <w:rPr>
                        <w:rFonts w:ascii="Cambria Math" w:hAnsi="Cambria Math"/>
                        <w:sz w:val="16"/>
                        <w:lang w:val="es-HN"/>
                      </w:rPr>
                      <m:t>Utilidad neta</m:t>
                    </m:r>
                  </m:num>
                  <m:den>
                    <m:r>
                      <w:rPr>
                        <w:rFonts w:ascii="Cambria Math" w:hAnsi="Cambria Math"/>
                        <w:sz w:val="16"/>
                        <w:lang w:val="es-HN"/>
                      </w:rPr>
                      <m:t>Total de activos</m:t>
                    </m:r>
                  </m:den>
                </m:f>
                <m:r>
                  <w:rPr>
                    <w:rFonts w:ascii="Cambria Math" w:hAnsi="Cambria Math"/>
                    <w:sz w:val="16"/>
                    <w:lang w:val="es-HN"/>
                  </w:rPr>
                  <m:t>x100</m:t>
                </m:r>
              </m:oMath>
            </m:oMathPara>
          </w:p>
        </w:tc>
        <w:tc>
          <w:tcPr>
            <w:tcW w:w="729" w:type="pct"/>
            <w:vMerge/>
            <w:vAlign w:val="center"/>
          </w:tcPr>
          <w:p w14:paraId="16094726" w14:textId="77777777" w:rsidR="00FB3693" w:rsidRPr="0076589C" w:rsidRDefault="00FB3693" w:rsidP="00FB3693">
            <w:pPr>
              <w:pStyle w:val="Tabla"/>
              <w:jc w:val="center"/>
              <w:rPr>
                <w:szCs w:val="20"/>
                <w:lang w:val="es-HN"/>
              </w:rPr>
            </w:pPr>
          </w:p>
        </w:tc>
        <w:tc>
          <w:tcPr>
            <w:tcW w:w="417" w:type="pct"/>
            <w:vMerge/>
            <w:vAlign w:val="center"/>
          </w:tcPr>
          <w:p w14:paraId="7CFB4183" w14:textId="77777777" w:rsidR="00FB3693" w:rsidRPr="0076589C" w:rsidRDefault="00FB3693" w:rsidP="00FB3693">
            <w:pPr>
              <w:pStyle w:val="Tabla"/>
              <w:rPr>
                <w:szCs w:val="20"/>
                <w:lang w:val="es-HN"/>
              </w:rPr>
            </w:pPr>
          </w:p>
        </w:tc>
        <w:tc>
          <w:tcPr>
            <w:tcW w:w="347" w:type="pct"/>
            <w:vMerge/>
          </w:tcPr>
          <w:p w14:paraId="4E0D2E15" w14:textId="77777777" w:rsidR="00FB3693" w:rsidRPr="0076589C" w:rsidRDefault="00FB3693" w:rsidP="00FB3693">
            <w:pPr>
              <w:pStyle w:val="Tabla"/>
              <w:rPr>
                <w:szCs w:val="20"/>
                <w:lang w:val="es-HN"/>
              </w:rPr>
            </w:pPr>
          </w:p>
        </w:tc>
        <w:tc>
          <w:tcPr>
            <w:tcW w:w="416" w:type="pct"/>
            <w:vMerge/>
          </w:tcPr>
          <w:p w14:paraId="6AADC041" w14:textId="77777777" w:rsidR="00FB3693" w:rsidRPr="0076589C" w:rsidRDefault="00FB3693" w:rsidP="00FB3693">
            <w:pPr>
              <w:pStyle w:val="Tabla"/>
              <w:rPr>
                <w:szCs w:val="20"/>
                <w:lang w:val="es-HN"/>
              </w:rPr>
            </w:pPr>
          </w:p>
        </w:tc>
      </w:tr>
      <w:tr w:rsidR="00FB3693" w:rsidRPr="0076589C" w14:paraId="4DE92744" w14:textId="77777777" w:rsidTr="1C8D6E3A">
        <w:trPr>
          <w:trHeight w:val="800"/>
        </w:trPr>
        <w:tc>
          <w:tcPr>
            <w:tcW w:w="436" w:type="pct"/>
            <w:vMerge/>
            <w:vAlign w:val="center"/>
          </w:tcPr>
          <w:p w14:paraId="21FEE8E3" w14:textId="77777777" w:rsidR="00FB3693" w:rsidRPr="0076589C" w:rsidRDefault="00FB3693" w:rsidP="00FB3693">
            <w:pPr>
              <w:pStyle w:val="Tabla"/>
              <w:jc w:val="center"/>
              <w:rPr>
                <w:b/>
                <w:bCs/>
                <w:szCs w:val="20"/>
                <w:lang w:val="es-HN"/>
              </w:rPr>
            </w:pPr>
          </w:p>
        </w:tc>
        <w:tc>
          <w:tcPr>
            <w:tcW w:w="708" w:type="pct"/>
            <w:vMerge/>
            <w:vAlign w:val="center"/>
          </w:tcPr>
          <w:p w14:paraId="4B38FFCA" w14:textId="77777777" w:rsidR="00FB3693" w:rsidRPr="0076589C" w:rsidRDefault="00FB3693" w:rsidP="00FB3693">
            <w:pPr>
              <w:pStyle w:val="Tabla"/>
              <w:rPr>
                <w:szCs w:val="20"/>
                <w:lang w:val="es-HN"/>
              </w:rPr>
            </w:pPr>
          </w:p>
        </w:tc>
        <w:tc>
          <w:tcPr>
            <w:tcW w:w="556" w:type="pct"/>
            <w:vMerge/>
            <w:vAlign w:val="center"/>
          </w:tcPr>
          <w:p w14:paraId="64B9D27B" w14:textId="77777777" w:rsidR="00FB3693" w:rsidRPr="0076589C" w:rsidRDefault="00FB3693" w:rsidP="00FB3693">
            <w:pPr>
              <w:pStyle w:val="Tabla"/>
              <w:rPr>
                <w:szCs w:val="20"/>
                <w:lang w:val="es-HN"/>
              </w:rPr>
            </w:pPr>
          </w:p>
        </w:tc>
        <w:tc>
          <w:tcPr>
            <w:tcW w:w="521" w:type="pct"/>
            <w:vMerge/>
            <w:vAlign w:val="center"/>
          </w:tcPr>
          <w:p w14:paraId="47CC9A51" w14:textId="77777777" w:rsidR="00FB3693" w:rsidRPr="0076589C" w:rsidRDefault="00FB3693" w:rsidP="00FB3693">
            <w:pPr>
              <w:pStyle w:val="Tabla"/>
              <w:jc w:val="center"/>
              <w:rPr>
                <w:szCs w:val="20"/>
                <w:lang w:val="es-HN"/>
              </w:rPr>
            </w:pPr>
          </w:p>
        </w:tc>
        <w:tc>
          <w:tcPr>
            <w:tcW w:w="869" w:type="pct"/>
            <w:vAlign w:val="center"/>
          </w:tcPr>
          <w:p w14:paraId="43ADE50A" w14:textId="77777777" w:rsidR="00FB3693" w:rsidRPr="0076589C" w:rsidRDefault="1C8D6E3A" w:rsidP="00FB3693">
            <w:pPr>
              <w:pStyle w:val="Tabla"/>
              <w:rPr>
                <w:lang w:val="es-HN"/>
              </w:rPr>
            </w:pPr>
            <w:r w:rsidRPr="0076589C">
              <w:t>ROE</w:t>
            </w:r>
          </w:p>
          <w:p w14:paraId="0F48E2E8" w14:textId="0AC322E7" w:rsidR="00FB3693" w:rsidRPr="0076589C" w:rsidRDefault="00FB3693" w:rsidP="00FB3693">
            <w:pPr>
              <w:pStyle w:val="Tabla"/>
              <w:jc w:val="center"/>
              <w:rPr>
                <w:lang w:val="es-HN"/>
              </w:rPr>
            </w:pPr>
            <m:oMathPara>
              <m:oMath>
                <m:r>
                  <w:rPr>
                    <w:rFonts w:ascii="Cambria Math" w:hAnsi="Cambria Math"/>
                    <w:sz w:val="16"/>
                    <w:lang w:val="es-HN"/>
                  </w:rPr>
                  <m:t>=</m:t>
                </m:r>
                <m:f>
                  <m:fPr>
                    <m:ctrlPr>
                      <w:rPr>
                        <w:rFonts w:ascii="Cambria Math" w:hAnsi="Cambria Math"/>
                        <w:i/>
                        <w:sz w:val="16"/>
                        <w:lang w:val="es-HN"/>
                      </w:rPr>
                    </m:ctrlPr>
                  </m:fPr>
                  <m:num>
                    <m:r>
                      <w:rPr>
                        <w:rFonts w:ascii="Cambria Math" w:hAnsi="Cambria Math"/>
                        <w:sz w:val="16"/>
                        <w:lang w:val="es-HN"/>
                      </w:rPr>
                      <m:t>Utilidad neta</m:t>
                    </m:r>
                  </m:num>
                  <m:den>
                    <m:r>
                      <w:rPr>
                        <w:rFonts w:ascii="Cambria Math" w:hAnsi="Cambria Math"/>
                        <w:sz w:val="16"/>
                        <w:lang w:val="es-HN"/>
                      </w:rPr>
                      <m:t>Patrimonio</m:t>
                    </m:r>
                  </m:den>
                </m:f>
                <m:r>
                  <w:rPr>
                    <w:rFonts w:ascii="Cambria Math" w:hAnsi="Cambria Math"/>
                    <w:sz w:val="16"/>
                    <w:lang w:val="es-HN"/>
                  </w:rPr>
                  <m:t>x100</m:t>
                </m:r>
              </m:oMath>
            </m:oMathPara>
          </w:p>
        </w:tc>
        <w:tc>
          <w:tcPr>
            <w:tcW w:w="729" w:type="pct"/>
            <w:vMerge/>
            <w:vAlign w:val="center"/>
          </w:tcPr>
          <w:p w14:paraId="7A358AB6" w14:textId="77777777" w:rsidR="00FB3693" w:rsidRPr="0076589C" w:rsidRDefault="00FB3693" w:rsidP="00FB3693">
            <w:pPr>
              <w:pStyle w:val="Tabla"/>
              <w:jc w:val="center"/>
              <w:rPr>
                <w:szCs w:val="20"/>
                <w:lang w:val="es-HN"/>
              </w:rPr>
            </w:pPr>
          </w:p>
        </w:tc>
        <w:tc>
          <w:tcPr>
            <w:tcW w:w="417" w:type="pct"/>
            <w:vMerge/>
            <w:vAlign w:val="center"/>
          </w:tcPr>
          <w:p w14:paraId="73175D4D" w14:textId="77777777" w:rsidR="00FB3693" w:rsidRPr="0076589C" w:rsidRDefault="00FB3693" w:rsidP="00FB3693">
            <w:pPr>
              <w:pStyle w:val="Tabla"/>
              <w:rPr>
                <w:szCs w:val="20"/>
                <w:lang w:val="es-HN"/>
              </w:rPr>
            </w:pPr>
          </w:p>
        </w:tc>
        <w:tc>
          <w:tcPr>
            <w:tcW w:w="347" w:type="pct"/>
            <w:vMerge/>
          </w:tcPr>
          <w:p w14:paraId="62635678" w14:textId="77777777" w:rsidR="00FB3693" w:rsidRPr="0076589C" w:rsidRDefault="00FB3693" w:rsidP="00FB3693">
            <w:pPr>
              <w:pStyle w:val="Tabla"/>
              <w:rPr>
                <w:szCs w:val="20"/>
                <w:lang w:val="es-HN"/>
              </w:rPr>
            </w:pPr>
          </w:p>
        </w:tc>
        <w:tc>
          <w:tcPr>
            <w:tcW w:w="416" w:type="pct"/>
            <w:vMerge/>
          </w:tcPr>
          <w:p w14:paraId="17F93168" w14:textId="77777777" w:rsidR="00FB3693" w:rsidRPr="0076589C" w:rsidRDefault="00FB3693" w:rsidP="00FB3693">
            <w:pPr>
              <w:pStyle w:val="Tabla"/>
              <w:rPr>
                <w:szCs w:val="20"/>
                <w:lang w:val="es-HN"/>
              </w:rPr>
            </w:pPr>
          </w:p>
        </w:tc>
      </w:tr>
      <w:tr w:rsidR="00FB3693" w:rsidRPr="0076589C" w14:paraId="51D5F3CB" w14:textId="77777777" w:rsidTr="1C8D6E3A">
        <w:trPr>
          <w:trHeight w:val="701"/>
        </w:trPr>
        <w:tc>
          <w:tcPr>
            <w:tcW w:w="436" w:type="pct"/>
            <w:vMerge/>
          </w:tcPr>
          <w:p w14:paraId="6793170F" w14:textId="77777777" w:rsidR="00FB3693" w:rsidRPr="0076589C" w:rsidRDefault="00FB3693" w:rsidP="00FB3693">
            <w:pPr>
              <w:pStyle w:val="Tabla"/>
              <w:rPr>
                <w:szCs w:val="20"/>
                <w:lang w:val="es-HN"/>
              </w:rPr>
            </w:pPr>
          </w:p>
        </w:tc>
        <w:tc>
          <w:tcPr>
            <w:tcW w:w="708" w:type="pct"/>
            <w:vMerge/>
          </w:tcPr>
          <w:p w14:paraId="10E894BC" w14:textId="77777777" w:rsidR="00FB3693" w:rsidRPr="0076589C" w:rsidRDefault="00FB3693" w:rsidP="00FB3693">
            <w:pPr>
              <w:pStyle w:val="Tabla"/>
              <w:rPr>
                <w:szCs w:val="20"/>
                <w:lang w:val="es-HN"/>
              </w:rPr>
            </w:pPr>
          </w:p>
        </w:tc>
        <w:tc>
          <w:tcPr>
            <w:tcW w:w="556" w:type="pct"/>
            <w:vMerge/>
          </w:tcPr>
          <w:p w14:paraId="459EB48E" w14:textId="77777777" w:rsidR="00FB3693" w:rsidRPr="0076589C" w:rsidRDefault="00FB3693" w:rsidP="00FB3693">
            <w:pPr>
              <w:pStyle w:val="Tabla"/>
              <w:rPr>
                <w:szCs w:val="20"/>
                <w:lang w:val="es-HN"/>
              </w:rPr>
            </w:pPr>
          </w:p>
        </w:tc>
        <w:tc>
          <w:tcPr>
            <w:tcW w:w="521" w:type="pct"/>
            <w:vMerge w:val="restart"/>
            <w:vAlign w:val="center"/>
          </w:tcPr>
          <w:p w14:paraId="748197A1" w14:textId="6F71B4C3" w:rsidR="00FB3693" w:rsidRPr="0076589C" w:rsidRDefault="1C8D6E3A" w:rsidP="00FB3693">
            <w:pPr>
              <w:pStyle w:val="Tabla"/>
              <w:jc w:val="center"/>
              <w:rPr>
                <w:lang w:val="es-HN"/>
              </w:rPr>
            </w:pPr>
            <w:r w:rsidRPr="0076589C">
              <w:t>Liquidez</w:t>
            </w:r>
          </w:p>
        </w:tc>
        <w:tc>
          <w:tcPr>
            <w:tcW w:w="869" w:type="pct"/>
          </w:tcPr>
          <w:p w14:paraId="7D2CDFCD" w14:textId="6FC76A6C" w:rsidR="00FB3693" w:rsidRPr="0076589C" w:rsidRDefault="1C8D6E3A" w:rsidP="00FB3693">
            <w:pPr>
              <w:pStyle w:val="Tabla"/>
              <w:rPr>
                <w:lang w:val="es-HN"/>
              </w:rPr>
            </w:pPr>
            <w:r w:rsidRPr="0076589C">
              <w:t>Liquidez corriente</w:t>
            </w:r>
          </w:p>
          <w:p w14:paraId="2AA2F8D8" w14:textId="352C0591" w:rsidR="00FB3693" w:rsidRPr="0076589C" w:rsidRDefault="00FB3693" w:rsidP="00FB3693">
            <w:pPr>
              <w:pStyle w:val="Tabla"/>
              <w:jc w:val="center"/>
              <w:rPr>
                <w:lang w:val="es-HN"/>
              </w:rPr>
            </w:pPr>
            <m:oMathPara>
              <m:oMath>
                <m:r>
                  <w:rPr>
                    <w:rFonts w:ascii="Cambria Math" w:hAnsi="Cambria Math"/>
                    <w:sz w:val="16"/>
                    <w:lang w:val="es-HN"/>
                  </w:rPr>
                  <m:t>=</m:t>
                </m:r>
                <m:f>
                  <m:fPr>
                    <m:ctrlPr>
                      <w:rPr>
                        <w:rFonts w:ascii="Cambria Math" w:hAnsi="Cambria Math"/>
                        <w:i/>
                        <w:sz w:val="16"/>
                        <w:lang w:val="es-HN"/>
                      </w:rPr>
                    </m:ctrlPr>
                  </m:fPr>
                  <m:num>
                    <m:r>
                      <w:rPr>
                        <w:rFonts w:ascii="Cambria Math" w:hAnsi="Cambria Math"/>
                        <w:sz w:val="16"/>
                        <w:lang w:val="es-HN"/>
                      </w:rPr>
                      <m:t>Activos corrientes</m:t>
                    </m:r>
                  </m:num>
                  <m:den>
                    <m:r>
                      <w:rPr>
                        <w:rFonts w:ascii="Cambria Math" w:hAnsi="Cambria Math"/>
                        <w:sz w:val="16"/>
                        <w:lang w:val="es-HN"/>
                      </w:rPr>
                      <m:t>Pasivos corrientes</m:t>
                    </m:r>
                  </m:den>
                </m:f>
              </m:oMath>
            </m:oMathPara>
          </w:p>
        </w:tc>
        <w:tc>
          <w:tcPr>
            <w:tcW w:w="729" w:type="pct"/>
            <w:vMerge w:val="restart"/>
            <w:vAlign w:val="center"/>
          </w:tcPr>
          <w:p w14:paraId="49314BF6" w14:textId="46A28FA4" w:rsidR="00FB3693" w:rsidRPr="0076589C" w:rsidRDefault="1C8D6E3A" w:rsidP="00FB3693">
            <w:pPr>
              <w:pStyle w:val="Tabla"/>
              <w:jc w:val="center"/>
              <w:rPr>
                <w:lang w:val="es-HN"/>
              </w:rPr>
            </w:pPr>
            <w:r w:rsidRPr="0076589C">
              <w:t>N/A</w:t>
            </w:r>
          </w:p>
        </w:tc>
        <w:tc>
          <w:tcPr>
            <w:tcW w:w="417" w:type="pct"/>
            <w:vMerge/>
          </w:tcPr>
          <w:p w14:paraId="033BFFE0" w14:textId="77777777" w:rsidR="00FB3693" w:rsidRPr="0076589C" w:rsidRDefault="00FB3693" w:rsidP="00FB3693">
            <w:pPr>
              <w:pStyle w:val="Tabla"/>
              <w:rPr>
                <w:szCs w:val="20"/>
                <w:lang w:val="es-HN"/>
              </w:rPr>
            </w:pPr>
          </w:p>
        </w:tc>
        <w:tc>
          <w:tcPr>
            <w:tcW w:w="347" w:type="pct"/>
            <w:vMerge/>
          </w:tcPr>
          <w:p w14:paraId="2FD3F03E" w14:textId="77777777" w:rsidR="00FB3693" w:rsidRPr="0076589C" w:rsidRDefault="00FB3693" w:rsidP="00FB3693">
            <w:pPr>
              <w:pStyle w:val="Tabla"/>
              <w:rPr>
                <w:szCs w:val="20"/>
                <w:lang w:val="es-HN"/>
              </w:rPr>
            </w:pPr>
          </w:p>
        </w:tc>
        <w:tc>
          <w:tcPr>
            <w:tcW w:w="416" w:type="pct"/>
            <w:vMerge/>
          </w:tcPr>
          <w:p w14:paraId="70B45962" w14:textId="77777777" w:rsidR="00FB3693" w:rsidRPr="0076589C" w:rsidRDefault="00FB3693" w:rsidP="00FB3693">
            <w:pPr>
              <w:pStyle w:val="Tabla"/>
              <w:rPr>
                <w:szCs w:val="20"/>
                <w:lang w:val="es-HN"/>
              </w:rPr>
            </w:pPr>
          </w:p>
        </w:tc>
      </w:tr>
      <w:tr w:rsidR="00FB3693" w:rsidRPr="0076589C" w14:paraId="64B69ED8" w14:textId="77777777" w:rsidTr="1C8D6E3A">
        <w:trPr>
          <w:trHeight w:val="629"/>
        </w:trPr>
        <w:tc>
          <w:tcPr>
            <w:tcW w:w="436" w:type="pct"/>
            <w:vMerge/>
          </w:tcPr>
          <w:p w14:paraId="591323B3" w14:textId="77777777" w:rsidR="00FB3693" w:rsidRPr="0076589C" w:rsidRDefault="00FB3693" w:rsidP="00FB3693">
            <w:pPr>
              <w:pStyle w:val="Tabla"/>
              <w:rPr>
                <w:szCs w:val="20"/>
                <w:lang w:val="es-HN"/>
              </w:rPr>
            </w:pPr>
          </w:p>
        </w:tc>
        <w:tc>
          <w:tcPr>
            <w:tcW w:w="708" w:type="pct"/>
            <w:vMerge/>
          </w:tcPr>
          <w:p w14:paraId="4E4D7C98" w14:textId="77777777" w:rsidR="00FB3693" w:rsidRPr="0076589C" w:rsidRDefault="00FB3693" w:rsidP="00FB3693">
            <w:pPr>
              <w:pStyle w:val="Tabla"/>
              <w:rPr>
                <w:szCs w:val="20"/>
                <w:lang w:val="es-HN"/>
              </w:rPr>
            </w:pPr>
          </w:p>
        </w:tc>
        <w:tc>
          <w:tcPr>
            <w:tcW w:w="556" w:type="pct"/>
            <w:vMerge/>
          </w:tcPr>
          <w:p w14:paraId="0DB1A2A5" w14:textId="77777777" w:rsidR="00FB3693" w:rsidRPr="0076589C" w:rsidRDefault="00FB3693" w:rsidP="00FB3693">
            <w:pPr>
              <w:pStyle w:val="Tabla"/>
              <w:rPr>
                <w:szCs w:val="20"/>
                <w:lang w:val="es-HN"/>
              </w:rPr>
            </w:pPr>
          </w:p>
        </w:tc>
        <w:tc>
          <w:tcPr>
            <w:tcW w:w="521" w:type="pct"/>
            <w:vMerge/>
          </w:tcPr>
          <w:p w14:paraId="72B95C18" w14:textId="77777777" w:rsidR="00FB3693" w:rsidRPr="0076589C" w:rsidRDefault="00FB3693" w:rsidP="00FB3693">
            <w:pPr>
              <w:pStyle w:val="Tabla"/>
              <w:rPr>
                <w:szCs w:val="20"/>
                <w:lang w:val="es-HN"/>
              </w:rPr>
            </w:pPr>
          </w:p>
        </w:tc>
        <w:tc>
          <w:tcPr>
            <w:tcW w:w="869" w:type="pct"/>
          </w:tcPr>
          <w:p w14:paraId="41F297F8" w14:textId="77777777" w:rsidR="00FB3693" w:rsidRPr="0076589C" w:rsidRDefault="1C8D6E3A" w:rsidP="00FB3693">
            <w:pPr>
              <w:pStyle w:val="Tabla"/>
              <w:rPr>
                <w:lang w:val="es-HN"/>
              </w:rPr>
            </w:pPr>
            <w:r w:rsidRPr="0076589C">
              <w:t xml:space="preserve">Razón rápida </w:t>
            </w:r>
          </w:p>
          <w:p w14:paraId="4C0F01D9" w14:textId="4C9BC422" w:rsidR="00FB3693" w:rsidRPr="0076589C" w:rsidRDefault="00FB3693" w:rsidP="00FB3693">
            <w:pPr>
              <w:pStyle w:val="Tabla"/>
              <w:jc w:val="center"/>
              <w:rPr>
                <w:lang w:val="es-HN"/>
              </w:rPr>
            </w:pPr>
            <m:oMathPara>
              <m:oMath>
                <m:r>
                  <w:rPr>
                    <w:rFonts w:ascii="Cambria Math" w:hAnsi="Cambria Math"/>
                    <w:sz w:val="12"/>
                    <w:szCs w:val="14"/>
                    <w:lang w:val="es-HN"/>
                  </w:rPr>
                  <m:t>=</m:t>
                </m:r>
                <m:f>
                  <m:fPr>
                    <m:ctrlPr>
                      <w:rPr>
                        <w:rFonts w:ascii="Cambria Math" w:hAnsi="Cambria Math"/>
                        <w:i/>
                        <w:sz w:val="12"/>
                        <w:szCs w:val="14"/>
                        <w:lang w:val="es-HN"/>
                      </w:rPr>
                    </m:ctrlPr>
                  </m:fPr>
                  <m:num>
                    <m:r>
                      <w:rPr>
                        <w:rFonts w:ascii="Cambria Math" w:hAnsi="Cambria Math"/>
                        <w:sz w:val="12"/>
                        <w:szCs w:val="14"/>
                        <w:lang w:val="es-HN"/>
                      </w:rPr>
                      <m:t>(Activos corrientes-Inventarios)</m:t>
                    </m:r>
                  </m:num>
                  <m:den>
                    <m:r>
                      <w:rPr>
                        <w:rFonts w:ascii="Cambria Math" w:hAnsi="Cambria Math"/>
                        <w:sz w:val="12"/>
                        <w:szCs w:val="14"/>
                        <w:lang w:val="es-HN"/>
                      </w:rPr>
                      <m:t>Pasivos corrientes</m:t>
                    </m:r>
                  </m:den>
                </m:f>
              </m:oMath>
            </m:oMathPara>
          </w:p>
        </w:tc>
        <w:tc>
          <w:tcPr>
            <w:tcW w:w="729" w:type="pct"/>
            <w:vMerge/>
            <w:vAlign w:val="center"/>
          </w:tcPr>
          <w:p w14:paraId="76C6C8DB" w14:textId="77777777" w:rsidR="00FB3693" w:rsidRPr="0076589C" w:rsidRDefault="00FB3693" w:rsidP="00FB3693">
            <w:pPr>
              <w:pStyle w:val="Tabla"/>
              <w:jc w:val="center"/>
              <w:rPr>
                <w:szCs w:val="20"/>
                <w:lang w:val="es-HN"/>
              </w:rPr>
            </w:pPr>
          </w:p>
        </w:tc>
        <w:tc>
          <w:tcPr>
            <w:tcW w:w="417" w:type="pct"/>
            <w:vMerge/>
          </w:tcPr>
          <w:p w14:paraId="43147065" w14:textId="77777777" w:rsidR="00FB3693" w:rsidRPr="0076589C" w:rsidRDefault="00FB3693" w:rsidP="00FB3693">
            <w:pPr>
              <w:pStyle w:val="Tabla"/>
              <w:rPr>
                <w:szCs w:val="20"/>
                <w:lang w:val="es-HN"/>
              </w:rPr>
            </w:pPr>
          </w:p>
        </w:tc>
        <w:tc>
          <w:tcPr>
            <w:tcW w:w="347" w:type="pct"/>
            <w:vMerge/>
          </w:tcPr>
          <w:p w14:paraId="0228AFD5" w14:textId="77777777" w:rsidR="00FB3693" w:rsidRPr="0076589C" w:rsidRDefault="00FB3693" w:rsidP="00FB3693">
            <w:pPr>
              <w:pStyle w:val="Tabla"/>
              <w:rPr>
                <w:szCs w:val="20"/>
                <w:lang w:val="es-HN"/>
              </w:rPr>
            </w:pPr>
          </w:p>
        </w:tc>
        <w:tc>
          <w:tcPr>
            <w:tcW w:w="416" w:type="pct"/>
            <w:vMerge/>
          </w:tcPr>
          <w:p w14:paraId="6DEE2963" w14:textId="77777777" w:rsidR="00FB3693" w:rsidRPr="0076589C" w:rsidRDefault="00FB3693" w:rsidP="00FB3693">
            <w:pPr>
              <w:pStyle w:val="Tabla"/>
              <w:rPr>
                <w:szCs w:val="20"/>
                <w:lang w:val="es-HN"/>
              </w:rPr>
            </w:pPr>
          </w:p>
        </w:tc>
      </w:tr>
      <w:tr w:rsidR="00FB3693" w:rsidRPr="0076589C" w14:paraId="1E24C4A0" w14:textId="77777777" w:rsidTr="1C8D6E3A">
        <w:trPr>
          <w:trHeight w:val="710"/>
        </w:trPr>
        <w:tc>
          <w:tcPr>
            <w:tcW w:w="436" w:type="pct"/>
            <w:vMerge/>
          </w:tcPr>
          <w:p w14:paraId="4E8308FF" w14:textId="77777777" w:rsidR="00FB3693" w:rsidRPr="0076589C" w:rsidRDefault="00FB3693" w:rsidP="00FB3693">
            <w:pPr>
              <w:pStyle w:val="Tabla"/>
              <w:rPr>
                <w:szCs w:val="20"/>
                <w:lang w:val="es-HN"/>
              </w:rPr>
            </w:pPr>
          </w:p>
        </w:tc>
        <w:tc>
          <w:tcPr>
            <w:tcW w:w="708" w:type="pct"/>
            <w:vMerge/>
          </w:tcPr>
          <w:p w14:paraId="13FCECCA" w14:textId="77777777" w:rsidR="00FB3693" w:rsidRPr="0076589C" w:rsidRDefault="00FB3693" w:rsidP="00FB3693">
            <w:pPr>
              <w:pStyle w:val="Tabla"/>
              <w:rPr>
                <w:szCs w:val="20"/>
                <w:lang w:val="es-HN"/>
              </w:rPr>
            </w:pPr>
          </w:p>
        </w:tc>
        <w:tc>
          <w:tcPr>
            <w:tcW w:w="556" w:type="pct"/>
            <w:vMerge/>
          </w:tcPr>
          <w:p w14:paraId="6914C62A" w14:textId="77777777" w:rsidR="00FB3693" w:rsidRPr="0076589C" w:rsidRDefault="00FB3693" w:rsidP="00FB3693">
            <w:pPr>
              <w:pStyle w:val="Tabla"/>
              <w:rPr>
                <w:szCs w:val="20"/>
                <w:lang w:val="es-HN"/>
              </w:rPr>
            </w:pPr>
          </w:p>
        </w:tc>
        <w:tc>
          <w:tcPr>
            <w:tcW w:w="521" w:type="pct"/>
            <w:vMerge/>
          </w:tcPr>
          <w:p w14:paraId="5D032FB8" w14:textId="77777777" w:rsidR="00FB3693" w:rsidRPr="0076589C" w:rsidRDefault="00FB3693" w:rsidP="00FB3693">
            <w:pPr>
              <w:pStyle w:val="Tabla"/>
              <w:rPr>
                <w:szCs w:val="20"/>
                <w:lang w:val="es-HN"/>
              </w:rPr>
            </w:pPr>
          </w:p>
        </w:tc>
        <w:tc>
          <w:tcPr>
            <w:tcW w:w="869" w:type="pct"/>
          </w:tcPr>
          <w:p w14:paraId="36A2B7F2" w14:textId="77777777" w:rsidR="00FB3693" w:rsidRPr="0076589C" w:rsidRDefault="1C8D6E3A" w:rsidP="00FB3693">
            <w:pPr>
              <w:pStyle w:val="Tabla"/>
              <w:rPr>
                <w:lang w:val="es-HN"/>
              </w:rPr>
            </w:pPr>
            <w:r w:rsidRPr="0076589C">
              <w:t>Razón de efectivo</w:t>
            </w:r>
          </w:p>
          <w:p w14:paraId="5E4A865A" w14:textId="48406739" w:rsidR="00FB3693" w:rsidRPr="0076589C" w:rsidRDefault="00FB3693" w:rsidP="00FB3693">
            <w:pPr>
              <w:pStyle w:val="Tabla"/>
              <w:jc w:val="center"/>
              <w:rPr>
                <w:sz w:val="16"/>
                <w:szCs w:val="16"/>
                <w:lang w:val="es-HN"/>
              </w:rPr>
            </w:pPr>
            <m:oMathPara>
              <m:oMath>
                <m:r>
                  <w:rPr>
                    <w:rFonts w:ascii="Cambria Math" w:hAnsi="Cambria Math"/>
                    <w:sz w:val="16"/>
                    <w:lang w:val="es-HN"/>
                  </w:rPr>
                  <m:t>=</m:t>
                </m:r>
                <m:f>
                  <m:fPr>
                    <m:ctrlPr>
                      <w:rPr>
                        <w:rFonts w:ascii="Cambria Math" w:hAnsi="Cambria Math"/>
                        <w:i/>
                        <w:sz w:val="16"/>
                        <w:lang w:val="es-HN"/>
                      </w:rPr>
                    </m:ctrlPr>
                  </m:fPr>
                  <m:num>
                    <m:r>
                      <w:rPr>
                        <w:rFonts w:ascii="Cambria Math" w:hAnsi="Cambria Math"/>
                        <w:sz w:val="16"/>
                        <w:lang w:val="es-HN"/>
                      </w:rPr>
                      <m:t>Efectivo</m:t>
                    </m:r>
                  </m:num>
                  <m:den>
                    <m:r>
                      <w:rPr>
                        <w:rFonts w:ascii="Cambria Math" w:hAnsi="Cambria Math"/>
                        <w:sz w:val="16"/>
                        <w:lang w:val="es-HN"/>
                      </w:rPr>
                      <m:t>Pasivos corrientes</m:t>
                    </m:r>
                  </m:den>
                </m:f>
              </m:oMath>
            </m:oMathPara>
          </w:p>
        </w:tc>
        <w:tc>
          <w:tcPr>
            <w:tcW w:w="729" w:type="pct"/>
            <w:vMerge/>
            <w:vAlign w:val="center"/>
          </w:tcPr>
          <w:p w14:paraId="6C1102BC" w14:textId="77777777" w:rsidR="00FB3693" w:rsidRPr="0076589C" w:rsidRDefault="00FB3693" w:rsidP="00FB3693">
            <w:pPr>
              <w:pStyle w:val="Tabla"/>
              <w:jc w:val="center"/>
              <w:rPr>
                <w:szCs w:val="20"/>
                <w:lang w:val="es-HN"/>
              </w:rPr>
            </w:pPr>
          </w:p>
        </w:tc>
        <w:tc>
          <w:tcPr>
            <w:tcW w:w="417" w:type="pct"/>
            <w:vMerge/>
          </w:tcPr>
          <w:p w14:paraId="63A2D08B" w14:textId="77777777" w:rsidR="00FB3693" w:rsidRPr="0076589C" w:rsidRDefault="00FB3693" w:rsidP="00FB3693">
            <w:pPr>
              <w:pStyle w:val="Tabla"/>
              <w:rPr>
                <w:szCs w:val="20"/>
                <w:lang w:val="es-HN"/>
              </w:rPr>
            </w:pPr>
          </w:p>
        </w:tc>
        <w:tc>
          <w:tcPr>
            <w:tcW w:w="347" w:type="pct"/>
            <w:vMerge/>
          </w:tcPr>
          <w:p w14:paraId="78275436" w14:textId="77777777" w:rsidR="00FB3693" w:rsidRPr="0076589C" w:rsidRDefault="00FB3693" w:rsidP="00FB3693">
            <w:pPr>
              <w:pStyle w:val="Tabla"/>
              <w:rPr>
                <w:szCs w:val="20"/>
                <w:lang w:val="es-HN"/>
              </w:rPr>
            </w:pPr>
          </w:p>
        </w:tc>
        <w:tc>
          <w:tcPr>
            <w:tcW w:w="416" w:type="pct"/>
            <w:vMerge/>
          </w:tcPr>
          <w:p w14:paraId="17D69527" w14:textId="77777777" w:rsidR="00FB3693" w:rsidRPr="0076589C" w:rsidRDefault="00FB3693" w:rsidP="00FB3693">
            <w:pPr>
              <w:pStyle w:val="Tabla"/>
              <w:rPr>
                <w:szCs w:val="20"/>
                <w:lang w:val="es-HN"/>
              </w:rPr>
            </w:pPr>
          </w:p>
        </w:tc>
      </w:tr>
      <w:tr w:rsidR="00FB3693" w:rsidRPr="0076589C" w14:paraId="456754BE" w14:textId="77777777" w:rsidTr="1C8D6E3A">
        <w:trPr>
          <w:trHeight w:val="710"/>
        </w:trPr>
        <w:tc>
          <w:tcPr>
            <w:tcW w:w="436" w:type="pct"/>
            <w:vMerge/>
          </w:tcPr>
          <w:p w14:paraId="17F6A1DE" w14:textId="77777777" w:rsidR="00FB3693" w:rsidRPr="0076589C" w:rsidRDefault="00FB3693" w:rsidP="00FB3693">
            <w:pPr>
              <w:pStyle w:val="Tabla"/>
              <w:rPr>
                <w:szCs w:val="20"/>
                <w:lang w:val="es-HN"/>
              </w:rPr>
            </w:pPr>
          </w:p>
        </w:tc>
        <w:tc>
          <w:tcPr>
            <w:tcW w:w="708" w:type="pct"/>
            <w:vMerge/>
          </w:tcPr>
          <w:p w14:paraId="6BAC836F" w14:textId="77777777" w:rsidR="00FB3693" w:rsidRPr="0076589C" w:rsidRDefault="00FB3693" w:rsidP="00FB3693">
            <w:pPr>
              <w:pStyle w:val="Tabla"/>
              <w:rPr>
                <w:szCs w:val="20"/>
                <w:lang w:val="es-HN"/>
              </w:rPr>
            </w:pPr>
          </w:p>
        </w:tc>
        <w:tc>
          <w:tcPr>
            <w:tcW w:w="556" w:type="pct"/>
            <w:vMerge/>
          </w:tcPr>
          <w:p w14:paraId="543B2598" w14:textId="77777777" w:rsidR="00FB3693" w:rsidRPr="0076589C" w:rsidRDefault="00FB3693" w:rsidP="00FB3693">
            <w:pPr>
              <w:pStyle w:val="Tabla"/>
              <w:rPr>
                <w:szCs w:val="20"/>
                <w:lang w:val="es-HN"/>
              </w:rPr>
            </w:pPr>
          </w:p>
        </w:tc>
        <w:tc>
          <w:tcPr>
            <w:tcW w:w="521" w:type="pct"/>
            <w:vMerge w:val="restart"/>
            <w:vAlign w:val="center"/>
          </w:tcPr>
          <w:p w14:paraId="7C1E2430" w14:textId="1E6D361D" w:rsidR="00FB3693" w:rsidRPr="0076589C" w:rsidRDefault="1C8D6E3A" w:rsidP="00FB3693">
            <w:pPr>
              <w:pStyle w:val="Tabla"/>
              <w:jc w:val="center"/>
              <w:rPr>
                <w:lang w:val="es-HN"/>
              </w:rPr>
            </w:pPr>
            <w:r w:rsidRPr="0076589C">
              <w:t>Endeudamiento</w:t>
            </w:r>
          </w:p>
        </w:tc>
        <w:tc>
          <w:tcPr>
            <w:tcW w:w="869" w:type="pct"/>
          </w:tcPr>
          <w:p w14:paraId="168E763D" w14:textId="72D395A3" w:rsidR="00FB3693" w:rsidRPr="0076589C" w:rsidRDefault="1C8D6E3A" w:rsidP="00FB3693">
            <w:pPr>
              <w:pStyle w:val="Tabla"/>
              <w:rPr>
                <w:u w:val="single"/>
                <w:lang w:val="es-HN"/>
              </w:rPr>
            </w:pPr>
            <w:r w:rsidRPr="0076589C">
              <w:t>Estructura de capital</w:t>
            </w:r>
          </w:p>
          <w:p w14:paraId="2B5F3BD3" w14:textId="5331E6E6" w:rsidR="00FB3693" w:rsidRPr="0076589C" w:rsidRDefault="00FB3693" w:rsidP="00FB3693">
            <w:pPr>
              <w:pStyle w:val="Tabla"/>
              <w:jc w:val="center"/>
              <w:rPr>
                <w:lang w:val="es-HN"/>
              </w:rPr>
            </w:pPr>
            <m:oMathPara>
              <m:oMath>
                <m:r>
                  <w:rPr>
                    <w:rFonts w:ascii="Cambria Math" w:hAnsi="Cambria Math"/>
                    <w:sz w:val="16"/>
                    <w:lang w:val="es-HN"/>
                  </w:rPr>
                  <m:t>=</m:t>
                </m:r>
                <m:f>
                  <m:fPr>
                    <m:ctrlPr>
                      <w:rPr>
                        <w:rFonts w:ascii="Cambria Math" w:hAnsi="Cambria Math"/>
                        <w:i/>
                        <w:sz w:val="16"/>
                        <w:lang w:val="es-HN"/>
                      </w:rPr>
                    </m:ctrlPr>
                  </m:fPr>
                  <m:num>
                    <m:r>
                      <w:rPr>
                        <w:rFonts w:ascii="Cambria Math" w:hAnsi="Cambria Math"/>
                        <w:sz w:val="16"/>
                        <w:lang w:val="es-HN"/>
                      </w:rPr>
                      <m:t>Pasivos</m:t>
                    </m:r>
                  </m:num>
                  <m:den>
                    <m:r>
                      <w:rPr>
                        <w:rFonts w:ascii="Cambria Math" w:hAnsi="Cambria Math"/>
                        <w:sz w:val="16"/>
                        <w:lang w:val="es-HN"/>
                      </w:rPr>
                      <m:t>Patrimonio</m:t>
                    </m:r>
                  </m:den>
                </m:f>
              </m:oMath>
            </m:oMathPara>
          </w:p>
        </w:tc>
        <w:tc>
          <w:tcPr>
            <w:tcW w:w="729" w:type="pct"/>
            <w:vMerge w:val="restart"/>
            <w:vAlign w:val="center"/>
          </w:tcPr>
          <w:p w14:paraId="7F86E730" w14:textId="14F44368" w:rsidR="00FB3693" w:rsidRPr="0076589C" w:rsidRDefault="1C8D6E3A" w:rsidP="00FB3693">
            <w:pPr>
              <w:pStyle w:val="Tabla"/>
              <w:jc w:val="center"/>
              <w:rPr>
                <w:lang w:val="es-HN"/>
              </w:rPr>
            </w:pPr>
            <w:r w:rsidRPr="0076589C">
              <w:t>N/A</w:t>
            </w:r>
          </w:p>
        </w:tc>
        <w:tc>
          <w:tcPr>
            <w:tcW w:w="417" w:type="pct"/>
            <w:vMerge/>
          </w:tcPr>
          <w:p w14:paraId="75601EF6" w14:textId="77777777" w:rsidR="00FB3693" w:rsidRPr="0076589C" w:rsidRDefault="00FB3693" w:rsidP="00FB3693">
            <w:pPr>
              <w:pStyle w:val="Tabla"/>
              <w:rPr>
                <w:szCs w:val="20"/>
                <w:lang w:val="es-HN"/>
              </w:rPr>
            </w:pPr>
          </w:p>
        </w:tc>
        <w:tc>
          <w:tcPr>
            <w:tcW w:w="347" w:type="pct"/>
            <w:vMerge/>
          </w:tcPr>
          <w:p w14:paraId="0390AD65" w14:textId="77777777" w:rsidR="00FB3693" w:rsidRPr="0076589C" w:rsidRDefault="00FB3693" w:rsidP="00FB3693">
            <w:pPr>
              <w:pStyle w:val="Tabla"/>
              <w:rPr>
                <w:szCs w:val="20"/>
                <w:lang w:val="es-HN"/>
              </w:rPr>
            </w:pPr>
          </w:p>
        </w:tc>
        <w:tc>
          <w:tcPr>
            <w:tcW w:w="416" w:type="pct"/>
            <w:vMerge/>
          </w:tcPr>
          <w:p w14:paraId="6058B011" w14:textId="77777777" w:rsidR="00FB3693" w:rsidRPr="0076589C" w:rsidRDefault="00FB3693" w:rsidP="00FB3693">
            <w:pPr>
              <w:pStyle w:val="Tabla"/>
              <w:rPr>
                <w:szCs w:val="20"/>
                <w:lang w:val="es-HN"/>
              </w:rPr>
            </w:pPr>
          </w:p>
        </w:tc>
      </w:tr>
      <w:tr w:rsidR="00FB3693" w:rsidRPr="0076589C" w14:paraId="76EAD690" w14:textId="77777777" w:rsidTr="1C8D6E3A">
        <w:trPr>
          <w:trHeight w:val="710"/>
        </w:trPr>
        <w:tc>
          <w:tcPr>
            <w:tcW w:w="436" w:type="pct"/>
            <w:vMerge/>
          </w:tcPr>
          <w:p w14:paraId="6157A7D7" w14:textId="77777777" w:rsidR="00FB3693" w:rsidRPr="0076589C" w:rsidRDefault="00FB3693" w:rsidP="00FB3693">
            <w:pPr>
              <w:pStyle w:val="Tabla"/>
              <w:rPr>
                <w:szCs w:val="20"/>
                <w:lang w:val="es-HN"/>
              </w:rPr>
            </w:pPr>
          </w:p>
        </w:tc>
        <w:tc>
          <w:tcPr>
            <w:tcW w:w="708" w:type="pct"/>
            <w:vMerge/>
          </w:tcPr>
          <w:p w14:paraId="7ACECA94" w14:textId="77777777" w:rsidR="00FB3693" w:rsidRPr="0076589C" w:rsidRDefault="00FB3693" w:rsidP="00FB3693">
            <w:pPr>
              <w:pStyle w:val="Tabla"/>
              <w:rPr>
                <w:szCs w:val="20"/>
                <w:lang w:val="es-HN"/>
              </w:rPr>
            </w:pPr>
          </w:p>
        </w:tc>
        <w:tc>
          <w:tcPr>
            <w:tcW w:w="556" w:type="pct"/>
            <w:vMerge/>
          </w:tcPr>
          <w:p w14:paraId="6A3E8A0C" w14:textId="77777777" w:rsidR="00FB3693" w:rsidRPr="0076589C" w:rsidRDefault="00FB3693" w:rsidP="00FB3693">
            <w:pPr>
              <w:pStyle w:val="Tabla"/>
              <w:rPr>
                <w:szCs w:val="20"/>
                <w:lang w:val="es-HN"/>
              </w:rPr>
            </w:pPr>
          </w:p>
        </w:tc>
        <w:tc>
          <w:tcPr>
            <w:tcW w:w="521" w:type="pct"/>
            <w:vMerge/>
          </w:tcPr>
          <w:p w14:paraId="7C42D8FB" w14:textId="77777777" w:rsidR="00FB3693" w:rsidRPr="0076589C" w:rsidRDefault="00FB3693" w:rsidP="00FB3693">
            <w:pPr>
              <w:pStyle w:val="Tabla"/>
              <w:rPr>
                <w:szCs w:val="20"/>
                <w:lang w:val="es-HN"/>
              </w:rPr>
            </w:pPr>
          </w:p>
        </w:tc>
        <w:tc>
          <w:tcPr>
            <w:tcW w:w="869" w:type="pct"/>
          </w:tcPr>
          <w:p w14:paraId="129D16F7" w14:textId="77777777" w:rsidR="00FB3693" w:rsidRPr="0076589C" w:rsidRDefault="1C8D6E3A" w:rsidP="00FB3693">
            <w:pPr>
              <w:pStyle w:val="Tabla"/>
              <w:rPr>
                <w:lang w:val="es-HN"/>
              </w:rPr>
            </w:pPr>
            <w:r w:rsidRPr="0076589C">
              <w:t xml:space="preserve">Índice de endeudamiento </w:t>
            </w:r>
          </w:p>
          <w:p w14:paraId="2B8B013B" w14:textId="2570D207" w:rsidR="00FB3693" w:rsidRPr="0076589C" w:rsidRDefault="00FB3693" w:rsidP="00FB3693">
            <w:pPr>
              <w:pStyle w:val="Tabla"/>
              <w:jc w:val="center"/>
              <w:rPr>
                <w:lang w:val="es-HN"/>
              </w:rPr>
            </w:pPr>
            <m:oMathPara>
              <m:oMath>
                <m:r>
                  <w:rPr>
                    <w:rFonts w:ascii="Cambria Math" w:hAnsi="Cambria Math"/>
                    <w:sz w:val="16"/>
                    <w:lang w:val="es-HN"/>
                  </w:rPr>
                  <m:t>=</m:t>
                </m:r>
                <m:f>
                  <m:fPr>
                    <m:ctrlPr>
                      <w:rPr>
                        <w:rFonts w:ascii="Cambria Math" w:hAnsi="Cambria Math"/>
                        <w:i/>
                        <w:sz w:val="16"/>
                        <w:lang w:val="es-HN"/>
                      </w:rPr>
                    </m:ctrlPr>
                  </m:fPr>
                  <m:num>
                    <m:r>
                      <w:rPr>
                        <w:rFonts w:ascii="Cambria Math" w:hAnsi="Cambria Math"/>
                        <w:sz w:val="16"/>
                        <w:lang w:val="es-HN"/>
                      </w:rPr>
                      <m:t>Total pasivos</m:t>
                    </m:r>
                  </m:num>
                  <m:den>
                    <m:r>
                      <w:rPr>
                        <w:rFonts w:ascii="Cambria Math" w:hAnsi="Cambria Math"/>
                        <w:sz w:val="16"/>
                        <w:lang w:val="es-HN"/>
                      </w:rPr>
                      <m:t>Total activos</m:t>
                    </m:r>
                  </m:den>
                </m:f>
              </m:oMath>
            </m:oMathPara>
          </w:p>
        </w:tc>
        <w:tc>
          <w:tcPr>
            <w:tcW w:w="729" w:type="pct"/>
            <w:vMerge/>
            <w:vAlign w:val="center"/>
          </w:tcPr>
          <w:p w14:paraId="0EBB0B94" w14:textId="77777777" w:rsidR="00FB3693" w:rsidRPr="0076589C" w:rsidRDefault="00FB3693" w:rsidP="00FB3693">
            <w:pPr>
              <w:pStyle w:val="Tabla"/>
              <w:rPr>
                <w:szCs w:val="20"/>
                <w:lang w:val="es-HN"/>
              </w:rPr>
            </w:pPr>
          </w:p>
        </w:tc>
        <w:tc>
          <w:tcPr>
            <w:tcW w:w="417" w:type="pct"/>
            <w:vMerge/>
          </w:tcPr>
          <w:p w14:paraId="38B7E9C2" w14:textId="77777777" w:rsidR="00FB3693" w:rsidRPr="0076589C" w:rsidRDefault="00FB3693" w:rsidP="00FB3693">
            <w:pPr>
              <w:pStyle w:val="Tabla"/>
              <w:rPr>
                <w:szCs w:val="20"/>
                <w:lang w:val="es-HN"/>
              </w:rPr>
            </w:pPr>
          </w:p>
        </w:tc>
        <w:tc>
          <w:tcPr>
            <w:tcW w:w="347" w:type="pct"/>
            <w:vMerge/>
          </w:tcPr>
          <w:p w14:paraId="028F8BC6" w14:textId="77777777" w:rsidR="00FB3693" w:rsidRPr="0076589C" w:rsidRDefault="00FB3693" w:rsidP="00FB3693">
            <w:pPr>
              <w:pStyle w:val="Tabla"/>
              <w:rPr>
                <w:szCs w:val="20"/>
                <w:lang w:val="es-HN"/>
              </w:rPr>
            </w:pPr>
          </w:p>
        </w:tc>
        <w:tc>
          <w:tcPr>
            <w:tcW w:w="416" w:type="pct"/>
            <w:vMerge/>
          </w:tcPr>
          <w:p w14:paraId="57F1EBAB" w14:textId="77777777" w:rsidR="00FB3693" w:rsidRPr="0076589C" w:rsidRDefault="00FB3693" w:rsidP="00FB3693">
            <w:pPr>
              <w:pStyle w:val="Tabla"/>
              <w:rPr>
                <w:szCs w:val="20"/>
                <w:lang w:val="es-HN"/>
              </w:rPr>
            </w:pPr>
          </w:p>
        </w:tc>
      </w:tr>
    </w:tbl>
    <w:p w14:paraId="48CCA647" w14:textId="2CFCE5DE" w:rsidR="009661AE" w:rsidRPr="0076589C" w:rsidRDefault="1C8D6E3A" w:rsidP="00C8505C">
      <w:pPr>
        <w:pStyle w:val="Fuentes"/>
        <w:rPr>
          <w:lang w:val="es-HN"/>
        </w:rPr>
      </w:pPr>
      <w:r w:rsidRPr="0076589C">
        <w:t xml:space="preserve">Fuente: Elaboración propia. </w:t>
      </w:r>
    </w:p>
    <w:p w14:paraId="300F9907" w14:textId="77777777" w:rsidR="002F0954" w:rsidRPr="0076589C" w:rsidRDefault="002F0954" w:rsidP="1C8D6E3A">
      <w:pPr>
        <w:rPr>
          <w:rFonts w:eastAsiaTheme="minorEastAsia" w:cs="Times New Roman"/>
        </w:rPr>
      </w:pPr>
    </w:p>
    <w:p w14:paraId="0EE26628" w14:textId="15B7339F" w:rsidR="007E00A1" w:rsidRPr="0076589C" w:rsidRDefault="007E00A1" w:rsidP="1C8D6E3A">
      <w:pPr>
        <w:tabs>
          <w:tab w:val="left" w:pos="1310"/>
        </w:tabs>
        <w:ind w:left="0"/>
        <w:rPr>
          <w:rFonts w:eastAsiaTheme="minorEastAsia" w:cs="Times New Roman"/>
        </w:rPr>
        <w:sectPr w:rsidR="007E00A1" w:rsidRPr="0076589C" w:rsidSect="008C6BD1">
          <w:pgSz w:w="15840" w:h="12240" w:orient="landscape" w:code="1"/>
          <w:pgMar w:top="1440" w:right="1440" w:bottom="1440" w:left="1440" w:header="720" w:footer="720" w:gutter="0"/>
          <w:cols w:space="720"/>
          <w:docGrid w:linePitch="360"/>
        </w:sectPr>
      </w:pPr>
      <w:r w:rsidRPr="0076589C">
        <w:rPr>
          <w:rFonts w:eastAsiaTheme="minorEastAsia" w:cs="Times New Roman"/>
        </w:rPr>
        <w:tab/>
      </w:r>
    </w:p>
    <w:p w14:paraId="4BC66645" w14:textId="77777777" w:rsidR="00CF5760" w:rsidRPr="0076589C" w:rsidRDefault="1C8D6E3A" w:rsidP="00494616">
      <w:pPr>
        <w:pStyle w:val="Ttulonivel3"/>
        <w:numPr>
          <w:ilvl w:val="0"/>
          <w:numId w:val="22"/>
        </w:numPr>
      </w:pPr>
      <w:bookmarkStart w:id="199" w:name="_Toc158365498"/>
      <w:r w:rsidRPr="0076589C">
        <w:lastRenderedPageBreak/>
        <w:t>HIPÓTESIS</w:t>
      </w:r>
      <w:bookmarkEnd w:id="199"/>
    </w:p>
    <w:p w14:paraId="0BA5479B" w14:textId="7F4156EB" w:rsidR="009661AE" w:rsidRPr="0076589C" w:rsidRDefault="1C8D6E3A" w:rsidP="001B7600">
      <w:pPr>
        <w:pStyle w:val="TextoPrincipal"/>
        <w:rPr>
          <w:lang w:val="es-HN"/>
        </w:rPr>
      </w:pPr>
      <w:r w:rsidRPr="0076589C">
        <w:rPr>
          <w:lang w:val="es-HN"/>
        </w:rPr>
        <w:t xml:space="preserve">Según </w:t>
      </w:r>
      <w:r w:rsidR="7A54A044" w:rsidRPr="0076589C">
        <w:rPr>
          <w:lang w:val="es-HN"/>
        </w:rPr>
        <w:fldChar w:fldCharType="begin"/>
      </w:r>
      <w:r w:rsidR="7A54A044" w:rsidRPr="0076589C">
        <w:rPr>
          <w:lang w:val="es-HN"/>
        </w:rPr>
        <w:instrText xml:space="preserve"> ADDIN ZOTERO_ITEM CSL_CITATION {"citationID":"KvVsXAT6","properties":{"formattedCitation":"(Hernandez Sampieri, 2010)","plainCitation":"(Hernandez Sampieri, 2010)","dontUpdate":true,"noteIndex":0},"citationItems":[{"id":247,"uris":["http://zotero.org/users/12108825/items/AFVSL3QG"],"itemData":{"id":247,"type":"book","edition":"5ta","title":"Metodología de la investigación","author":[{"family":"Hernandez Sampieri","given":"Roberto"}],"issued":{"date-parts":[["2010"]]}}}],"schema":"https://github.com/citation-style-language/schema/raw/master/csl-citation.json"} </w:instrText>
      </w:r>
      <w:r w:rsidR="7A54A044" w:rsidRPr="0076589C">
        <w:rPr>
          <w:lang w:val="es-HN"/>
        </w:rPr>
        <w:fldChar w:fldCharType="separate"/>
      </w:r>
      <w:r w:rsidRPr="0076589C">
        <w:rPr>
          <w:lang w:val="es-HN"/>
        </w:rPr>
        <w:t>Hernández Sampieri, (2010)</w:t>
      </w:r>
      <w:r w:rsidR="7A54A044" w:rsidRPr="0076589C">
        <w:rPr>
          <w:lang w:val="es-HN"/>
        </w:rPr>
        <w:fldChar w:fldCharType="end"/>
      </w:r>
      <w:r w:rsidRPr="0076589C">
        <w:rPr>
          <w:lang w:val="es-HN"/>
        </w:rPr>
        <w:t xml:space="preserve"> “Las hipótesis indican lo que tratamos de probar y se </w:t>
      </w:r>
      <w:r w:rsidR="00915B40" w:rsidRPr="0076589C">
        <w:rPr>
          <w:lang w:val="es-HN"/>
        </w:rPr>
        <w:t xml:space="preserve">definió </w:t>
      </w:r>
      <w:r w:rsidRPr="0076589C">
        <w:rPr>
          <w:lang w:val="es-HN"/>
        </w:rPr>
        <w:t>como explicaciones tentativas del fenómeno investigado. Se derivan de la teoría existente y deben formularse a manera de proposiciones. De hecho, son respuestas provisionales a las preguntas de investigación”. (pág. 92)</w:t>
      </w:r>
    </w:p>
    <w:p w14:paraId="77BF21AB" w14:textId="7B4DEA88" w:rsidR="008D4B87" w:rsidRPr="0076589C" w:rsidRDefault="1C8D6E3A" w:rsidP="00816E7F">
      <w:pPr>
        <w:pStyle w:val="TextoPrincipal"/>
        <w:rPr>
          <w:lang w:val="es-HN"/>
        </w:rPr>
      </w:pPr>
      <w:r w:rsidRPr="0076589C">
        <w:rPr>
          <w:lang w:val="es-HN"/>
        </w:rPr>
        <w:t xml:space="preserve">“Una hipótesis es una proposición que puede ser puesta a prueba para determinar su validez. Siempre lleva a una prueba empírica, es una pregunta formulada de tal modo que se puede prever una respuesta de alguna especie”. </w:t>
      </w:r>
      <w:r w:rsidR="7A54A044" w:rsidRPr="0076589C">
        <w:rPr>
          <w:lang w:val="es-HN"/>
        </w:rPr>
        <w:fldChar w:fldCharType="begin"/>
      </w:r>
      <w:r w:rsidR="7A54A044" w:rsidRPr="0076589C">
        <w:rPr>
          <w:lang w:val="es-HN"/>
        </w:rPr>
        <w:instrText xml:space="preserve"> ADDIN ZOTERO_ITEM CSL_CITATION {"citationID":"pXIYyHQ8","properties":{"formattedCitation":"(Baena Paz, 2017)","plainCitation":"(Baena Paz, 2017)","dontUpdate":true,"noteIndex":0},"citationItems":[{"id":250,"uris":["http://zotero.org/users/12108825/items/2YJ4MYR8"],"itemData":{"id":250,"type":"book","edition":"3ra","title":"Metodología de la Investigación","author":[{"family":"Baena Paz","given":"Guillermina"}],"issued":{"date-parts":[["2017"]]}}}],"schema":"https://github.com/citation-style-language/schema/raw/master/csl-citation.json"} </w:instrText>
      </w:r>
      <w:r w:rsidR="7A54A044" w:rsidRPr="0076589C">
        <w:rPr>
          <w:lang w:val="es-HN"/>
        </w:rPr>
        <w:fldChar w:fldCharType="separate"/>
      </w:r>
      <w:r w:rsidRPr="0076589C">
        <w:rPr>
          <w:lang w:val="es-HN"/>
        </w:rPr>
        <w:t>(Baena Paz, 2017, pág.95)</w:t>
      </w:r>
      <w:r w:rsidR="7A54A044" w:rsidRPr="0076589C">
        <w:rPr>
          <w:lang w:val="es-HN"/>
        </w:rPr>
        <w:fldChar w:fldCharType="end"/>
      </w:r>
    </w:p>
    <w:p w14:paraId="1C610B80" w14:textId="3E5EC60D" w:rsidR="664FBC4E" w:rsidRPr="0076589C" w:rsidRDefault="664FBC4E" w:rsidP="00FD71BD">
      <w:pPr>
        <w:spacing w:after="0" w:line="360" w:lineRule="auto"/>
        <w:ind w:left="0" w:firstLine="720"/>
        <w:jc w:val="both"/>
        <w:rPr>
          <w:rFonts w:eastAsia="Times New Roman" w:cs="Times New Roman"/>
          <w:szCs w:val="24"/>
        </w:rPr>
      </w:pPr>
      <w:r w:rsidRPr="0076589C">
        <w:rPr>
          <w:rFonts w:eastAsia="Times New Roman" w:cs="Times New Roman"/>
          <w:szCs w:val="24"/>
        </w:rPr>
        <w:t xml:space="preserve">El alcance de la presente investigación es descriptivo, en este tipo de estudio se describen las variables, no se </w:t>
      </w:r>
      <w:r w:rsidR="00C16D63" w:rsidRPr="0076589C">
        <w:rPr>
          <w:rFonts w:eastAsia="Times New Roman" w:cs="Times New Roman"/>
          <w:szCs w:val="24"/>
        </w:rPr>
        <w:t xml:space="preserve">formuló </w:t>
      </w:r>
      <w:r w:rsidRPr="0076589C">
        <w:rPr>
          <w:rFonts w:eastAsia="Times New Roman" w:cs="Times New Roman"/>
          <w:szCs w:val="24"/>
        </w:rPr>
        <w:t>hipótesis, ya que no es correlacional o explicativo.</w:t>
      </w:r>
    </w:p>
    <w:p w14:paraId="1B434D63" w14:textId="77777777" w:rsidR="00FD71BD" w:rsidRPr="0076589C" w:rsidRDefault="00FD71BD" w:rsidP="00FD71BD">
      <w:pPr>
        <w:spacing w:after="0" w:line="360" w:lineRule="auto"/>
        <w:ind w:left="0" w:firstLine="720"/>
        <w:jc w:val="both"/>
      </w:pPr>
    </w:p>
    <w:p w14:paraId="1C098F1A" w14:textId="0CC9EC9B" w:rsidR="00486D9D" w:rsidRPr="0076589C" w:rsidRDefault="1C8D6E3A" w:rsidP="00232B78">
      <w:pPr>
        <w:pStyle w:val="Ttulo2"/>
        <w:numPr>
          <w:ilvl w:val="0"/>
          <w:numId w:val="13"/>
        </w:numPr>
        <w:spacing w:line="360" w:lineRule="auto"/>
        <w:ind w:left="360"/>
      </w:pPr>
      <w:bookmarkStart w:id="200" w:name="_Toc133044405"/>
      <w:r w:rsidRPr="0076589C">
        <w:t xml:space="preserve"> </w:t>
      </w:r>
      <w:bookmarkStart w:id="201" w:name="_Toc158365499"/>
      <w:r w:rsidRPr="0076589C">
        <w:t>ENFOQUE Y MÉTODO</w:t>
      </w:r>
      <w:bookmarkEnd w:id="201"/>
    </w:p>
    <w:p w14:paraId="5B2B5724" w14:textId="3C620A98" w:rsidR="00FB0B71" w:rsidRPr="0076589C" w:rsidRDefault="1C8D6E3A" w:rsidP="00C8505C">
      <w:pPr>
        <w:pStyle w:val="TextoPrincipal"/>
        <w:rPr>
          <w:lang w:val="es-HN"/>
        </w:rPr>
      </w:pPr>
      <w:r w:rsidRPr="0076589C">
        <w:rPr>
          <w:lang w:val="es-HN"/>
        </w:rPr>
        <w:t xml:space="preserve">En esta sección se presenta la metodología empleada para el desarrollo de la investigación, en donde se detalla el enfoque, alcance, diseño, método y la técnica. </w:t>
      </w:r>
    </w:p>
    <w:p w14:paraId="0F66A4F8" w14:textId="430A9812" w:rsidR="00291EA2" w:rsidRPr="0076589C" w:rsidRDefault="005C4801" w:rsidP="00191BD9">
      <w:pPr>
        <w:pStyle w:val="ImagenyTabla"/>
        <w:jc w:val="center"/>
        <w:rPr>
          <w:noProof w:val="0"/>
        </w:rPr>
      </w:pPr>
      <w:r w:rsidRPr="0076589C">
        <w:drawing>
          <wp:inline distT="0" distB="0" distL="0" distR="0" wp14:anchorId="0878B240" wp14:editId="0FB78686">
            <wp:extent cx="5451212" cy="3904091"/>
            <wp:effectExtent l="0" t="0" r="0" b="1270"/>
            <wp:docPr id="1576454374" name="Picture 1576454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6454374" name="Imagen 1576454374"/>
                    <pic:cNvPicPr/>
                  </pic:nvPicPr>
                  <pic:blipFill rotWithShape="1">
                    <a:blip r:embed="rId19">
                      <a:extLst>
                        <a:ext uri="{28A0092B-C50C-407E-A947-70E740481C1C}">
                          <a14:useLocalDpi xmlns:a14="http://schemas.microsoft.com/office/drawing/2010/main" val="0"/>
                        </a:ext>
                      </a:extLst>
                    </a:blip>
                    <a:srcRect l="3154" t="4956" r="2305" b="4766"/>
                    <a:stretch/>
                  </pic:blipFill>
                  <pic:spPr bwMode="auto">
                    <a:xfrm>
                      <a:off x="0" y="0"/>
                      <a:ext cx="5477370" cy="3922825"/>
                    </a:xfrm>
                    <a:prstGeom prst="rect">
                      <a:avLst/>
                    </a:prstGeom>
                    <a:ln>
                      <a:noFill/>
                    </a:ln>
                    <a:extLst>
                      <a:ext uri="{53640926-AAD7-44D8-BBD7-CCE9431645EC}">
                        <a14:shadowObscured xmlns:a14="http://schemas.microsoft.com/office/drawing/2010/main"/>
                      </a:ext>
                    </a:extLst>
                  </pic:spPr>
                </pic:pic>
              </a:graphicData>
            </a:graphic>
          </wp:inline>
        </w:drawing>
      </w:r>
    </w:p>
    <w:p w14:paraId="1F70C43B" w14:textId="0AE7252C" w:rsidR="00A30544" w:rsidRPr="0076589C" w:rsidRDefault="1C8D6E3A" w:rsidP="00A30544">
      <w:pPr>
        <w:pStyle w:val="ImagenyTabla"/>
        <w:rPr>
          <w:noProof w:val="0"/>
        </w:rPr>
      </w:pPr>
      <w:bookmarkStart w:id="202" w:name="_Toc158365590"/>
      <w:r w:rsidRPr="0076589C">
        <w:t xml:space="preserve">Figura </w:t>
      </w:r>
      <w:r w:rsidR="7A54A044" w:rsidRPr="0076589C">
        <w:rPr>
          <w:noProof w:val="0"/>
        </w:rPr>
        <w:fldChar w:fldCharType="begin"/>
      </w:r>
      <w:r w:rsidR="7A54A044" w:rsidRPr="0076589C">
        <w:rPr>
          <w:noProof w:val="0"/>
        </w:rPr>
        <w:instrText xml:space="preserve"> SEQ Figura \* ARABIC </w:instrText>
      </w:r>
      <w:r w:rsidR="7A54A044" w:rsidRPr="0076589C">
        <w:rPr>
          <w:noProof w:val="0"/>
        </w:rPr>
        <w:fldChar w:fldCharType="separate"/>
      </w:r>
      <w:r w:rsidR="009F171A">
        <w:t>5</w:t>
      </w:r>
      <w:r w:rsidR="7A54A044" w:rsidRPr="0076589C">
        <w:rPr>
          <w:noProof w:val="0"/>
        </w:rPr>
        <w:fldChar w:fldCharType="end"/>
      </w:r>
      <w:r w:rsidRPr="0076589C">
        <w:t>.  Enfoque y método</w:t>
      </w:r>
      <w:bookmarkEnd w:id="202"/>
    </w:p>
    <w:p w14:paraId="1DE3DDC6" w14:textId="47556250" w:rsidR="00291EA2" w:rsidRPr="0076589C" w:rsidRDefault="1C8D6E3A" w:rsidP="00744A79">
      <w:pPr>
        <w:pStyle w:val="Fuentes"/>
        <w:rPr>
          <w:lang w:val="es-HN"/>
        </w:rPr>
      </w:pPr>
      <w:r w:rsidRPr="0076589C">
        <w:rPr>
          <w:lang w:val="es-HN"/>
        </w:rPr>
        <w:lastRenderedPageBreak/>
        <w:t>Fuente: Elaboración propia.</w:t>
      </w:r>
    </w:p>
    <w:bookmarkEnd w:id="200"/>
    <w:p w14:paraId="7B7CCC80" w14:textId="3173690E" w:rsidR="00486D9D" w:rsidRPr="0076589C" w:rsidRDefault="1C8D6E3A" w:rsidP="00494616">
      <w:pPr>
        <w:pStyle w:val="Ttulo2"/>
        <w:numPr>
          <w:ilvl w:val="0"/>
          <w:numId w:val="13"/>
        </w:numPr>
        <w:spacing w:line="360" w:lineRule="auto"/>
        <w:ind w:left="360"/>
      </w:pPr>
      <w:r w:rsidRPr="0076589C">
        <w:t xml:space="preserve"> </w:t>
      </w:r>
      <w:bookmarkStart w:id="203" w:name="_Toc158365500"/>
      <w:r w:rsidRPr="0076589C">
        <w:t>DISEÑO DE LA INVESTIGACIÓN</w:t>
      </w:r>
      <w:bookmarkEnd w:id="203"/>
      <w:r w:rsidRPr="0076589C">
        <w:t xml:space="preserve"> </w:t>
      </w:r>
    </w:p>
    <w:p w14:paraId="6F41A152" w14:textId="38D318B4" w:rsidR="002268A3" w:rsidRPr="0076589C" w:rsidRDefault="1C8D6E3A" w:rsidP="00EA37BA">
      <w:pPr>
        <w:pStyle w:val="TextoPrincipal"/>
        <w:spacing w:after="0"/>
        <w:rPr>
          <w:lang w:val="es-HN"/>
        </w:rPr>
      </w:pPr>
      <w:r w:rsidRPr="0076589C">
        <w:rPr>
          <w:lang w:val="es-HN"/>
        </w:rPr>
        <w:t xml:space="preserve">Es un plan estratégico que guía el proceso de investigación. </w:t>
      </w:r>
      <w:r w:rsidR="00E91268" w:rsidRPr="0076589C">
        <w:rPr>
          <w:lang w:val="es-HN"/>
        </w:rPr>
        <w:t xml:space="preserve">Se definió </w:t>
      </w:r>
      <w:r w:rsidRPr="0076589C">
        <w:rPr>
          <w:lang w:val="es-HN"/>
        </w:rPr>
        <w:t>cómo se recopil</w:t>
      </w:r>
      <w:r w:rsidR="006A57F3" w:rsidRPr="0076589C">
        <w:rPr>
          <w:lang w:val="es-HN"/>
        </w:rPr>
        <w:t>ó</w:t>
      </w:r>
      <w:r w:rsidRPr="0076589C">
        <w:rPr>
          <w:lang w:val="es-HN"/>
        </w:rPr>
        <w:t xml:space="preserve"> y analiz</w:t>
      </w:r>
      <w:r w:rsidR="006A57F3" w:rsidRPr="0076589C">
        <w:rPr>
          <w:lang w:val="es-HN"/>
        </w:rPr>
        <w:t>ó</w:t>
      </w:r>
      <w:r w:rsidRPr="0076589C">
        <w:rPr>
          <w:lang w:val="es-HN"/>
        </w:rPr>
        <w:t xml:space="preserve"> los datos necesarios para responder a preguntas específicas o abordar problemas de investigación. Este plan detall</w:t>
      </w:r>
      <w:r w:rsidR="00AA5114" w:rsidRPr="0076589C">
        <w:rPr>
          <w:lang w:val="es-HN"/>
        </w:rPr>
        <w:t xml:space="preserve">ó </w:t>
      </w:r>
      <w:r w:rsidRPr="0076589C">
        <w:rPr>
          <w:lang w:val="es-HN"/>
        </w:rPr>
        <w:t>las etapas, métodos y herramientas que se utiliz</w:t>
      </w:r>
      <w:r w:rsidR="00AA5114" w:rsidRPr="0076589C">
        <w:rPr>
          <w:lang w:val="es-HN"/>
        </w:rPr>
        <w:t>aro</w:t>
      </w:r>
      <w:r w:rsidRPr="0076589C">
        <w:rPr>
          <w:lang w:val="es-HN"/>
        </w:rPr>
        <w:t xml:space="preserve">n, así como la secuencia de acciones a seguir. Un diseño de investigación efectivo asegura que la investigación sea coherente, rigurosa y capaz de generar resultados confiables y significativos. Además, proporciona una hoja de ruta para los investigadores, facilitando la toma de decisiones informadas y la obtención de conclusiones válidas. </w:t>
      </w:r>
      <w:r w:rsidRPr="0076589C">
        <w:t>(</w:t>
      </w:r>
      <w:r w:rsidR="7A54A044" w:rsidRPr="0076589C">
        <w:rPr>
          <w:lang w:val="es-HN"/>
        </w:rPr>
        <w:fldChar w:fldCharType="begin"/>
      </w:r>
      <w:r w:rsidR="7A54A044" w:rsidRPr="0076589C">
        <w:rPr>
          <w:lang w:val="es-HN"/>
        </w:rPr>
        <w:instrText xml:space="preserve"> ADDIN ZOTERO_ITEM CSL_CITATION {"citationID":"havyYbUt","properties":{"formattedCitation":"(Malhotra, 2004)","plainCitation":"(Malhotra, 2004)","dontUpdate":true,"noteIndex":0},"citationItems":[{"id":271,"uris":["http://zotero.org/users/12108825/items/REA874QN"],"itemData":{"id":271,"type":"book","abstract":"El objetivo de esta obra es proporcionar un texto sobre investigación de mercados que sea integral, práctico, aplicado y gerencial además de que presente una cobertura equilibrada de material, tanto cualitativo como cuantitativo. Este libro ha sido escrito según la perspectiva de un usuario de la investigación de mercados. Refleja las tendencias actuales del marketing internacional, la ética y la incorporación del Internet y las computadoras, así como un enfoque sobre la práctica de la investigación de mercados según las características de Burke, Inc. y otras organizaciones relacionadas. Cambios de la cuarta edición: se integró en todo el libro el uso de Internet y de las computadoras, cada parte del libro contiene casos escritos desde el punto de vista de la investigación de mercados, en los capítulos acerca del análisis de datos se ofrecen opciones sobre el manejo de los paquetes de estadística SPSS, SAS, MINITAB y Excel. Se presentan nuevos ejemplos, figuras, cuadros y demostraciones.","ISBN":"978-970-26-0491-4","language":"es","note":"Google-Books-ID: SLmEblVK2OQC","number-of-pages":"824","publisher":"Pearson Educación","source":"Google Books","title":"Investigación de mercados: un enfoque aplicado","title-short":"Investigación de mercados","author":[{"family":"Malhotra","given":"Naresh K."}],"issued":{"date-parts":[["2004"]]}}}],"schema":"https://github.com/citation-style-language/schema/raw/master/csl-citation.json"} </w:instrText>
      </w:r>
      <w:r w:rsidR="7A54A044" w:rsidRPr="0076589C">
        <w:rPr>
          <w:lang w:val="es-HN"/>
        </w:rPr>
        <w:fldChar w:fldCharType="separate"/>
      </w:r>
      <w:r w:rsidRPr="0076589C">
        <w:t>Malhotra, 2004)</w:t>
      </w:r>
      <w:r w:rsidR="7A54A044" w:rsidRPr="0076589C">
        <w:rPr>
          <w:lang w:val="es-HN"/>
        </w:rPr>
        <w:fldChar w:fldCharType="end"/>
      </w:r>
    </w:p>
    <w:p w14:paraId="224B3038" w14:textId="77777777" w:rsidR="00EA37BA" w:rsidRPr="0076589C" w:rsidRDefault="00EA37BA" w:rsidP="00EA37BA">
      <w:pPr>
        <w:pStyle w:val="TextoPrincipal"/>
        <w:spacing w:after="0"/>
        <w:rPr>
          <w:lang w:val="es-HN"/>
        </w:rPr>
      </w:pPr>
    </w:p>
    <w:p w14:paraId="47A93BA0" w14:textId="66329153" w:rsidR="007578A7" w:rsidRPr="0076589C" w:rsidRDefault="1C8D6E3A" w:rsidP="00232B78">
      <w:pPr>
        <w:pStyle w:val="Ttulonivel3"/>
        <w:numPr>
          <w:ilvl w:val="0"/>
          <w:numId w:val="23"/>
        </w:numPr>
        <w:ind w:left="720" w:firstLine="0"/>
      </w:pPr>
      <w:bookmarkStart w:id="204" w:name="_Toc158365501"/>
      <w:r w:rsidRPr="0076589C">
        <w:t>UNIDAD DE ANÁLISIS</w:t>
      </w:r>
      <w:bookmarkEnd w:id="204"/>
    </w:p>
    <w:p w14:paraId="49FDF692" w14:textId="4404D2F8" w:rsidR="77B05271" w:rsidRPr="0076589C" w:rsidRDefault="1C8D6E3A" w:rsidP="00840D7B">
      <w:pPr>
        <w:pStyle w:val="TextoPrincipal"/>
        <w:rPr>
          <w:rFonts w:eastAsia="Times New Roman"/>
          <w:lang w:val="es-HN"/>
        </w:rPr>
      </w:pPr>
      <w:r w:rsidRPr="0076589C">
        <w:rPr>
          <w:rFonts w:eastAsia="Times New Roman"/>
          <w:lang w:val="es-HN"/>
        </w:rPr>
        <w:t xml:space="preserve">Es el elemento central en cualquier investigación estadística o estudio. Representa la entidad específica a la cual se dirige el análisis y la recolección de datos. En encuestas comunes, estas unidades pueden ser individuos, hogares, empresas o cualquier categoría de interés. La elección adecuada de la unidad de análisis es crucial, ya que determina la precisión y relevancia de los resultados obtenidos en la investigación, asegurando que los datos sean aplicables al problema o pregunta en cuestión. </w:t>
      </w:r>
      <w:r w:rsidR="7A54A044" w:rsidRPr="0076589C">
        <w:rPr>
          <w:rFonts w:eastAsia="Times New Roman"/>
          <w:lang w:val="es-HN"/>
        </w:rPr>
        <w:fldChar w:fldCharType="begin"/>
      </w:r>
      <w:r w:rsidR="7A54A044" w:rsidRPr="0076589C">
        <w:rPr>
          <w:rFonts w:eastAsia="Times New Roman"/>
          <w:lang w:val="es-HN"/>
        </w:rPr>
        <w:instrText xml:space="preserve"> ADDIN ZOTERO_ITEM CSL_CITATION {"citationID":"3P3Rh9oO","properties":{"formattedCitation":"(Brown, 1979)","plainCitation":"(Brown, 1979)","dontUpdate":true,"noteIndex":0},"citationItems":[{"id":275,"uris":["http://zotero.org/users/12108825/items/8QHB58AV"],"itemData":{"id":275,"type":"book","language":"es","note":"Google-Books-ID: K33DYwKB39kC","number-of-pages":"162","publisher":"IICA Biblioteca Venezuela","source":"Google Books","title":"Conferencias Sobre Muestreo: Oficina de Censos de los Estados Unidos","title-short":"Conferencias Sobre Muestreo","author":[{"family":"Brown","given":"George"}],"issued":{"date-parts":[["1979"]]}}}],"schema":"https://github.com/citation-style-language/schema/raw/master/csl-citation.json"} </w:instrText>
      </w:r>
      <w:r w:rsidR="7A54A044" w:rsidRPr="0076589C">
        <w:rPr>
          <w:rFonts w:eastAsia="Times New Roman"/>
          <w:lang w:val="es-HN"/>
        </w:rPr>
        <w:fldChar w:fldCharType="separate"/>
      </w:r>
      <w:r w:rsidRPr="0076589C">
        <w:rPr>
          <w:lang w:val="es-HN"/>
        </w:rPr>
        <w:t>(Brown, 1979, pág.6)</w:t>
      </w:r>
      <w:r w:rsidR="7A54A044" w:rsidRPr="0076589C">
        <w:rPr>
          <w:rFonts w:eastAsia="Times New Roman"/>
          <w:lang w:val="es-HN"/>
        </w:rPr>
        <w:fldChar w:fldCharType="end"/>
      </w:r>
    </w:p>
    <w:p w14:paraId="7CEC4B63" w14:textId="1695938E" w:rsidR="007578A7" w:rsidRPr="0076589C" w:rsidRDefault="1C8D6E3A" w:rsidP="00EA37BA">
      <w:pPr>
        <w:pStyle w:val="TextoPrincipal"/>
        <w:spacing w:after="0"/>
        <w:rPr>
          <w:rFonts w:eastAsia="Times New Roman"/>
          <w:lang w:val="es-HN"/>
        </w:rPr>
      </w:pPr>
      <w:r w:rsidRPr="0076589C">
        <w:rPr>
          <w:rFonts w:eastAsia="Times New Roman"/>
          <w:lang w:val="es-HN"/>
        </w:rPr>
        <w:t>En la investigación la unidad de análisis son los estados financieros (balance general, estado de resultado, flujo de efectivo), cartera de créditos, información de cobros y el Gerente Financiero de Industria Procesadora de Alimentos (IPRA), dentro del periodo 2019-2022.</w:t>
      </w:r>
    </w:p>
    <w:p w14:paraId="2F39A91B" w14:textId="77777777" w:rsidR="00EA37BA" w:rsidRPr="0076589C" w:rsidRDefault="00EA37BA" w:rsidP="00EA37BA">
      <w:pPr>
        <w:pStyle w:val="TextoPrincipal"/>
        <w:spacing w:after="0"/>
        <w:rPr>
          <w:rFonts w:eastAsia="Times New Roman"/>
          <w:lang w:val="es-HN"/>
        </w:rPr>
      </w:pPr>
    </w:p>
    <w:p w14:paraId="61825D68" w14:textId="77777777" w:rsidR="007578A7" w:rsidRPr="0076589C" w:rsidRDefault="1C8D6E3A" w:rsidP="00232B78">
      <w:pPr>
        <w:pStyle w:val="Ttulonivel3"/>
        <w:numPr>
          <w:ilvl w:val="0"/>
          <w:numId w:val="23"/>
        </w:numPr>
        <w:ind w:left="720" w:firstLine="0"/>
      </w:pPr>
      <w:bookmarkStart w:id="205" w:name="_Toc158365502"/>
      <w:r w:rsidRPr="0076589C">
        <w:t>POBLACIÓN</w:t>
      </w:r>
      <w:bookmarkEnd w:id="205"/>
    </w:p>
    <w:p w14:paraId="61B49518" w14:textId="094B9997" w:rsidR="007578A7" w:rsidRPr="0076589C" w:rsidRDefault="1C8D6E3A" w:rsidP="00B61EB5">
      <w:pPr>
        <w:pStyle w:val="TextoPrincipal"/>
        <w:rPr>
          <w:lang w:val="es-HN"/>
        </w:rPr>
      </w:pPr>
      <w:r w:rsidRPr="0076589C">
        <w:rPr>
          <w:lang w:val="es-HN"/>
        </w:rPr>
        <w:t xml:space="preserve">Es un conjunto definido que presenta características o propiedades específicas que se desean investigar. Cuando se tiene información sobre la cantidad exacta de individuos en este grupo, se refiere a una población finita; en cambio, cuando no se dispone de esta información, se trata de una población infinita. La población no solo se refiere a humanos, sino que también a animales, muestras biológicas, registros, entre otros. </w:t>
      </w:r>
      <w:r w:rsidR="7A54A044" w:rsidRPr="0076589C">
        <w:rPr>
          <w:lang w:val="es-HN"/>
        </w:rPr>
        <w:fldChar w:fldCharType="begin"/>
      </w:r>
      <w:r w:rsidR="7A54A044" w:rsidRPr="0076589C">
        <w:rPr>
          <w:lang w:val="es-HN"/>
        </w:rPr>
        <w:instrText xml:space="preserve"> ADDIN ZOTERO_ITEM CSL_CITATION {"citationID":"OWNjri2J","properties":{"formattedCitation":"(Moguel, 2005)","plainCitation":"(Moguel, 2005)","noteIndex":0},"citationItems":[{"id":273,"uris":["http://zotero.org/users/12108825/items/XZLV4F8K"],"itemData":{"id":273,"type":"book","ISBN":"978-968-5748-66-7","language":"es","note":"Google-Books-ID: r4yrEW9Jhe0C","number-of-pages":"210","publisher":"Univ. J. Autónoma de Tabasco","source":"Google Books","title":"Metodología de la Investigación","author":[{"family":"Moguel","given":"Ernesto A. Rodríguez"}],"issued":{"date-parts":[["2005"]]}}}],"schema":"https://github.com/citation-style-language/schema/raw/master/csl-citation.json"} </w:instrText>
      </w:r>
      <w:r w:rsidR="7A54A044" w:rsidRPr="0076589C">
        <w:rPr>
          <w:lang w:val="es-HN"/>
        </w:rPr>
        <w:fldChar w:fldCharType="separate"/>
      </w:r>
      <w:r w:rsidRPr="0076589C">
        <w:rPr>
          <w:lang w:val="es-HN"/>
        </w:rPr>
        <w:t>(Moguel, 2005)</w:t>
      </w:r>
      <w:r w:rsidR="7A54A044" w:rsidRPr="0076589C">
        <w:rPr>
          <w:lang w:val="es-HN"/>
        </w:rPr>
        <w:fldChar w:fldCharType="end"/>
      </w:r>
    </w:p>
    <w:p w14:paraId="74A7BAC2" w14:textId="35B1D3B7" w:rsidR="007578A7" w:rsidRPr="0076589C" w:rsidRDefault="1C8D6E3A" w:rsidP="00EA37BA">
      <w:pPr>
        <w:pStyle w:val="TextoPrincipal"/>
        <w:spacing w:after="0"/>
        <w:rPr>
          <w:rFonts w:eastAsia="Times New Roman"/>
          <w:lang w:val="es-HN"/>
        </w:rPr>
      </w:pPr>
      <w:r w:rsidRPr="0076589C">
        <w:rPr>
          <w:rFonts w:eastAsia="Times New Roman"/>
          <w:lang w:val="es-HN"/>
        </w:rPr>
        <w:t xml:space="preserve">En la presente investigación la población de interés está constituida por las bases de datos financieros que contengan los estados financieros, cartera de créditos, información de cobros de la empresa Industria Procesadora de Alimentos (IPRA) en el periodo de 2019-2022. También parte </w:t>
      </w:r>
      <w:r w:rsidRPr="0076589C">
        <w:rPr>
          <w:rFonts w:eastAsia="Times New Roman"/>
          <w:lang w:val="es-HN"/>
        </w:rPr>
        <w:lastRenderedPageBreak/>
        <w:t>de la población de interés la comprende el personal del área financiera de la empresa, en especial el gerente financiero, total a uno.</w:t>
      </w:r>
    </w:p>
    <w:p w14:paraId="0558D732" w14:textId="77777777" w:rsidR="00EA37BA" w:rsidRPr="0076589C" w:rsidRDefault="00EA37BA" w:rsidP="00EA37BA">
      <w:pPr>
        <w:pStyle w:val="TextoPrincipal"/>
        <w:spacing w:after="0"/>
        <w:rPr>
          <w:lang w:val="es-HN"/>
        </w:rPr>
      </w:pPr>
    </w:p>
    <w:p w14:paraId="7FA6E5ED" w14:textId="77777777" w:rsidR="007578A7" w:rsidRPr="0076589C" w:rsidRDefault="1C8D6E3A" w:rsidP="00232B78">
      <w:pPr>
        <w:pStyle w:val="Ttulonivel3"/>
        <w:numPr>
          <w:ilvl w:val="0"/>
          <w:numId w:val="23"/>
        </w:numPr>
        <w:ind w:left="720" w:firstLine="0"/>
      </w:pPr>
      <w:bookmarkStart w:id="206" w:name="_Toc158365503"/>
      <w:r w:rsidRPr="0076589C">
        <w:t>MUESTRA</w:t>
      </w:r>
      <w:bookmarkEnd w:id="206"/>
    </w:p>
    <w:p w14:paraId="4A100EB2" w14:textId="3C307B27" w:rsidR="007578A7" w:rsidRPr="0076589C" w:rsidRDefault="1C8D6E3A" w:rsidP="005B42F6">
      <w:pPr>
        <w:pStyle w:val="TextoPrincipal"/>
        <w:rPr>
          <w:lang w:val="es-HN"/>
        </w:rPr>
      </w:pPr>
      <w:r w:rsidRPr="0076589C">
        <w:rPr>
          <w:lang w:val="es-HN"/>
        </w:rPr>
        <w:t xml:space="preserve">Es una selección representativa de datos tomada de una población más grande. Su tamaño y composición son cruciales para obtener información precisa y aplicable a la población en general. La muestra permite realizar análisis y generalizaciones con base en un subconjunto significativo de datos en lugar de abordar toda la población. </w:t>
      </w:r>
      <w:r w:rsidR="7A54A044" w:rsidRPr="0076589C">
        <w:rPr>
          <w:lang w:val="es-HN"/>
        </w:rPr>
        <w:fldChar w:fldCharType="begin"/>
      </w:r>
      <w:r w:rsidR="7A54A044" w:rsidRPr="0076589C">
        <w:rPr>
          <w:lang w:val="es-HN"/>
        </w:rPr>
        <w:instrText xml:space="preserve"> ADDIN ZOTERO_ITEM CSL_CITATION {"citationID":"XAJm6Ucf","properties":{"formattedCitation":"(Valencia, 2005)","plainCitation":"(Valencia, 2005)","noteIndex":0},"citationItems":[{"id":277,"uris":["http://zotero.org/users/12108825/items/XJS2GZIQ"],"itemData":{"id":277,"type":"book","abstract":"El objetivo principal de esta obra es presentar un tratado completo de las Técnicas de Investigación de manera didáctica, que permita una auto formación del lector. El texto esta escrito para ser utilizado por cualquier persona interesada en Técnicas de Investigación, aún sin mucho conocimiento en el uso de estos instrumentos ya que los conceptos y las técnicas son presentados en la medida de lo posible intuitivamente.","language":"es","note":"Google-Books-ID: OEHABAAAQBAJ","number-of-pages":"62","publisher":"Hector Guillermo Huaman Valencia","source":"Google Books","title":"MANUAL DE TECNICAS DE INVESTIGACION Conceptos y Aplicaciones","author":[{"family":"Valencia","given":"Hector"}],"issued":{"date-parts":[["2005"]]}}}],"schema":"https://github.com/citation-style-language/schema/raw/master/csl-citation.json"} </w:instrText>
      </w:r>
      <w:r w:rsidR="7A54A044" w:rsidRPr="0076589C">
        <w:rPr>
          <w:lang w:val="es-HN"/>
        </w:rPr>
        <w:fldChar w:fldCharType="separate"/>
      </w:r>
      <w:r w:rsidRPr="0076589C">
        <w:rPr>
          <w:lang w:val="es-HN"/>
        </w:rPr>
        <w:t>(Valencia, 2005)</w:t>
      </w:r>
      <w:r w:rsidR="7A54A044" w:rsidRPr="0076589C">
        <w:rPr>
          <w:lang w:val="es-HN"/>
        </w:rPr>
        <w:fldChar w:fldCharType="end"/>
      </w:r>
    </w:p>
    <w:p w14:paraId="064133E3" w14:textId="6B543B1E" w:rsidR="12C4FC3D" w:rsidRPr="0076589C" w:rsidRDefault="1C8D6E3A" w:rsidP="00BD3B86">
      <w:pPr>
        <w:pStyle w:val="TextoPrincipal"/>
        <w:rPr>
          <w:rFonts w:eastAsia="Times New Roman"/>
          <w:lang w:val="es-HN"/>
        </w:rPr>
      </w:pPr>
      <w:r w:rsidRPr="0076589C">
        <w:rPr>
          <w:rFonts w:eastAsia="Times New Roman"/>
          <w:lang w:val="es-HN"/>
        </w:rPr>
        <w:t>Considerando que la población objeto de interés son bases de datos que contienen los estados financieros, cartera de créditos, información de cobros de la empresa Industria Procesadora de Alimentos para los periodos 2019-2022 y se manipularan datos a través de Excel de Microsoft Office, no se calcula muestra.</w:t>
      </w:r>
    </w:p>
    <w:p w14:paraId="5A53DAFA" w14:textId="1D733857" w:rsidR="12C4FC3D" w:rsidRPr="0076589C" w:rsidRDefault="1C8D6E3A" w:rsidP="00BD3B86">
      <w:pPr>
        <w:pStyle w:val="TextoPrincipal"/>
        <w:rPr>
          <w:rFonts w:eastAsia="Times New Roman"/>
          <w:lang w:val="es-HN"/>
        </w:rPr>
      </w:pPr>
      <w:r w:rsidRPr="0076589C">
        <w:rPr>
          <w:rFonts w:eastAsia="Times New Roman"/>
          <w:lang w:val="es-HN"/>
        </w:rPr>
        <w:t xml:space="preserve">Dado que el Gerente Financiero también es objeto de interés para este estudio, no se calcula muestra, sino que se hace uso de censo, ya que solo es una persona y es un número muy pequeño. </w:t>
      </w:r>
    </w:p>
    <w:p w14:paraId="39907CE6" w14:textId="38728ECC" w:rsidR="7B0D26AC" w:rsidRPr="0076589C" w:rsidRDefault="1C8D6E3A" w:rsidP="001D33C0">
      <w:pPr>
        <w:pStyle w:val="TextoPrincipal"/>
        <w:spacing w:after="0"/>
        <w:rPr>
          <w:rFonts w:eastAsia="Times New Roman"/>
          <w:lang w:val="es-HN"/>
        </w:rPr>
      </w:pPr>
      <w:r w:rsidRPr="0076589C">
        <w:rPr>
          <w:rFonts w:eastAsia="Times New Roman"/>
          <w:lang w:val="es-HN"/>
        </w:rPr>
        <w:t xml:space="preserve">Censo es una recopilación sistemática y exhaustiva de datos demográficos, económicos y sociales de una población específica, utilizado para análisis y estudios estadísticos detallados. </w:t>
      </w:r>
      <w:r w:rsidR="7A54A044" w:rsidRPr="0076589C">
        <w:rPr>
          <w:rFonts w:eastAsia="Times New Roman"/>
          <w:lang w:val="es-HN"/>
        </w:rPr>
        <w:fldChar w:fldCharType="begin"/>
      </w:r>
      <w:r w:rsidR="7A54A044" w:rsidRPr="0076589C">
        <w:rPr>
          <w:rFonts w:eastAsia="Times New Roman"/>
          <w:lang w:val="es-HN"/>
        </w:rPr>
        <w:instrText xml:space="preserve"> ADDIN ZOTERO_ITEM CSL_CITATION {"citationID":"jrCeyCXX","properties":{"formattedCitation":"(F. J. C. del C. Mendoza, 2012)","plainCitation":"(F. J. C. del C. Mendoza, 2012)","dontUpdate":true,"noteIndex":0},"citationItems":[{"id":321,"uris":["http://zotero.org/users/12108825/items/4FKLG67D"],"itemData":{"id":321,"type":"book","abstract":"Los saberes del módulo fueron seleccionados para que aprendas a registrar, organizar y analizar información mediante herramientas estadísticas –tablas, gráficas y modelos matemáticos– con el fin de estimar la probabilidad de ocurrencia de eventos relacionados con fenómenos naturales y procesos sociales.","ISBN":"978-607-8229-51-2","language":"es","note":"Google-Books-ID: WbGAEAAAQBAJ","number-of-pages":"239","publisher":"Secretaría De Educación Pública","source":"Google Books","title":"Estadística en fenómenos naturales y procesos sociales","author":[{"family":"Mendoza","given":"Felipe Jesús Cueva del Castillo"}],"issued":{"date-parts":[["2012",2,11]]}}}],"schema":"https://github.com/citation-style-language/schema/raw/master/csl-citation.json"} </w:instrText>
      </w:r>
      <w:r w:rsidR="7A54A044" w:rsidRPr="0076589C">
        <w:rPr>
          <w:rFonts w:eastAsia="Times New Roman"/>
          <w:lang w:val="es-HN"/>
        </w:rPr>
        <w:fldChar w:fldCharType="separate"/>
      </w:r>
      <w:r w:rsidRPr="0076589C">
        <w:t>(Mendoza, 2012)</w:t>
      </w:r>
      <w:r w:rsidR="7A54A044" w:rsidRPr="0076589C">
        <w:rPr>
          <w:rFonts w:eastAsia="Times New Roman"/>
          <w:lang w:val="es-HN"/>
        </w:rPr>
        <w:fldChar w:fldCharType="end"/>
      </w:r>
    </w:p>
    <w:p w14:paraId="65C4281D" w14:textId="77777777" w:rsidR="001D33C0" w:rsidRPr="0076589C" w:rsidRDefault="001D33C0" w:rsidP="001D33C0">
      <w:pPr>
        <w:pStyle w:val="TextoPrincipal"/>
        <w:spacing w:after="0"/>
        <w:rPr>
          <w:rFonts w:eastAsia="Times New Roman"/>
          <w:lang w:val="es-HN"/>
        </w:rPr>
      </w:pPr>
    </w:p>
    <w:p w14:paraId="3124A391" w14:textId="77777777" w:rsidR="00851A7B" w:rsidRPr="0076589C" w:rsidRDefault="1C8D6E3A" w:rsidP="0065235E">
      <w:pPr>
        <w:pStyle w:val="Ttulonivel3"/>
        <w:numPr>
          <w:ilvl w:val="0"/>
          <w:numId w:val="23"/>
        </w:numPr>
        <w:ind w:left="720" w:firstLine="0"/>
      </w:pPr>
      <w:bookmarkStart w:id="207" w:name="_Toc158365504"/>
      <w:r w:rsidRPr="0076589C">
        <w:t>TÉCNICAS DE MUESTREO</w:t>
      </w:r>
      <w:bookmarkEnd w:id="207"/>
    </w:p>
    <w:p w14:paraId="27F8D406" w14:textId="06A7E927" w:rsidR="007578A7" w:rsidRPr="0076589C" w:rsidRDefault="1C8D6E3A" w:rsidP="00A30DF6">
      <w:pPr>
        <w:pStyle w:val="TextoPrincipal"/>
        <w:rPr>
          <w:lang w:val="es-HN"/>
        </w:rPr>
      </w:pPr>
      <w:r w:rsidRPr="0076589C">
        <w:rPr>
          <w:lang w:val="es-HN"/>
        </w:rPr>
        <w:t>Es un conjunto de procedimientos sistemáticos utilizados para seleccionar una muestra representativa de una población más grande. Estas técnicas permiten obtener datos significativos sin tener que estudiar toda la población, lo que facilita un análisis eficiente y preciso en investigaciones y estudios estadísticos.</w:t>
      </w:r>
      <w:r w:rsidRPr="0076589C">
        <w:rPr>
          <w:b/>
          <w:bCs/>
          <w:lang w:val="es-HN"/>
        </w:rPr>
        <w:t xml:space="preserve"> </w:t>
      </w:r>
      <w:r w:rsidR="7A54A044" w:rsidRPr="0076589C">
        <w:rPr>
          <w:b/>
          <w:bCs/>
          <w:lang w:val="es-HN"/>
        </w:rPr>
        <w:fldChar w:fldCharType="begin"/>
      </w:r>
      <w:r w:rsidR="7A54A044" w:rsidRPr="0076589C">
        <w:rPr>
          <w:b/>
          <w:bCs/>
          <w:lang w:val="es-HN"/>
        </w:rPr>
        <w:instrText xml:space="preserve"> ADDIN ZOTERO_ITEM CSL_CITATION {"citationID":"40vu7v7N","properties":{"formattedCitation":"(Rizo et\\uc0\\u160{}al., 2022)","plainCitation":"(Rizo et al., 2022)","noteIndex":0},"citationItems":[{"id":195,"uris":["http://zotero.org/users/12108825/items/N2GLU3V8"],"itemData":{"id":195,"type":"report","title":"La teoría del capital de trabajo y sus técnicas","author":[{"family":"Rizo","given":"Eymin"},{"family":"Pablos","given":"Giovani"},{"family":"Rizo","given":"Eylin"}],"issued":{"date-parts":[["2022"]]}}}],"schema":"https://github.com/citation-style-language/schema/raw/master/csl-citation.json"} </w:instrText>
      </w:r>
      <w:r w:rsidR="7A54A044" w:rsidRPr="0076589C">
        <w:rPr>
          <w:b/>
          <w:bCs/>
          <w:lang w:val="es-HN"/>
        </w:rPr>
        <w:fldChar w:fldCharType="separate"/>
      </w:r>
      <w:r w:rsidRPr="0076589C">
        <w:rPr>
          <w:lang w:val="es-HN"/>
        </w:rPr>
        <w:t>(Rizo et al., 2022)</w:t>
      </w:r>
      <w:r w:rsidR="7A54A044" w:rsidRPr="0076589C">
        <w:rPr>
          <w:b/>
          <w:bCs/>
          <w:lang w:val="es-HN"/>
        </w:rPr>
        <w:fldChar w:fldCharType="end"/>
      </w:r>
    </w:p>
    <w:p w14:paraId="6B324857" w14:textId="24E215A5" w:rsidR="00FD2607" w:rsidRPr="0076589C" w:rsidRDefault="1C8D6E3A" w:rsidP="001D33C0">
      <w:pPr>
        <w:spacing w:after="0" w:line="360" w:lineRule="auto"/>
        <w:ind w:left="0" w:firstLine="720"/>
        <w:jc w:val="both"/>
        <w:rPr>
          <w:rFonts w:eastAsia="Times New Roman" w:cs="Times New Roman"/>
        </w:rPr>
      </w:pPr>
      <w:r w:rsidRPr="0076589C">
        <w:rPr>
          <w:rFonts w:eastAsia="Times New Roman" w:cs="Times New Roman"/>
        </w:rPr>
        <w:t>Considerando que esta investigación no se realiza el cálculo de la muestra, no se aplica técnica de muestreo alguna.</w:t>
      </w:r>
      <w:bookmarkStart w:id="208" w:name="_Toc133044410"/>
    </w:p>
    <w:p w14:paraId="1C217075" w14:textId="4DF93C86" w:rsidR="001D33C0" w:rsidRPr="0076589C" w:rsidRDefault="001D33C0" w:rsidP="0065235E">
      <w:pPr>
        <w:rPr>
          <w:rFonts w:eastAsia="Times New Roman" w:cs="Times New Roman"/>
        </w:rPr>
      </w:pPr>
      <w:r w:rsidRPr="0076589C">
        <w:rPr>
          <w:rFonts w:eastAsia="Times New Roman" w:cs="Times New Roman"/>
        </w:rPr>
        <w:br w:type="page"/>
      </w:r>
    </w:p>
    <w:p w14:paraId="306433E7" w14:textId="453DB414" w:rsidR="00CC6410" w:rsidRPr="0076589C" w:rsidRDefault="1C8D6E3A" w:rsidP="00CC6410">
      <w:pPr>
        <w:pStyle w:val="Ttulo2"/>
      </w:pPr>
      <w:bookmarkStart w:id="209" w:name="_Toc158365505"/>
      <w:r w:rsidRPr="0076589C">
        <w:lastRenderedPageBreak/>
        <w:t>3.4 TÉCNICAS, INSTRUMENTOS Y PROCEDIMIENTOS APLICADOS</w:t>
      </w:r>
      <w:bookmarkEnd w:id="208"/>
      <w:bookmarkEnd w:id="209"/>
    </w:p>
    <w:p w14:paraId="0F27E270" w14:textId="74D53A49" w:rsidR="00CC6410" w:rsidRPr="0076589C" w:rsidRDefault="1C8D6E3A" w:rsidP="00CC6410">
      <w:pPr>
        <w:pStyle w:val="Ttulonivel3"/>
      </w:pPr>
      <w:bookmarkStart w:id="210" w:name="_Toc158365506"/>
      <w:r w:rsidRPr="0076589C">
        <w:t>3.4.1 TÉCNICAS</w:t>
      </w:r>
      <w:bookmarkEnd w:id="210"/>
    </w:p>
    <w:p w14:paraId="110192AE" w14:textId="2FA7D622" w:rsidR="005731E2" w:rsidRPr="0076589C" w:rsidRDefault="1C8D6E3A" w:rsidP="004E0CCA">
      <w:pPr>
        <w:pStyle w:val="TextoPrincipal"/>
        <w:rPr>
          <w:lang w:val="es-HN"/>
        </w:rPr>
      </w:pPr>
      <w:r w:rsidRPr="0076589C">
        <w:rPr>
          <w:lang w:val="es-HN"/>
        </w:rPr>
        <w:t xml:space="preserve">La técnica es un procedimiento típico, con validez y orientación a obtener y transformar información útil para la solución de problemas. La técnica prevé el uso de un instrumento de aplicación. </w:t>
      </w:r>
      <w:r w:rsidR="7A54A044" w:rsidRPr="0076589C">
        <w:rPr>
          <w:lang w:val="es-HN"/>
        </w:rPr>
        <w:fldChar w:fldCharType="begin"/>
      </w:r>
      <w:r w:rsidR="7A54A044" w:rsidRPr="0076589C">
        <w:rPr>
          <w:lang w:val="es-HN"/>
        </w:rPr>
        <w:instrText xml:space="preserve"> ADDIN ZOTERO_ITEM CSL_CITATION {"citationID":"6bA4UVin","properties":{"formattedCitation":"(Crotte, 2011)","plainCitation":"(Crotte, 2011)","noteIndex":0},"citationItems":[{"id":284,"uris":["http://zotero.org/users/12108825/items/ILAGA9JE"],"itemData":{"id":284,"type":"article-journal","abstract":"El presente documento persigue un solo propósito: el de servir de guía para la construcción de instrumentos técnicos para investigación empírica o trabajo de campo; por ello se presenta en términos esquemáticos y reúne dos ejemplos: Uno de ficha de descripción de técnica y un diseño completo, ambos en específico para la técnica de Observación Directa, tomados del desarrollo de un proyecto de investigación en el campo educativo.","language":"es","source":"Zotero","title":"ELEMENTOS PARA EL DISEÑO DE TÉCNICAS DE INVESTIGACIÓN: UNA PROPUESTA DE DEFINICIONES Y PROCEDIMIENTOS EN LA INVESTIGACIÓN CIENTÍFICA","author":[{"family":"Crotte","given":"Ignacio Roberto Rojas"}],"issued":{"date-parts":[["2011"]]}}}],"schema":"https://github.com/citation-style-language/schema/raw/master/csl-citation.json"} </w:instrText>
      </w:r>
      <w:r w:rsidR="7A54A044" w:rsidRPr="0076589C">
        <w:rPr>
          <w:lang w:val="es-HN"/>
        </w:rPr>
        <w:fldChar w:fldCharType="separate"/>
      </w:r>
      <w:r w:rsidRPr="0076589C">
        <w:rPr>
          <w:lang w:val="es-HN"/>
        </w:rPr>
        <w:t>(Crotte, 2011)</w:t>
      </w:r>
      <w:r w:rsidR="7A54A044" w:rsidRPr="0076589C">
        <w:rPr>
          <w:lang w:val="es-HN"/>
        </w:rPr>
        <w:fldChar w:fldCharType="end"/>
      </w:r>
    </w:p>
    <w:p w14:paraId="62AF7A3A" w14:textId="436093C8" w:rsidR="00F209CF" w:rsidRPr="0076589C" w:rsidRDefault="1C8D6E3A" w:rsidP="00AC3248">
      <w:pPr>
        <w:pStyle w:val="TextoPrincipal"/>
        <w:rPr>
          <w:lang w:val="es-HN"/>
        </w:rPr>
      </w:pPr>
      <w:r w:rsidRPr="0076589C">
        <w:rPr>
          <w:lang w:val="es-HN"/>
        </w:rPr>
        <w:t xml:space="preserve">Las técnicas que se utilizan en la presente investigación es la aplicación de entrevistas y el análisis de las bases de datos financieros de la empresa Industria Procesadora de Alimentos (IPRA). </w:t>
      </w:r>
    </w:p>
    <w:p w14:paraId="298D2CC6" w14:textId="0389CE94" w:rsidR="00997172" w:rsidRPr="0076589C" w:rsidRDefault="1C8D6E3A" w:rsidP="00997172">
      <w:pPr>
        <w:pStyle w:val="TextoPrincipal"/>
        <w:rPr>
          <w:lang w:val="es-HN"/>
        </w:rPr>
      </w:pPr>
      <w:r w:rsidRPr="0076589C">
        <w:rPr>
          <w:lang w:val="es-HN"/>
        </w:rPr>
        <w:t>En la investigación se aplican las siguientes técnicas:</w:t>
      </w:r>
    </w:p>
    <w:p w14:paraId="369E921F" w14:textId="5FFE08F8" w:rsidR="00CC616F" w:rsidRPr="0076589C" w:rsidRDefault="1C8D6E3A" w:rsidP="00E541EF">
      <w:pPr>
        <w:pStyle w:val="Ttulonivel4"/>
      </w:pPr>
      <w:r w:rsidRPr="0076589C">
        <w:t>3.4.1.1 ENTREVISTA</w:t>
      </w:r>
    </w:p>
    <w:p w14:paraId="0B3010EF" w14:textId="63CBAA98" w:rsidR="00CC616F" w:rsidRPr="0076589C" w:rsidRDefault="1C8D6E3A" w:rsidP="007633CF">
      <w:pPr>
        <w:pStyle w:val="CitaLarga"/>
      </w:pPr>
      <w:r w:rsidRPr="0076589C">
        <w:t xml:space="preserve">La entrevista es una técnica de gran utilidad en la investigación cualitativa para recabar datos; se define como una conversación que se propone un fin determinado distinto al simple hecho de conversar. La entrevista se define como “la comunicación interpersonal establecida entre el investigador y el sujeto de estudio, a fin de obtener respuestas verbales a las interrogantes planteadas sobre el problema propuesto”. </w:t>
      </w:r>
      <w:r w:rsidR="7A54A044" w:rsidRPr="0076589C">
        <w:fldChar w:fldCharType="begin"/>
      </w:r>
      <w:r w:rsidR="7A54A044" w:rsidRPr="0076589C">
        <w:instrText xml:space="preserve"> ADDIN ZOTERO_ITEM CSL_CITATION {"citationID":"r8ccI7am","properties":{"formattedCitation":"(D\\uc0\\u237{}az-Bravo et\\uc0\\u160{}al., 2013)","plainCitation":"(Díaz-Bravo et al., 2013)","noteIndex":0},"citationItems":[{"id":294,"uris":["http://zotero.org/users/12108825/items/AR8MTC5U"],"itemData":{"id":294,"type":"article-journal","abstract":"The interview is defined as “a conversation which proposes a particular purpose other than simply talk.” It is a very useful technical tool in qualitative research to collect data. This article aims to define the interview, reviews its classification with emphasis on semi-structured for being flexible, dynamic and non-directive. Also, it points out how to develop questions, outlines how to interpret it and its benefits. Finally, because of its importance in medical practice and medical education we review some examples of its use.","container-title":"Investigación en Educación Médica","DOI":"10.1016/S2007-5057(13)72706-6","ISSN":"20075057","issue":"7","journalAbbreviation":"Investigación en Educación Médica","language":"es","page":"162-167","source":"DOI.org (Crossref)","title":"La entrevista, recurso flexible y dinámico","volume":"2","author":[{"family":"Díaz-Bravo","given":"Laura"},{"family":"Torruco-García","given":"Uri"},{"family":"Martínez-Hernández","given":"Mildred"},{"family":"Varela-Ruiz","given":"Margarita"}],"issued":{"date-parts":[["2013",7]]}}}],"schema":"https://github.com/citation-style-language/schema/raw/master/csl-citation.json"} </w:instrText>
      </w:r>
      <w:r w:rsidR="7A54A044" w:rsidRPr="0076589C">
        <w:fldChar w:fldCharType="separate"/>
      </w:r>
      <w:r w:rsidRPr="0076589C">
        <w:t>(Díaz-Bravo et al., 2013)</w:t>
      </w:r>
      <w:r w:rsidR="7A54A044" w:rsidRPr="0076589C">
        <w:fldChar w:fldCharType="end"/>
      </w:r>
    </w:p>
    <w:p w14:paraId="4EDDE1C9" w14:textId="77777777" w:rsidR="00CB6536" w:rsidRPr="0076589C" w:rsidRDefault="00CB6536" w:rsidP="007633CF">
      <w:pPr>
        <w:pStyle w:val="CitaLarga"/>
      </w:pPr>
    </w:p>
    <w:p w14:paraId="6873C0C6" w14:textId="5566A7CF" w:rsidR="00CC616F" w:rsidRPr="0076589C" w:rsidRDefault="1C8D6E3A" w:rsidP="0065235E">
      <w:pPr>
        <w:pStyle w:val="Ttulonivel4"/>
      </w:pPr>
      <w:r w:rsidRPr="0076589C">
        <w:t xml:space="preserve">3.4.1.2 ANÁLISIS DE BASE DE DATOS </w:t>
      </w:r>
    </w:p>
    <w:p w14:paraId="252FC830" w14:textId="070B715A" w:rsidR="00906668" w:rsidRPr="0076589C" w:rsidRDefault="1C8D6E3A" w:rsidP="00906668">
      <w:pPr>
        <w:pStyle w:val="TextoPrincipal"/>
        <w:rPr>
          <w:lang w:val="es-HN"/>
        </w:rPr>
      </w:pPr>
      <w:r w:rsidRPr="0076589C">
        <w:rPr>
          <w:lang w:val="es-HN"/>
        </w:rPr>
        <w:t xml:space="preserve">Para poder hablar del análisis de bases de datos, </w:t>
      </w:r>
      <w:r w:rsidR="00883E97" w:rsidRPr="0076589C">
        <w:rPr>
          <w:lang w:val="es-HN"/>
        </w:rPr>
        <w:t>se</w:t>
      </w:r>
      <w:r w:rsidRPr="0076589C">
        <w:rPr>
          <w:lang w:val="es-HN"/>
        </w:rPr>
        <w:t xml:space="preserve"> defini</w:t>
      </w:r>
      <w:r w:rsidR="00883E97" w:rsidRPr="0076589C">
        <w:rPr>
          <w:lang w:val="es-HN"/>
        </w:rPr>
        <w:t>ó</w:t>
      </w:r>
      <w:r w:rsidRPr="0076589C">
        <w:rPr>
          <w:lang w:val="es-HN"/>
        </w:rPr>
        <w:t xml:space="preserve"> primero el concepto de base de datos.</w:t>
      </w:r>
    </w:p>
    <w:p w14:paraId="20A49B99" w14:textId="1461FA36" w:rsidR="00906668" w:rsidRPr="0076589C" w:rsidRDefault="1C8D6E3A" w:rsidP="00906668">
      <w:pPr>
        <w:pStyle w:val="TextoPrincipal"/>
        <w:rPr>
          <w:lang w:val="es-HN"/>
        </w:rPr>
      </w:pPr>
      <w:r w:rsidRPr="0076589C">
        <w:rPr>
          <w:lang w:val="es-HN"/>
        </w:rPr>
        <w:t>Según Date</w:t>
      </w:r>
      <w:r w:rsidR="7A54A044" w:rsidRPr="0076589C">
        <w:rPr>
          <w:lang w:val="es-HN"/>
        </w:rPr>
        <w:fldChar w:fldCharType="begin"/>
      </w:r>
      <w:r w:rsidR="7A54A044" w:rsidRPr="0076589C">
        <w:rPr>
          <w:lang w:val="es-HN"/>
        </w:rPr>
        <w:instrText xml:space="preserve"> ADDIN ZOTERO_ITEM CSL_CITATION {"citationID":"OzvGlS8E","properties":{"formattedCitation":"(Date, 2001)","plainCitation":"(Date, 2001)","dontUpdate":true,"noteIndex":0},"citationItems":[{"id":307,"uris":["http://zotero.org/users/12108825/items/XAMPRH6B"],"itemData":{"id":307,"type":"book","abstract":"Panorama general de la administración de bases de datos - Arquitectura de los sistemas de bases de datos - Una introducción a las bases de datos relacionales - Introducción a SQL - Dominios, relaciones y varrels base - Algebra relacional - Cálculo relacional - Integridad - Vistas - Dependencias funcionales - Normalización adicional I : 1FN, 2FN, 3FN, FNBC - Normalización adicional II : formas normales superiores - Modelado semántico - Administración de transacciones - Seguridad - Optimización - Información faltante - Herencia de tipo - Bases de datos distribuidos - Apoyo para la toma de decisiones - Bases de datos temporales - Bases de datos basados en la lógica - Bases de datos de objetos - Bases de datos de objetos/relacionales.","ISBN":"978-968-444-419-5","language":"es","number-of-pages":"964","publisher":"Pearson Educación","source":"Google Books","title":"Introducción a los sistemas de bases de datos","author":[{"family":"Date","given":"C. J."}],"issued":{"date-parts":[["2001"]]}}}],"schema":"https://github.com/citation-style-language/schema/raw/master/csl-citation.json"} </w:instrText>
      </w:r>
      <w:r w:rsidR="7A54A044" w:rsidRPr="0076589C">
        <w:rPr>
          <w:lang w:val="es-HN"/>
        </w:rPr>
        <w:fldChar w:fldCharType="separate"/>
      </w:r>
      <w:r w:rsidRPr="0076589C">
        <w:rPr>
          <w:lang w:val="es-HN"/>
        </w:rPr>
        <w:t>, (2001)</w:t>
      </w:r>
      <w:r w:rsidR="7A54A044" w:rsidRPr="0076589C">
        <w:rPr>
          <w:lang w:val="es-HN"/>
        </w:rPr>
        <w:fldChar w:fldCharType="end"/>
      </w:r>
      <w:r w:rsidRPr="0076589C">
        <w:rPr>
          <w:lang w:val="es-HN"/>
        </w:rPr>
        <w:t xml:space="preserve"> </w:t>
      </w:r>
      <w:r w:rsidR="00946419" w:rsidRPr="0076589C">
        <w:rPr>
          <w:lang w:val="es-HN"/>
        </w:rPr>
        <w:t>definió</w:t>
      </w:r>
      <w:r w:rsidRPr="0076589C">
        <w:rPr>
          <w:lang w:val="es-HN"/>
        </w:rPr>
        <w:t xml:space="preserve"> base de datos como: </w:t>
      </w:r>
    </w:p>
    <w:p w14:paraId="02C1C1BB" w14:textId="27DFAE2B" w:rsidR="371D39FC" w:rsidRPr="0076589C" w:rsidRDefault="1C8D6E3A" w:rsidP="371D39FC">
      <w:pPr>
        <w:pStyle w:val="TextoPrincipal"/>
        <w:spacing w:line="240" w:lineRule="auto"/>
        <w:ind w:left="720" w:firstLine="0"/>
        <w:rPr>
          <w:lang w:val="es-HN"/>
        </w:rPr>
      </w:pPr>
      <w:r w:rsidRPr="0076589C">
        <w:rPr>
          <w:sz w:val="22"/>
          <w:lang w:val="es-HN"/>
        </w:rPr>
        <w:t>Un conjunto de datos persistentes que es utilizado por los sistemas de aplicación de alguna empresa dada. Donde debe mantener una gran cantidad de datos acerca de su operación. Estos datos son los "datos persistentes" pueden ser datos de producción, datos contables, datos de pacientes, datos de estudiantes, y datos de planeación</w:t>
      </w:r>
      <w:r w:rsidRPr="0076589C">
        <w:rPr>
          <w:lang w:val="es-HN"/>
        </w:rPr>
        <w:t>.</w:t>
      </w:r>
    </w:p>
    <w:p w14:paraId="45433909" w14:textId="1D19C681" w:rsidR="371D39FC" w:rsidRPr="0076589C" w:rsidRDefault="1C8D6E3A" w:rsidP="371D39FC">
      <w:pPr>
        <w:pStyle w:val="TextoPrincipal"/>
        <w:rPr>
          <w:lang w:val="es-HN"/>
        </w:rPr>
      </w:pPr>
      <w:r w:rsidRPr="0076589C">
        <w:rPr>
          <w:lang w:val="es-HN"/>
        </w:rPr>
        <w:t xml:space="preserve">El análisis de bases de datos se refiere al proceso de examinar, procesar y extraer información significativa de conjuntos de datos, con el objetivo de tomar decisiones informadas, identificar patrones o descubrir tendencias dentro de la información almacenada en una base de datos. </w:t>
      </w:r>
      <w:r w:rsidR="7A54A044" w:rsidRPr="0076589C">
        <w:rPr>
          <w:lang w:val="es-HN"/>
        </w:rPr>
        <w:fldChar w:fldCharType="begin"/>
      </w:r>
      <w:r w:rsidR="7A54A044" w:rsidRPr="0076589C">
        <w:rPr>
          <w:lang w:val="es-HN"/>
        </w:rPr>
        <w:instrText xml:space="preserve"> ADDIN ZOTERO_ITEM CSL_CITATION {"citationID":"VxRInHKa","properties":{"formattedCitation":"(Serrano de Entrambasaguas, 1976)","plainCitation":"(Serrano de Entrambasaguas, 1976)","noteIndex":0},"citationItems":[{"id":309,"uris":["http://zotero.org/users/12108825/items/ZDUKW9MH"],"itemData":{"id":309,"type":"book","abstract":"Incorpora el concepto de base de datos a la metodología del análisis de sistemas.","ISBN":"978-84-369-0100-9","language":"es","note":"Google-Books-ID: G1lBCgAAQBAJ","number-of-pages":"292","publisher":"Ministerio de Educación","source":"Google Books","title":"Bases de datos (una concepción de sistemas de información)","author":[{"family":"Serrano de Entrambasaguas","given":"Guillermo"}],"issued":{"date-parts":[["1976"]]}}}],"schema":"https://github.com/citation-style-language/schema/raw/master/csl-citation.json"} </w:instrText>
      </w:r>
      <w:r w:rsidR="7A54A044" w:rsidRPr="0076589C">
        <w:rPr>
          <w:lang w:val="es-HN"/>
        </w:rPr>
        <w:fldChar w:fldCharType="separate"/>
      </w:r>
      <w:r w:rsidRPr="0076589C">
        <w:rPr>
          <w:lang w:val="es-HN"/>
        </w:rPr>
        <w:t>(Serrano de Entrambasaguas, 1976)</w:t>
      </w:r>
      <w:r w:rsidR="7A54A044" w:rsidRPr="0076589C">
        <w:rPr>
          <w:lang w:val="es-HN"/>
        </w:rPr>
        <w:fldChar w:fldCharType="end"/>
      </w:r>
    </w:p>
    <w:p w14:paraId="73573CD3" w14:textId="77777777" w:rsidR="00CB6536" w:rsidRPr="0076589C" w:rsidRDefault="00CB6536" w:rsidP="371D39FC">
      <w:pPr>
        <w:pStyle w:val="TextoPrincipal"/>
        <w:rPr>
          <w:lang w:val="es-HN"/>
        </w:rPr>
      </w:pPr>
    </w:p>
    <w:p w14:paraId="448ADE68" w14:textId="5625511A" w:rsidR="371D39FC" w:rsidRPr="0076589C" w:rsidRDefault="1C8D6E3A" w:rsidP="0053775F">
      <w:pPr>
        <w:pStyle w:val="Nivel5"/>
      </w:pPr>
      <w:r w:rsidRPr="0076589C">
        <w:lastRenderedPageBreak/>
        <w:t>3.4.1.2.1 ANÁLISIS DE ESTADOS FINANCIEROS</w:t>
      </w:r>
    </w:p>
    <w:p w14:paraId="02888B6F" w14:textId="4E97484A" w:rsidR="371D39FC" w:rsidRPr="0076589C" w:rsidRDefault="1C8D6E3A" w:rsidP="371D39FC">
      <w:pPr>
        <w:pStyle w:val="TextoPrincipal"/>
        <w:rPr>
          <w:lang w:val="es-HN"/>
        </w:rPr>
      </w:pPr>
      <w:r w:rsidRPr="0076589C">
        <w:rPr>
          <w:lang w:val="es-HN"/>
        </w:rPr>
        <w:t xml:space="preserve">Sobre estos estados o documentos financieros gira toda la información que se elabora por la contabilidad como sistema de información económico-financiera que trata de facilitar, tanto a los directivos como a otros usuarios, informaciones sobre la calidad de la gestión empresarial, en sus diferentes niveles. Obviamente según el nivel, los destinatarios de la contabilidad serán unos u otros los informes a elaborar, interpretar y analizar. </w:t>
      </w:r>
      <w:r w:rsidR="7A54A044" w:rsidRPr="0076589C">
        <w:rPr>
          <w:lang w:val="es-HN"/>
        </w:rPr>
        <w:fldChar w:fldCharType="begin"/>
      </w:r>
      <w:r w:rsidR="7A54A044" w:rsidRPr="0076589C">
        <w:rPr>
          <w:lang w:val="es-HN"/>
        </w:rPr>
        <w:instrText xml:space="preserve"> ADDIN ZOTERO_ITEM CSL_CITATION {"citationID":"R6fJLoQC","properties":{"formattedCitation":"(Eslava, 2010)","plainCitation":"(Eslava, 2010)","noteIndex":0},"citationItems":[{"id":122,"uris":["http://zotero.org/users/12108825/items/8PI4H4WA"],"itemData":{"id":122,"type":"book","abstract":"En este libro, el lector encontrará las claves del análisis económico- financiero de la empresa a través de la interpretación y análisis de sus principales estados financieros y aplicando sobre los mismos la técnica de los ratios de gestión. Orientado su contenido, metodología y definición de conceptos a los directivos no financieros, su objetivo es facilitar a dichos directivos la comprensión y uso de aquellos ratios económico- financieros fundamentales que puedan apoyar eficazmente su proceso de adopción de decisiones de nivel directivo, tanto en el ámbito de acciones que incidan sobre la rentabilidad económica de la empresa, como sobre la rentabilidad financiera de los accionistas o propietarios, así como sobre las políticas de crecimiento empresarial e incluso, sobre la rentabilidad de de nuevos proyectos de inversión. Además, el libro aporta como novedades, por un lado, el caso práctico de una empresa que a lo largo de cada uno de sus capítulos detalla como ejemplo un desarrollo completo de todos los ratios que se explicitan así como su análisis práctico. Por otro lado, se incorpora al libro un CD con un potente simulador que permite incluir, interpretar, analizar y comparar de forma rápida y completa hasta 12 estados financieros (Balances y Cuentas de Pérdidas y Ganancias) que se desee, tanto de una sola empresa como de diferentes empresas, a través de ratios y diagramas perfectamente ajustados a las exigencias de la Nueva Contabilidad del Plan General Contable Español, publicado en noviembre de 2007. El autor: José de Jaime Eslava. Licenciado en Ciencias Económicas y Empresariales, profesor mercantil y con varios títulos de MBA ( EOI, PDG IESE; EPBA Columbia New YORK), ha sido director corporativo de finanzas y riesgos de diferentes empresas españolas y director de estrategia corporativa de filiales españolas de multinacionales, desempeñando actualmente las funciones de Socio Director del Grupo ECG Consultores de Dirección, Presidente del Instituto Español de Finanzas, Consejero de EuroFinance Institute para España y del Instituto Tecnológico Latino. Índice: Las posiciones económico-financieras de la empresa.- Los estados financieros como soportes del análisis de la gestión empresarial.- El análisis de la rentabilidad y solvencia de la empresa.- El análisis del capital circulante y la liquidez empresarial.- El análisis de los costes de la financiación empresarial.- El análisis de las decisiones de crecimiento empresarial.- El análisis de las decisiones de inversión.- El análisis de la rentabilidad de los proyectos de inversión.- El análisis de los costes y la rentabilidad de los productos.","ISBN":"978-84-7356-721-3","language":"es","note":"Google-Books-ID: 04I0fgwMCDoC","number-of-pages":"418","publisher":"ESIC Editorial","source":"Google Books","title":"Las claves del análisis económico-financiero de la empresa","author":[{"family":"Eslava","given":"José de Jaime"}],"issued":{"date-parts":[["2010",10,15]]}}}],"schema":"https://github.com/citation-style-language/schema/raw/master/csl-citation.json"} </w:instrText>
      </w:r>
      <w:r w:rsidR="7A54A044" w:rsidRPr="0076589C">
        <w:rPr>
          <w:lang w:val="es-HN"/>
        </w:rPr>
        <w:fldChar w:fldCharType="separate"/>
      </w:r>
      <w:r w:rsidRPr="0076589C">
        <w:rPr>
          <w:lang w:val="es-HN"/>
        </w:rPr>
        <w:t>(Eslava, 2010)</w:t>
      </w:r>
      <w:r w:rsidR="7A54A044" w:rsidRPr="0076589C">
        <w:rPr>
          <w:lang w:val="es-HN"/>
        </w:rPr>
        <w:fldChar w:fldCharType="end"/>
      </w:r>
    </w:p>
    <w:p w14:paraId="55677C4E" w14:textId="1FA8B2CB" w:rsidR="00CB6536" w:rsidRPr="0076589C" w:rsidRDefault="1C8D6E3A" w:rsidP="00CB6536">
      <w:pPr>
        <w:pStyle w:val="TextoPrincipal"/>
        <w:spacing w:after="0"/>
        <w:rPr>
          <w:lang w:val="es-HN"/>
        </w:rPr>
      </w:pPr>
      <w:r w:rsidRPr="0076589C">
        <w:rPr>
          <w:lang w:val="es-HN"/>
        </w:rPr>
        <w:t xml:space="preserve">Los estados financieros son herramientas esenciales para evaluar la salud financiera de una empresa. A través del análisis de estos informes, los inversionistas, acreedores y gerentes pueden comprender mejor la rentabilidad, la liquidez y la eficiencia operativa de la empresa. Además, el análisis de estados financieros ayuda a tomar decisiones estratégicas, como la asignación de recursos y la planificación a largo plazo, lo que resulta fundamental para el éxito y la supervivencia de cualquier negocio en un entorno competitivo. </w:t>
      </w:r>
      <w:r w:rsidR="7A54A044" w:rsidRPr="0076589C">
        <w:rPr>
          <w:lang w:val="es-HN"/>
        </w:rPr>
        <w:fldChar w:fldCharType="begin"/>
      </w:r>
      <w:r w:rsidR="7A54A044" w:rsidRPr="0076589C">
        <w:rPr>
          <w:lang w:val="es-HN"/>
        </w:rPr>
        <w:instrText xml:space="preserve"> ADDIN ZOTERO_ITEM CSL_CITATION {"citationID":"YI2DjJaT","properties":{"formattedCitation":"(Coello, 2016)","plainCitation":"(Coello, 2016)","noteIndex":0},"citationItems":[{"id":313,"uris":["http://zotero.org/users/12108825/items/72PU2RFD"],"itemData":{"id":313,"type":"book","abstract":"Durante años, en la mayoría de los libros de texto se ha convenido y aceptado que existen dos tipos de información para la toma de decisiones: por una parte, la información financiera enfocada en el usuario externo, quien con base en el análisis e interpretación de esta puede tomar decisiones de inversión, de financiamiento y opinar con respecto a la eficiencia en la administración de la operación de la en­tidad; por otro lado, la información administrativa que apoya la toma de decisiones operativas del día a día, por parte de la alta gerencia, mediante la planeación y el control presupuestal, el análisis de apa­lancamientos, de costos fijos y variables a diferentes volúmenes de producción, la planeación de flujos de efectivo y las proyecciones del negocio, entre otras. Por ello, es importante revaluar el trabajo del Contador Público como el profesional que proporciona información valiosa no solo financiera, sino administrativa, con un enfoque estratégico para dinamizar la economía que responda a una inquietud de los profesionales de la administración financiera, en su actividad dentro de las entidades en las que prestan sus servicios y de los académicos ante las preguntas de los estudiantes de negocios y los empresarios, en virtud de que diferentes autores enfatizan que la información plasmada en los estados financieros es para la toma de decisiones. De esta manera, el autor de La información financiera y administra­tiva: enlace estratégico para la toma de decisiones, proporciona un invaluable material para la formación estudiantil universitaria en el país, a la vez que otorga al empresario mexicano una variedad de herramientas sencillas y de fácil utilización para una eficiente toma de decisiones administrativas.","ISBN":"978-607-8463-22-0","language":"es","note":"Google-Books-ID: lWlyDgAAQBAJ","number-of-pages":"183","publisher":"IMCP","source":"Google Books","title":"La información financiera y administrativa","author":[{"family":"Coello","given":"Carlos Enrique Pacheco"}],"issued":{"date-parts":[["2016",6,3]]}}}],"schema":"https://github.com/citation-style-language/schema/raw/master/csl-citation.json"} </w:instrText>
      </w:r>
      <w:r w:rsidR="7A54A044" w:rsidRPr="0076589C">
        <w:rPr>
          <w:lang w:val="es-HN"/>
        </w:rPr>
        <w:fldChar w:fldCharType="separate"/>
      </w:r>
      <w:r w:rsidRPr="0076589C">
        <w:rPr>
          <w:lang w:val="es-HN"/>
        </w:rPr>
        <w:t>(Coello, 2016)</w:t>
      </w:r>
      <w:r w:rsidR="7A54A044" w:rsidRPr="0076589C">
        <w:rPr>
          <w:lang w:val="es-HN"/>
        </w:rPr>
        <w:fldChar w:fldCharType="end"/>
      </w:r>
    </w:p>
    <w:p w14:paraId="568281CD" w14:textId="77777777" w:rsidR="00CB6536" w:rsidRPr="0076589C" w:rsidRDefault="00CB6536" w:rsidP="00CB6536">
      <w:pPr>
        <w:pStyle w:val="TextoPrincipal"/>
        <w:spacing w:after="0"/>
        <w:rPr>
          <w:lang w:val="es-HN"/>
        </w:rPr>
      </w:pPr>
    </w:p>
    <w:p w14:paraId="73C35BCA" w14:textId="4144277B" w:rsidR="00906668" w:rsidRPr="0076589C" w:rsidRDefault="1C8D6E3A" w:rsidP="00906668">
      <w:pPr>
        <w:pStyle w:val="Ttulonivel3"/>
      </w:pPr>
      <w:bookmarkStart w:id="211" w:name="_Toc158365507"/>
      <w:r w:rsidRPr="0076589C">
        <w:t>3.4.2 INSTRUMENTOS</w:t>
      </w:r>
      <w:bookmarkEnd w:id="211"/>
    </w:p>
    <w:p w14:paraId="4DDACE5C" w14:textId="1A5F114D" w:rsidR="00AC3248" w:rsidRPr="0076589C" w:rsidRDefault="1C8D6E3A" w:rsidP="00AC3248">
      <w:pPr>
        <w:pStyle w:val="TextoPrincipal"/>
        <w:rPr>
          <w:lang w:val="es-HN"/>
        </w:rPr>
      </w:pPr>
      <w:r w:rsidRPr="0076589C">
        <w:rPr>
          <w:lang w:val="es-HN"/>
        </w:rPr>
        <w:t xml:space="preserve">El instrumento es el recurso que utiliza un investigador para obtener la información o datos sobre las variables a estudiar. Loa instrumentos de investigación pueden variar según la naturaleza de la investigación y los datos que busca recopilar. </w:t>
      </w:r>
      <w:r w:rsidR="7A54A044" w:rsidRPr="0076589C">
        <w:rPr>
          <w:lang w:val="es-HN"/>
        </w:rPr>
        <w:fldChar w:fldCharType="begin"/>
      </w:r>
      <w:r w:rsidR="7A54A044" w:rsidRPr="0076589C">
        <w:rPr>
          <w:lang w:val="es-HN"/>
        </w:rPr>
        <w:instrText xml:space="preserve"> ADDIN ZOTERO_ITEM CSL_CITATION {"citationID":"Lg3lORzG","properties":{"formattedCitation":"(Orellana, 2016)","plainCitation":"(Orellana, 2016)","noteIndex":0},"citationItems":[{"id":290,"uris":["http://zotero.org/users/12108825/items/3ISCC59X"],"itemData":{"id":290,"type":"book","source":"ResearchGate","title":"CONSTRUCCION DE INSTRUMENTOS DE INVESTIGACIÓN EN CIENCIAS SOCIALES","author":[{"family":"Orellana","given":"Gaspar"}],"issued":{"date-parts":[["2016"]]}}}],"schema":"https://github.com/citation-style-language/schema/raw/master/csl-citation.json"} </w:instrText>
      </w:r>
      <w:r w:rsidR="7A54A044" w:rsidRPr="0076589C">
        <w:rPr>
          <w:lang w:val="es-HN"/>
        </w:rPr>
        <w:fldChar w:fldCharType="separate"/>
      </w:r>
      <w:r w:rsidRPr="0076589C">
        <w:rPr>
          <w:lang w:val="es-HN"/>
        </w:rPr>
        <w:t>(Orellana, 2016)</w:t>
      </w:r>
      <w:r w:rsidR="7A54A044" w:rsidRPr="0076589C">
        <w:rPr>
          <w:lang w:val="es-HN"/>
        </w:rPr>
        <w:fldChar w:fldCharType="end"/>
      </w:r>
    </w:p>
    <w:p w14:paraId="1398E7BE" w14:textId="7551798D" w:rsidR="00CB6536" w:rsidRPr="0076589C" w:rsidRDefault="1C8D6E3A" w:rsidP="00CB6536">
      <w:pPr>
        <w:pStyle w:val="TextoPrincipal"/>
        <w:spacing w:after="0"/>
        <w:rPr>
          <w:lang w:val="es-HN"/>
        </w:rPr>
      </w:pPr>
      <w:r w:rsidRPr="0076589C">
        <w:rPr>
          <w:lang w:val="es-HN"/>
        </w:rPr>
        <w:t>En la investigación los instrumentos utilizados son una entrevista y las bases de datos de la empresa Industria Procesadora de Alimentos (IPRA).</w:t>
      </w:r>
    </w:p>
    <w:p w14:paraId="2FA62B28" w14:textId="77777777" w:rsidR="00CB6536" w:rsidRPr="0076589C" w:rsidRDefault="00CB6536" w:rsidP="00CB6536">
      <w:pPr>
        <w:pStyle w:val="TextoPrincipal"/>
        <w:spacing w:after="0"/>
        <w:rPr>
          <w:lang w:val="es-HN"/>
        </w:rPr>
      </w:pPr>
    </w:p>
    <w:p w14:paraId="06B97B1C" w14:textId="7AD55FEE" w:rsidR="00FE539B" w:rsidRPr="0076589C" w:rsidRDefault="1C8D6E3A" w:rsidP="00FE539B">
      <w:pPr>
        <w:pStyle w:val="Ttulonivel4"/>
      </w:pPr>
      <w:r w:rsidRPr="0076589C">
        <w:t>3.4.2.1 ENTREVISTA</w:t>
      </w:r>
    </w:p>
    <w:p w14:paraId="0F3C1958" w14:textId="56837595" w:rsidR="00FE539B" w:rsidRPr="0076589C" w:rsidRDefault="1C8D6E3A" w:rsidP="1F9694D5">
      <w:pPr>
        <w:spacing w:after="120" w:line="360" w:lineRule="auto"/>
        <w:ind w:left="0" w:firstLine="720"/>
        <w:jc w:val="both"/>
        <w:rPr>
          <w:rFonts w:eastAsia="Times New Roman"/>
        </w:rPr>
      </w:pPr>
      <w:r w:rsidRPr="0076589C">
        <w:rPr>
          <w:rFonts w:eastAsia="Times New Roman" w:cs="Times New Roman"/>
        </w:rPr>
        <w:t xml:space="preserve">Debido a que este estudio tiene un enfoque mixto, para recolectar la información cualitativa referente al manejo de la cartera de créditos, al actual proceso de crédito y cobranza de Industria Procesadora de Alimentos S. A. de C.V., se lleva a cabo una entrevista estructurada con preguntas abiertas, dicha entrevista consta de 18 preguntas que se le realizan al Gerente financiero </w:t>
      </w:r>
      <w:r w:rsidR="006076EF" w:rsidRPr="0076589C">
        <w:rPr>
          <w:rFonts w:eastAsia="Times New Roman" w:cs="Times New Roman"/>
        </w:rPr>
        <w:t xml:space="preserve">(Ver Anexo No. 1) </w:t>
      </w:r>
      <w:r w:rsidRPr="0076589C">
        <w:rPr>
          <w:rFonts w:eastAsia="Times New Roman" w:cs="Times New Roman"/>
        </w:rPr>
        <w:t xml:space="preserve">con el fin de conocer mejor sobre la gestión de créditos y las cuentas por cobrar de la empresa. </w:t>
      </w:r>
    </w:p>
    <w:p w14:paraId="0B7BE9F5" w14:textId="0DCF5FA7" w:rsidR="00FE539B" w:rsidRPr="0076589C" w:rsidRDefault="1C8D6E3A" w:rsidP="1F9694D5">
      <w:pPr>
        <w:spacing w:after="120" w:line="360" w:lineRule="auto"/>
        <w:ind w:left="0" w:firstLine="720"/>
        <w:jc w:val="both"/>
        <w:rPr>
          <w:rFonts w:eastAsia="Times New Roman"/>
        </w:rPr>
      </w:pPr>
      <w:r w:rsidRPr="0076589C">
        <w:rPr>
          <w:rFonts w:eastAsia="Times New Roman"/>
        </w:rPr>
        <w:t xml:space="preserve">Este instrumento se utilizó una guía de entrevista </w:t>
      </w:r>
      <w:r w:rsidRPr="0076589C">
        <w:rPr>
          <w:rFonts w:eastAsia="Times New Roman" w:cs="Times New Roman"/>
        </w:rPr>
        <w:t>(</w:t>
      </w:r>
      <w:r w:rsidRPr="0076589C">
        <w:rPr>
          <w:rStyle w:val="TextoPrincipalCar"/>
          <w:lang w:val="es-HN"/>
        </w:rPr>
        <w:t xml:space="preserve">Ver Anexo </w:t>
      </w:r>
      <w:r w:rsidR="002E21ED" w:rsidRPr="0076589C">
        <w:rPr>
          <w:rStyle w:val="TextoPrincipalCar"/>
          <w:lang w:val="es-HN"/>
        </w:rPr>
        <w:t>No.</w:t>
      </w:r>
      <w:r w:rsidR="006076EF" w:rsidRPr="0076589C">
        <w:rPr>
          <w:rStyle w:val="TextoPrincipalCar"/>
          <w:lang w:val="es-HN"/>
        </w:rPr>
        <w:t>2</w:t>
      </w:r>
      <w:r w:rsidRPr="0076589C">
        <w:rPr>
          <w:rStyle w:val="TextoPrincipalCar"/>
          <w:lang w:val="es-HN"/>
        </w:rPr>
        <w:t>)</w:t>
      </w:r>
      <w:r w:rsidRPr="0076589C">
        <w:rPr>
          <w:rFonts w:eastAsia="Times New Roman"/>
        </w:rPr>
        <w:t xml:space="preserve"> el cual se </w:t>
      </w:r>
      <w:r w:rsidR="00946419" w:rsidRPr="0076589C">
        <w:rPr>
          <w:rFonts w:eastAsia="Times New Roman"/>
        </w:rPr>
        <w:t>definió</w:t>
      </w:r>
      <w:r w:rsidRPr="0076589C">
        <w:rPr>
          <w:rFonts w:eastAsia="Times New Roman"/>
        </w:rPr>
        <w:t xml:space="preserve"> cuarto dimensiones, en las cuales se abordan políticas relacionadas al crédito, políticas </w:t>
      </w:r>
      <w:r w:rsidRPr="0076589C">
        <w:rPr>
          <w:rFonts w:eastAsia="Times New Roman"/>
        </w:rPr>
        <w:lastRenderedPageBreak/>
        <w:t xml:space="preserve">relacionadas al cobro, comunicación con los clientes y el área financieras que utiliza actualmente la empresa. </w:t>
      </w:r>
    </w:p>
    <w:p w14:paraId="24D035A5" w14:textId="5FDBF59F" w:rsidR="00386AFF" w:rsidRPr="0076589C" w:rsidRDefault="1C8D6E3A" w:rsidP="00FE539B">
      <w:pPr>
        <w:pStyle w:val="Ttulonivel4"/>
      </w:pPr>
      <w:r w:rsidRPr="0076589C">
        <w:t>3.4.2.2 ANÁLISIS DE BASE DE DATOS MEDIANTE EXCEL</w:t>
      </w:r>
    </w:p>
    <w:p w14:paraId="6F65B6F8" w14:textId="12C23568" w:rsidR="00136D04" w:rsidRPr="0076589C" w:rsidRDefault="1C8D6E3A" w:rsidP="00136D04">
      <w:pPr>
        <w:pStyle w:val="TextoPrincipal"/>
        <w:spacing w:after="0"/>
        <w:rPr>
          <w:lang w:val="es-HN"/>
        </w:rPr>
      </w:pPr>
      <w:r w:rsidRPr="0076589C">
        <w:rPr>
          <w:lang w:val="es-HN"/>
        </w:rPr>
        <w:t xml:space="preserve">Las bases de datos de información financiera relacionada con la </w:t>
      </w:r>
      <w:r w:rsidRPr="0076589C">
        <w:rPr>
          <w:rFonts w:eastAsia="Times New Roman"/>
          <w:lang w:val="es-HN"/>
        </w:rPr>
        <w:t>gestión de créditos y las cuentas por cobrar</w:t>
      </w:r>
      <w:r w:rsidRPr="0076589C">
        <w:rPr>
          <w:lang w:val="es-HN"/>
        </w:rPr>
        <w:t xml:space="preserve"> de la empresa Industria Procesadora de Alimentos S. A. de C.V., son extraídas del software contable y financiero llamado SAGE, el cual genera la base de datos en formato de Excel; estos detallan cartera de créditos, Plazos de crédito según cliente, Antigüedad de las cuentas por cobrar, Rotación de las cuentas por cobrar, límites de crédito y el periodo promedio de cobro de todos los clientes de la empresa  para los periodos comprendidos del 2019-2022.</w:t>
      </w:r>
    </w:p>
    <w:p w14:paraId="2A9958E5" w14:textId="77777777" w:rsidR="00136D04" w:rsidRPr="0076589C" w:rsidRDefault="00136D04" w:rsidP="00136D04">
      <w:pPr>
        <w:pStyle w:val="TextoPrincipal"/>
        <w:spacing w:after="0"/>
        <w:rPr>
          <w:lang w:val="es-HN"/>
        </w:rPr>
      </w:pPr>
    </w:p>
    <w:p w14:paraId="5B98B93C" w14:textId="0CDD2A53" w:rsidR="371D39FC" w:rsidRPr="0076589C" w:rsidRDefault="1C8D6E3A" w:rsidP="002A2CB0">
      <w:pPr>
        <w:pStyle w:val="Ttulonivel4"/>
        <w:ind w:left="0"/>
      </w:pPr>
      <w:r w:rsidRPr="0076589C">
        <w:t xml:space="preserve">3.4.2.2.1 ANÁLISIS DE ESTADOS FINANCIEROS </w:t>
      </w:r>
    </w:p>
    <w:p w14:paraId="38ECB9EB" w14:textId="64340D1E" w:rsidR="371D39FC" w:rsidRPr="0076589C" w:rsidRDefault="1C8D6E3A" w:rsidP="00136D04">
      <w:pPr>
        <w:pStyle w:val="TextoPrincipal"/>
        <w:spacing w:after="0"/>
        <w:rPr>
          <w:lang w:val="es-HN"/>
        </w:rPr>
      </w:pPr>
      <w:r w:rsidRPr="0076589C">
        <w:rPr>
          <w:lang w:val="es-HN"/>
        </w:rPr>
        <w:t>Para esta investigación se necesitan los estados financieros de la empresa, como ser:  Balances Generales, Estados de Resultado, Flujos de Caja de la empresa Industria Procesadora de Alimentos S. A. de C.V para poder realizar análisis verticales, horizontales y aplicar diferentes indicadores financieros con el fin de tener un esquema de la salud financiera de la empresa.</w:t>
      </w:r>
    </w:p>
    <w:p w14:paraId="27D67C7A" w14:textId="77777777" w:rsidR="00136D04" w:rsidRPr="0076589C" w:rsidRDefault="00136D04" w:rsidP="00136D04">
      <w:pPr>
        <w:pStyle w:val="TextoPrincipal"/>
        <w:spacing w:after="0"/>
        <w:rPr>
          <w:lang w:val="es-HN"/>
        </w:rPr>
      </w:pPr>
    </w:p>
    <w:p w14:paraId="39CAAAE2" w14:textId="0B9F41CF" w:rsidR="00691CB1" w:rsidRPr="0076589C" w:rsidRDefault="1C8D6E3A" w:rsidP="00997172">
      <w:pPr>
        <w:pStyle w:val="Ttulonivel3"/>
      </w:pPr>
      <w:bookmarkStart w:id="212" w:name="_Toc158365508"/>
      <w:r w:rsidRPr="0076589C">
        <w:t>3.4.3 VALIDACIÓN DE INSTRUMENTO</w:t>
      </w:r>
      <w:bookmarkEnd w:id="212"/>
    </w:p>
    <w:p w14:paraId="52F3440E" w14:textId="7845DDC0" w:rsidR="008812C9" w:rsidRPr="0076589C" w:rsidRDefault="1C8D6E3A" w:rsidP="008812C9">
      <w:pPr>
        <w:pStyle w:val="TextoPrincipal"/>
        <w:rPr>
          <w:lang w:val="es-HN"/>
        </w:rPr>
      </w:pPr>
      <w:r w:rsidRPr="0076589C">
        <w:rPr>
          <w:lang w:val="es-HN"/>
        </w:rPr>
        <w:t xml:space="preserve">Según </w:t>
      </w:r>
      <w:r w:rsidR="7A54A044" w:rsidRPr="0076589C">
        <w:rPr>
          <w:lang w:val="es-HN"/>
        </w:rPr>
        <w:fldChar w:fldCharType="begin"/>
      </w:r>
      <w:r w:rsidR="7A54A044" w:rsidRPr="0076589C">
        <w:rPr>
          <w:lang w:val="es-HN"/>
        </w:rPr>
        <w:instrText xml:space="preserve"> ADDIN ZOTERO_ITEM CSL_CITATION {"citationID":"Cc5015Ce","properties":{"formattedCitation":"(Parra, 2020)","plainCitation":"(Parra, 2020)","dontUpdate":true,"noteIndex":0},"citationItems":[{"id":305,"uris":["http://zotero.org/users/12108825/items/Y98MZTDB"],"itemData":{"id":305,"type":"post-weblog","abstract":"Conoce los pasos para validar un instrumento de investigación. Síguelos y asegúrate de hacer las preguntas correctas que te ayuden al exito de tu estudio.","container-title":"QuestionPro","language":"es-ES","title":"Pasos para validar un instrumento de investigación","URL":"https://www.questionpro.com/blog/es/pasos-para-validar-un-instrumento-de-investigacion/","author":[{"family":"Parra","given":"Andrea"}],"accessed":{"date-parts":[["2023",9,10]]},"issued":{"date-parts":[["2020",8,25]]}}}],"schema":"https://github.com/citation-style-language/schema/raw/master/csl-citation.json"} </w:instrText>
      </w:r>
      <w:r w:rsidR="7A54A044" w:rsidRPr="0076589C">
        <w:rPr>
          <w:lang w:val="es-HN"/>
        </w:rPr>
        <w:fldChar w:fldCharType="separate"/>
      </w:r>
      <w:r w:rsidRPr="0076589C">
        <w:rPr>
          <w:lang w:val="es-HN"/>
        </w:rPr>
        <w:t>Parra, (2020)</w:t>
      </w:r>
      <w:r w:rsidR="7A54A044" w:rsidRPr="0076589C">
        <w:rPr>
          <w:lang w:val="es-HN"/>
        </w:rPr>
        <w:fldChar w:fldCharType="end"/>
      </w:r>
      <w:r w:rsidRPr="0076589C">
        <w:rPr>
          <w:lang w:val="es-HN"/>
        </w:rPr>
        <w:t xml:space="preserve"> “La validación de un instrumento de investigación se refiere al proceso de evaluar las preguntas de la encuesta para asegurar su confiabilidad.”</w:t>
      </w:r>
    </w:p>
    <w:p w14:paraId="164D65F8" w14:textId="36E0393A" w:rsidR="002247B0" w:rsidRPr="0076589C" w:rsidRDefault="1C8D6E3A" w:rsidP="002247B0">
      <w:pPr>
        <w:pStyle w:val="TextoPrincipal"/>
        <w:spacing w:after="0"/>
        <w:rPr>
          <w:lang w:val="es-HN"/>
        </w:rPr>
      </w:pPr>
      <w:r w:rsidRPr="0076589C">
        <w:rPr>
          <w:lang w:val="es-HN"/>
        </w:rPr>
        <w:t xml:space="preserve">Tomando en consideración que en la investigación se tiene como instrumento la obtención de datos de la empresa por medio de una entrevista estructurada, se procedió a realizar la evaluación respectiva de la misma, por lo tanto, se generó una matriz de validación de instrumentos y fue remitida al experto Abg. Jimmy A. Acosta Pérez, quien hizo revisión y proporcionó una calificación positiva a las preguntas que conlleva la entrevista. (Ver Anexo </w:t>
      </w:r>
      <w:r w:rsidR="002E21ED" w:rsidRPr="0076589C">
        <w:rPr>
          <w:lang w:val="es-HN"/>
        </w:rPr>
        <w:t xml:space="preserve">No. </w:t>
      </w:r>
      <w:r w:rsidR="006076EF" w:rsidRPr="0076589C">
        <w:rPr>
          <w:lang w:val="es-HN"/>
        </w:rPr>
        <w:t>3</w:t>
      </w:r>
      <w:r w:rsidRPr="0076589C">
        <w:rPr>
          <w:lang w:val="es-HN"/>
        </w:rPr>
        <w:t>)</w:t>
      </w:r>
    </w:p>
    <w:p w14:paraId="2FFD640B" w14:textId="77777777" w:rsidR="00136D04" w:rsidRPr="0076589C" w:rsidRDefault="00136D04" w:rsidP="002247B0">
      <w:pPr>
        <w:pStyle w:val="TextoPrincipal"/>
        <w:spacing w:after="0"/>
        <w:rPr>
          <w:lang w:val="es-HN"/>
        </w:rPr>
      </w:pPr>
    </w:p>
    <w:p w14:paraId="082536F6" w14:textId="647D5090" w:rsidR="00997172" w:rsidRPr="0076589C" w:rsidRDefault="1C8D6E3A" w:rsidP="00F43423">
      <w:pPr>
        <w:pStyle w:val="Ttulonivel3"/>
        <w:spacing w:after="0"/>
      </w:pPr>
      <w:bookmarkStart w:id="213" w:name="_Toc158365509"/>
      <w:r w:rsidRPr="0076589C">
        <w:t>3.4.4 PROCEDIMIENTOS</w:t>
      </w:r>
      <w:bookmarkEnd w:id="213"/>
    </w:p>
    <w:p w14:paraId="03F18759" w14:textId="057AD396" w:rsidR="371D39FC" w:rsidRPr="0076589C" w:rsidRDefault="1C8D6E3A" w:rsidP="371D39FC">
      <w:pPr>
        <w:pStyle w:val="TextoPrincipal"/>
        <w:rPr>
          <w:lang w:val="es-HN"/>
        </w:rPr>
      </w:pPr>
      <w:r w:rsidRPr="0076589C">
        <w:rPr>
          <w:lang w:val="es-HN"/>
        </w:rPr>
        <w:t xml:space="preserve">Un procedimiento es la guía detallada que muestra secuencial y ordenadamente como dos o más personas realizan un trabajo. </w:t>
      </w:r>
      <w:r w:rsidR="7A54A044" w:rsidRPr="0076589C">
        <w:rPr>
          <w:lang w:val="es-HN"/>
        </w:rPr>
        <w:fldChar w:fldCharType="begin"/>
      </w:r>
      <w:r w:rsidR="7A54A044" w:rsidRPr="0076589C">
        <w:rPr>
          <w:lang w:val="es-HN"/>
        </w:rPr>
        <w:instrText xml:space="preserve"> ADDIN ZOTERO_ITEM CSL_CITATION {"citationID":"MycreHCP","properties":{"formattedCitation":"(Torres, 1996)","plainCitation":"(Torres, 1996)","noteIndex":0},"citationItems":[{"id":315,"uris":["http://zotero.org/users/12108825/items/VWPI5LUL"],"itemData":{"id":315,"type":"book","ISBN":"978-968-38-0580-5","language":"es","note":"Google-Books-ID: YnhdFdUDnVIC","number-of-pages":"158","publisher":"Panorama Editorial","source":"Google Books","title":"Manual para elaborar manuales de políticas y procedimientos","author":[{"family":"Torres","given":"Martin G. Alvarez"}],"issued":{"date-parts":[["1996"]]}}}],"schema":"https://github.com/citation-style-language/schema/raw/master/csl-citation.json"} </w:instrText>
      </w:r>
      <w:r w:rsidR="7A54A044" w:rsidRPr="0076589C">
        <w:rPr>
          <w:lang w:val="es-HN"/>
        </w:rPr>
        <w:fldChar w:fldCharType="separate"/>
      </w:r>
      <w:r w:rsidRPr="0076589C">
        <w:rPr>
          <w:lang w:val="es-HN"/>
        </w:rPr>
        <w:t>(Torres, 1996)</w:t>
      </w:r>
      <w:r w:rsidR="7A54A044" w:rsidRPr="0076589C">
        <w:rPr>
          <w:lang w:val="es-HN"/>
        </w:rPr>
        <w:fldChar w:fldCharType="end"/>
      </w:r>
    </w:p>
    <w:p w14:paraId="256A1E6B" w14:textId="3B9508F0" w:rsidR="007B3B14" w:rsidRPr="0076589C" w:rsidRDefault="1C8D6E3A" w:rsidP="00997172">
      <w:pPr>
        <w:pStyle w:val="TextoPrincipal"/>
        <w:rPr>
          <w:lang w:val="es-HN"/>
        </w:rPr>
      </w:pPr>
      <w:r w:rsidRPr="0076589C">
        <w:rPr>
          <w:lang w:val="es-HN"/>
        </w:rPr>
        <w:lastRenderedPageBreak/>
        <w:t>Para la presente investigación se definió el procedimiento a seguir para la realización de la entrevista, solicitud, recopilación, extracción y verificación de datos, que servirán para el análisis de las variables y sus dimensiones, para detallar los pasos se elaboró un diagrama de Gantt.</w:t>
      </w:r>
    </w:p>
    <w:p w14:paraId="5F39EFFF" w14:textId="77777777" w:rsidR="009D5C6F" w:rsidRPr="0076589C" w:rsidRDefault="1C8D6E3A" w:rsidP="009D5C6F">
      <w:pPr>
        <w:pStyle w:val="TextoPrincipal"/>
        <w:rPr>
          <w:lang w:val="es-HN"/>
        </w:rPr>
      </w:pPr>
      <w:r w:rsidRPr="0076589C">
        <w:rPr>
          <w:lang w:val="es-HN"/>
        </w:rPr>
        <w:t xml:space="preserve">Diagrama de Gantt es un, instrumento comúnmente utilizado y sumamente útil para el desarrollo de proyectos. Este diagrama comporta el desarrollo de un cronograma que permite visualizar los distintos caminos de un plan, sus puntos de contacto y su interdependencia, todo ello mediante un cuadro que plantea la programación prevista mediante el uso de barras temporales. </w:t>
      </w:r>
      <w:r w:rsidR="7A54A044" w:rsidRPr="0076589C">
        <w:rPr>
          <w:lang w:val="es-HN"/>
        </w:rPr>
        <w:fldChar w:fldCharType="begin"/>
      </w:r>
      <w:r w:rsidR="7A54A044" w:rsidRPr="0076589C">
        <w:rPr>
          <w:lang w:val="es-HN"/>
        </w:rPr>
        <w:instrText xml:space="preserve"> ADDIN ZOTERO_ITEM CSL_CITATION {"citationID":"IX5FLZdA","properties":{"formattedCitation":"(Celma &amp; Gim\\uc0\\u233{}nez, 2004)","plainCitation":"(Celma &amp; Giménez, 2004)","noteIndex":0},"citationItems":[{"id":317,"uris":["http://zotero.org/users/12108825/items/HGEYTT34"],"itemData":{"id":317,"type":"book","abstract":"ABC del gestor deportivo es un excelente vademécum del management o función directiva en clave deportiva. En él se desarrollan los principales valores y referencias que de forma imprescindible debe atesorar un gestor o directivo del deporte para mejorar o tener éxito en su cometido como responsable de organizaciones, servicios o instalaciones deportivas. Su exposición muestra inicialmente las principales bases teóricas de la dirección, comenzando por sus fundamentos históricos, dando paso a una visión del deporte actual, con sus mundos e intereses interdependientes, conduciéndonos por un recorrido enormemente didáctico, donde se tratan los roles directivos en sus claves pública y privada, las principales funciones del gestor, sus habilidades y estilo de dirección, el liderazgo en sus organizaciones, y los distintos agentes y factores que afectan a su trabajo cotidiano, todo ello junto a diversas fórmulas para administrar mejor los recursos de que dispone. Se concluye con diversos apuntes sobre la evolucioón del deporte y su gestión, revelando un recetario particular frente a las situaciones a que se enfrentan, de forma habitual, las personas que dirigen organizaciones y se relacionan profesionalmente con otras personas, sean jefes, subordinados, clientes o competidores.","ISBN":"978-84-9729-036-4","language":"es","note":"Google-Books-ID: b60MDwB3Or4C","number-of-pages":"180","publisher":"INDE","source":"Google Books","title":"ABC del gestor deportivo","author":[{"family":"Celma","given":"Joan"},{"family":"Giménez","given":"Joan Celma","dropping-particle":"i"}],"issued":{"date-parts":[["2004"]]}}}],"schema":"https://github.com/citation-style-language/schema/raw/master/csl-citation.json"} </w:instrText>
      </w:r>
      <w:r w:rsidR="7A54A044" w:rsidRPr="0076589C">
        <w:rPr>
          <w:lang w:val="es-HN"/>
        </w:rPr>
        <w:fldChar w:fldCharType="separate"/>
      </w:r>
      <w:r w:rsidRPr="0076589C">
        <w:t>(Celma &amp; Giménez, 2004)</w:t>
      </w:r>
      <w:r w:rsidR="7A54A044" w:rsidRPr="0076589C">
        <w:rPr>
          <w:lang w:val="es-HN"/>
        </w:rPr>
        <w:fldChar w:fldCharType="end"/>
      </w:r>
    </w:p>
    <w:p w14:paraId="105271DE" w14:textId="63C03D2B" w:rsidR="00F15FAB" w:rsidRPr="0076589C" w:rsidRDefault="00F15FAB" w:rsidP="009D5C6F">
      <w:pPr>
        <w:pStyle w:val="TextoPrincipal"/>
        <w:rPr>
          <w:lang w:val="es-HN"/>
        </w:rPr>
        <w:sectPr w:rsidR="00F15FAB" w:rsidRPr="0076589C" w:rsidSect="008C6BD1">
          <w:pgSz w:w="12240" w:h="15840" w:code="1"/>
          <w:pgMar w:top="1440" w:right="1440" w:bottom="1440" w:left="1440" w:header="720" w:footer="720" w:gutter="0"/>
          <w:cols w:space="720"/>
          <w:docGrid w:linePitch="360"/>
        </w:sectPr>
      </w:pPr>
    </w:p>
    <w:p w14:paraId="25E07659" w14:textId="6736544D" w:rsidR="009D5C6F" w:rsidRPr="0076589C" w:rsidRDefault="1C8D6E3A" w:rsidP="009D5C6F">
      <w:pPr>
        <w:pStyle w:val="ImagenyTabla"/>
        <w:rPr>
          <w:noProof w:val="0"/>
        </w:rPr>
      </w:pPr>
      <w:bookmarkStart w:id="214" w:name="_Toc158365553"/>
      <w:r w:rsidRPr="0076589C">
        <w:lastRenderedPageBreak/>
        <w:t xml:space="preserve">Tabla </w:t>
      </w:r>
      <w:r w:rsidR="009D5C6F" w:rsidRPr="0076589C">
        <w:rPr>
          <w:noProof w:val="0"/>
        </w:rPr>
        <w:fldChar w:fldCharType="begin"/>
      </w:r>
      <w:r w:rsidR="009D5C6F" w:rsidRPr="0076589C">
        <w:rPr>
          <w:noProof w:val="0"/>
        </w:rPr>
        <w:instrText xml:space="preserve"> SEQ Tabla \* ARABIC </w:instrText>
      </w:r>
      <w:r w:rsidR="009D5C6F" w:rsidRPr="0076589C">
        <w:rPr>
          <w:noProof w:val="0"/>
        </w:rPr>
        <w:fldChar w:fldCharType="separate"/>
      </w:r>
      <w:r w:rsidR="009F171A">
        <w:t>5</w:t>
      </w:r>
      <w:r w:rsidR="009D5C6F" w:rsidRPr="0076589C">
        <w:rPr>
          <w:noProof w:val="0"/>
        </w:rPr>
        <w:fldChar w:fldCharType="end"/>
      </w:r>
      <w:r w:rsidRPr="0076589C">
        <w:t>. Diagrama de Gantt</w:t>
      </w:r>
      <w:bookmarkEnd w:id="214"/>
    </w:p>
    <w:p w14:paraId="7463931F" w14:textId="441A1096" w:rsidR="007A69E2" w:rsidRPr="0076589C" w:rsidRDefault="009D5C6F" w:rsidP="00C3466E">
      <w:pPr>
        <w:pStyle w:val="Fuentes"/>
        <w:ind w:firstLine="0"/>
        <w:rPr>
          <w:lang w:val="es-HN"/>
        </w:rPr>
      </w:pPr>
      <w:r w:rsidRPr="0076589C">
        <w:rPr>
          <w:noProof/>
          <w:lang w:val="es-HN" w:eastAsia="es-HN"/>
        </w:rPr>
        <w:drawing>
          <wp:inline distT="0" distB="0" distL="0" distR="0" wp14:anchorId="31DB7084" wp14:editId="4A78376B">
            <wp:extent cx="8229600" cy="1833245"/>
            <wp:effectExtent l="0" t="0" r="0" b="0"/>
            <wp:docPr id="813606755" name="Picture 813606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229600" cy="1833245"/>
                    </a:xfrm>
                    <a:prstGeom prst="rect">
                      <a:avLst/>
                    </a:prstGeom>
                    <a:noFill/>
                    <a:ln>
                      <a:noFill/>
                    </a:ln>
                  </pic:spPr>
                </pic:pic>
              </a:graphicData>
            </a:graphic>
          </wp:inline>
        </w:drawing>
      </w:r>
    </w:p>
    <w:p w14:paraId="36AB0827" w14:textId="77777777" w:rsidR="002247B0" w:rsidRPr="0076589C" w:rsidRDefault="1C8D6E3A" w:rsidP="002247B0">
      <w:pPr>
        <w:pStyle w:val="Fuentes"/>
        <w:rPr>
          <w:lang w:val="es-HN"/>
        </w:rPr>
      </w:pPr>
      <w:r w:rsidRPr="0076589C">
        <w:rPr>
          <w:lang w:val="es-HN"/>
        </w:rPr>
        <w:t>Fuente: Elaboración propia.</w:t>
      </w:r>
    </w:p>
    <w:p w14:paraId="5B7FBB9F" w14:textId="77777777" w:rsidR="007A69E2" w:rsidRPr="0076589C" w:rsidRDefault="007A69E2" w:rsidP="00C3466E">
      <w:pPr>
        <w:pStyle w:val="Fuentes"/>
        <w:ind w:firstLine="0"/>
        <w:rPr>
          <w:lang w:val="es-HN"/>
        </w:rPr>
      </w:pPr>
    </w:p>
    <w:p w14:paraId="68CA0A46" w14:textId="339C4FF1" w:rsidR="002B70E7" w:rsidRPr="0076589C" w:rsidRDefault="002B70E7" w:rsidP="002B70E7">
      <w:pPr>
        <w:ind w:left="0"/>
        <w:rPr>
          <w:rFonts w:eastAsia="Calibri" w:cs="Times New Roman"/>
          <w:sz w:val="20"/>
          <w:szCs w:val="20"/>
        </w:rPr>
      </w:pPr>
    </w:p>
    <w:p w14:paraId="1E320947" w14:textId="77777777" w:rsidR="00F15FAB" w:rsidRPr="0076589C" w:rsidRDefault="00F15FAB" w:rsidP="002B70E7">
      <w:pPr>
        <w:ind w:left="0"/>
        <w:rPr>
          <w:rFonts w:eastAsia="Calibri" w:cs="Times New Roman"/>
          <w:sz w:val="20"/>
          <w:szCs w:val="20"/>
        </w:rPr>
      </w:pPr>
    </w:p>
    <w:p w14:paraId="48B9FA19" w14:textId="77777777" w:rsidR="00F15FAB" w:rsidRPr="0076589C" w:rsidRDefault="00F15FAB" w:rsidP="002B70E7">
      <w:pPr>
        <w:ind w:left="0"/>
        <w:rPr>
          <w:rFonts w:eastAsia="Calibri" w:cs="Times New Roman"/>
          <w:sz w:val="20"/>
          <w:szCs w:val="20"/>
        </w:rPr>
      </w:pPr>
    </w:p>
    <w:p w14:paraId="538FC62E" w14:textId="77777777" w:rsidR="00F15FAB" w:rsidRPr="0076589C" w:rsidRDefault="00F15FAB" w:rsidP="002B70E7">
      <w:pPr>
        <w:ind w:left="0"/>
        <w:rPr>
          <w:rFonts w:eastAsia="Calibri" w:cs="Times New Roman"/>
          <w:sz w:val="20"/>
          <w:szCs w:val="20"/>
        </w:rPr>
      </w:pPr>
    </w:p>
    <w:p w14:paraId="5D866CE1" w14:textId="77777777" w:rsidR="00F15FAB" w:rsidRPr="0076589C" w:rsidRDefault="00F15FAB" w:rsidP="002B70E7">
      <w:pPr>
        <w:ind w:left="0"/>
        <w:rPr>
          <w:rFonts w:eastAsia="Calibri" w:cs="Times New Roman"/>
          <w:sz w:val="20"/>
          <w:szCs w:val="20"/>
        </w:rPr>
      </w:pPr>
    </w:p>
    <w:p w14:paraId="291627AF" w14:textId="77777777" w:rsidR="00F15FAB" w:rsidRPr="0076589C" w:rsidRDefault="00F15FAB" w:rsidP="002B70E7">
      <w:pPr>
        <w:ind w:left="0"/>
        <w:rPr>
          <w:rFonts w:eastAsia="Calibri" w:cs="Times New Roman"/>
          <w:sz w:val="20"/>
          <w:szCs w:val="20"/>
        </w:rPr>
      </w:pPr>
    </w:p>
    <w:p w14:paraId="7861FBEE" w14:textId="77777777" w:rsidR="00F15FAB" w:rsidRPr="0076589C" w:rsidRDefault="00F15FAB" w:rsidP="002B70E7">
      <w:pPr>
        <w:ind w:left="0"/>
        <w:rPr>
          <w:rFonts w:eastAsia="Calibri" w:cs="Times New Roman"/>
          <w:sz w:val="20"/>
          <w:szCs w:val="20"/>
        </w:rPr>
      </w:pPr>
    </w:p>
    <w:p w14:paraId="55727EBF" w14:textId="77777777" w:rsidR="00F15FAB" w:rsidRPr="0076589C" w:rsidRDefault="00F15FAB" w:rsidP="002B70E7">
      <w:pPr>
        <w:ind w:left="0"/>
        <w:rPr>
          <w:rFonts w:eastAsia="Calibri" w:cs="Times New Roman"/>
          <w:sz w:val="20"/>
          <w:szCs w:val="20"/>
        </w:rPr>
      </w:pPr>
    </w:p>
    <w:p w14:paraId="446E5E8E" w14:textId="77777777" w:rsidR="00F15FAB" w:rsidRPr="0076589C" w:rsidRDefault="00F15FAB" w:rsidP="002B70E7">
      <w:pPr>
        <w:ind w:left="0"/>
        <w:rPr>
          <w:rFonts w:eastAsia="Calibri" w:cs="Times New Roman"/>
          <w:sz w:val="20"/>
          <w:szCs w:val="20"/>
        </w:rPr>
      </w:pPr>
    </w:p>
    <w:p w14:paraId="61FDB52B" w14:textId="77777777" w:rsidR="00F15FAB" w:rsidRPr="0076589C" w:rsidRDefault="00F15FAB" w:rsidP="002B70E7">
      <w:pPr>
        <w:ind w:left="0"/>
        <w:rPr>
          <w:rFonts w:eastAsia="Calibri" w:cs="Times New Roman"/>
          <w:sz w:val="20"/>
          <w:szCs w:val="20"/>
        </w:rPr>
      </w:pPr>
    </w:p>
    <w:p w14:paraId="1CCB465B" w14:textId="77777777" w:rsidR="00F15FAB" w:rsidRPr="0076589C" w:rsidRDefault="00F15FAB" w:rsidP="002B70E7">
      <w:pPr>
        <w:ind w:left="0"/>
        <w:rPr>
          <w:rFonts w:eastAsia="Calibri" w:cs="Times New Roman"/>
          <w:sz w:val="20"/>
          <w:szCs w:val="20"/>
        </w:rPr>
      </w:pPr>
    </w:p>
    <w:p w14:paraId="449EEEDD" w14:textId="77777777" w:rsidR="00F15FAB" w:rsidRPr="0076589C" w:rsidRDefault="00F15FAB" w:rsidP="002B70E7">
      <w:pPr>
        <w:ind w:left="0"/>
        <w:rPr>
          <w:rFonts w:eastAsia="Calibri" w:cs="Times New Roman"/>
          <w:sz w:val="20"/>
          <w:szCs w:val="20"/>
        </w:rPr>
      </w:pPr>
    </w:p>
    <w:p w14:paraId="170DA80C" w14:textId="77777777" w:rsidR="00F15FAB" w:rsidRPr="0076589C" w:rsidRDefault="00F15FAB" w:rsidP="002B70E7">
      <w:pPr>
        <w:ind w:left="0"/>
        <w:rPr>
          <w:rFonts w:eastAsia="Calibri" w:cs="Times New Roman"/>
          <w:sz w:val="20"/>
          <w:szCs w:val="20"/>
        </w:rPr>
      </w:pPr>
    </w:p>
    <w:p w14:paraId="20BDA3DE" w14:textId="77777777" w:rsidR="00F15FAB" w:rsidRPr="0076589C" w:rsidRDefault="00F15FAB" w:rsidP="002B70E7">
      <w:pPr>
        <w:ind w:left="0"/>
        <w:rPr>
          <w:rFonts w:eastAsia="Calibri" w:cs="Times New Roman"/>
          <w:sz w:val="20"/>
          <w:szCs w:val="20"/>
        </w:rPr>
      </w:pPr>
    </w:p>
    <w:p w14:paraId="573448B6" w14:textId="77777777" w:rsidR="00B035C6" w:rsidRPr="0076589C" w:rsidRDefault="00B035C6" w:rsidP="002B70E7">
      <w:pPr>
        <w:ind w:left="0"/>
        <w:rPr>
          <w:rFonts w:eastAsia="Calibri" w:cs="Times New Roman"/>
          <w:sz w:val="20"/>
          <w:szCs w:val="20"/>
        </w:rPr>
        <w:sectPr w:rsidR="00B035C6" w:rsidRPr="0076589C" w:rsidSect="008C6BD1">
          <w:pgSz w:w="15840" w:h="12240" w:orient="landscape" w:code="1"/>
          <w:pgMar w:top="1440" w:right="1440" w:bottom="1440" w:left="1440" w:header="720" w:footer="720" w:gutter="0"/>
          <w:cols w:space="720"/>
          <w:docGrid w:linePitch="360"/>
        </w:sectPr>
      </w:pPr>
    </w:p>
    <w:p w14:paraId="433E52C7" w14:textId="77777777" w:rsidR="009569FE" w:rsidRPr="0076589C" w:rsidRDefault="1C8D6E3A" w:rsidP="009569FE">
      <w:pPr>
        <w:pStyle w:val="Ttulo2"/>
      </w:pPr>
      <w:bookmarkStart w:id="215" w:name="_Toc133044411"/>
      <w:bookmarkStart w:id="216" w:name="_Toc158365510"/>
      <w:r w:rsidRPr="0076589C">
        <w:lastRenderedPageBreak/>
        <w:t>3.5 FUENTES DE INFORMACIÓN</w:t>
      </w:r>
      <w:bookmarkEnd w:id="215"/>
      <w:bookmarkEnd w:id="216"/>
    </w:p>
    <w:p w14:paraId="48FA8664" w14:textId="77777777" w:rsidR="009569FE" w:rsidRPr="0076589C" w:rsidRDefault="1C8D6E3A" w:rsidP="00C45D48">
      <w:pPr>
        <w:pStyle w:val="TextoPrincipal"/>
        <w:spacing w:after="0"/>
        <w:rPr>
          <w:lang w:val="es-HN"/>
        </w:rPr>
      </w:pPr>
      <w:r w:rsidRPr="0076589C">
        <w:rPr>
          <w:lang w:val="es-HN"/>
        </w:rPr>
        <w:t xml:space="preserve">“Las fuentes de información se refieren a los documentos que contienen datos útiles para responder a una necesidad de información o adquirir conocimiento”. </w:t>
      </w:r>
      <w:r w:rsidR="009569FE" w:rsidRPr="0076589C">
        <w:rPr>
          <w:lang w:val="es-HN"/>
        </w:rPr>
        <w:fldChar w:fldCharType="begin"/>
      </w:r>
      <w:r w:rsidR="009569FE" w:rsidRPr="0076589C">
        <w:rPr>
          <w:lang w:val="es-HN"/>
        </w:rPr>
        <w:instrText xml:space="preserve"> ADDIN ZOTERO_ITEM CSL_CITATION {"citationID":"jGmIF9OA","properties":{"formattedCitation":"(Cabrera M\\uc0\\u233{}ndez, 2010)","plainCitation":"(Cabrera Méndez, 2010)","noteIndex":0},"citationItems":[{"id":301,"uris":["http://zotero.org/users/12108825/items/LV8SNXDK"],"itemData":{"id":301,"type":"article-journal","abstract":"En este artículo vamos a presentar las características básicas de las fuentes de información. Una fuente documental es el origen de una información. Las fuentes de información están constituidas por todos los elementos capaces de proveer información para su reutilización.","language":"Español","license":"Reserva de todos los derechos","note":"Accepted: 2010-04-22T13:17:00Z\npublisher: Universitat Politècnica de València","source":"riunet.upv.es","title":"Introducción a las fuentes de información","URL":"https://riunet.upv.es/handle/10251/7580","author":[{"family":"Cabrera Méndez","given":"Margarita"}],"accessed":{"date-parts":[["2023",9,10]]},"issued":{"date-parts":[["2010",4,22]]}}}],"schema":"https://github.com/citation-style-language/schema/raw/master/csl-citation.json"} </w:instrText>
      </w:r>
      <w:r w:rsidR="009569FE" w:rsidRPr="0076589C">
        <w:rPr>
          <w:lang w:val="es-HN"/>
        </w:rPr>
        <w:fldChar w:fldCharType="separate"/>
      </w:r>
      <w:r w:rsidRPr="0076589C">
        <w:rPr>
          <w:lang w:val="es-HN"/>
        </w:rPr>
        <w:t>(Cabrera Méndez, 2010)</w:t>
      </w:r>
      <w:r w:rsidR="009569FE" w:rsidRPr="0076589C">
        <w:rPr>
          <w:lang w:val="es-HN"/>
        </w:rPr>
        <w:fldChar w:fldCharType="end"/>
      </w:r>
    </w:p>
    <w:p w14:paraId="500E4F2B" w14:textId="77777777" w:rsidR="00C45D48" w:rsidRPr="0076589C" w:rsidRDefault="00C45D48" w:rsidP="00C45D48">
      <w:pPr>
        <w:pStyle w:val="TextoPrincipal"/>
        <w:spacing w:after="0"/>
        <w:rPr>
          <w:lang w:val="es-HN"/>
        </w:rPr>
      </w:pPr>
    </w:p>
    <w:p w14:paraId="4E028BF6" w14:textId="77777777" w:rsidR="009569FE" w:rsidRPr="0076589C" w:rsidRDefault="1C8D6E3A" w:rsidP="009569FE">
      <w:pPr>
        <w:pStyle w:val="Ttulonivel3"/>
      </w:pPr>
      <w:bookmarkStart w:id="217" w:name="_Toc133044412"/>
      <w:bookmarkStart w:id="218" w:name="_Toc158365511"/>
      <w:r w:rsidRPr="0076589C">
        <w:t>3.5.1 FUENTES PRIMARIAS</w:t>
      </w:r>
      <w:bookmarkEnd w:id="217"/>
      <w:bookmarkEnd w:id="218"/>
    </w:p>
    <w:p w14:paraId="52C029D8" w14:textId="77777777" w:rsidR="009569FE" w:rsidRPr="0076589C" w:rsidRDefault="1C8D6E3A" w:rsidP="009569FE">
      <w:pPr>
        <w:pStyle w:val="TextoPrincipal"/>
        <w:rPr>
          <w:lang w:val="es-HN"/>
        </w:rPr>
      </w:pPr>
      <w:r w:rsidRPr="0076589C">
        <w:rPr>
          <w:lang w:val="es-HN"/>
        </w:rPr>
        <w:t xml:space="preserve">Son las fuentes que contienen información original, que ha sido publicada por primera vez y no ha sido filtrada, interpretada o evaluada previo a la investigación. Son el producto de una investigación o una actividad creativa. </w:t>
      </w:r>
      <w:r w:rsidR="009569FE" w:rsidRPr="0076589C">
        <w:rPr>
          <w:lang w:val="es-HN"/>
        </w:rPr>
        <w:fldChar w:fldCharType="begin"/>
      </w:r>
      <w:r w:rsidR="009569FE" w:rsidRPr="0076589C">
        <w:rPr>
          <w:lang w:val="es-HN"/>
        </w:rPr>
        <w:instrText xml:space="preserve"> ADDIN ZOTERO_ITEM CSL_CITATION {"citationID":"AVTuFKOr","properties":{"formattedCitation":"(Espinoza &amp; Toscano, 2015)","plainCitation":"(Espinoza &amp; Toscano, 2015)","noteIndex":0},"citationItems":[{"id":298,"uris":["http://zotero.org/users/12108825/items/6GX33ZM4"],"itemData":{"id":298,"type":"book","title":"Metodología de Investigación Educativa y Técnica","URL":"http://librodigital.sangregorio.edu.ec/librosusgp/B0060.pdf","author":[{"family":"Espinoza","given":"Eudaldo"},{"family":"Toscano","given":"Darwin"}],"issued":{"date-parts":[["2015"]]}}}],"schema":"https://github.com/citation-style-language/schema/raw/master/csl-citation.json"} </w:instrText>
      </w:r>
      <w:r w:rsidR="009569FE" w:rsidRPr="0076589C">
        <w:rPr>
          <w:lang w:val="es-HN"/>
        </w:rPr>
        <w:fldChar w:fldCharType="separate"/>
      </w:r>
      <w:r w:rsidRPr="0076589C">
        <w:rPr>
          <w:lang w:val="es-HN"/>
        </w:rPr>
        <w:t>(Espinoza &amp; Toscano, 2015)</w:t>
      </w:r>
      <w:r w:rsidR="009569FE" w:rsidRPr="0076589C">
        <w:rPr>
          <w:lang w:val="es-HN"/>
        </w:rPr>
        <w:fldChar w:fldCharType="end"/>
      </w:r>
    </w:p>
    <w:p w14:paraId="31121644" w14:textId="77777777" w:rsidR="009569FE" w:rsidRPr="0076589C" w:rsidRDefault="1C8D6E3A" w:rsidP="00C45D48">
      <w:pPr>
        <w:pStyle w:val="TextoPrincipal"/>
        <w:spacing w:after="0"/>
        <w:rPr>
          <w:lang w:val="es-HN"/>
        </w:rPr>
      </w:pPr>
      <w:r w:rsidRPr="0076589C">
        <w:rPr>
          <w:lang w:val="es-HN"/>
        </w:rPr>
        <w:t>Las fuentes primarias de la investigación son: las bases de datos, estados de resultados y el personal administrativo del área financiera de la empresa Industria Procesadora de Alimentos (IPRA).</w:t>
      </w:r>
    </w:p>
    <w:p w14:paraId="33DD9B45" w14:textId="77777777" w:rsidR="00C45D48" w:rsidRPr="0076589C" w:rsidRDefault="00C45D48" w:rsidP="00C45D48">
      <w:pPr>
        <w:pStyle w:val="TextoPrincipal"/>
        <w:spacing w:after="0"/>
        <w:rPr>
          <w:lang w:val="es-HN"/>
        </w:rPr>
      </w:pPr>
    </w:p>
    <w:p w14:paraId="1DECFD88" w14:textId="77777777" w:rsidR="009569FE" w:rsidRPr="0076589C" w:rsidRDefault="1C8D6E3A" w:rsidP="009569FE">
      <w:pPr>
        <w:pStyle w:val="Ttulonivel3"/>
      </w:pPr>
      <w:bookmarkStart w:id="219" w:name="_Toc158365512"/>
      <w:r w:rsidRPr="0076589C">
        <w:t>3.5.2 FUENTES SECUNDARIAS</w:t>
      </w:r>
      <w:bookmarkEnd w:id="219"/>
    </w:p>
    <w:p w14:paraId="27C7012E" w14:textId="77777777" w:rsidR="009569FE" w:rsidRPr="0076589C" w:rsidRDefault="1C8D6E3A" w:rsidP="009569FE">
      <w:pPr>
        <w:pStyle w:val="TextoPrincipal"/>
        <w:rPr>
          <w:lang w:val="es-HN"/>
        </w:rPr>
      </w:pPr>
      <w:r w:rsidRPr="0076589C">
        <w:rPr>
          <w:lang w:val="es-HN"/>
        </w:rPr>
        <w:t xml:space="preserve">Son los resultados de las operaciones que componen el análisis documental, lo que significa que alguien ha trabajado sobre el contenido de estas. Permiten dar la información de documentos primarios, por medio de diversos accesos (autor, titulo, materia…). </w:t>
      </w:r>
      <w:r w:rsidR="009569FE" w:rsidRPr="0076589C">
        <w:rPr>
          <w:lang w:val="es-HN"/>
        </w:rPr>
        <w:fldChar w:fldCharType="begin"/>
      </w:r>
      <w:r w:rsidR="009569FE" w:rsidRPr="0076589C">
        <w:rPr>
          <w:lang w:val="es-HN"/>
        </w:rPr>
        <w:instrText xml:space="preserve"> ADDIN ZOTERO_ITEM CSL_CITATION {"citationID":"mDApNuCw","properties":{"formattedCitation":"(Cabrera M\\uc0\\u233{}ndez, 2010)","plainCitation":"(Cabrera Méndez, 2010)","noteIndex":0},"citationItems":[{"id":301,"uris":["http://zotero.org/users/12108825/items/LV8SNXDK"],"itemData":{"id":301,"type":"article-journal","abstract":"En este artículo vamos a presentar las características básicas de las fuentes de información. Una fuente documental es el origen de una información. Las fuentes de información están constituidas por todos los elementos capaces de proveer información para su reutilización.","language":"Español","license":"Reserva de todos los derechos","note":"Accepted: 2010-04-22T13:17:00Z\npublisher: Universitat Politècnica de València","source":"riunet.upv.es","title":"Introducción a las fuentes de información","URL":"https://riunet.upv.es/handle/10251/7580","author":[{"family":"Cabrera Méndez","given":"Margarita"}],"accessed":{"date-parts":[["2023",9,10]]},"issued":{"date-parts":[["2010",4,22]]}}}],"schema":"https://github.com/citation-style-language/schema/raw/master/csl-citation.json"} </w:instrText>
      </w:r>
      <w:r w:rsidR="009569FE" w:rsidRPr="0076589C">
        <w:rPr>
          <w:lang w:val="es-HN"/>
        </w:rPr>
        <w:fldChar w:fldCharType="separate"/>
      </w:r>
      <w:r w:rsidRPr="0076589C">
        <w:rPr>
          <w:lang w:val="es-HN"/>
        </w:rPr>
        <w:t>(Cabrera Méndez, 2010)</w:t>
      </w:r>
      <w:r w:rsidR="009569FE" w:rsidRPr="0076589C">
        <w:rPr>
          <w:lang w:val="es-HN"/>
        </w:rPr>
        <w:fldChar w:fldCharType="end"/>
      </w:r>
    </w:p>
    <w:p w14:paraId="18851316" w14:textId="77777777" w:rsidR="009569FE" w:rsidRPr="0076589C" w:rsidRDefault="1C8D6E3A" w:rsidP="009569FE">
      <w:pPr>
        <w:pStyle w:val="TextoPrincipal"/>
        <w:rPr>
          <w:lang w:val="es-HN"/>
        </w:rPr>
        <w:sectPr w:rsidR="009569FE" w:rsidRPr="0076589C" w:rsidSect="008C6BD1">
          <w:pgSz w:w="12240" w:h="15840" w:code="1"/>
          <w:pgMar w:top="1440" w:right="1440" w:bottom="1440" w:left="1440" w:header="720" w:footer="720" w:gutter="0"/>
          <w:cols w:space="720"/>
          <w:docGrid w:linePitch="360"/>
        </w:sectPr>
      </w:pPr>
      <w:r w:rsidRPr="0076589C">
        <w:rPr>
          <w:lang w:val="es-HN"/>
        </w:rPr>
        <w:t>Las fuentes secundarias para la investigación consisten en libros, artículos académicos, tesis realizadas en temas relacionados a la investigación en Honduras y en otros países, documentos científicos, páginas webs, entre otras.</w:t>
      </w:r>
    </w:p>
    <w:p w14:paraId="77BB769F" w14:textId="4E13688A" w:rsidR="00DE55DA" w:rsidRPr="0076589C" w:rsidRDefault="00DE55DA" w:rsidP="00DE55DA">
      <w:pPr>
        <w:pStyle w:val="Ttulo1"/>
      </w:pPr>
      <w:bookmarkStart w:id="220" w:name="_Toc474331196"/>
      <w:bookmarkStart w:id="221" w:name="_Toc474331397"/>
      <w:bookmarkStart w:id="222" w:name="_Toc133044414"/>
      <w:bookmarkStart w:id="223" w:name="_Toc138859666"/>
      <w:bookmarkStart w:id="224" w:name="_Toc139184686"/>
      <w:bookmarkStart w:id="225" w:name="_Toc139194962"/>
      <w:bookmarkStart w:id="226" w:name="_Toc158365513"/>
      <w:r w:rsidRPr="0076589C">
        <w:lastRenderedPageBreak/>
        <w:t>CAPÍTULO IV. RESULTADOS Y ANÁLISIS</w:t>
      </w:r>
      <w:bookmarkEnd w:id="220"/>
      <w:bookmarkEnd w:id="221"/>
      <w:bookmarkEnd w:id="222"/>
      <w:bookmarkEnd w:id="223"/>
      <w:bookmarkEnd w:id="224"/>
      <w:bookmarkEnd w:id="225"/>
      <w:bookmarkEnd w:id="226"/>
    </w:p>
    <w:p w14:paraId="0AC28058" w14:textId="0C95FE97" w:rsidR="00303B1B" w:rsidRPr="0076589C" w:rsidRDefault="1C8D6E3A" w:rsidP="00F23152">
      <w:pPr>
        <w:pStyle w:val="TextoPrincipal"/>
        <w:rPr>
          <w:lang w:val="es-HN"/>
        </w:rPr>
      </w:pPr>
      <w:r w:rsidRPr="0076589C">
        <w:rPr>
          <w:lang w:val="es-HN"/>
        </w:rPr>
        <w:t>En el presente capítulo se presentan los resultados de la investigación obtenidos por medio de la medición de las variables presentadas en la matriz de operacionalización de variables situada en el Capítulo III de Metodología, así mismo se presenta el análisis que permitirá dar respuesta a las preguntas de investigación con el fin de validar los objetivos formulados en el planteamiento del problema.</w:t>
      </w:r>
    </w:p>
    <w:p w14:paraId="28AC1770" w14:textId="4319A88F" w:rsidR="5E905415" w:rsidRPr="0076589C" w:rsidRDefault="1C8D6E3A" w:rsidP="00D45F18">
      <w:pPr>
        <w:pStyle w:val="TextoPrincipal"/>
        <w:spacing w:after="0"/>
        <w:rPr>
          <w:lang w:val="es-HN"/>
        </w:rPr>
      </w:pPr>
      <w:r w:rsidRPr="0076589C">
        <w:rPr>
          <w:lang w:val="es-HN"/>
        </w:rPr>
        <w:t>El capítulo 4 de este informe representa una fase crítica del estudio, donde se presenta el resultado y análisis detallado de la investigación. Este capítulo abarca una variedad de componentes esenciales, comenzando por un informe completo del proceso de recolección de datos. A continuación, se expondrán los resultados de los análisis cuantitativos, que incluyen un desglose minucioso de cada variable, dimensión e indicador, junto con los cálculos correspondientes. Asimismo, se present</w:t>
      </w:r>
      <w:r w:rsidR="009A2525" w:rsidRPr="0076589C">
        <w:rPr>
          <w:lang w:val="es-HN"/>
        </w:rPr>
        <w:t>ó</w:t>
      </w:r>
      <w:r w:rsidRPr="0076589C">
        <w:rPr>
          <w:lang w:val="es-HN"/>
        </w:rPr>
        <w:t xml:space="preserve"> los resultados de los análisis cualitativos, que engloban un análisis exhaustivo de cada variable, dimensión e indicador obtenidos a través de entrevistas, acompañados de interpretaciones detalladas. Este capítulo constituye un elemento esencial para comprender a fondo los hallazgos de la investigación y su relevancia en el contexto del estudio.</w:t>
      </w:r>
    </w:p>
    <w:p w14:paraId="57B69A50" w14:textId="77777777" w:rsidR="00D45F18" w:rsidRPr="0076589C" w:rsidRDefault="00D45F18" w:rsidP="00D45F18">
      <w:pPr>
        <w:pStyle w:val="TextoPrincipal"/>
        <w:spacing w:after="0"/>
        <w:rPr>
          <w:lang w:val="es-HN"/>
        </w:rPr>
      </w:pPr>
    </w:p>
    <w:p w14:paraId="60C37245" w14:textId="77B28B67" w:rsidR="006E75EB" w:rsidRPr="0076589C" w:rsidRDefault="1C8D6E3A" w:rsidP="00A423A4">
      <w:pPr>
        <w:pStyle w:val="Ttulo2"/>
        <w:numPr>
          <w:ilvl w:val="0"/>
          <w:numId w:val="29"/>
        </w:numPr>
        <w:ind w:left="0" w:firstLine="0"/>
      </w:pPr>
      <w:bookmarkStart w:id="227" w:name="_Toc158365514"/>
      <w:r w:rsidRPr="0076589C">
        <w:t>INFORME DE PROCESO DE RECOLECCIÓN DE DATO</w:t>
      </w:r>
      <w:bookmarkEnd w:id="227"/>
    </w:p>
    <w:p w14:paraId="150E6259" w14:textId="77777777" w:rsidR="00DD5946" w:rsidRPr="0076589C" w:rsidRDefault="1C8D6E3A" w:rsidP="00DD5946">
      <w:pPr>
        <w:pStyle w:val="TextoPrincipal"/>
        <w:rPr>
          <w:lang w:val="es-HN"/>
        </w:rPr>
      </w:pPr>
      <w:r w:rsidRPr="0076589C">
        <w:rPr>
          <w:lang w:val="es-HN"/>
        </w:rPr>
        <w:t xml:space="preserve">El informe de proceso de recolección de datos expone las actividades establecidas para el cumplimiento de la recopilación de la información necesaria para el desarrollo del problema de investigación. </w:t>
      </w:r>
    </w:p>
    <w:p w14:paraId="63DFA215" w14:textId="77777777" w:rsidR="00DD5946" w:rsidRPr="0076589C" w:rsidRDefault="1C8D6E3A" w:rsidP="00DD5946">
      <w:pPr>
        <w:pStyle w:val="TextoPrincipal"/>
        <w:rPr>
          <w:lang w:val="es-HN"/>
        </w:rPr>
      </w:pPr>
      <w:r w:rsidRPr="0076589C">
        <w:rPr>
          <w:lang w:val="es-HN"/>
        </w:rPr>
        <w:t>El primer acercamiento fue el 27 de julio del año 2023 por medio de WhatsApp, se solicitó el permiso al gerente financiero de la empresa, para poder realizar el proyecto de investigación en la misma. Posteriormente el 4 de agosto del año 2023 se realizó la primera visita presencial a la empresa IPRA para dialogar sobre la situación financiera con respecto al área de gestión de crédito y cobro, y para conocer más a fondo sobre las oportunidades de mejora.</w:t>
      </w:r>
    </w:p>
    <w:p w14:paraId="1559F0D9" w14:textId="77777777" w:rsidR="00DD5946" w:rsidRPr="0076589C" w:rsidRDefault="1C8D6E3A" w:rsidP="00DD5946">
      <w:pPr>
        <w:pStyle w:val="TextoPrincipal"/>
        <w:rPr>
          <w:lang w:val="es-HN"/>
        </w:rPr>
      </w:pPr>
      <w:r w:rsidRPr="0076589C">
        <w:rPr>
          <w:lang w:val="es-HN"/>
        </w:rPr>
        <w:t>Para el desarrollo del capítulo I era necesario solicitar la información sobre las generalidades de la empresa, así como la historia, misión, visión, valores entre otros; por lo cual el 10 de agosto del presente año se envió un mensaje vía WhatsApp al gerente financiero para que se facilitará la información requerida la cual fue recibida hasta el 15 de agosto.</w:t>
      </w:r>
    </w:p>
    <w:p w14:paraId="367979EB" w14:textId="77777777" w:rsidR="00DD5946" w:rsidRPr="0076589C" w:rsidRDefault="1C8D6E3A" w:rsidP="00DD5946">
      <w:pPr>
        <w:pStyle w:val="TextoPrincipal"/>
        <w:rPr>
          <w:lang w:val="es-HN"/>
        </w:rPr>
      </w:pPr>
      <w:r w:rsidRPr="0076589C">
        <w:rPr>
          <w:lang w:val="es-HN"/>
        </w:rPr>
        <w:lastRenderedPageBreak/>
        <w:t xml:space="preserve">El 12 de octubre por medio de WhatsApp se programaron las visitas presenciales con el objetivo de la recopilación de datos y la ejecución de la entrevista. La visita presencial fue llevada a cabo el 19 de agosto del año en curso a la hora de las 3:00pm, con el fin de discutir los datos necesarios (balance general, estado de resultado, información sobre ventas y pagos) para el cumplimiento de la operacionalización de las variables; dicha información fue recibida a través de WhatsApp. Para el desarrollo de la entrevista con el gerente financiero se hizo la visita presencial el día 20 de agosto de 2023 a la hora 12:15pm la cual fue grabada con el fin de realizar un análisis más exhaustivo posteriormente. </w:t>
      </w:r>
    </w:p>
    <w:p w14:paraId="6D46F1FA" w14:textId="1D5C1075" w:rsidR="00DD5946" w:rsidRPr="0076589C" w:rsidRDefault="1C8D6E3A" w:rsidP="00DD5946">
      <w:pPr>
        <w:pStyle w:val="TextoPrincipal"/>
        <w:rPr>
          <w:lang w:val="es-HN"/>
        </w:rPr>
      </w:pPr>
      <w:r w:rsidRPr="0076589C">
        <w:rPr>
          <w:lang w:val="es-HN"/>
        </w:rPr>
        <w:t>Con la grabación de la entrevista se logró trasladar la información a Excel con las respuestas dadas por el gerente financiero y una interpretación personal para obtener un análisis cualitativo con mayor claridad.</w:t>
      </w:r>
    </w:p>
    <w:p w14:paraId="2FF203AB" w14:textId="2EFFA015" w:rsidR="31200A82" w:rsidRPr="0076589C" w:rsidRDefault="1C8D6E3A" w:rsidP="00D45F18">
      <w:pPr>
        <w:pStyle w:val="TextoPrincipal"/>
        <w:spacing w:after="0"/>
        <w:rPr>
          <w:lang w:val="es-HN"/>
        </w:rPr>
      </w:pPr>
      <w:r w:rsidRPr="0076589C">
        <w:rPr>
          <w:lang w:val="es-HN"/>
        </w:rPr>
        <w:t>Tras la obtención de la información financiera de la empresa y la recopilación de datos de las bases de datos pertinentes, se procedió a realizar los cálculos necesarios para cada variable, siguiendo un riguroso protocolo de análisis. Estos cálculos permitieron llevar a cabo una evaluación minuciosa y comparativa de las variables, lo que a su vez proporcionó una visión detallada de la situación financiera de la empresa, de acuerdo a la estructura previamente definida en la matriz de operacionalización de variables. En consonancia con la naturaleza mixta de la investigación, se complementó este análisis cuantitativo con una entrevista, cuyo propósito fue profundizar en la interpretación de las variables, enriqueciendo así la comprensión de los resultados y ofreciendo una visión más completa de la situación financiera de la empresa.</w:t>
      </w:r>
    </w:p>
    <w:p w14:paraId="2AEB4C4A" w14:textId="77777777" w:rsidR="00D45F18" w:rsidRPr="0076589C" w:rsidRDefault="00D45F18" w:rsidP="00D45F18">
      <w:pPr>
        <w:pStyle w:val="TextoPrincipal"/>
        <w:spacing w:after="0"/>
        <w:rPr>
          <w:lang w:val="es-HN"/>
        </w:rPr>
      </w:pPr>
    </w:p>
    <w:p w14:paraId="4123A33A" w14:textId="46281C4F" w:rsidR="00C70276" w:rsidRPr="0076589C" w:rsidRDefault="1C8D6E3A" w:rsidP="00494616">
      <w:pPr>
        <w:pStyle w:val="Ttulo2"/>
        <w:numPr>
          <w:ilvl w:val="0"/>
          <w:numId w:val="29"/>
        </w:numPr>
        <w:ind w:left="357" w:hanging="357"/>
      </w:pPr>
      <w:bookmarkStart w:id="228" w:name="_Toc158365515"/>
      <w:r w:rsidRPr="0076589C">
        <w:t>RESULTADOS Y ANÁLISIS DE LAS TÉCNICAS CUANTITATIVAS</w:t>
      </w:r>
      <w:bookmarkEnd w:id="228"/>
    </w:p>
    <w:p w14:paraId="5F62E0C8" w14:textId="5BFFA0BB" w:rsidR="00EB69A8" w:rsidRPr="0076589C" w:rsidRDefault="1C8D6E3A" w:rsidP="00D45F18">
      <w:pPr>
        <w:pStyle w:val="TextoPrincipal"/>
        <w:spacing w:after="0"/>
        <w:rPr>
          <w:lang w:val="es-HN"/>
        </w:rPr>
      </w:pPr>
      <w:r w:rsidRPr="0076589C">
        <w:rPr>
          <w:lang w:val="es-HN"/>
        </w:rPr>
        <w:t xml:space="preserve">En esta sección se presentan los resultados con técnicas cuantitativas que se derivan de la recopilación de los datos de la información financiera obtenida de la empresa Industria Procesadora de Alimentos (IPRA) donde se realizaron análisis comparativos a través del software estadístico Microsoft Excel, con el propósito de cumplir con los lineamientos previamente planteados en la matriz de la operacionalización de las variables. Las variables que se estudian con las técnicas cuantitativas son la situación financiera de la empresa donde se realiza una comparación de cómo ha sido su gestión año tras año por medio de análisis vertical y horizontal; la variable de la cartera de crédito para hacer una comparación en el aumento o disminución de la misma a través de los años; las variables de políticas de crédito y cobro de la empresa así conocer </w:t>
      </w:r>
      <w:r w:rsidRPr="0076589C">
        <w:rPr>
          <w:lang w:val="es-HN"/>
        </w:rPr>
        <w:lastRenderedPageBreak/>
        <w:t>los plazos/límites de créditos e indicadores en la cobranza y la última variable a analizar es la de los indicadores financieros como ser de rentabilidad, liquidez y endeudamiento.</w:t>
      </w:r>
    </w:p>
    <w:p w14:paraId="16EF802F" w14:textId="77777777" w:rsidR="00D45F18" w:rsidRPr="0076589C" w:rsidRDefault="00D45F18" w:rsidP="00D45F18">
      <w:pPr>
        <w:pStyle w:val="TextoPrincipal"/>
        <w:spacing w:after="0"/>
        <w:rPr>
          <w:lang w:val="es-HN"/>
        </w:rPr>
      </w:pPr>
    </w:p>
    <w:p w14:paraId="1CAA7D24" w14:textId="29597FB7" w:rsidR="001707E4" w:rsidRPr="0076589C" w:rsidRDefault="1C8D6E3A" w:rsidP="003B70CA">
      <w:pPr>
        <w:pStyle w:val="Ttulonivel3"/>
        <w:numPr>
          <w:ilvl w:val="2"/>
          <w:numId w:val="25"/>
        </w:numPr>
        <w:ind w:firstLine="0"/>
      </w:pPr>
      <w:bookmarkStart w:id="229" w:name="_Toc158365516"/>
      <w:r w:rsidRPr="0076589C">
        <w:t>ANÁLISIS DE SITUACIÓN FINANCIERA</w:t>
      </w:r>
      <w:bookmarkEnd w:id="229"/>
    </w:p>
    <w:p w14:paraId="54259301" w14:textId="27D969BB" w:rsidR="003707BF" w:rsidRPr="0076589C" w:rsidRDefault="1C8D6E3A" w:rsidP="00337E4E">
      <w:pPr>
        <w:pStyle w:val="TextoPrincipal"/>
        <w:rPr>
          <w:lang w:val="es-HN"/>
        </w:rPr>
      </w:pPr>
      <w:r w:rsidRPr="0076589C">
        <w:rPr>
          <w:lang w:val="es-HN"/>
        </w:rPr>
        <w:t>Los análisis financieros ayudan a estudiar todos y cada uno de los resultados de una empresa, realizando análisis por cada una de las áreas, para después poder generar un diagnóstico integral del desempeño financiero de la misma; es decir evaluar la salud financiera de la empresa. Esto con el fin de lograr identificar oportunidades de mejora y tomar acciones correctivas.</w:t>
      </w:r>
    </w:p>
    <w:p w14:paraId="1E2650B8" w14:textId="3B0D9203" w:rsidR="0A495247" w:rsidRPr="0076589C" w:rsidRDefault="1C8D6E3A" w:rsidP="00337E4E">
      <w:pPr>
        <w:pStyle w:val="TextoPrincipal"/>
        <w:rPr>
          <w:lang w:val="es-HN"/>
        </w:rPr>
      </w:pPr>
      <w:r w:rsidRPr="0076589C">
        <w:rPr>
          <w:lang w:val="es-HN"/>
        </w:rPr>
        <w:t>Esta evaluación se basa en una dimensión contable que se centra en dos indicadores clave: el balance general y el estado de resultados. El balance general proporciona una instantánea de los activos, pasivos y el patrimonio de la empresa en un momento dado, mientras que el estado de resultados muestra los ingresos, gastos y utilidades a lo largo de un período específico. Para una comprensión más profunda, se utilizan las estrategias de análisis vertical y horizontal.</w:t>
      </w:r>
    </w:p>
    <w:p w14:paraId="2C3A655E" w14:textId="77777777" w:rsidR="00FC29A6" w:rsidRPr="0076589C" w:rsidRDefault="00FC29A6" w:rsidP="00FC29A6">
      <w:pPr>
        <w:pStyle w:val="TextoPrincipal"/>
        <w:spacing w:after="0"/>
        <w:rPr>
          <w:lang w:val="es-HN"/>
        </w:rPr>
      </w:pPr>
    </w:p>
    <w:p w14:paraId="4D4B331F" w14:textId="4166A51E" w:rsidR="0060044A" w:rsidRPr="0076589C" w:rsidRDefault="1C8D6E3A" w:rsidP="00666E5F">
      <w:pPr>
        <w:pStyle w:val="Ttulonivel4"/>
        <w:numPr>
          <w:ilvl w:val="0"/>
          <w:numId w:val="30"/>
        </w:numPr>
        <w:ind w:left="1440" w:firstLine="0"/>
      </w:pPr>
      <w:r w:rsidRPr="0076589C">
        <w:t>DIMENSIÓN CONTABLE</w:t>
      </w:r>
    </w:p>
    <w:p w14:paraId="121D706D" w14:textId="431368F6" w:rsidR="00E2033B" w:rsidRPr="0076589C" w:rsidRDefault="1C8D6E3A" w:rsidP="00E2033B">
      <w:pPr>
        <w:pStyle w:val="TextoPrincipal"/>
        <w:rPr>
          <w:lang w:val="es-HN"/>
        </w:rPr>
      </w:pPr>
      <w:r w:rsidRPr="0076589C">
        <w:rPr>
          <w:lang w:val="es-HN"/>
        </w:rPr>
        <w:t>La dimensión contable es una piedra angular en la evaluación de la salud financiera de una empresa, proporcionando información vital sobre su posición económica y desempeño a lo largo del tiempo. Esta dimensión se basa en dos indicadores fundamentales: el balance general y el estado de resultados para obtener una comprensión más completa de estos indicadores, se recurre al análisis vertical y horizontal.</w:t>
      </w:r>
    </w:p>
    <w:p w14:paraId="568D5734" w14:textId="7D482FAE" w:rsidR="00C45912" w:rsidRPr="0076589C" w:rsidRDefault="1C8D6E3A" w:rsidP="00C45912">
      <w:pPr>
        <w:pStyle w:val="TextoPrincipal"/>
        <w:rPr>
          <w:lang w:val="es-HN"/>
        </w:rPr>
      </w:pPr>
      <w:r w:rsidRPr="0076589C">
        <w:rPr>
          <w:lang w:val="es-HN"/>
        </w:rPr>
        <w:t xml:space="preserve">El método del análisis vertical consiste en expresar en porcentajes las cifras de un estado financiero. El cual es aplicable al balance general y estado de resultados; es conocido como análisis de porcientos integrales. Se utiliza para evaluar la composición de los elementos en los estados financieros de una entidad en relación con un valor base o total. </w:t>
      </w:r>
      <w:r w:rsidR="00C45912" w:rsidRPr="0076589C">
        <w:rPr>
          <w:lang w:val="es-HN"/>
        </w:rPr>
        <w:fldChar w:fldCharType="begin"/>
      </w:r>
      <w:r w:rsidR="00C45912" w:rsidRPr="0076589C">
        <w:rPr>
          <w:lang w:val="es-HN"/>
        </w:rPr>
        <w:instrText xml:space="preserve"> ADDIN ZOTERO_ITEM CSL_CITATION {"citationID":"AWJOmtA4","properties":{"formattedCitation":"(Toro, 2014)","plainCitation":"(Toro, 2014)","noteIndex":0},"citationItems":[{"id":333,"uris":["http://zotero.org/users/12108825/items/ACII2A7L"],"itemData":{"id":333,"type":"book","ISBN":"978-958-771-071-7","language":"es","note":"Google-Books-ID: 1Xs5DwAAQBAJ","number-of-pages":"428","publisher":"Ecoe Ediciones","source":"Google Books","title":"Análisis financiero","author":[{"family":"Toro","given":"Diego Baena"}],"issued":{"date-parts":[["2014",1,1]]}}}],"schema":"https://github.com/citation-style-language/schema/raw/master/csl-citation.json"} </w:instrText>
      </w:r>
      <w:r w:rsidR="00C45912" w:rsidRPr="0076589C">
        <w:rPr>
          <w:lang w:val="es-HN"/>
        </w:rPr>
        <w:fldChar w:fldCharType="separate"/>
      </w:r>
      <w:r w:rsidRPr="0076589C">
        <w:rPr>
          <w:lang w:val="es-HN"/>
        </w:rPr>
        <w:t>(Toro, 2014)</w:t>
      </w:r>
      <w:r w:rsidR="00C45912" w:rsidRPr="0076589C">
        <w:rPr>
          <w:lang w:val="es-HN"/>
        </w:rPr>
        <w:fldChar w:fldCharType="end"/>
      </w:r>
    </w:p>
    <w:p w14:paraId="58D99226" w14:textId="77777777" w:rsidR="00FB351D" w:rsidRPr="0076589C" w:rsidRDefault="1C8D6E3A" w:rsidP="00C45912">
      <w:pPr>
        <w:pStyle w:val="TextoPrincipal"/>
        <w:rPr>
          <w:lang w:val="es-HN"/>
        </w:rPr>
      </w:pPr>
      <w:r w:rsidRPr="0076589C">
        <w:rPr>
          <w:lang w:val="es-HN"/>
        </w:rPr>
        <w:t>El análisis horizontal también conocido como análisis de tendencia consiste en comparar estados financieros homogéneos consecutivos. Co</w:t>
      </w:r>
      <w:r w:rsidR="00C428F0" w:rsidRPr="0076589C">
        <w:rPr>
          <w:lang w:val="es-HN"/>
        </w:rPr>
        <w:t>n eso se observa</w:t>
      </w:r>
    </w:p>
    <w:p w14:paraId="15915F54" w14:textId="5B2FEE65" w:rsidR="00C45912" w:rsidRPr="0076589C" w:rsidRDefault="1C8D6E3A" w:rsidP="00C45912">
      <w:pPr>
        <w:pStyle w:val="TextoPrincipal"/>
        <w:rPr>
          <w:lang w:val="es-HN"/>
        </w:rPr>
      </w:pPr>
      <w:r w:rsidRPr="0076589C">
        <w:rPr>
          <w:lang w:val="es-HN"/>
        </w:rPr>
        <w:t xml:space="preserve"> si los resultados financieros de una empresa han sido positivos o negativos. También identificar si los cambios que se han presentado merecen o no importancia para poder darles la </w:t>
      </w:r>
      <w:r w:rsidRPr="0076589C">
        <w:rPr>
          <w:lang w:val="es-HN"/>
        </w:rPr>
        <w:lastRenderedPageBreak/>
        <w:t xml:space="preserve">atención pertinente. Sirve como herramienta para determinar el crecimiento o no decrecimiento de las diferentes partidas, con el fin de tener una pauta para la toma de decisiones. (Toro, 2014)   </w:t>
      </w:r>
    </w:p>
    <w:p w14:paraId="4E1E545E" w14:textId="63D0597E" w:rsidR="007C1034" w:rsidRPr="0076589C" w:rsidRDefault="1C8D6E3A" w:rsidP="00136D04">
      <w:pPr>
        <w:pStyle w:val="TextoPrincipal"/>
        <w:spacing w:after="0"/>
        <w:rPr>
          <w:lang w:val="es-HN"/>
        </w:rPr>
      </w:pPr>
      <w:r w:rsidRPr="0076589C">
        <w:rPr>
          <w:lang w:val="es-HN"/>
        </w:rPr>
        <w:t>Para el análisis horizontal se debe calcular la variación absoluta como la variación relativa; la variación absoluta es presenta la cantidad de activos de un periodo a otro y la variación relativa representa el cambio porcentual en un periodo determinado.</w:t>
      </w:r>
    </w:p>
    <w:p w14:paraId="022DFB52" w14:textId="77777777" w:rsidR="00136D04" w:rsidRPr="0076589C" w:rsidRDefault="00136D04" w:rsidP="00136D04">
      <w:pPr>
        <w:pStyle w:val="TextoPrincipal"/>
        <w:spacing w:after="0"/>
        <w:rPr>
          <w:lang w:val="es-HN"/>
        </w:rPr>
      </w:pPr>
    </w:p>
    <w:p w14:paraId="4B072480" w14:textId="77777777" w:rsidR="002247B0" w:rsidRPr="0076589C" w:rsidRDefault="1C8D6E3A" w:rsidP="0053775F">
      <w:pPr>
        <w:pStyle w:val="Nivel5"/>
        <w:numPr>
          <w:ilvl w:val="0"/>
          <w:numId w:val="31"/>
        </w:numPr>
        <w:ind w:left="1440" w:firstLine="0"/>
      </w:pPr>
      <w:r w:rsidRPr="0076589C">
        <w:t>BALANCE GENERAL ANÁLISIS VERTICAL</w:t>
      </w:r>
    </w:p>
    <w:p w14:paraId="6C10215B" w14:textId="77777777" w:rsidR="002247B0" w:rsidRPr="0076589C" w:rsidRDefault="1C8D6E3A" w:rsidP="002247B0">
      <w:pPr>
        <w:pStyle w:val="TextoPrincipal"/>
        <w:rPr>
          <w:lang w:val="es-HN"/>
        </w:rPr>
      </w:pPr>
      <w:r w:rsidRPr="0076589C">
        <w:rPr>
          <w:lang w:val="es-HN"/>
        </w:rPr>
        <w:t>El análisis vertical de los balances generales permite conocer la proporción de activos, pasivos y patrimonio neto en relación con el total, lo que ayuda a evaluar la estructura financiera de una empresa, identificar tendencias, compararla con competidores y tomar decisiones estratégicas informadas. También revela la solidez financiera y posibles oportunidades y riesgos.</w:t>
      </w:r>
    </w:p>
    <w:p w14:paraId="41DC9E9D" w14:textId="77777777" w:rsidR="002247B0" w:rsidRPr="0076589C" w:rsidRDefault="1C8D6E3A" w:rsidP="002247B0">
      <w:pPr>
        <w:pStyle w:val="TextoPrincipal"/>
        <w:rPr>
          <w:lang w:val="es-HN"/>
        </w:rPr>
      </w:pPr>
      <w:r w:rsidRPr="0076589C">
        <w:rPr>
          <w:lang w:val="es-HN"/>
        </w:rPr>
        <w:t xml:space="preserve">En la </w:t>
      </w:r>
      <w:r w:rsidRPr="0076589C">
        <w:rPr>
          <w:b/>
          <w:bCs/>
          <w:lang w:val="es-HN"/>
        </w:rPr>
        <w:t>Tabla 6,</w:t>
      </w:r>
      <w:r w:rsidRPr="0076589C">
        <w:rPr>
          <w:lang w:val="es-HN"/>
        </w:rPr>
        <w:t xml:space="preserve"> se presenta los balances generales través de un análisis vertical para el periodo del 2019 al 2022 en términos porcentuales para la empresa Industria Procesadora de Alimentos IPRA.</w:t>
      </w:r>
    </w:p>
    <w:p w14:paraId="438C1926" w14:textId="7266C5C7" w:rsidR="00971EBF" w:rsidRPr="0076589C" w:rsidRDefault="00971EBF" w:rsidP="00C06DA7">
      <w:pPr>
        <w:spacing w:after="0"/>
      </w:pPr>
    </w:p>
    <w:p w14:paraId="12F2948F" w14:textId="77777777" w:rsidR="00C46C6E" w:rsidRPr="0076589C" w:rsidRDefault="00C46C6E" w:rsidP="000B24DB">
      <w:pPr>
        <w:pStyle w:val="TextoPrincipal"/>
        <w:rPr>
          <w:lang w:val="es-HN"/>
        </w:rPr>
      </w:pPr>
    </w:p>
    <w:p w14:paraId="7BF89EA2" w14:textId="77777777" w:rsidR="000B24DB" w:rsidRPr="0076589C" w:rsidRDefault="000B24DB" w:rsidP="000B24DB">
      <w:pPr>
        <w:pStyle w:val="TextoPrincipal"/>
        <w:rPr>
          <w:lang w:val="es-HN"/>
        </w:rPr>
      </w:pPr>
    </w:p>
    <w:p w14:paraId="7D3ADCAC" w14:textId="4567B9B8" w:rsidR="00901A39" w:rsidRPr="0076589C" w:rsidRDefault="00901A39" w:rsidP="00E243DA">
      <w:pPr>
        <w:pStyle w:val="TextoPrincipal"/>
        <w:ind w:firstLine="0"/>
        <w:rPr>
          <w:lang w:val="es-HN"/>
        </w:rPr>
        <w:sectPr w:rsidR="00901A39" w:rsidRPr="0076589C" w:rsidSect="008C6BD1">
          <w:pgSz w:w="12240" w:h="15840" w:code="1"/>
          <w:pgMar w:top="1440" w:right="1440" w:bottom="1440" w:left="1440" w:header="720" w:footer="720" w:gutter="0"/>
          <w:cols w:space="720"/>
          <w:docGrid w:linePitch="360"/>
        </w:sectPr>
      </w:pPr>
    </w:p>
    <w:p w14:paraId="1C19B0A3" w14:textId="590796F0" w:rsidR="00156916" w:rsidRPr="0076589C" w:rsidRDefault="1C8D6E3A" w:rsidP="00156916">
      <w:pPr>
        <w:pStyle w:val="ImagenyTabla"/>
        <w:rPr>
          <w:noProof w:val="0"/>
        </w:rPr>
      </w:pPr>
      <w:bookmarkStart w:id="230" w:name="_Toc158365554"/>
      <w:r w:rsidRPr="0076589C">
        <w:lastRenderedPageBreak/>
        <w:t xml:space="preserve">Tabla </w:t>
      </w:r>
      <w:r w:rsidR="00156916" w:rsidRPr="0076589C">
        <w:rPr>
          <w:noProof w:val="0"/>
        </w:rPr>
        <w:fldChar w:fldCharType="begin"/>
      </w:r>
      <w:r w:rsidR="00156916" w:rsidRPr="0076589C">
        <w:rPr>
          <w:noProof w:val="0"/>
        </w:rPr>
        <w:instrText xml:space="preserve"> SEQ Tabla \* ARABIC </w:instrText>
      </w:r>
      <w:r w:rsidR="00156916" w:rsidRPr="0076589C">
        <w:rPr>
          <w:noProof w:val="0"/>
        </w:rPr>
        <w:fldChar w:fldCharType="separate"/>
      </w:r>
      <w:r w:rsidR="009F171A">
        <w:t>6</w:t>
      </w:r>
      <w:r w:rsidR="00156916" w:rsidRPr="0076589C">
        <w:rPr>
          <w:noProof w:val="0"/>
        </w:rPr>
        <w:fldChar w:fldCharType="end"/>
      </w:r>
      <w:r w:rsidRPr="0076589C">
        <w:t>. Análisis Vertical del Balance General Industria Procesadora de Alimentos IPRA 2019-2022</w:t>
      </w:r>
      <w:bookmarkEnd w:id="230"/>
    </w:p>
    <w:tbl>
      <w:tblPr>
        <w:tblW w:w="5000" w:type="pct"/>
        <w:tblLook w:val="04A0" w:firstRow="1" w:lastRow="0" w:firstColumn="1" w:lastColumn="0" w:noHBand="0" w:noVBand="1"/>
      </w:tblPr>
      <w:tblGrid>
        <w:gridCol w:w="3627"/>
        <w:gridCol w:w="1601"/>
        <w:gridCol w:w="733"/>
        <w:gridCol w:w="1601"/>
        <w:gridCol w:w="734"/>
        <w:gridCol w:w="1602"/>
        <w:gridCol w:w="734"/>
        <w:gridCol w:w="1602"/>
        <w:gridCol w:w="726"/>
      </w:tblGrid>
      <w:tr w:rsidR="00A85DF8" w:rsidRPr="0076589C" w14:paraId="44AB5B4F" w14:textId="77777777" w:rsidTr="1C8D6E3A">
        <w:trPr>
          <w:trHeight w:val="260"/>
        </w:trPr>
        <w:tc>
          <w:tcPr>
            <w:tcW w:w="5000" w:type="pct"/>
            <w:gridSpan w:val="9"/>
            <w:tcBorders>
              <w:top w:val="nil"/>
              <w:left w:val="nil"/>
              <w:bottom w:val="nil"/>
              <w:right w:val="nil"/>
            </w:tcBorders>
            <w:shd w:val="clear" w:color="auto" w:fill="auto"/>
            <w:noWrap/>
            <w:vAlign w:val="bottom"/>
            <w:hideMark/>
          </w:tcPr>
          <w:p w14:paraId="546F15FD" w14:textId="77777777" w:rsidR="00A85DF8" w:rsidRPr="0076589C" w:rsidRDefault="1C8D6E3A" w:rsidP="00A85DF8">
            <w:pPr>
              <w:spacing w:after="0" w:line="240" w:lineRule="auto"/>
              <w:ind w:left="0"/>
              <w:jc w:val="center"/>
              <w:rPr>
                <w:rFonts w:ascii="Calibri" w:eastAsia="Times New Roman" w:hAnsi="Calibri" w:cs="Calibri"/>
                <w:b/>
                <w:bCs/>
                <w:color w:val="44546A"/>
                <w:sz w:val="18"/>
                <w:szCs w:val="18"/>
              </w:rPr>
            </w:pPr>
            <w:r w:rsidRPr="0076589C">
              <w:rPr>
                <w:rFonts w:ascii="Calibri" w:eastAsia="Times New Roman" w:hAnsi="Calibri" w:cs="Calibri"/>
                <w:b/>
                <w:bCs/>
                <w:color w:val="44546A" w:themeColor="text2"/>
                <w:sz w:val="18"/>
                <w:szCs w:val="18"/>
              </w:rPr>
              <w:t>Industria Procesadora de Alimentos (IPRA)</w:t>
            </w:r>
          </w:p>
        </w:tc>
      </w:tr>
      <w:tr w:rsidR="00A85DF8" w:rsidRPr="0076589C" w14:paraId="6E604966" w14:textId="77777777" w:rsidTr="1C8D6E3A">
        <w:trPr>
          <w:trHeight w:val="260"/>
        </w:trPr>
        <w:tc>
          <w:tcPr>
            <w:tcW w:w="5000" w:type="pct"/>
            <w:gridSpan w:val="9"/>
            <w:tcBorders>
              <w:top w:val="nil"/>
              <w:left w:val="nil"/>
              <w:bottom w:val="nil"/>
              <w:right w:val="nil"/>
            </w:tcBorders>
            <w:shd w:val="clear" w:color="auto" w:fill="auto"/>
            <w:noWrap/>
            <w:vAlign w:val="bottom"/>
            <w:hideMark/>
          </w:tcPr>
          <w:p w14:paraId="7CDABBB7"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Análisis Vertical del Balance General periodos 2019-2022</w:t>
            </w:r>
          </w:p>
        </w:tc>
      </w:tr>
      <w:tr w:rsidR="00A85DF8" w:rsidRPr="0076589C" w14:paraId="5AA3AEE6" w14:textId="77777777" w:rsidTr="1C8D6E3A">
        <w:trPr>
          <w:trHeight w:val="260"/>
        </w:trPr>
        <w:tc>
          <w:tcPr>
            <w:tcW w:w="5000" w:type="pct"/>
            <w:gridSpan w:val="9"/>
            <w:tcBorders>
              <w:top w:val="nil"/>
              <w:left w:val="nil"/>
              <w:bottom w:val="nil"/>
              <w:right w:val="nil"/>
            </w:tcBorders>
            <w:shd w:val="clear" w:color="auto" w:fill="auto"/>
            <w:noWrap/>
            <w:vAlign w:val="bottom"/>
            <w:hideMark/>
          </w:tcPr>
          <w:p w14:paraId="7EECB9DF"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(Expresado en L)</w:t>
            </w:r>
          </w:p>
        </w:tc>
      </w:tr>
      <w:tr w:rsidR="00A85DF8" w:rsidRPr="0076589C" w14:paraId="73A82812" w14:textId="77777777" w:rsidTr="1C8D6E3A">
        <w:trPr>
          <w:trHeight w:val="260"/>
        </w:trPr>
        <w:tc>
          <w:tcPr>
            <w:tcW w:w="1399" w:type="pct"/>
            <w:tcBorders>
              <w:top w:val="nil"/>
              <w:left w:val="nil"/>
              <w:bottom w:val="nil"/>
              <w:right w:val="nil"/>
            </w:tcBorders>
            <w:shd w:val="clear" w:color="auto" w:fill="auto"/>
            <w:noWrap/>
            <w:vAlign w:val="bottom"/>
            <w:hideMark/>
          </w:tcPr>
          <w:p w14:paraId="54799661" w14:textId="77777777" w:rsidR="00A85DF8" w:rsidRPr="0076589C" w:rsidRDefault="00A85DF8" w:rsidP="00A85DF8">
            <w:pPr>
              <w:spacing w:after="0" w:line="240" w:lineRule="auto"/>
              <w:ind w:left="0"/>
              <w:jc w:val="center"/>
              <w:rPr>
                <w:rFonts w:ascii="Calibri" w:eastAsia="Times New Roman" w:hAnsi="Calibri" w:cs="Calibri"/>
                <w:color w:val="000000"/>
                <w:sz w:val="18"/>
                <w:szCs w:val="18"/>
              </w:rPr>
            </w:pPr>
          </w:p>
        </w:tc>
        <w:tc>
          <w:tcPr>
            <w:tcW w:w="618" w:type="pct"/>
            <w:tcBorders>
              <w:top w:val="nil"/>
              <w:left w:val="nil"/>
              <w:bottom w:val="single" w:sz="4" w:space="0" w:color="auto"/>
              <w:right w:val="nil"/>
            </w:tcBorders>
            <w:shd w:val="clear" w:color="auto" w:fill="auto"/>
            <w:noWrap/>
            <w:vAlign w:val="bottom"/>
            <w:hideMark/>
          </w:tcPr>
          <w:p w14:paraId="578AE57F"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2019</w:t>
            </w:r>
          </w:p>
        </w:tc>
        <w:tc>
          <w:tcPr>
            <w:tcW w:w="283" w:type="pct"/>
            <w:tcBorders>
              <w:top w:val="nil"/>
              <w:left w:val="nil"/>
              <w:bottom w:val="single" w:sz="4" w:space="0" w:color="auto"/>
              <w:right w:val="nil"/>
            </w:tcBorders>
            <w:shd w:val="clear" w:color="auto" w:fill="auto"/>
            <w:noWrap/>
            <w:vAlign w:val="bottom"/>
            <w:hideMark/>
          </w:tcPr>
          <w:p w14:paraId="06932650" w14:textId="3136B0AC"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%2019</w:t>
            </w:r>
          </w:p>
        </w:tc>
        <w:tc>
          <w:tcPr>
            <w:tcW w:w="618" w:type="pct"/>
            <w:tcBorders>
              <w:top w:val="nil"/>
              <w:left w:val="nil"/>
              <w:bottom w:val="single" w:sz="4" w:space="0" w:color="auto"/>
              <w:right w:val="nil"/>
            </w:tcBorders>
            <w:shd w:val="clear" w:color="auto" w:fill="auto"/>
            <w:noWrap/>
            <w:vAlign w:val="bottom"/>
            <w:hideMark/>
          </w:tcPr>
          <w:p w14:paraId="56317120"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2020</w:t>
            </w:r>
          </w:p>
        </w:tc>
        <w:tc>
          <w:tcPr>
            <w:tcW w:w="283" w:type="pct"/>
            <w:tcBorders>
              <w:top w:val="nil"/>
              <w:left w:val="nil"/>
              <w:bottom w:val="single" w:sz="4" w:space="0" w:color="auto"/>
              <w:right w:val="nil"/>
            </w:tcBorders>
            <w:shd w:val="clear" w:color="auto" w:fill="auto"/>
            <w:noWrap/>
            <w:vAlign w:val="bottom"/>
            <w:hideMark/>
          </w:tcPr>
          <w:p w14:paraId="41CDBCF4" w14:textId="36449324"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%2020</w:t>
            </w:r>
          </w:p>
        </w:tc>
        <w:tc>
          <w:tcPr>
            <w:tcW w:w="618" w:type="pct"/>
            <w:tcBorders>
              <w:top w:val="nil"/>
              <w:left w:val="nil"/>
              <w:bottom w:val="single" w:sz="4" w:space="0" w:color="auto"/>
              <w:right w:val="nil"/>
            </w:tcBorders>
            <w:shd w:val="clear" w:color="auto" w:fill="auto"/>
            <w:noWrap/>
            <w:vAlign w:val="bottom"/>
            <w:hideMark/>
          </w:tcPr>
          <w:p w14:paraId="0CD6BECD"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2021</w:t>
            </w:r>
          </w:p>
        </w:tc>
        <w:tc>
          <w:tcPr>
            <w:tcW w:w="283" w:type="pct"/>
            <w:tcBorders>
              <w:top w:val="nil"/>
              <w:left w:val="nil"/>
              <w:bottom w:val="single" w:sz="4" w:space="0" w:color="auto"/>
              <w:right w:val="nil"/>
            </w:tcBorders>
            <w:shd w:val="clear" w:color="auto" w:fill="auto"/>
            <w:noWrap/>
            <w:vAlign w:val="bottom"/>
            <w:hideMark/>
          </w:tcPr>
          <w:p w14:paraId="25627001" w14:textId="6316B81D"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%2021</w:t>
            </w:r>
          </w:p>
        </w:tc>
        <w:tc>
          <w:tcPr>
            <w:tcW w:w="618" w:type="pct"/>
            <w:tcBorders>
              <w:top w:val="nil"/>
              <w:left w:val="nil"/>
              <w:bottom w:val="single" w:sz="4" w:space="0" w:color="auto"/>
              <w:right w:val="nil"/>
            </w:tcBorders>
            <w:shd w:val="clear" w:color="auto" w:fill="auto"/>
            <w:noWrap/>
            <w:vAlign w:val="bottom"/>
            <w:hideMark/>
          </w:tcPr>
          <w:p w14:paraId="4C6F8C50"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2022</w:t>
            </w:r>
          </w:p>
        </w:tc>
        <w:tc>
          <w:tcPr>
            <w:tcW w:w="282" w:type="pct"/>
            <w:tcBorders>
              <w:top w:val="nil"/>
              <w:left w:val="nil"/>
              <w:bottom w:val="single" w:sz="4" w:space="0" w:color="auto"/>
              <w:right w:val="nil"/>
            </w:tcBorders>
            <w:shd w:val="clear" w:color="auto" w:fill="auto"/>
            <w:noWrap/>
            <w:vAlign w:val="bottom"/>
            <w:hideMark/>
          </w:tcPr>
          <w:p w14:paraId="6E66AA82" w14:textId="6A4A2F0C"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%2022</w:t>
            </w:r>
          </w:p>
        </w:tc>
      </w:tr>
      <w:tr w:rsidR="00A85DF8" w:rsidRPr="0076589C" w14:paraId="0182CF79" w14:textId="77777777" w:rsidTr="1C8D6E3A">
        <w:trPr>
          <w:trHeight w:val="260"/>
        </w:trPr>
        <w:tc>
          <w:tcPr>
            <w:tcW w:w="1399" w:type="pct"/>
            <w:tcBorders>
              <w:top w:val="nil"/>
              <w:left w:val="nil"/>
              <w:bottom w:val="nil"/>
              <w:right w:val="nil"/>
            </w:tcBorders>
            <w:shd w:val="clear" w:color="auto" w:fill="EDEDED" w:themeFill="accent3" w:themeFillTint="33"/>
            <w:noWrap/>
            <w:vAlign w:val="bottom"/>
            <w:hideMark/>
          </w:tcPr>
          <w:p w14:paraId="15163BA5" w14:textId="77777777" w:rsidR="00A85DF8" w:rsidRPr="0076589C" w:rsidRDefault="1C8D6E3A" w:rsidP="00A85DF8">
            <w:pPr>
              <w:spacing w:after="0" w:line="240" w:lineRule="auto"/>
              <w:ind w:left="0"/>
              <w:rPr>
                <w:rFonts w:ascii="Calibri" w:eastAsia="Times New Roman" w:hAnsi="Calibri" w:cs="Calibri"/>
                <w:b/>
                <w:bCs/>
                <w:color w:val="44546A"/>
                <w:sz w:val="18"/>
                <w:szCs w:val="18"/>
              </w:rPr>
            </w:pPr>
            <w:r w:rsidRPr="0076589C">
              <w:rPr>
                <w:rFonts w:ascii="Calibri" w:eastAsia="Times New Roman" w:hAnsi="Calibri" w:cs="Calibri"/>
                <w:b/>
                <w:bCs/>
                <w:color w:val="44546A" w:themeColor="text2"/>
                <w:sz w:val="18"/>
                <w:szCs w:val="18"/>
              </w:rPr>
              <w:t>Activos</w:t>
            </w:r>
          </w:p>
        </w:tc>
        <w:tc>
          <w:tcPr>
            <w:tcW w:w="618" w:type="pct"/>
            <w:tcBorders>
              <w:top w:val="nil"/>
              <w:left w:val="nil"/>
              <w:bottom w:val="nil"/>
              <w:right w:val="nil"/>
            </w:tcBorders>
            <w:shd w:val="clear" w:color="auto" w:fill="EDEDED" w:themeFill="accent3" w:themeFillTint="33"/>
            <w:noWrap/>
            <w:vAlign w:val="bottom"/>
            <w:hideMark/>
          </w:tcPr>
          <w:p w14:paraId="10FADB39"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c>
          <w:tcPr>
            <w:tcW w:w="283" w:type="pct"/>
            <w:tcBorders>
              <w:top w:val="nil"/>
              <w:left w:val="nil"/>
              <w:bottom w:val="nil"/>
              <w:right w:val="nil"/>
            </w:tcBorders>
            <w:shd w:val="clear" w:color="auto" w:fill="EDEDED" w:themeFill="accent3" w:themeFillTint="33"/>
            <w:noWrap/>
            <w:vAlign w:val="bottom"/>
            <w:hideMark/>
          </w:tcPr>
          <w:p w14:paraId="02B8C89E"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c>
          <w:tcPr>
            <w:tcW w:w="618" w:type="pct"/>
            <w:tcBorders>
              <w:top w:val="nil"/>
              <w:left w:val="nil"/>
              <w:bottom w:val="nil"/>
              <w:right w:val="nil"/>
            </w:tcBorders>
            <w:shd w:val="clear" w:color="auto" w:fill="EDEDED" w:themeFill="accent3" w:themeFillTint="33"/>
            <w:noWrap/>
            <w:vAlign w:val="bottom"/>
            <w:hideMark/>
          </w:tcPr>
          <w:p w14:paraId="05F4FDA4"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c>
          <w:tcPr>
            <w:tcW w:w="283" w:type="pct"/>
            <w:tcBorders>
              <w:top w:val="nil"/>
              <w:left w:val="nil"/>
              <w:bottom w:val="nil"/>
              <w:right w:val="nil"/>
            </w:tcBorders>
            <w:shd w:val="clear" w:color="auto" w:fill="EDEDED" w:themeFill="accent3" w:themeFillTint="33"/>
            <w:noWrap/>
            <w:vAlign w:val="bottom"/>
            <w:hideMark/>
          </w:tcPr>
          <w:p w14:paraId="22B31E73"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c>
          <w:tcPr>
            <w:tcW w:w="618" w:type="pct"/>
            <w:tcBorders>
              <w:top w:val="nil"/>
              <w:left w:val="nil"/>
              <w:bottom w:val="nil"/>
              <w:right w:val="nil"/>
            </w:tcBorders>
            <w:shd w:val="clear" w:color="auto" w:fill="EDEDED" w:themeFill="accent3" w:themeFillTint="33"/>
            <w:noWrap/>
            <w:vAlign w:val="bottom"/>
            <w:hideMark/>
          </w:tcPr>
          <w:p w14:paraId="4CA3F024"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c>
          <w:tcPr>
            <w:tcW w:w="283" w:type="pct"/>
            <w:tcBorders>
              <w:top w:val="nil"/>
              <w:left w:val="nil"/>
              <w:bottom w:val="nil"/>
              <w:right w:val="nil"/>
            </w:tcBorders>
            <w:shd w:val="clear" w:color="auto" w:fill="EDEDED" w:themeFill="accent3" w:themeFillTint="33"/>
            <w:noWrap/>
            <w:vAlign w:val="bottom"/>
            <w:hideMark/>
          </w:tcPr>
          <w:p w14:paraId="484085E2"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c>
          <w:tcPr>
            <w:tcW w:w="618" w:type="pct"/>
            <w:tcBorders>
              <w:top w:val="nil"/>
              <w:left w:val="nil"/>
              <w:bottom w:val="nil"/>
              <w:right w:val="nil"/>
            </w:tcBorders>
            <w:shd w:val="clear" w:color="auto" w:fill="EDEDED" w:themeFill="accent3" w:themeFillTint="33"/>
            <w:noWrap/>
            <w:vAlign w:val="bottom"/>
            <w:hideMark/>
          </w:tcPr>
          <w:p w14:paraId="6E5D075D"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c>
          <w:tcPr>
            <w:tcW w:w="282" w:type="pct"/>
            <w:tcBorders>
              <w:top w:val="nil"/>
              <w:left w:val="nil"/>
              <w:bottom w:val="nil"/>
              <w:right w:val="nil"/>
            </w:tcBorders>
            <w:shd w:val="clear" w:color="auto" w:fill="EDEDED" w:themeFill="accent3" w:themeFillTint="33"/>
            <w:noWrap/>
            <w:vAlign w:val="bottom"/>
            <w:hideMark/>
          </w:tcPr>
          <w:p w14:paraId="01F079F1"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r>
      <w:tr w:rsidR="00A85DF8" w:rsidRPr="0076589C" w14:paraId="7D1EB833" w14:textId="77777777" w:rsidTr="1C8D6E3A">
        <w:trPr>
          <w:trHeight w:val="260"/>
        </w:trPr>
        <w:tc>
          <w:tcPr>
            <w:tcW w:w="1399" w:type="pct"/>
            <w:tcBorders>
              <w:top w:val="nil"/>
              <w:left w:val="nil"/>
              <w:bottom w:val="nil"/>
              <w:right w:val="nil"/>
            </w:tcBorders>
            <w:shd w:val="clear" w:color="auto" w:fill="auto"/>
            <w:noWrap/>
            <w:vAlign w:val="bottom"/>
            <w:hideMark/>
          </w:tcPr>
          <w:p w14:paraId="125DFBED" w14:textId="77777777" w:rsidR="00A85DF8" w:rsidRPr="0076589C" w:rsidRDefault="1C8D6E3A" w:rsidP="00A85DF8">
            <w:pPr>
              <w:spacing w:after="0" w:line="240" w:lineRule="auto"/>
              <w:ind w:left="0" w:firstLineChars="100" w:firstLine="181"/>
              <w:rPr>
                <w:rFonts w:ascii="Calibri" w:eastAsia="Times New Roman" w:hAnsi="Calibri" w:cs="Calibri"/>
                <w:b/>
                <w:bCs/>
                <w:color w:val="000000"/>
                <w:sz w:val="18"/>
                <w:szCs w:val="18"/>
                <w:u w:val="single"/>
              </w:rPr>
            </w:pPr>
            <w:r w:rsidRPr="0076589C">
              <w:rPr>
                <w:rFonts w:ascii="Calibri" w:eastAsia="Times New Roman" w:hAnsi="Calibri" w:cs="Calibri"/>
                <w:b/>
                <w:bCs/>
                <w:color w:val="000000" w:themeColor="text1"/>
                <w:sz w:val="18"/>
                <w:szCs w:val="18"/>
                <w:u w:val="single"/>
              </w:rPr>
              <w:t>Activos Corrientes</w:t>
            </w:r>
          </w:p>
        </w:tc>
        <w:tc>
          <w:tcPr>
            <w:tcW w:w="618" w:type="pct"/>
            <w:tcBorders>
              <w:top w:val="nil"/>
              <w:left w:val="nil"/>
              <w:bottom w:val="nil"/>
              <w:right w:val="nil"/>
            </w:tcBorders>
            <w:shd w:val="clear" w:color="auto" w:fill="auto"/>
            <w:noWrap/>
            <w:vAlign w:val="bottom"/>
            <w:hideMark/>
          </w:tcPr>
          <w:p w14:paraId="3A966897" w14:textId="77777777" w:rsidR="00A85DF8" w:rsidRPr="0076589C" w:rsidRDefault="00A85DF8" w:rsidP="00A85DF8">
            <w:pPr>
              <w:spacing w:after="0" w:line="240" w:lineRule="auto"/>
              <w:ind w:left="0" w:firstLineChars="100" w:firstLine="181"/>
              <w:rPr>
                <w:rFonts w:ascii="Calibri" w:eastAsia="Times New Roman" w:hAnsi="Calibri" w:cs="Calibri"/>
                <w:b/>
                <w:bCs/>
                <w:color w:val="000000"/>
                <w:sz w:val="18"/>
                <w:szCs w:val="18"/>
                <w:u w:val="single"/>
              </w:rPr>
            </w:pPr>
          </w:p>
        </w:tc>
        <w:tc>
          <w:tcPr>
            <w:tcW w:w="283" w:type="pct"/>
            <w:tcBorders>
              <w:top w:val="nil"/>
              <w:left w:val="nil"/>
              <w:bottom w:val="nil"/>
              <w:right w:val="nil"/>
            </w:tcBorders>
            <w:shd w:val="clear" w:color="auto" w:fill="auto"/>
            <w:noWrap/>
            <w:vAlign w:val="bottom"/>
            <w:hideMark/>
          </w:tcPr>
          <w:p w14:paraId="37374A18"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5F225395"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42ED654D"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28542393"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3EE587C2"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0695F0A7" w14:textId="77777777" w:rsidR="00A85DF8" w:rsidRPr="0076589C" w:rsidRDefault="00A85DF8" w:rsidP="00A85DF8">
            <w:pPr>
              <w:spacing w:after="0" w:line="240" w:lineRule="auto"/>
              <w:ind w:left="0"/>
              <w:jc w:val="center"/>
              <w:rPr>
                <w:rFonts w:eastAsia="Times New Roman" w:cs="Times New Roman"/>
                <w:sz w:val="18"/>
                <w:szCs w:val="18"/>
              </w:rPr>
            </w:pPr>
          </w:p>
        </w:tc>
        <w:tc>
          <w:tcPr>
            <w:tcW w:w="282" w:type="pct"/>
            <w:tcBorders>
              <w:top w:val="nil"/>
              <w:left w:val="nil"/>
              <w:bottom w:val="nil"/>
              <w:right w:val="nil"/>
            </w:tcBorders>
            <w:shd w:val="clear" w:color="auto" w:fill="auto"/>
            <w:noWrap/>
            <w:vAlign w:val="bottom"/>
            <w:hideMark/>
          </w:tcPr>
          <w:p w14:paraId="413DDB9C" w14:textId="77777777" w:rsidR="00A85DF8" w:rsidRPr="0076589C" w:rsidRDefault="00A85DF8" w:rsidP="00A85DF8">
            <w:pPr>
              <w:spacing w:after="0" w:line="240" w:lineRule="auto"/>
              <w:ind w:left="0"/>
              <w:rPr>
                <w:rFonts w:eastAsia="Times New Roman" w:cs="Times New Roman"/>
                <w:sz w:val="18"/>
                <w:szCs w:val="18"/>
              </w:rPr>
            </w:pPr>
          </w:p>
        </w:tc>
      </w:tr>
      <w:tr w:rsidR="00A85DF8" w:rsidRPr="0076589C" w14:paraId="47E7B3BB" w14:textId="77777777" w:rsidTr="1C8D6E3A">
        <w:trPr>
          <w:trHeight w:val="260"/>
        </w:trPr>
        <w:tc>
          <w:tcPr>
            <w:tcW w:w="1399" w:type="pct"/>
            <w:tcBorders>
              <w:top w:val="nil"/>
              <w:left w:val="nil"/>
              <w:bottom w:val="nil"/>
              <w:right w:val="nil"/>
            </w:tcBorders>
            <w:shd w:val="clear" w:color="auto" w:fill="auto"/>
            <w:noWrap/>
            <w:vAlign w:val="bottom"/>
            <w:hideMark/>
          </w:tcPr>
          <w:p w14:paraId="1E8D7623" w14:textId="77777777" w:rsidR="00A85DF8" w:rsidRPr="0076589C" w:rsidRDefault="1C8D6E3A" w:rsidP="00A85DF8">
            <w:pPr>
              <w:spacing w:after="0" w:line="240" w:lineRule="auto"/>
              <w:ind w:left="0" w:firstLineChars="200" w:firstLine="36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Caja y Bancos</w:t>
            </w:r>
          </w:p>
        </w:tc>
        <w:tc>
          <w:tcPr>
            <w:tcW w:w="618" w:type="pct"/>
            <w:tcBorders>
              <w:top w:val="nil"/>
              <w:left w:val="nil"/>
              <w:bottom w:val="nil"/>
              <w:right w:val="nil"/>
            </w:tcBorders>
            <w:shd w:val="clear" w:color="auto" w:fill="auto"/>
            <w:noWrap/>
            <w:vAlign w:val="bottom"/>
            <w:hideMark/>
          </w:tcPr>
          <w:p w14:paraId="33F9EF10"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1,841,088.54 </w:t>
            </w:r>
          </w:p>
        </w:tc>
        <w:tc>
          <w:tcPr>
            <w:tcW w:w="283" w:type="pct"/>
            <w:tcBorders>
              <w:top w:val="nil"/>
              <w:left w:val="nil"/>
              <w:bottom w:val="nil"/>
              <w:right w:val="nil"/>
            </w:tcBorders>
            <w:shd w:val="clear" w:color="auto" w:fill="auto"/>
            <w:noWrap/>
            <w:vAlign w:val="bottom"/>
            <w:hideMark/>
          </w:tcPr>
          <w:p w14:paraId="16550431"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10%</w:t>
            </w:r>
          </w:p>
        </w:tc>
        <w:tc>
          <w:tcPr>
            <w:tcW w:w="618" w:type="pct"/>
            <w:tcBorders>
              <w:top w:val="nil"/>
              <w:left w:val="nil"/>
              <w:bottom w:val="nil"/>
              <w:right w:val="nil"/>
            </w:tcBorders>
            <w:shd w:val="clear" w:color="auto" w:fill="auto"/>
            <w:noWrap/>
            <w:vAlign w:val="bottom"/>
            <w:hideMark/>
          </w:tcPr>
          <w:p w14:paraId="568E9B4C"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1,706,277.38 </w:t>
            </w:r>
          </w:p>
        </w:tc>
        <w:tc>
          <w:tcPr>
            <w:tcW w:w="283" w:type="pct"/>
            <w:tcBorders>
              <w:top w:val="nil"/>
              <w:left w:val="nil"/>
              <w:bottom w:val="nil"/>
              <w:right w:val="nil"/>
            </w:tcBorders>
            <w:shd w:val="clear" w:color="auto" w:fill="auto"/>
            <w:noWrap/>
            <w:vAlign w:val="bottom"/>
            <w:hideMark/>
          </w:tcPr>
          <w:p w14:paraId="37E8A819"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9%</w:t>
            </w:r>
          </w:p>
        </w:tc>
        <w:tc>
          <w:tcPr>
            <w:tcW w:w="618" w:type="pct"/>
            <w:tcBorders>
              <w:top w:val="nil"/>
              <w:left w:val="nil"/>
              <w:bottom w:val="nil"/>
              <w:right w:val="nil"/>
            </w:tcBorders>
            <w:shd w:val="clear" w:color="auto" w:fill="auto"/>
            <w:noWrap/>
            <w:vAlign w:val="bottom"/>
            <w:hideMark/>
          </w:tcPr>
          <w:p w14:paraId="738599BA"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2,193,695.65 </w:t>
            </w:r>
          </w:p>
        </w:tc>
        <w:tc>
          <w:tcPr>
            <w:tcW w:w="283" w:type="pct"/>
            <w:tcBorders>
              <w:top w:val="nil"/>
              <w:left w:val="nil"/>
              <w:bottom w:val="nil"/>
              <w:right w:val="nil"/>
            </w:tcBorders>
            <w:shd w:val="clear" w:color="auto" w:fill="auto"/>
            <w:noWrap/>
            <w:vAlign w:val="bottom"/>
            <w:hideMark/>
          </w:tcPr>
          <w:p w14:paraId="67675BD2"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10%</w:t>
            </w:r>
          </w:p>
        </w:tc>
        <w:tc>
          <w:tcPr>
            <w:tcW w:w="618" w:type="pct"/>
            <w:tcBorders>
              <w:top w:val="nil"/>
              <w:left w:val="nil"/>
              <w:bottom w:val="nil"/>
              <w:right w:val="nil"/>
            </w:tcBorders>
            <w:shd w:val="clear" w:color="auto" w:fill="auto"/>
            <w:noWrap/>
            <w:vAlign w:val="bottom"/>
            <w:hideMark/>
          </w:tcPr>
          <w:p w14:paraId="033A6CD2"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4,326,956.16 </w:t>
            </w:r>
          </w:p>
        </w:tc>
        <w:tc>
          <w:tcPr>
            <w:tcW w:w="282" w:type="pct"/>
            <w:tcBorders>
              <w:top w:val="nil"/>
              <w:left w:val="nil"/>
              <w:bottom w:val="nil"/>
              <w:right w:val="nil"/>
            </w:tcBorders>
            <w:shd w:val="clear" w:color="auto" w:fill="auto"/>
            <w:noWrap/>
            <w:vAlign w:val="bottom"/>
            <w:hideMark/>
          </w:tcPr>
          <w:p w14:paraId="736D6C7C"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18%</w:t>
            </w:r>
          </w:p>
        </w:tc>
      </w:tr>
      <w:tr w:rsidR="00A85DF8" w:rsidRPr="0076589C" w14:paraId="0FE7179F" w14:textId="77777777" w:rsidTr="1C8D6E3A">
        <w:trPr>
          <w:trHeight w:val="260"/>
        </w:trPr>
        <w:tc>
          <w:tcPr>
            <w:tcW w:w="1399" w:type="pct"/>
            <w:tcBorders>
              <w:top w:val="nil"/>
              <w:left w:val="nil"/>
              <w:bottom w:val="nil"/>
              <w:right w:val="nil"/>
            </w:tcBorders>
            <w:shd w:val="clear" w:color="auto" w:fill="auto"/>
            <w:noWrap/>
            <w:vAlign w:val="bottom"/>
            <w:hideMark/>
          </w:tcPr>
          <w:p w14:paraId="1EE6DFE2" w14:textId="77777777" w:rsidR="00A85DF8" w:rsidRPr="0076589C" w:rsidRDefault="1C8D6E3A" w:rsidP="00A85DF8">
            <w:pPr>
              <w:spacing w:after="0" w:line="240" w:lineRule="auto"/>
              <w:ind w:left="0" w:firstLineChars="200" w:firstLine="36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Clientes</w:t>
            </w:r>
          </w:p>
        </w:tc>
        <w:tc>
          <w:tcPr>
            <w:tcW w:w="618" w:type="pct"/>
            <w:tcBorders>
              <w:top w:val="nil"/>
              <w:left w:val="nil"/>
              <w:bottom w:val="nil"/>
              <w:right w:val="nil"/>
            </w:tcBorders>
            <w:shd w:val="clear" w:color="auto" w:fill="auto"/>
            <w:noWrap/>
            <w:vAlign w:val="bottom"/>
            <w:hideMark/>
          </w:tcPr>
          <w:p w14:paraId="1A279781"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11,548,799.61 </w:t>
            </w:r>
          </w:p>
        </w:tc>
        <w:tc>
          <w:tcPr>
            <w:tcW w:w="283" w:type="pct"/>
            <w:tcBorders>
              <w:top w:val="nil"/>
              <w:left w:val="nil"/>
              <w:bottom w:val="nil"/>
              <w:right w:val="nil"/>
            </w:tcBorders>
            <w:shd w:val="clear" w:color="auto" w:fill="auto"/>
            <w:noWrap/>
            <w:vAlign w:val="bottom"/>
            <w:hideMark/>
          </w:tcPr>
          <w:p w14:paraId="7BEBDE64"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61%</w:t>
            </w:r>
          </w:p>
        </w:tc>
        <w:tc>
          <w:tcPr>
            <w:tcW w:w="618" w:type="pct"/>
            <w:tcBorders>
              <w:top w:val="nil"/>
              <w:left w:val="nil"/>
              <w:bottom w:val="nil"/>
              <w:right w:val="nil"/>
            </w:tcBorders>
            <w:shd w:val="clear" w:color="auto" w:fill="auto"/>
            <w:noWrap/>
            <w:vAlign w:val="bottom"/>
            <w:hideMark/>
          </w:tcPr>
          <w:p w14:paraId="22BF9AD1"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11,385,610.59 </w:t>
            </w:r>
          </w:p>
        </w:tc>
        <w:tc>
          <w:tcPr>
            <w:tcW w:w="283" w:type="pct"/>
            <w:tcBorders>
              <w:top w:val="nil"/>
              <w:left w:val="nil"/>
              <w:bottom w:val="nil"/>
              <w:right w:val="nil"/>
            </w:tcBorders>
            <w:shd w:val="clear" w:color="auto" w:fill="auto"/>
            <w:noWrap/>
            <w:vAlign w:val="bottom"/>
            <w:hideMark/>
          </w:tcPr>
          <w:p w14:paraId="2BA2FA66"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60%</w:t>
            </w:r>
          </w:p>
        </w:tc>
        <w:tc>
          <w:tcPr>
            <w:tcW w:w="618" w:type="pct"/>
            <w:tcBorders>
              <w:top w:val="nil"/>
              <w:left w:val="nil"/>
              <w:bottom w:val="nil"/>
              <w:right w:val="nil"/>
            </w:tcBorders>
            <w:shd w:val="clear" w:color="auto" w:fill="auto"/>
            <w:noWrap/>
            <w:vAlign w:val="bottom"/>
            <w:hideMark/>
          </w:tcPr>
          <w:p w14:paraId="266CF6EB"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6,185,140.95 </w:t>
            </w:r>
          </w:p>
        </w:tc>
        <w:tc>
          <w:tcPr>
            <w:tcW w:w="283" w:type="pct"/>
            <w:tcBorders>
              <w:top w:val="nil"/>
              <w:left w:val="nil"/>
              <w:bottom w:val="nil"/>
              <w:right w:val="nil"/>
            </w:tcBorders>
            <w:shd w:val="clear" w:color="auto" w:fill="auto"/>
            <w:noWrap/>
            <w:vAlign w:val="bottom"/>
            <w:hideMark/>
          </w:tcPr>
          <w:p w14:paraId="3D49635F"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29%</w:t>
            </w:r>
          </w:p>
        </w:tc>
        <w:tc>
          <w:tcPr>
            <w:tcW w:w="618" w:type="pct"/>
            <w:tcBorders>
              <w:top w:val="nil"/>
              <w:left w:val="nil"/>
              <w:bottom w:val="nil"/>
              <w:right w:val="nil"/>
            </w:tcBorders>
            <w:shd w:val="clear" w:color="auto" w:fill="auto"/>
            <w:noWrap/>
            <w:vAlign w:val="bottom"/>
            <w:hideMark/>
          </w:tcPr>
          <w:p w14:paraId="437610B9"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6,783,810.31 </w:t>
            </w:r>
          </w:p>
        </w:tc>
        <w:tc>
          <w:tcPr>
            <w:tcW w:w="282" w:type="pct"/>
            <w:tcBorders>
              <w:top w:val="nil"/>
              <w:left w:val="nil"/>
              <w:bottom w:val="nil"/>
              <w:right w:val="nil"/>
            </w:tcBorders>
            <w:shd w:val="clear" w:color="auto" w:fill="auto"/>
            <w:noWrap/>
            <w:vAlign w:val="bottom"/>
            <w:hideMark/>
          </w:tcPr>
          <w:p w14:paraId="236C618D"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28%</w:t>
            </w:r>
          </w:p>
        </w:tc>
      </w:tr>
      <w:tr w:rsidR="00A85DF8" w:rsidRPr="0076589C" w14:paraId="4EF7C51C" w14:textId="77777777" w:rsidTr="1C8D6E3A">
        <w:trPr>
          <w:trHeight w:val="260"/>
        </w:trPr>
        <w:tc>
          <w:tcPr>
            <w:tcW w:w="1399" w:type="pct"/>
            <w:tcBorders>
              <w:top w:val="nil"/>
              <w:left w:val="nil"/>
              <w:bottom w:val="nil"/>
              <w:right w:val="nil"/>
            </w:tcBorders>
            <w:shd w:val="clear" w:color="auto" w:fill="auto"/>
            <w:noWrap/>
            <w:vAlign w:val="bottom"/>
            <w:hideMark/>
          </w:tcPr>
          <w:p w14:paraId="2F81E77C" w14:textId="77777777" w:rsidR="00A85DF8" w:rsidRPr="0076589C" w:rsidRDefault="1C8D6E3A" w:rsidP="00A85DF8">
            <w:pPr>
              <w:spacing w:after="0" w:line="240" w:lineRule="auto"/>
              <w:ind w:left="0" w:firstLineChars="200" w:firstLine="36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Amortización Ctas. Incobrables</w:t>
            </w:r>
          </w:p>
        </w:tc>
        <w:tc>
          <w:tcPr>
            <w:tcW w:w="618" w:type="pct"/>
            <w:tcBorders>
              <w:top w:val="nil"/>
              <w:left w:val="nil"/>
              <w:bottom w:val="nil"/>
              <w:right w:val="nil"/>
            </w:tcBorders>
            <w:shd w:val="clear" w:color="auto" w:fill="auto"/>
            <w:noWrap/>
            <w:vAlign w:val="bottom"/>
            <w:hideMark/>
          </w:tcPr>
          <w:p w14:paraId="259A46C8"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-L       1,154,879.96 </w:t>
            </w:r>
          </w:p>
        </w:tc>
        <w:tc>
          <w:tcPr>
            <w:tcW w:w="283" w:type="pct"/>
            <w:tcBorders>
              <w:top w:val="nil"/>
              <w:left w:val="nil"/>
              <w:bottom w:val="nil"/>
              <w:right w:val="nil"/>
            </w:tcBorders>
            <w:shd w:val="clear" w:color="auto" w:fill="auto"/>
            <w:noWrap/>
            <w:vAlign w:val="bottom"/>
            <w:hideMark/>
          </w:tcPr>
          <w:p w14:paraId="2A9A2C1E"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-6%</w:t>
            </w:r>
          </w:p>
        </w:tc>
        <w:tc>
          <w:tcPr>
            <w:tcW w:w="618" w:type="pct"/>
            <w:tcBorders>
              <w:top w:val="nil"/>
              <w:left w:val="nil"/>
              <w:bottom w:val="nil"/>
              <w:right w:val="nil"/>
            </w:tcBorders>
            <w:shd w:val="clear" w:color="auto" w:fill="auto"/>
            <w:noWrap/>
            <w:vAlign w:val="bottom"/>
            <w:hideMark/>
          </w:tcPr>
          <w:p w14:paraId="779B3CFB"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-L       1,138,561.06 </w:t>
            </w:r>
          </w:p>
        </w:tc>
        <w:tc>
          <w:tcPr>
            <w:tcW w:w="283" w:type="pct"/>
            <w:tcBorders>
              <w:top w:val="nil"/>
              <w:left w:val="nil"/>
              <w:bottom w:val="nil"/>
              <w:right w:val="nil"/>
            </w:tcBorders>
            <w:shd w:val="clear" w:color="auto" w:fill="auto"/>
            <w:noWrap/>
            <w:vAlign w:val="bottom"/>
            <w:hideMark/>
          </w:tcPr>
          <w:p w14:paraId="197F7155"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-6%</w:t>
            </w:r>
          </w:p>
        </w:tc>
        <w:tc>
          <w:tcPr>
            <w:tcW w:w="618" w:type="pct"/>
            <w:tcBorders>
              <w:top w:val="nil"/>
              <w:left w:val="nil"/>
              <w:bottom w:val="nil"/>
              <w:right w:val="nil"/>
            </w:tcBorders>
            <w:shd w:val="clear" w:color="auto" w:fill="auto"/>
            <w:noWrap/>
            <w:vAlign w:val="bottom"/>
            <w:hideMark/>
          </w:tcPr>
          <w:p w14:paraId="492B7F01"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-L          618,514.09 </w:t>
            </w:r>
          </w:p>
        </w:tc>
        <w:tc>
          <w:tcPr>
            <w:tcW w:w="283" w:type="pct"/>
            <w:tcBorders>
              <w:top w:val="nil"/>
              <w:left w:val="nil"/>
              <w:bottom w:val="nil"/>
              <w:right w:val="nil"/>
            </w:tcBorders>
            <w:shd w:val="clear" w:color="auto" w:fill="auto"/>
            <w:noWrap/>
            <w:vAlign w:val="bottom"/>
            <w:hideMark/>
          </w:tcPr>
          <w:p w14:paraId="24B41AE3"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-3%</w:t>
            </w:r>
          </w:p>
        </w:tc>
        <w:tc>
          <w:tcPr>
            <w:tcW w:w="618" w:type="pct"/>
            <w:tcBorders>
              <w:top w:val="nil"/>
              <w:left w:val="nil"/>
              <w:bottom w:val="nil"/>
              <w:right w:val="nil"/>
            </w:tcBorders>
            <w:shd w:val="clear" w:color="auto" w:fill="auto"/>
            <w:noWrap/>
            <w:vAlign w:val="bottom"/>
            <w:hideMark/>
          </w:tcPr>
          <w:p w14:paraId="2C7841EB"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-L          678,381.03 </w:t>
            </w:r>
          </w:p>
        </w:tc>
        <w:tc>
          <w:tcPr>
            <w:tcW w:w="282" w:type="pct"/>
            <w:tcBorders>
              <w:top w:val="nil"/>
              <w:left w:val="nil"/>
              <w:bottom w:val="nil"/>
              <w:right w:val="nil"/>
            </w:tcBorders>
            <w:shd w:val="clear" w:color="auto" w:fill="auto"/>
            <w:noWrap/>
            <w:vAlign w:val="bottom"/>
            <w:hideMark/>
          </w:tcPr>
          <w:p w14:paraId="1C85AAD7"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-3%</w:t>
            </w:r>
          </w:p>
        </w:tc>
      </w:tr>
      <w:tr w:rsidR="00A85DF8" w:rsidRPr="0076589C" w14:paraId="4C8F26FF" w14:textId="77777777" w:rsidTr="1C8D6E3A">
        <w:trPr>
          <w:trHeight w:val="260"/>
        </w:trPr>
        <w:tc>
          <w:tcPr>
            <w:tcW w:w="1399" w:type="pct"/>
            <w:tcBorders>
              <w:top w:val="nil"/>
              <w:left w:val="nil"/>
              <w:bottom w:val="nil"/>
              <w:right w:val="nil"/>
            </w:tcBorders>
            <w:shd w:val="clear" w:color="auto" w:fill="auto"/>
            <w:noWrap/>
            <w:vAlign w:val="bottom"/>
            <w:hideMark/>
          </w:tcPr>
          <w:p w14:paraId="12519632" w14:textId="77777777" w:rsidR="00A85DF8" w:rsidRPr="0076589C" w:rsidRDefault="1C8D6E3A" w:rsidP="00A85DF8">
            <w:pPr>
              <w:spacing w:after="0" w:line="240" w:lineRule="auto"/>
              <w:ind w:left="0" w:firstLineChars="200" w:firstLine="36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Inventarios</w:t>
            </w:r>
          </w:p>
        </w:tc>
        <w:tc>
          <w:tcPr>
            <w:tcW w:w="618" w:type="pct"/>
            <w:tcBorders>
              <w:top w:val="nil"/>
              <w:left w:val="nil"/>
              <w:bottom w:val="nil"/>
              <w:right w:val="nil"/>
            </w:tcBorders>
            <w:shd w:val="clear" w:color="auto" w:fill="auto"/>
            <w:noWrap/>
            <w:vAlign w:val="bottom"/>
            <w:hideMark/>
          </w:tcPr>
          <w:p w14:paraId="5EFBB987"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2,462,956.01 </w:t>
            </w:r>
          </w:p>
        </w:tc>
        <w:tc>
          <w:tcPr>
            <w:tcW w:w="283" w:type="pct"/>
            <w:tcBorders>
              <w:top w:val="nil"/>
              <w:left w:val="nil"/>
              <w:bottom w:val="nil"/>
              <w:right w:val="nil"/>
            </w:tcBorders>
            <w:shd w:val="clear" w:color="auto" w:fill="auto"/>
            <w:noWrap/>
            <w:vAlign w:val="bottom"/>
            <w:hideMark/>
          </w:tcPr>
          <w:p w14:paraId="7A09672D"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13%</w:t>
            </w:r>
          </w:p>
        </w:tc>
        <w:tc>
          <w:tcPr>
            <w:tcW w:w="618" w:type="pct"/>
            <w:tcBorders>
              <w:top w:val="nil"/>
              <w:left w:val="nil"/>
              <w:bottom w:val="nil"/>
              <w:right w:val="nil"/>
            </w:tcBorders>
            <w:shd w:val="clear" w:color="auto" w:fill="auto"/>
            <w:noWrap/>
            <w:vAlign w:val="bottom"/>
            <w:hideMark/>
          </w:tcPr>
          <w:p w14:paraId="55C82235"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2,485,473.87 </w:t>
            </w:r>
          </w:p>
        </w:tc>
        <w:tc>
          <w:tcPr>
            <w:tcW w:w="283" w:type="pct"/>
            <w:tcBorders>
              <w:top w:val="nil"/>
              <w:left w:val="nil"/>
              <w:bottom w:val="nil"/>
              <w:right w:val="nil"/>
            </w:tcBorders>
            <w:shd w:val="clear" w:color="auto" w:fill="auto"/>
            <w:noWrap/>
            <w:vAlign w:val="bottom"/>
            <w:hideMark/>
          </w:tcPr>
          <w:p w14:paraId="79D524A4"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13%</w:t>
            </w:r>
          </w:p>
        </w:tc>
        <w:tc>
          <w:tcPr>
            <w:tcW w:w="618" w:type="pct"/>
            <w:tcBorders>
              <w:top w:val="nil"/>
              <w:left w:val="nil"/>
              <w:bottom w:val="nil"/>
              <w:right w:val="nil"/>
            </w:tcBorders>
            <w:shd w:val="clear" w:color="auto" w:fill="auto"/>
            <w:noWrap/>
            <w:vAlign w:val="bottom"/>
            <w:hideMark/>
          </w:tcPr>
          <w:p w14:paraId="00EB9C2C"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9,161,218.79 </w:t>
            </w:r>
          </w:p>
        </w:tc>
        <w:tc>
          <w:tcPr>
            <w:tcW w:w="283" w:type="pct"/>
            <w:tcBorders>
              <w:top w:val="nil"/>
              <w:left w:val="nil"/>
              <w:bottom w:val="nil"/>
              <w:right w:val="nil"/>
            </w:tcBorders>
            <w:shd w:val="clear" w:color="auto" w:fill="auto"/>
            <w:noWrap/>
            <w:vAlign w:val="bottom"/>
            <w:hideMark/>
          </w:tcPr>
          <w:p w14:paraId="69D2E95F"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43%</w:t>
            </w:r>
          </w:p>
        </w:tc>
        <w:tc>
          <w:tcPr>
            <w:tcW w:w="618" w:type="pct"/>
            <w:tcBorders>
              <w:top w:val="nil"/>
              <w:left w:val="nil"/>
              <w:bottom w:val="nil"/>
              <w:right w:val="nil"/>
            </w:tcBorders>
            <w:shd w:val="clear" w:color="auto" w:fill="auto"/>
            <w:noWrap/>
            <w:vAlign w:val="bottom"/>
            <w:hideMark/>
          </w:tcPr>
          <w:p w14:paraId="5B4FD3DA"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9,802,693.83 </w:t>
            </w:r>
          </w:p>
        </w:tc>
        <w:tc>
          <w:tcPr>
            <w:tcW w:w="282" w:type="pct"/>
            <w:tcBorders>
              <w:top w:val="nil"/>
              <w:left w:val="nil"/>
              <w:bottom w:val="nil"/>
              <w:right w:val="nil"/>
            </w:tcBorders>
            <w:shd w:val="clear" w:color="auto" w:fill="auto"/>
            <w:noWrap/>
            <w:vAlign w:val="bottom"/>
            <w:hideMark/>
          </w:tcPr>
          <w:p w14:paraId="207F3E8B"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40%</w:t>
            </w:r>
          </w:p>
        </w:tc>
      </w:tr>
      <w:tr w:rsidR="00A85DF8" w:rsidRPr="0076589C" w14:paraId="00B5D139" w14:textId="77777777" w:rsidTr="1C8D6E3A">
        <w:trPr>
          <w:trHeight w:val="270"/>
        </w:trPr>
        <w:tc>
          <w:tcPr>
            <w:tcW w:w="1399" w:type="pct"/>
            <w:tcBorders>
              <w:top w:val="nil"/>
              <w:left w:val="nil"/>
              <w:bottom w:val="double" w:sz="6" w:space="0" w:color="auto"/>
              <w:right w:val="nil"/>
            </w:tcBorders>
            <w:shd w:val="clear" w:color="auto" w:fill="auto"/>
            <w:noWrap/>
            <w:vAlign w:val="bottom"/>
            <w:hideMark/>
          </w:tcPr>
          <w:p w14:paraId="2AD7EFF0" w14:textId="77777777" w:rsidR="00A85DF8" w:rsidRPr="0076589C" w:rsidRDefault="1C8D6E3A" w:rsidP="00A85DF8">
            <w:pPr>
              <w:spacing w:after="0" w:line="240" w:lineRule="auto"/>
              <w:ind w:left="0" w:firstLineChars="200" w:firstLine="36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Impuestos pagados por anticipado</w:t>
            </w:r>
          </w:p>
        </w:tc>
        <w:tc>
          <w:tcPr>
            <w:tcW w:w="618" w:type="pct"/>
            <w:tcBorders>
              <w:top w:val="nil"/>
              <w:left w:val="nil"/>
              <w:bottom w:val="double" w:sz="6" w:space="0" w:color="auto"/>
              <w:right w:val="nil"/>
            </w:tcBorders>
            <w:shd w:val="clear" w:color="auto" w:fill="auto"/>
            <w:noWrap/>
            <w:vAlign w:val="bottom"/>
            <w:hideMark/>
          </w:tcPr>
          <w:p w14:paraId="391C81DC"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 </w:t>
            </w:r>
          </w:p>
        </w:tc>
        <w:tc>
          <w:tcPr>
            <w:tcW w:w="283" w:type="pct"/>
            <w:tcBorders>
              <w:top w:val="nil"/>
              <w:left w:val="nil"/>
              <w:bottom w:val="double" w:sz="6" w:space="0" w:color="auto"/>
              <w:right w:val="nil"/>
            </w:tcBorders>
            <w:shd w:val="clear" w:color="auto" w:fill="auto"/>
            <w:noWrap/>
            <w:vAlign w:val="bottom"/>
            <w:hideMark/>
          </w:tcPr>
          <w:p w14:paraId="15AEAD31"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0%</w:t>
            </w:r>
          </w:p>
        </w:tc>
        <w:tc>
          <w:tcPr>
            <w:tcW w:w="618" w:type="pct"/>
            <w:tcBorders>
              <w:top w:val="nil"/>
              <w:left w:val="nil"/>
              <w:bottom w:val="double" w:sz="6" w:space="0" w:color="auto"/>
              <w:right w:val="nil"/>
            </w:tcBorders>
            <w:shd w:val="clear" w:color="auto" w:fill="auto"/>
            <w:noWrap/>
            <w:vAlign w:val="bottom"/>
            <w:hideMark/>
          </w:tcPr>
          <w:p w14:paraId="6936E33A"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116,572.86 </w:t>
            </w:r>
          </w:p>
        </w:tc>
        <w:tc>
          <w:tcPr>
            <w:tcW w:w="283" w:type="pct"/>
            <w:tcBorders>
              <w:top w:val="nil"/>
              <w:left w:val="nil"/>
              <w:bottom w:val="double" w:sz="6" w:space="0" w:color="auto"/>
              <w:right w:val="nil"/>
            </w:tcBorders>
            <w:shd w:val="clear" w:color="auto" w:fill="auto"/>
            <w:noWrap/>
            <w:vAlign w:val="bottom"/>
            <w:hideMark/>
          </w:tcPr>
          <w:p w14:paraId="79B80B46"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w:t>
            </w:r>
          </w:p>
        </w:tc>
        <w:tc>
          <w:tcPr>
            <w:tcW w:w="618" w:type="pct"/>
            <w:tcBorders>
              <w:top w:val="nil"/>
              <w:left w:val="nil"/>
              <w:bottom w:val="double" w:sz="6" w:space="0" w:color="auto"/>
              <w:right w:val="nil"/>
            </w:tcBorders>
            <w:shd w:val="clear" w:color="auto" w:fill="auto"/>
            <w:noWrap/>
            <w:vAlign w:val="bottom"/>
            <w:hideMark/>
          </w:tcPr>
          <w:p w14:paraId="24956927"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   </w:t>
            </w:r>
          </w:p>
        </w:tc>
        <w:tc>
          <w:tcPr>
            <w:tcW w:w="283" w:type="pct"/>
            <w:tcBorders>
              <w:top w:val="nil"/>
              <w:left w:val="nil"/>
              <w:bottom w:val="double" w:sz="6" w:space="0" w:color="auto"/>
              <w:right w:val="nil"/>
            </w:tcBorders>
            <w:shd w:val="clear" w:color="auto" w:fill="auto"/>
            <w:noWrap/>
            <w:vAlign w:val="bottom"/>
            <w:hideMark/>
          </w:tcPr>
          <w:p w14:paraId="12EFC63A"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0%</w:t>
            </w:r>
          </w:p>
        </w:tc>
        <w:tc>
          <w:tcPr>
            <w:tcW w:w="618" w:type="pct"/>
            <w:tcBorders>
              <w:top w:val="nil"/>
              <w:left w:val="nil"/>
              <w:bottom w:val="double" w:sz="6" w:space="0" w:color="auto"/>
              <w:right w:val="nil"/>
            </w:tcBorders>
            <w:shd w:val="clear" w:color="auto" w:fill="auto"/>
            <w:noWrap/>
            <w:vAlign w:val="bottom"/>
            <w:hideMark/>
          </w:tcPr>
          <w:p w14:paraId="1394565F"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   </w:t>
            </w:r>
          </w:p>
        </w:tc>
        <w:tc>
          <w:tcPr>
            <w:tcW w:w="282" w:type="pct"/>
            <w:tcBorders>
              <w:top w:val="nil"/>
              <w:left w:val="nil"/>
              <w:bottom w:val="double" w:sz="6" w:space="0" w:color="auto"/>
              <w:right w:val="nil"/>
            </w:tcBorders>
            <w:shd w:val="clear" w:color="auto" w:fill="auto"/>
            <w:noWrap/>
            <w:vAlign w:val="bottom"/>
            <w:hideMark/>
          </w:tcPr>
          <w:p w14:paraId="3CC22FF0"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0%</w:t>
            </w:r>
          </w:p>
        </w:tc>
      </w:tr>
      <w:tr w:rsidR="00A85DF8" w:rsidRPr="0076589C" w14:paraId="694A8E0C" w14:textId="77777777" w:rsidTr="1C8D6E3A">
        <w:trPr>
          <w:trHeight w:val="270"/>
        </w:trPr>
        <w:tc>
          <w:tcPr>
            <w:tcW w:w="1399" w:type="pct"/>
            <w:tcBorders>
              <w:top w:val="nil"/>
              <w:left w:val="nil"/>
              <w:bottom w:val="single" w:sz="4" w:space="0" w:color="auto"/>
              <w:right w:val="nil"/>
            </w:tcBorders>
            <w:shd w:val="clear" w:color="auto" w:fill="auto"/>
            <w:noWrap/>
            <w:vAlign w:val="bottom"/>
            <w:hideMark/>
          </w:tcPr>
          <w:p w14:paraId="5A2832AD" w14:textId="77777777" w:rsidR="00A85DF8" w:rsidRPr="0076589C" w:rsidRDefault="1C8D6E3A" w:rsidP="00A85DF8">
            <w:pPr>
              <w:spacing w:after="0" w:line="240" w:lineRule="auto"/>
              <w:ind w:left="0" w:firstLineChars="100" w:firstLine="181"/>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Total Activos Corrientes</w:t>
            </w:r>
          </w:p>
        </w:tc>
        <w:tc>
          <w:tcPr>
            <w:tcW w:w="618" w:type="pct"/>
            <w:tcBorders>
              <w:top w:val="nil"/>
              <w:left w:val="nil"/>
              <w:bottom w:val="single" w:sz="4" w:space="0" w:color="auto"/>
              <w:right w:val="nil"/>
            </w:tcBorders>
            <w:shd w:val="clear" w:color="auto" w:fill="auto"/>
            <w:noWrap/>
            <w:vAlign w:val="bottom"/>
            <w:hideMark/>
          </w:tcPr>
          <w:p w14:paraId="532CEED0"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14,697,964.20 </w:t>
            </w:r>
          </w:p>
        </w:tc>
        <w:tc>
          <w:tcPr>
            <w:tcW w:w="283" w:type="pct"/>
            <w:tcBorders>
              <w:top w:val="nil"/>
              <w:left w:val="nil"/>
              <w:bottom w:val="single" w:sz="4" w:space="0" w:color="auto"/>
              <w:right w:val="nil"/>
            </w:tcBorders>
            <w:shd w:val="clear" w:color="auto" w:fill="C9E1EF"/>
            <w:noWrap/>
            <w:vAlign w:val="bottom"/>
            <w:hideMark/>
          </w:tcPr>
          <w:p w14:paraId="7DD2904E"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77%</w:t>
            </w:r>
          </w:p>
        </w:tc>
        <w:tc>
          <w:tcPr>
            <w:tcW w:w="618" w:type="pct"/>
            <w:tcBorders>
              <w:top w:val="nil"/>
              <w:left w:val="nil"/>
              <w:bottom w:val="single" w:sz="4" w:space="0" w:color="auto"/>
              <w:right w:val="nil"/>
            </w:tcBorders>
            <w:shd w:val="clear" w:color="auto" w:fill="auto"/>
            <w:noWrap/>
            <w:vAlign w:val="bottom"/>
            <w:hideMark/>
          </w:tcPr>
          <w:p w14:paraId="11F6EC03"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14,555,373.64 </w:t>
            </w:r>
          </w:p>
        </w:tc>
        <w:tc>
          <w:tcPr>
            <w:tcW w:w="283" w:type="pct"/>
            <w:tcBorders>
              <w:top w:val="nil"/>
              <w:left w:val="nil"/>
              <w:bottom w:val="single" w:sz="4" w:space="0" w:color="auto"/>
              <w:right w:val="nil"/>
            </w:tcBorders>
            <w:shd w:val="clear" w:color="auto" w:fill="C9E1EF"/>
            <w:noWrap/>
            <w:vAlign w:val="bottom"/>
            <w:hideMark/>
          </w:tcPr>
          <w:p w14:paraId="48C8E351"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76%</w:t>
            </w:r>
          </w:p>
        </w:tc>
        <w:tc>
          <w:tcPr>
            <w:tcW w:w="618" w:type="pct"/>
            <w:tcBorders>
              <w:top w:val="nil"/>
              <w:left w:val="nil"/>
              <w:bottom w:val="single" w:sz="4" w:space="0" w:color="auto"/>
              <w:right w:val="nil"/>
            </w:tcBorders>
            <w:shd w:val="clear" w:color="auto" w:fill="auto"/>
            <w:noWrap/>
            <w:vAlign w:val="bottom"/>
            <w:hideMark/>
          </w:tcPr>
          <w:p w14:paraId="5DC5650E"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16,921,541.30 </w:t>
            </w:r>
          </w:p>
        </w:tc>
        <w:tc>
          <w:tcPr>
            <w:tcW w:w="283" w:type="pct"/>
            <w:tcBorders>
              <w:top w:val="nil"/>
              <w:left w:val="nil"/>
              <w:bottom w:val="single" w:sz="4" w:space="0" w:color="auto"/>
              <w:right w:val="nil"/>
            </w:tcBorders>
            <w:shd w:val="clear" w:color="auto" w:fill="C9E1EF"/>
            <w:noWrap/>
            <w:vAlign w:val="bottom"/>
            <w:hideMark/>
          </w:tcPr>
          <w:p w14:paraId="78C2A0A0"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79%</w:t>
            </w:r>
          </w:p>
        </w:tc>
        <w:tc>
          <w:tcPr>
            <w:tcW w:w="618" w:type="pct"/>
            <w:tcBorders>
              <w:top w:val="nil"/>
              <w:left w:val="nil"/>
              <w:bottom w:val="single" w:sz="4" w:space="0" w:color="auto"/>
              <w:right w:val="nil"/>
            </w:tcBorders>
            <w:shd w:val="clear" w:color="auto" w:fill="auto"/>
            <w:noWrap/>
            <w:vAlign w:val="bottom"/>
            <w:hideMark/>
          </w:tcPr>
          <w:p w14:paraId="5D991275"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20,235,079.27 </w:t>
            </w:r>
          </w:p>
        </w:tc>
        <w:tc>
          <w:tcPr>
            <w:tcW w:w="282" w:type="pct"/>
            <w:tcBorders>
              <w:top w:val="nil"/>
              <w:left w:val="nil"/>
              <w:bottom w:val="single" w:sz="4" w:space="0" w:color="auto"/>
              <w:right w:val="nil"/>
            </w:tcBorders>
            <w:shd w:val="clear" w:color="auto" w:fill="C9E1EF"/>
            <w:noWrap/>
            <w:vAlign w:val="bottom"/>
            <w:hideMark/>
          </w:tcPr>
          <w:p w14:paraId="546607EA"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83%</w:t>
            </w:r>
          </w:p>
        </w:tc>
      </w:tr>
      <w:tr w:rsidR="00A85DF8" w:rsidRPr="0076589C" w14:paraId="47ABE8E6" w14:textId="77777777" w:rsidTr="1C8D6E3A">
        <w:trPr>
          <w:trHeight w:val="260"/>
        </w:trPr>
        <w:tc>
          <w:tcPr>
            <w:tcW w:w="1399" w:type="pct"/>
            <w:tcBorders>
              <w:top w:val="nil"/>
              <w:left w:val="nil"/>
              <w:bottom w:val="nil"/>
              <w:right w:val="nil"/>
            </w:tcBorders>
            <w:shd w:val="clear" w:color="auto" w:fill="auto"/>
            <w:noWrap/>
            <w:vAlign w:val="bottom"/>
            <w:hideMark/>
          </w:tcPr>
          <w:p w14:paraId="6C384DBB" w14:textId="77777777" w:rsidR="00A85DF8" w:rsidRPr="0076589C" w:rsidRDefault="00A85DF8" w:rsidP="00A85DF8">
            <w:pPr>
              <w:spacing w:after="0" w:line="240" w:lineRule="auto"/>
              <w:ind w:left="0"/>
              <w:jc w:val="center"/>
              <w:rPr>
                <w:rFonts w:ascii="Calibri" w:eastAsia="Times New Roman" w:hAnsi="Calibri" w:cs="Calibri"/>
                <w:b/>
                <w:bCs/>
                <w:color w:val="000000"/>
                <w:sz w:val="18"/>
                <w:szCs w:val="18"/>
              </w:rPr>
            </w:pPr>
          </w:p>
        </w:tc>
        <w:tc>
          <w:tcPr>
            <w:tcW w:w="618" w:type="pct"/>
            <w:tcBorders>
              <w:top w:val="nil"/>
              <w:left w:val="nil"/>
              <w:bottom w:val="nil"/>
              <w:right w:val="nil"/>
            </w:tcBorders>
            <w:shd w:val="clear" w:color="auto" w:fill="auto"/>
            <w:noWrap/>
            <w:vAlign w:val="bottom"/>
            <w:hideMark/>
          </w:tcPr>
          <w:p w14:paraId="470AE3F0" w14:textId="77777777" w:rsidR="00A85DF8" w:rsidRPr="0076589C" w:rsidRDefault="00A85DF8" w:rsidP="00A85DF8">
            <w:pPr>
              <w:spacing w:after="0" w:line="240" w:lineRule="auto"/>
              <w:ind w:left="0" w:firstLineChars="200" w:firstLine="360"/>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07D74256"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6818900B"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115AD5AF"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64C44C53"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59B0FD5E"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75F4EA98" w14:textId="77777777" w:rsidR="00A85DF8" w:rsidRPr="0076589C" w:rsidRDefault="00A85DF8" w:rsidP="00A85DF8">
            <w:pPr>
              <w:spacing w:after="0" w:line="240" w:lineRule="auto"/>
              <w:ind w:left="0"/>
              <w:jc w:val="center"/>
              <w:rPr>
                <w:rFonts w:eastAsia="Times New Roman" w:cs="Times New Roman"/>
                <w:sz w:val="18"/>
                <w:szCs w:val="18"/>
              </w:rPr>
            </w:pPr>
          </w:p>
        </w:tc>
        <w:tc>
          <w:tcPr>
            <w:tcW w:w="282" w:type="pct"/>
            <w:tcBorders>
              <w:top w:val="nil"/>
              <w:left w:val="nil"/>
              <w:bottom w:val="nil"/>
              <w:right w:val="nil"/>
            </w:tcBorders>
            <w:shd w:val="clear" w:color="auto" w:fill="auto"/>
            <w:noWrap/>
            <w:vAlign w:val="bottom"/>
            <w:hideMark/>
          </w:tcPr>
          <w:p w14:paraId="4FD8B531" w14:textId="77777777" w:rsidR="00A85DF8" w:rsidRPr="0076589C" w:rsidRDefault="00A85DF8" w:rsidP="00A85DF8">
            <w:pPr>
              <w:spacing w:after="0" w:line="240" w:lineRule="auto"/>
              <w:ind w:left="0"/>
              <w:rPr>
                <w:rFonts w:eastAsia="Times New Roman" w:cs="Times New Roman"/>
                <w:sz w:val="18"/>
                <w:szCs w:val="18"/>
              </w:rPr>
            </w:pPr>
          </w:p>
        </w:tc>
      </w:tr>
      <w:tr w:rsidR="00A85DF8" w:rsidRPr="0076589C" w14:paraId="5EC8494D" w14:textId="77777777" w:rsidTr="1C8D6E3A">
        <w:trPr>
          <w:trHeight w:val="260"/>
        </w:trPr>
        <w:tc>
          <w:tcPr>
            <w:tcW w:w="1399" w:type="pct"/>
            <w:tcBorders>
              <w:top w:val="nil"/>
              <w:left w:val="nil"/>
              <w:bottom w:val="nil"/>
              <w:right w:val="nil"/>
            </w:tcBorders>
            <w:shd w:val="clear" w:color="auto" w:fill="auto"/>
            <w:noWrap/>
            <w:vAlign w:val="bottom"/>
            <w:hideMark/>
          </w:tcPr>
          <w:p w14:paraId="2912A010" w14:textId="77777777" w:rsidR="00A85DF8" w:rsidRPr="0076589C" w:rsidRDefault="1C8D6E3A" w:rsidP="00A85DF8">
            <w:pPr>
              <w:spacing w:after="0" w:line="240" w:lineRule="auto"/>
              <w:ind w:left="0" w:firstLineChars="100" w:firstLine="181"/>
              <w:rPr>
                <w:rFonts w:ascii="Calibri" w:eastAsia="Times New Roman" w:hAnsi="Calibri" w:cs="Calibri"/>
                <w:b/>
                <w:bCs/>
                <w:color w:val="000000"/>
                <w:sz w:val="18"/>
                <w:szCs w:val="18"/>
                <w:u w:val="single"/>
              </w:rPr>
            </w:pPr>
            <w:r w:rsidRPr="0076589C">
              <w:rPr>
                <w:rFonts w:ascii="Calibri" w:eastAsia="Times New Roman" w:hAnsi="Calibri" w:cs="Calibri"/>
                <w:b/>
                <w:bCs/>
                <w:color w:val="000000" w:themeColor="text1"/>
                <w:sz w:val="18"/>
                <w:szCs w:val="18"/>
                <w:u w:val="single"/>
              </w:rPr>
              <w:t>Activos No Corrientes</w:t>
            </w:r>
          </w:p>
        </w:tc>
        <w:tc>
          <w:tcPr>
            <w:tcW w:w="618" w:type="pct"/>
            <w:tcBorders>
              <w:top w:val="nil"/>
              <w:left w:val="nil"/>
              <w:bottom w:val="nil"/>
              <w:right w:val="nil"/>
            </w:tcBorders>
            <w:shd w:val="clear" w:color="auto" w:fill="auto"/>
            <w:noWrap/>
            <w:vAlign w:val="bottom"/>
            <w:hideMark/>
          </w:tcPr>
          <w:p w14:paraId="4A935DDA" w14:textId="77777777" w:rsidR="00A85DF8" w:rsidRPr="0076589C" w:rsidRDefault="00A85DF8" w:rsidP="00A85DF8">
            <w:pPr>
              <w:spacing w:after="0" w:line="240" w:lineRule="auto"/>
              <w:ind w:left="0" w:firstLineChars="100" w:firstLine="181"/>
              <w:rPr>
                <w:rFonts w:ascii="Calibri" w:eastAsia="Times New Roman" w:hAnsi="Calibri" w:cs="Calibri"/>
                <w:b/>
                <w:bCs/>
                <w:color w:val="000000"/>
                <w:sz w:val="18"/>
                <w:szCs w:val="18"/>
                <w:u w:val="single"/>
              </w:rPr>
            </w:pPr>
          </w:p>
        </w:tc>
        <w:tc>
          <w:tcPr>
            <w:tcW w:w="283" w:type="pct"/>
            <w:tcBorders>
              <w:top w:val="nil"/>
              <w:left w:val="nil"/>
              <w:bottom w:val="nil"/>
              <w:right w:val="nil"/>
            </w:tcBorders>
            <w:shd w:val="clear" w:color="auto" w:fill="auto"/>
            <w:noWrap/>
            <w:vAlign w:val="bottom"/>
            <w:hideMark/>
          </w:tcPr>
          <w:p w14:paraId="12845E72"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7B28049E"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49460CFF"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1F6D662F"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42F5E0DB"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6DC00BD8" w14:textId="77777777" w:rsidR="00A85DF8" w:rsidRPr="0076589C" w:rsidRDefault="00A85DF8" w:rsidP="00A85DF8">
            <w:pPr>
              <w:spacing w:after="0" w:line="240" w:lineRule="auto"/>
              <w:ind w:left="0"/>
              <w:jc w:val="center"/>
              <w:rPr>
                <w:rFonts w:eastAsia="Times New Roman" w:cs="Times New Roman"/>
                <w:sz w:val="18"/>
                <w:szCs w:val="18"/>
              </w:rPr>
            </w:pPr>
          </w:p>
        </w:tc>
        <w:tc>
          <w:tcPr>
            <w:tcW w:w="282" w:type="pct"/>
            <w:tcBorders>
              <w:top w:val="nil"/>
              <w:left w:val="nil"/>
              <w:bottom w:val="nil"/>
              <w:right w:val="nil"/>
            </w:tcBorders>
            <w:shd w:val="clear" w:color="auto" w:fill="auto"/>
            <w:noWrap/>
            <w:vAlign w:val="bottom"/>
            <w:hideMark/>
          </w:tcPr>
          <w:p w14:paraId="7B9358F2" w14:textId="77777777" w:rsidR="00A85DF8" w:rsidRPr="0076589C" w:rsidRDefault="00A85DF8" w:rsidP="00A85DF8">
            <w:pPr>
              <w:spacing w:after="0" w:line="240" w:lineRule="auto"/>
              <w:ind w:left="0"/>
              <w:rPr>
                <w:rFonts w:eastAsia="Times New Roman" w:cs="Times New Roman"/>
                <w:sz w:val="18"/>
                <w:szCs w:val="18"/>
              </w:rPr>
            </w:pPr>
          </w:p>
        </w:tc>
      </w:tr>
      <w:tr w:rsidR="00A85DF8" w:rsidRPr="0076589C" w14:paraId="0F660B1B" w14:textId="77777777" w:rsidTr="1C8D6E3A">
        <w:trPr>
          <w:trHeight w:val="260"/>
        </w:trPr>
        <w:tc>
          <w:tcPr>
            <w:tcW w:w="1399" w:type="pct"/>
            <w:tcBorders>
              <w:top w:val="nil"/>
              <w:left w:val="nil"/>
              <w:bottom w:val="nil"/>
              <w:right w:val="nil"/>
            </w:tcBorders>
            <w:shd w:val="clear" w:color="auto" w:fill="auto"/>
            <w:noWrap/>
            <w:vAlign w:val="bottom"/>
            <w:hideMark/>
          </w:tcPr>
          <w:p w14:paraId="44B105E2" w14:textId="77777777" w:rsidR="00A85DF8" w:rsidRPr="0076589C" w:rsidRDefault="1C8D6E3A" w:rsidP="00A85DF8">
            <w:pPr>
              <w:spacing w:after="0" w:line="240" w:lineRule="auto"/>
              <w:ind w:left="0" w:firstLineChars="100" w:firstLine="181"/>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Propiedad, Planta y Equipo</w:t>
            </w:r>
          </w:p>
        </w:tc>
        <w:tc>
          <w:tcPr>
            <w:tcW w:w="618" w:type="pct"/>
            <w:tcBorders>
              <w:top w:val="nil"/>
              <w:left w:val="nil"/>
              <w:bottom w:val="nil"/>
              <w:right w:val="nil"/>
            </w:tcBorders>
            <w:shd w:val="clear" w:color="auto" w:fill="auto"/>
            <w:noWrap/>
            <w:vAlign w:val="bottom"/>
            <w:hideMark/>
          </w:tcPr>
          <w:p w14:paraId="563B930E" w14:textId="77777777" w:rsidR="00A85DF8" w:rsidRPr="0076589C" w:rsidRDefault="00A85DF8" w:rsidP="00A85DF8">
            <w:pPr>
              <w:spacing w:after="0" w:line="240" w:lineRule="auto"/>
              <w:ind w:left="0" w:firstLineChars="100" w:firstLine="181"/>
              <w:rPr>
                <w:rFonts w:ascii="Calibri" w:eastAsia="Times New Roman" w:hAnsi="Calibri" w:cs="Calibri"/>
                <w:b/>
                <w:bCs/>
                <w:color w:val="000000"/>
                <w:sz w:val="18"/>
                <w:szCs w:val="18"/>
              </w:rPr>
            </w:pPr>
          </w:p>
        </w:tc>
        <w:tc>
          <w:tcPr>
            <w:tcW w:w="283" w:type="pct"/>
            <w:tcBorders>
              <w:top w:val="nil"/>
              <w:left w:val="nil"/>
              <w:bottom w:val="nil"/>
              <w:right w:val="nil"/>
            </w:tcBorders>
            <w:shd w:val="clear" w:color="auto" w:fill="auto"/>
            <w:noWrap/>
            <w:vAlign w:val="bottom"/>
            <w:hideMark/>
          </w:tcPr>
          <w:p w14:paraId="468565C3"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069DD657"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70347BAE"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2879A545"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5DC600A3"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10134C61" w14:textId="77777777" w:rsidR="00A85DF8" w:rsidRPr="0076589C" w:rsidRDefault="00A85DF8" w:rsidP="00A85DF8">
            <w:pPr>
              <w:spacing w:after="0" w:line="240" w:lineRule="auto"/>
              <w:ind w:left="0"/>
              <w:jc w:val="center"/>
              <w:rPr>
                <w:rFonts w:eastAsia="Times New Roman" w:cs="Times New Roman"/>
                <w:sz w:val="18"/>
                <w:szCs w:val="18"/>
              </w:rPr>
            </w:pPr>
          </w:p>
        </w:tc>
        <w:tc>
          <w:tcPr>
            <w:tcW w:w="282" w:type="pct"/>
            <w:tcBorders>
              <w:top w:val="nil"/>
              <w:left w:val="nil"/>
              <w:bottom w:val="nil"/>
              <w:right w:val="nil"/>
            </w:tcBorders>
            <w:shd w:val="clear" w:color="auto" w:fill="auto"/>
            <w:noWrap/>
            <w:vAlign w:val="bottom"/>
            <w:hideMark/>
          </w:tcPr>
          <w:p w14:paraId="4F65CC93" w14:textId="77777777" w:rsidR="00A85DF8" w:rsidRPr="0076589C" w:rsidRDefault="00A85DF8" w:rsidP="00A85DF8">
            <w:pPr>
              <w:spacing w:after="0" w:line="240" w:lineRule="auto"/>
              <w:ind w:left="0"/>
              <w:rPr>
                <w:rFonts w:eastAsia="Times New Roman" w:cs="Times New Roman"/>
                <w:sz w:val="18"/>
                <w:szCs w:val="18"/>
              </w:rPr>
            </w:pPr>
          </w:p>
        </w:tc>
      </w:tr>
      <w:tr w:rsidR="00A85DF8" w:rsidRPr="0076589C" w14:paraId="6E0BBF4A" w14:textId="77777777" w:rsidTr="1C8D6E3A">
        <w:trPr>
          <w:trHeight w:val="260"/>
        </w:trPr>
        <w:tc>
          <w:tcPr>
            <w:tcW w:w="1399" w:type="pct"/>
            <w:tcBorders>
              <w:top w:val="nil"/>
              <w:left w:val="nil"/>
              <w:bottom w:val="nil"/>
              <w:right w:val="nil"/>
            </w:tcBorders>
            <w:shd w:val="clear" w:color="auto" w:fill="auto"/>
            <w:noWrap/>
            <w:vAlign w:val="bottom"/>
            <w:hideMark/>
          </w:tcPr>
          <w:p w14:paraId="58C4CD45" w14:textId="77777777" w:rsidR="00A85DF8" w:rsidRPr="0076589C" w:rsidRDefault="1C8D6E3A" w:rsidP="00A85DF8">
            <w:pPr>
              <w:spacing w:after="0" w:line="240" w:lineRule="auto"/>
              <w:ind w:left="0" w:firstLineChars="200" w:firstLine="36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Terrenos</w:t>
            </w:r>
          </w:p>
        </w:tc>
        <w:tc>
          <w:tcPr>
            <w:tcW w:w="618" w:type="pct"/>
            <w:tcBorders>
              <w:top w:val="nil"/>
              <w:left w:val="nil"/>
              <w:bottom w:val="nil"/>
              <w:right w:val="nil"/>
            </w:tcBorders>
            <w:shd w:val="clear" w:color="auto" w:fill="auto"/>
            <w:noWrap/>
            <w:vAlign w:val="bottom"/>
            <w:hideMark/>
          </w:tcPr>
          <w:p w14:paraId="1103AE54"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50,000.00 </w:t>
            </w:r>
          </w:p>
        </w:tc>
        <w:tc>
          <w:tcPr>
            <w:tcW w:w="283" w:type="pct"/>
            <w:tcBorders>
              <w:top w:val="nil"/>
              <w:left w:val="nil"/>
              <w:bottom w:val="nil"/>
              <w:right w:val="nil"/>
            </w:tcBorders>
            <w:shd w:val="clear" w:color="auto" w:fill="auto"/>
            <w:noWrap/>
            <w:vAlign w:val="bottom"/>
            <w:hideMark/>
          </w:tcPr>
          <w:p w14:paraId="55439352"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0%</w:t>
            </w:r>
          </w:p>
        </w:tc>
        <w:tc>
          <w:tcPr>
            <w:tcW w:w="618" w:type="pct"/>
            <w:tcBorders>
              <w:top w:val="nil"/>
              <w:left w:val="nil"/>
              <w:bottom w:val="nil"/>
              <w:right w:val="nil"/>
            </w:tcBorders>
            <w:shd w:val="clear" w:color="auto" w:fill="auto"/>
            <w:noWrap/>
            <w:vAlign w:val="bottom"/>
            <w:hideMark/>
          </w:tcPr>
          <w:p w14:paraId="1C77A395"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50,000.00 </w:t>
            </w:r>
          </w:p>
        </w:tc>
        <w:tc>
          <w:tcPr>
            <w:tcW w:w="283" w:type="pct"/>
            <w:tcBorders>
              <w:top w:val="nil"/>
              <w:left w:val="nil"/>
              <w:bottom w:val="nil"/>
              <w:right w:val="nil"/>
            </w:tcBorders>
            <w:shd w:val="clear" w:color="auto" w:fill="auto"/>
            <w:noWrap/>
            <w:vAlign w:val="bottom"/>
            <w:hideMark/>
          </w:tcPr>
          <w:p w14:paraId="34CB4918"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0%</w:t>
            </w:r>
          </w:p>
        </w:tc>
        <w:tc>
          <w:tcPr>
            <w:tcW w:w="618" w:type="pct"/>
            <w:tcBorders>
              <w:top w:val="nil"/>
              <w:left w:val="nil"/>
              <w:bottom w:val="nil"/>
              <w:right w:val="nil"/>
            </w:tcBorders>
            <w:shd w:val="clear" w:color="auto" w:fill="auto"/>
            <w:noWrap/>
            <w:vAlign w:val="bottom"/>
            <w:hideMark/>
          </w:tcPr>
          <w:p w14:paraId="75BFFFDF"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50,000.00 </w:t>
            </w:r>
          </w:p>
        </w:tc>
        <w:tc>
          <w:tcPr>
            <w:tcW w:w="283" w:type="pct"/>
            <w:tcBorders>
              <w:top w:val="nil"/>
              <w:left w:val="nil"/>
              <w:bottom w:val="nil"/>
              <w:right w:val="nil"/>
            </w:tcBorders>
            <w:shd w:val="clear" w:color="auto" w:fill="auto"/>
            <w:noWrap/>
            <w:vAlign w:val="bottom"/>
            <w:hideMark/>
          </w:tcPr>
          <w:p w14:paraId="61C80C44"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0%</w:t>
            </w:r>
          </w:p>
        </w:tc>
        <w:tc>
          <w:tcPr>
            <w:tcW w:w="618" w:type="pct"/>
            <w:tcBorders>
              <w:top w:val="nil"/>
              <w:left w:val="nil"/>
              <w:bottom w:val="nil"/>
              <w:right w:val="nil"/>
            </w:tcBorders>
            <w:shd w:val="clear" w:color="auto" w:fill="auto"/>
            <w:noWrap/>
            <w:vAlign w:val="bottom"/>
            <w:hideMark/>
          </w:tcPr>
          <w:p w14:paraId="528B6917"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50,000.00 </w:t>
            </w:r>
          </w:p>
        </w:tc>
        <w:tc>
          <w:tcPr>
            <w:tcW w:w="282" w:type="pct"/>
            <w:tcBorders>
              <w:top w:val="nil"/>
              <w:left w:val="nil"/>
              <w:bottom w:val="nil"/>
              <w:right w:val="nil"/>
            </w:tcBorders>
            <w:shd w:val="clear" w:color="auto" w:fill="auto"/>
            <w:noWrap/>
            <w:vAlign w:val="bottom"/>
            <w:hideMark/>
          </w:tcPr>
          <w:p w14:paraId="494B6FC5"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0%</w:t>
            </w:r>
          </w:p>
        </w:tc>
      </w:tr>
      <w:tr w:rsidR="00A85DF8" w:rsidRPr="0076589C" w14:paraId="66C1C825" w14:textId="77777777" w:rsidTr="1C8D6E3A">
        <w:trPr>
          <w:trHeight w:val="260"/>
        </w:trPr>
        <w:tc>
          <w:tcPr>
            <w:tcW w:w="1399" w:type="pct"/>
            <w:tcBorders>
              <w:top w:val="nil"/>
              <w:left w:val="nil"/>
              <w:bottom w:val="nil"/>
              <w:right w:val="nil"/>
            </w:tcBorders>
            <w:shd w:val="clear" w:color="auto" w:fill="auto"/>
            <w:noWrap/>
            <w:vAlign w:val="bottom"/>
            <w:hideMark/>
          </w:tcPr>
          <w:p w14:paraId="53B67B35" w14:textId="77777777" w:rsidR="00A85DF8" w:rsidRPr="0076589C" w:rsidRDefault="1C8D6E3A" w:rsidP="00A85DF8">
            <w:pPr>
              <w:spacing w:after="0" w:line="240" w:lineRule="auto"/>
              <w:ind w:left="0" w:firstLineChars="200" w:firstLine="36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Edificios</w:t>
            </w:r>
          </w:p>
        </w:tc>
        <w:tc>
          <w:tcPr>
            <w:tcW w:w="618" w:type="pct"/>
            <w:tcBorders>
              <w:top w:val="nil"/>
              <w:left w:val="nil"/>
              <w:bottom w:val="nil"/>
              <w:right w:val="nil"/>
            </w:tcBorders>
            <w:shd w:val="clear" w:color="auto" w:fill="auto"/>
            <w:noWrap/>
            <w:vAlign w:val="bottom"/>
            <w:hideMark/>
          </w:tcPr>
          <w:p w14:paraId="1AA18DE0"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884,356.94 </w:t>
            </w:r>
          </w:p>
        </w:tc>
        <w:tc>
          <w:tcPr>
            <w:tcW w:w="283" w:type="pct"/>
            <w:tcBorders>
              <w:top w:val="nil"/>
              <w:left w:val="nil"/>
              <w:bottom w:val="nil"/>
              <w:right w:val="nil"/>
            </w:tcBorders>
            <w:shd w:val="clear" w:color="auto" w:fill="auto"/>
            <w:noWrap/>
            <w:vAlign w:val="bottom"/>
            <w:hideMark/>
          </w:tcPr>
          <w:p w14:paraId="42CC9A40"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5%</w:t>
            </w:r>
          </w:p>
        </w:tc>
        <w:tc>
          <w:tcPr>
            <w:tcW w:w="618" w:type="pct"/>
            <w:tcBorders>
              <w:top w:val="nil"/>
              <w:left w:val="nil"/>
              <w:bottom w:val="nil"/>
              <w:right w:val="nil"/>
            </w:tcBorders>
            <w:shd w:val="clear" w:color="auto" w:fill="auto"/>
            <w:noWrap/>
            <w:vAlign w:val="bottom"/>
            <w:hideMark/>
          </w:tcPr>
          <w:p w14:paraId="3E4654DA"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884,356.94 </w:t>
            </w:r>
          </w:p>
        </w:tc>
        <w:tc>
          <w:tcPr>
            <w:tcW w:w="283" w:type="pct"/>
            <w:tcBorders>
              <w:top w:val="nil"/>
              <w:left w:val="nil"/>
              <w:bottom w:val="nil"/>
              <w:right w:val="nil"/>
            </w:tcBorders>
            <w:shd w:val="clear" w:color="auto" w:fill="auto"/>
            <w:noWrap/>
            <w:vAlign w:val="bottom"/>
            <w:hideMark/>
          </w:tcPr>
          <w:p w14:paraId="2B32139A"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5%</w:t>
            </w:r>
          </w:p>
        </w:tc>
        <w:tc>
          <w:tcPr>
            <w:tcW w:w="618" w:type="pct"/>
            <w:tcBorders>
              <w:top w:val="nil"/>
              <w:left w:val="nil"/>
              <w:bottom w:val="nil"/>
              <w:right w:val="nil"/>
            </w:tcBorders>
            <w:shd w:val="clear" w:color="auto" w:fill="auto"/>
            <w:noWrap/>
            <w:vAlign w:val="bottom"/>
            <w:hideMark/>
          </w:tcPr>
          <w:p w14:paraId="3B26BDB5"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884,356.94 </w:t>
            </w:r>
          </w:p>
        </w:tc>
        <w:tc>
          <w:tcPr>
            <w:tcW w:w="283" w:type="pct"/>
            <w:tcBorders>
              <w:top w:val="nil"/>
              <w:left w:val="nil"/>
              <w:bottom w:val="nil"/>
              <w:right w:val="nil"/>
            </w:tcBorders>
            <w:shd w:val="clear" w:color="auto" w:fill="auto"/>
            <w:noWrap/>
            <w:vAlign w:val="bottom"/>
            <w:hideMark/>
          </w:tcPr>
          <w:p w14:paraId="58489C86"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4%</w:t>
            </w:r>
          </w:p>
        </w:tc>
        <w:tc>
          <w:tcPr>
            <w:tcW w:w="618" w:type="pct"/>
            <w:tcBorders>
              <w:top w:val="nil"/>
              <w:left w:val="nil"/>
              <w:bottom w:val="nil"/>
              <w:right w:val="nil"/>
            </w:tcBorders>
            <w:shd w:val="clear" w:color="auto" w:fill="auto"/>
            <w:noWrap/>
            <w:vAlign w:val="bottom"/>
            <w:hideMark/>
          </w:tcPr>
          <w:p w14:paraId="74A99D5D"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884,356.94 </w:t>
            </w:r>
          </w:p>
        </w:tc>
        <w:tc>
          <w:tcPr>
            <w:tcW w:w="282" w:type="pct"/>
            <w:tcBorders>
              <w:top w:val="nil"/>
              <w:left w:val="nil"/>
              <w:bottom w:val="nil"/>
              <w:right w:val="nil"/>
            </w:tcBorders>
            <w:shd w:val="clear" w:color="auto" w:fill="auto"/>
            <w:noWrap/>
            <w:vAlign w:val="bottom"/>
            <w:hideMark/>
          </w:tcPr>
          <w:p w14:paraId="2A06ED13"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4%</w:t>
            </w:r>
          </w:p>
        </w:tc>
      </w:tr>
      <w:tr w:rsidR="00A85DF8" w:rsidRPr="0076589C" w14:paraId="36B368C9" w14:textId="77777777" w:rsidTr="1C8D6E3A">
        <w:trPr>
          <w:trHeight w:val="260"/>
        </w:trPr>
        <w:tc>
          <w:tcPr>
            <w:tcW w:w="1399" w:type="pct"/>
            <w:tcBorders>
              <w:top w:val="nil"/>
              <w:left w:val="nil"/>
              <w:bottom w:val="nil"/>
              <w:right w:val="nil"/>
            </w:tcBorders>
            <w:shd w:val="clear" w:color="auto" w:fill="auto"/>
            <w:noWrap/>
            <w:vAlign w:val="bottom"/>
            <w:hideMark/>
          </w:tcPr>
          <w:p w14:paraId="33280FE7" w14:textId="77777777" w:rsidR="00A85DF8" w:rsidRPr="0076589C" w:rsidRDefault="1C8D6E3A" w:rsidP="00A85DF8">
            <w:pPr>
              <w:spacing w:after="0" w:line="240" w:lineRule="auto"/>
              <w:ind w:left="0" w:firstLineChars="200" w:firstLine="36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Maquinaria y Equipo</w:t>
            </w:r>
          </w:p>
        </w:tc>
        <w:tc>
          <w:tcPr>
            <w:tcW w:w="618" w:type="pct"/>
            <w:tcBorders>
              <w:top w:val="nil"/>
              <w:left w:val="nil"/>
              <w:bottom w:val="nil"/>
              <w:right w:val="nil"/>
            </w:tcBorders>
            <w:shd w:val="clear" w:color="auto" w:fill="auto"/>
            <w:noWrap/>
            <w:vAlign w:val="bottom"/>
            <w:hideMark/>
          </w:tcPr>
          <w:p w14:paraId="22F6F04E"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2,795,134.12 </w:t>
            </w:r>
          </w:p>
        </w:tc>
        <w:tc>
          <w:tcPr>
            <w:tcW w:w="283" w:type="pct"/>
            <w:tcBorders>
              <w:top w:val="nil"/>
              <w:left w:val="nil"/>
              <w:bottom w:val="nil"/>
              <w:right w:val="nil"/>
            </w:tcBorders>
            <w:shd w:val="clear" w:color="auto" w:fill="auto"/>
            <w:noWrap/>
            <w:vAlign w:val="bottom"/>
            <w:hideMark/>
          </w:tcPr>
          <w:p w14:paraId="766D9C93"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15%</w:t>
            </w:r>
          </w:p>
        </w:tc>
        <w:tc>
          <w:tcPr>
            <w:tcW w:w="618" w:type="pct"/>
            <w:tcBorders>
              <w:top w:val="nil"/>
              <w:left w:val="nil"/>
              <w:bottom w:val="nil"/>
              <w:right w:val="nil"/>
            </w:tcBorders>
            <w:shd w:val="clear" w:color="auto" w:fill="auto"/>
            <w:noWrap/>
            <w:vAlign w:val="bottom"/>
            <w:hideMark/>
          </w:tcPr>
          <w:p w14:paraId="661CB51A"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2,795,134.12 </w:t>
            </w:r>
          </w:p>
        </w:tc>
        <w:tc>
          <w:tcPr>
            <w:tcW w:w="283" w:type="pct"/>
            <w:tcBorders>
              <w:top w:val="nil"/>
              <w:left w:val="nil"/>
              <w:bottom w:val="nil"/>
              <w:right w:val="nil"/>
            </w:tcBorders>
            <w:shd w:val="clear" w:color="auto" w:fill="auto"/>
            <w:noWrap/>
            <w:vAlign w:val="bottom"/>
            <w:hideMark/>
          </w:tcPr>
          <w:p w14:paraId="765C9077"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15%</w:t>
            </w:r>
          </w:p>
        </w:tc>
        <w:tc>
          <w:tcPr>
            <w:tcW w:w="618" w:type="pct"/>
            <w:tcBorders>
              <w:top w:val="nil"/>
              <w:left w:val="nil"/>
              <w:bottom w:val="nil"/>
              <w:right w:val="nil"/>
            </w:tcBorders>
            <w:shd w:val="clear" w:color="auto" w:fill="auto"/>
            <w:noWrap/>
            <w:vAlign w:val="bottom"/>
            <w:hideMark/>
          </w:tcPr>
          <w:p w14:paraId="581F2641"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2,795,134.12 </w:t>
            </w:r>
          </w:p>
        </w:tc>
        <w:tc>
          <w:tcPr>
            <w:tcW w:w="283" w:type="pct"/>
            <w:tcBorders>
              <w:top w:val="nil"/>
              <w:left w:val="nil"/>
              <w:bottom w:val="nil"/>
              <w:right w:val="nil"/>
            </w:tcBorders>
            <w:shd w:val="clear" w:color="auto" w:fill="auto"/>
            <w:noWrap/>
            <w:vAlign w:val="bottom"/>
            <w:hideMark/>
          </w:tcPr>
          <w:p w14:paraId="3E0B83B9"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13%</w:t>
            </w:r>
          </w:p>
        </w:tc>
        <w:tc>
          <w:tcPr>
            <w:tcW w:w="618" w:type="pct"/>
            <w:tcBorders>
              <w:top w:val="nil"/>
              <w:left w:val="nil"/>
              <w:bottom w:val="nil"/>
              <w:right w:val="nil"/>
            </w:tcBorders>
            <w:shd w:val="clear" w:color="auto" w:fill="auto"/>
            <w:noWrap/>
            <w:vAlign w:val="bottom"/>
            <w:hideMark/>
          </w:tcPr>
          <w:p w14:paraId="5AC93090"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2,795,134.12 </w:t>
            </w:r>
          </w:p>
        </w:tc>
        <w:tc>
          <w:tcPr>
            <w:tcW w:w="282" w:type="pct"/>
            <w:tcBorders>
              <w:top w:val="nil"/>
              <w:left w:val="nil"/>
              <w:bottom w:val="nil"/>
              <w:right w:val="nil"/>
            </w:tcBorders>
            <w:shd w:val="clear" w:color="auto" w:fill="auto"/>
            <w:noWrap/>
            <w:vAlign w:val="bottom"/>
            <w:hideMark/>
          </w:tcPr>
          <w:p w14:paraId="7358F4C7"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11%</w:t>
            </w:r>
          </w:p>
        </w:tc>
      </w:tr>
      <w:tr w:rsidR="00A85DF8" w:rsidRPr="0076589C" w14:paraId="446CD1CD" w14:textId="77777777" w:rsidTr="1C8D6E3A">
        <w:trPr>
          <w:trHeight w:val="260"/>
        </w:trPr>
        <w:tc>
          <w:tcPr>
            <w:tcW w:w="1399" w:type="pct"/>
            <w:tcBorders>
              <w:top w:val="nil"/>
              <w:left w:val="nil"/>
              <w:bottom w:val="nil"/>
              <w:right w:val="nil"/>
            </w:tcBorders>
            <w:shd w:val="clear" w:color="auto" w:fill="auto"/>
            <w:noWrap/>
            <w:vAlign w:val="bottom"/>
            <w:hideMark/>
          </w:tcPr>
          <w:p w14:paraId="1BC7AF7A" w14:textId="77777777" w:rsidR="00A85DF8" w:rsidRPr="0076589C" w:rsidRDefault="1C8D6E3A" w:rsidP="00A85DF8">
            <w:pPr>
              <w:spacing w:after="0" w:line="240" w:lineRule="auto"/>
              <w:ind w:left="0" w:firstLineChars="200" w:firstLine="36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Depreciación Acumulada de Maquinaria</w:t>
            </w:r>
          </w:p>
        </w:tc>
        <w:tc>
          <w:tcPr>
            <w:tcW w:w="618" w:type="pct"/>
            <w:tcBorders>
              <w:top w:val="nil"/>
              <w:left w:val="nil"/>
              <w:bottom w:val="nil"/>
              <w:right w:val="nil"/>
            </w:tcBorders>
            <w:shd w:val="clear" w:color="auto" w:fill="auto"/>
            <w:noWrap/>
            <w:vAlign w:val="bottom"/>
            <w:hideMark/>
          </w:tcPr>
          <w:p w14:paraId="56A3A799"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-L          101,077.83 </w:t>
            </w:r>
          </w:p>
        </w:tc>
        <w:tc>
          <w:tcPr>
            <w:tcW w:w="283" w:type="pct"/>
            <w:tcBorders>
              <w:top w:val="nil"/>
              <w:left w:val="nil"/>
              <w:bottom w:val="nil"/>
              <w:right w:val="nil"/>
            </w:tcBorders>
            <w:shd w:val="clear" w:color="auto" w:fill="auto"/>
            <w:noWrap/>
            <w:vAlign w:val="bottom"/>
            <w:hideMark/>
          </w:tcPr>
          <w:p w14:paraId="5F616EF9"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w:t>
            </w:r>
          </w:p>
        </w:tc>
        <w:tc>
          <w:tcPr>
            <w:tcW w:w="618" w:type="pct"/>
            <w:tcBorders>
              <w:top w:val="nil"/>
              <w:left w:val="nil"/>
              <w:bottom w:val="nil"/>
              <w:right w:val="nil"/>
            </w:tcBorders>
            <w:shd w:val="clear" w:color="auto" w:fill="auto"/>
            <w:noWrap/>
            <w:vAlign w:val="bottom"/>
            <w:hideMark/>
          </w:tcPr>
          <w:p w14:paraId="37EB30DB"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-L          101,077.83 </w:t>
            </w:r>
          </w:p>
        </w:tc>
        <w:tc>
          <w:tcPr>
            <w:tcW w:w="283" w:type="pct"/>
            <w:tcBorders>
              <w:top w:val="nil"/>
              <w:left w:val="nil"/>
              <w:bottom w:val="nil"/>
              <w:right w:val="nil"/>
            </w:tcBorders>
            <w:shd w:val="clear" w:color="auto" w:fill="auto"/>
            <w:noWrap/>
            <w:vAlign w:val="bottom"/>
            <w:hideMark/>
          </w:tcPr>
          <w:p w14:paraId="54BE18B3"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w:t>
            </w:r>
          </w:p>
        </w:tc>
        <w:tc>
          <w:tcPr>
            <w:tcW w:w="618" w:type="pct"/>
            <w:tcBorders>
              <w:top w:val="nil"/>
              <w:left w:val="nil"/>
              <w:bottom w:val="nil"/>
              <w:right w:val="nil"/>
            </w:tcBorders>
            <w:shd w:val="clear" w:color="auto" w:fill="auto"/>
            <w:noWrap/>
            <w:vAlign w:val="bottom"/>
            <w:hideMark/>
          </w:tcPr>
          <w:p w14:paraId="1BC66E63"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-L          101,077.83 </w:t>
            </w:r>
          </w:p>
        </w:tc>
        <w:tc>
          <w:tcPr>
            <w:tcW w:w="283" w:type="pct"/>
            <w:tcBorders>
              <w:top w:val="nil"/>
              <w:left w:val="nil"/>
              <w:bottom w:val="nil"/>
              <w:right w:val="nil"/>
            </w:tcBorders>
            <w:shd w:val="clear" w:color="auto" w:fill="auto"/>
            <w:noWrap/>
            <w:vAlign w:val="bottom"/>
            <w:hideMark/>
          </w:tcPr>
          <w:p w14:paraId="268579E6"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0%</w:t>
            </w:r>
          </w:p>
        </w:tc>
        <w:tc>
          <w:tcPr>
            <w:tcW w:w="618" w:type="pct"/>
            <w:tcBorders>
              <w:top w:val="nil"/>
              <w:left w:val="nil"/>
              <w:bottom w:val="nil"/>
              <w:right w:val="nil"/>
            </w:tcBorders>
            <w:shd w:val="clear" w:color="auto" w:fill="auto"/>
            <w:noWrap/>
            <w:vAlign w:val="bottom"/>
            <w:hideMark/>
          </w:tcPr>
          <w:p w14:paraId="69A22D4A"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-L          101,077.83 </w:t>
            </w:r>
          </w:p>
        </w:tc>
        <w:tc>
          <w:tcPr>
            <w:tcW w:w="282" w:type="pct"/>
            <w:tcBorders>
              <w:top w:val="nil"/>
              <w:left w:val="nil"/>
              <w:bottom w:val="nil"/>
              <w:right w:val="nil"/>
            </w:tcBorders>
            <w:shd w:val="clear" w:color="auto" w:fill="auto"/>
            <w:noWrap/>
            <w:vAlign w:val="bottom"/>
            <w:hideMark/>
          </w:tcPr>
          <w:p w14:paraId="0DB06DB1"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0%</w:t>
            </w:r>
          </w:p>
        </w:tc>
      </w:tr>
      <w:tr w:rsidR="00A85DF8" w:rsidRPr="0076589C" w14:paraId="1DF9F59D" w14:textId="77777777" w:rsidTr="1C8D6E3A">
        <w:trPr>
          <w:trHeight w:val="260"/>
        </w:trPr>
        <w:tc>
          <w:tcPr>
            <w:tcW w:w="1399" w:type="pct"/>
            <w:tcBorders>
              <w:top w:val="nil"/>
              <w:left w:val="nil"/>
              <w:bottom w:val="nil"/>
              <w:right w:val="nil"/>
            </w:tcBorders>
            <w:shd w:val="clear" w:color="auto" w:fill="auto"/>
            <w:noWrap/>
            <w:vAlign w:val="bottom"/>
            <w:hideMark/>
          </w:tcPr>
          <w:p w14:paraId="1DB98FA6" w14:textId="77777777" w:rsidR="00A85DF8" w:rsidRPr="0076589C" w:rsidRDefault="1C8D6E3A" w:rsidP="00A85DF8">
            <w:pPr>
              <w:spacing w:after="0" w:line="240" w:lineRule="auto"/>
              <w:ind w:left="0" w:firstLineChars="200" w:firstLine="36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Mobiliario y Equipo</w:t>
            </w:r>
          </w:p>
        </w:tc>
        <w:tc>
          <w:tcPr>
            <w:tcW w:w="618" w:type="pct"/>
            <w:tcBorders>
              <w:top w:val="nil"/>
              <w:left w:val="nil"/>
              <w:bottom w:val="nil"/>
              <w:right w:val="nil"/>
            </w:tcBorders>
            <w:shd w:val="clear" w:color="auto" w:fill="auto"/>
            <w:noWrap/>
            <w:vAlign w:val="bottom"/>
            <w:hideMark/>
          </w:tcPr>
          <w:p w14:paraId="72C8958A"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434,208.51 </w:t>
            </w:r>
          </w:p>
        </w:tc>
        <w:tc>
          <w:tcPr>
            <w:tcW w:w="283" w:type="pct"/>
            <w:tcBorders>
              <w:top w:val="nil"/>
              <w:left w:val="nil"/>
              <w:bottom w:val="nil"/>
              <w:right w:val="nil"/>
            </w:tcBorders>
            <w:shd w:val="clear" w:color="auto" w:fill="auto"/>
            <w:noWrap/>
            <w:vAlign w:val="bottom"/>
            <w:hideMark/>
          </w:tcPr>
          <w:p w14:paraId="141DBEDB"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2%</w:t>
            </w:r>
          </w:p>
        </w:tc>
        <w:tc>
          <w:tcPr>
            <w:tcW w:w="618" w:type="pct"/>
            <w:tcBorders>
              <w:top w:val="nil"/>
              <w:left w:val="nil"/>
              <w:bottom w:val="nil"/>
              <w:right w:val="nil"/>
            </w:tcBorders>
            <w:shd w:val="clear" w:color="auto" w:fill="auto"/>
            <w:noWrap/>
            <w:vAlign w:val="bottom"/>
            <w:hideMark/>
          </w:tcPr>
          <w:p w14:paraId="542F8471"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434,208.51 </w:t>
            </w:r>
          </w:p>
        </w:tc>
        <w:tc>
          <w:tcPr>
            <w:tcW w:w="283" w:type="pct"/>
            <w:tcBorders>
              <w:top w:val="nil"/>
              <w:left w:val="nil"/>
              <w:bottom w:val="nil"/>
              <w:right w:val="nil"/>
            </w:tcBorders>
            <w:shd w:val="clear" w:color="auto" w:fill="auto"/>
            <w:noWrap/>
            <w:vAlign w:val="bottom"/>
            <w:hideMark/>
          </w:tcPr>
          <w:p w14:paraId="3DF8B553"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2%</w:t>
            </w:r>
          </w:p>
        </w:tc>
        <w:tc>
          <w:tcPr>
            <w:tcW w:w="618" w:type="pct"/>
            <w:tcBorders>
              <w:top w:val="nil"/>
              <w:left w:val="nil"/>
              <w:bottom w:val="nil"/>
              <w:right w:val="nil"/>
            </w:tcBorders>
            <w:shd w:val="clear" w:color="auto" w:fill="auto"/>
            <w:noWrap/>
            <w:vAlign w:val="bottom"/>
            <w:hideMark/>
          </w:tcPr>
          <w:p w14:paraId="0950F591"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434,208.51 </w:t>
            </w:r>
          </w:p>
        </w:tc>
        <w:tc>
          <w:tcPr>
            <w:tcW w:w="283" w:type="pct"/>
            <w:tcBorders>
              <w:top w:val="nil"/>
              <w:left w:val="nil"/>
              <w:bottom w:val="nil"/>
              <w:right w:val="nil"/>
            </w:tcBorders>
            <w:shd w:val="clear" w:color="auto" w:fill="auto"/>
            <w:noWrap/>
            <w:vAlign w:val="bottom"/>
            <w:hideMark/>
          </w:tcPr>
          <w:p w14:paraId="01E968F0"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2%</w:t>
            </w:r>
          </w:p>
        </w:tc>
        <w:tc>
          <w:tcPr>
            <w:tcW w:w="618" w:type="pct"/>
            <w:tcBorders>
              <w:top w:val="nil"/>
              <w:left w:val="nil"/>
              <w:bottom w:val="nil"/>
              <w:right w:val="nil"/>
            </w:tcBorders>
            <w:shd w:val="clear" w:color="auto" w:fill="auto"/>
            <w:noWrap/>
            <w:vAlign w:val="bottom"/>
            <w:hideMark/>
          </w:tcPr>
          <w:p w14:paraId="726B6792"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434,208.51 </w:t>
            </w:r>
          </w:p>
        </w:tc>
        <w:tc>
          <w:tcPr>
            <w:tcW w:w="282" w:type="pct"/>
            <w:tcBorders>
              <w:top w:val="nil"/>
              <w:left w:val="nil"/>
              <w:bottom w:val="nil"/>
              <w:right w:val="nil"/>
            </w:tcBorders>
            <w:shd w:val="clear" w:color="auto" w:fill="auto"/>
            <w:noWrap/>
            <w:vAlign w:val="bottom"/>
            <w:hideMark/>
          </w:tcPr>
          <w:p w14:paraId="1D714893"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2%</w:t>
            </w:r>
          </w:p>
        </w:tc>
      </w:tr>
      <w:tr w:rsidR="00A85DF8" w:rsidRPr="0076589C" w14:paraId="209F23BB" w14:textId="77777777" w:rsidTr="1C8D6E3A">
        <w:trPr>
          <w:trHeight w:val="260"/>
        </w:trPr>
        <w:tc>
          <w:tcPr>
            <w:tcW w:w="1399" w:type="pct"/>
            <w:tcBorders>
              <w:top w:val="nil"/>
              <w:left w:val="nil"/>
              <w:bottom w:val="nil"/>
              <w:right w:val="nil"/>
            </w:tcBorders>
            <w:shd w:val="clear" w:color="auto" w:fill="auto"/>
            <w:noWrap/>
            <w:vAlign w:val="bottom"/>
            <w:hideMark/>
          </w:tcPr>
          <w:p w14:paraId="19504315" w14:textId="77777777" w:rsidR="00A85DF8" w:rsidRPr="0076589C" w:rsidRDefault="1C8D6E3A" w:rsidP="00A85DF8">
            <w:pPr>
              <w:spacing w:after="0" w:line="240" w:lineRule="auto"/>
              <w:ind w:left="0" w:firstLineChars="200" w:firstLine="36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Depreciación Acumulada de Mobiliario</w:t>
            </w:r>
          </w:p>
        </w:tc>
        <w:tc>
          <w:tcPr>
            <w:tcW w:w="618" w:type="pct"/>
            <w:tcBorders>
              <w:top w:val="nil"/>
              <w:left w:val="nil"/>
              <w:bottom w:val="nil"/>
              <w:right w:val="nil"/>
            </w:tcBorders>
            <w:shd w:val="clear" w:color="auto" w:fill="auto"/>
            <w:noWrap/>
            <w:vAlign w:val="bottom"/>
            <w:hideMark/>
          </w:tcPr>
          <w:p w14:paraId="372A3533"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-L          112,658.37 </w:t>
            </w:r>
          </w:p>
        </w:tc>
        <w:tc>
          <w:tcPr>
            <w:tcW w:w="283" w:type="pct"/>
            <w:tcBorders>
              <w:top w:val="nil"/>
              <w:left w:val="nil"/>
              <w:bottom w:val="nil"/>
              <w:right w:val="nil"/>
            </w:tcBorders>
            <w:shd w:val="clear" w:color="auto" w:fill="auto"/>
            <w:noWrap/>
            <w:vAlign w:val="bottom"/>
            <w:hideMark/>
          </w:tcPr>
          <w:p w14:paraId="6947C4AF"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w:t>
            </w:r>
          </w:p>
        </w:tc>
        <w:tc>
          <w:tcPr>
            <w:tcW w:w="618" w:type="pct"/>
            <w:tcBorders>
              <w:top w:val="nil"/>
              <w:left w:val="nil"/>
              <w:bottom w:val="nil"/>
              <w:right w:val="nil"/>
            </w:tcBorders>
            <w:shd w:val="clear" w:color="auto" w:fill="auto"/>
            <w:noWrap/>
            <w:vAlign w:val="bottom"/>
            <w:hideMark/>
          </w:tcPr>
          <w:p w14:paraId="015161A4"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-L          287,354.10 </w:t>
            </w:r>
          </w:p>
        </w:tc>
        <w:tc>
          <w:tcPr>
            <w:tcW w:w="283" w:type="pct"/>
            <w:tcBorders>
              <w:top w:val="nil"/>
              <w:left w:val="nil"/>
              <w:bottom w:val="nil"/>
              <w:right w:val="nil"/>
            </w:tcBorders>
            <w:shd w:val="clear" w:color="auto" w:fill="auto"/>
            <w:noWrap/>
            <w:vAlign w:val="bottom"/>
            <w:hideMark/>
          </w:tcPr>
          <w:p w14:paraId="2A1B91EB"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-2%</w:t>
            </w:r>
          </w:p>
        </w:tc>
        <w:tc>
          <w:tcPr>
            <w:tcW w:w="618" w:type="pct"/>
            <w:tcBorders>
              <w:top w:val="nil"/>
              <w:left w:val="nil"/>
              <w:bottom w:val="nil"/>
              <w:right w:val="nil"/>
            </w:tcBorders>
            <w:shd w:val="clear" w:color="auto" w:fill="auto"/>
            <w:noWrap/>
            <w:vAlign w:val="bottom"/>
            <w:hideMark/>
          </w:tcPr>
          <w:p w14:paraId="7EB9A6D5"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-L          287,354.10 </w:t>
            </w:r>
          </w:p>
        </w:tc>
        <w:tc>
          <w:tcPr>
            <w:tcW w:w="283" w:type="pct"/>
            <w:tcBorders>
              <w:top w:val="nil"/>
              <w:left w:val="nil"/>
              <w:bottom w:val="nil"/>
              <w:right w:val="nil"/>
            </w:tcBorders>
            <w:shd w:val="clear" w:color="auto" w:fill="auto"/>
            <w:noWrap/>
            <w:vAlign w:val="bottom"/>
            <w:hideMark/>
          </w:tcPr>
          <w:p w14:paraId="33422324"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w:t>
            </w:r>
          </w:p>
        </w:tc>
        <w:tc>
          <w:tcPr>
            <w:tcW w:w="618" w:type="pct"/>
            <w:tcBorders>
              <w:top w:val="nil"/>
              <w:left w:val="nil"/>
              <w:bottom w:val="nil"/>
              <w:right w:val="nil"/>
            </w:tcBorders>
            <w:shd w:val="clear" w:color="auto" w:fill="auto"/>
            <w:noWrap/>
            <w:vAlign w:val="bottom"/>
            <w:hideMark/>
          </w:tcPr>
          <w:p w14:paraId="0B4AF193"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-L          429,866.42 </w:t>
            </w:r>
          </w:p>
        </w:tc>
        <w:tc>
          <w:tcPr>
            <w:tcW w:w="282" w:type="pct"/>
            <w:tcBorders>
              <w:top w:val="nil"/>
              <w:left w:val="nil"/>
              <w:bottom w:val="nil"/>
              <w:right w:val="nil"/>
            </w:tcBorders>
            <w:shd w:val="clear" w:color="auto" w:fill="auto"/>
            <w:noWrap/>
            <w:vAlign w:val="bottom"/>
            <w:hideMark/>
          </w:tcPr>
          <w:p w14:paraId="5522518B"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-2%</w:t>
            </w:r>
          </w:p>
        </w:tc>
      </w:tr>
      <w:tr w:rsidR="00A85DF8" w:rsidRPr="0076589C" w14:paraId="23AB6401" w14:textId="77777777" w:rsidTr="1C8D6E3A">
        <w:trPr>
          <w:trHeight w:val="260"/>
        </w:trPr>
        <w:tc>
          <w:tcPr>
            <w:tcW w:w="1399" w:type="pct"/>
            <w:tcBorders>
              <w:top w:val="nil"/>
              <w:left w:val="nil"/>
              <w:bottom w:val="nil"/>
              <w:right w:val="nil"/>
            </w:tcBorders>
            <w:shd w:val="clear" w:color="auto" w:fill="auto"/>
            <w:noWrap/>
            <w:vAlign w:val="bottom"/>
            <w:hideMark/>
          </w:tcPr>
          <w:p w14:paraId="142A756F" w14:textId="77777777" w:rsidR="00A85DF8" w:rsidRPr="0076589C" w:rsidRDefault="1C8D6E3A" w:rsidP="00A85DF8">
            <w:pPr>
              <w:spacing w:after="0" w:line="240" w:lineRule="auto"/>
              <w:ind w:left="0" w:firstLineChars="200" w:firstLine="36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Mejoras e Instalaciones</w:t>
            </w:r>
          </w:p>
        </w:tc>
        <w:tc>
          <w:tcPr>
            <w:tcW w:w="618" w:type="pct"/>
            <w:tcBorders>
              <w:top w:val="nil"/>
              <w:left w:val="nil"/>
              <w:bottom w:val="nil"/>
              <w:right w:val="nil"/>
            </w:tcBorders>
            <w:shd w:val="clear" w:color="auto" w:fill="auto"/>
            <w:noWrap/>
            <w:vAlign w:val="bottom"/>
            <w:hideMark/>
          </w:tcPr>
          <w:p w14:paraId="3BE7D527"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100,720.01 </w:t>
            </w:r>
          </w:p>
        </w:tc>
        <w:tc>
          <w:tcPr>
            <w:tcW w:w="283" w:type="pct"/>
            <w:tcBorders>
              <w:top w:val="nil"/>
              <w:left w:val="nil"/>
              <w:bottom w:val="nil"/>
              <w:right w:val="nil"/>
            </w:tcBorders>
            <w:shd w:val="clear" w:color="auto" w:fill="auto"/>
            <w:noWrap/>
            <w:vAlign w:val="bottom"/>
            <w:hideMark/>
          </w:tcPr>
          <w:p w14:paraId="47E90AFD"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w:t>
            </w:r>
          </w:p>
        </w:tc>
        <w:tc>
          <w:tcPr>
            <w:tcW w:w="618" w:type="pct"/>
            <w:tcBorders>
              <w:top w:val="nil"/>
              <w:left w:val="nil"/>
              <w:bottom w:val="nil"/>
              <w:right w:val="nil"/>
            </w:tcBorders>
            <w:shd w:val="clear" w:color="auto" w:fill="auto"/>
            <w:noWrap/>
            <w:vAlign w:val="bottom"/>
            <w:hideMark/>
          </w:tcPr>
          <w:p w14:paraId="5257733C"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100,720.01 </w:t>
            </w:r>
          </w:p>
        </w:tc>
        <w:tc>
          <w:tcPr>
            <w:tcW w:w="283" w:type="pct"/>
            <w:tcBorders>
              <w:top w:val="nil"/>
              <w:left w:val="nil"/>
              <w:bottom w:val="nil"/>
              <w:right w:val="nil"/>
            </w:tcBorders>
            <w:shd w:val="clear" w:color="auto" w:fill="auto"/>
            <w:noWrap/>
            <w:vAlign w:val="bottom"/>
            <w:hideMark/>
          </w:tcPr>
          <w:p w14:paraId="7FECB124"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w:t>
            </w:r>
          </w:p>
        </w:tc>
        <w:tc>
          <w:tcPr>
            <w:tcW w:w="618" w:type="pct"/>
            <w:tcBorders>
              <w:top w:val="nil"/>
              <w:left w:val="nil"/>
              <w:bottom w:val="nil"/>
              <w:right w:val="nil"/>
            </w:tcBorders>
            <w:shd w:val="clear" w:color="auto" w:fill="auto"/>
            <w:noWrap/>
            <w:vAlign w:val="bottom"/>
            <w:hideMark/>
          </w:tcPr>
          <w:p w14:paraId="3654A4F2"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100,720.01 </w:t>
            </w:r>
          </w:p>
        </w:tc>
        <w:tc>
          <w:tcPr>
            <w:tcW w:w="283" w:type="pct"/>
            <w:tcBorders>
              <w:top w:val="nil"/>
              <w:left w:val="nil"/>
              <w:bottom w:val="nil"/>
              <w:right w:val="nil"/>
            </w:tcBorders>
            <w:shd w:val="clear" w:color="auto" w:fill="auto"/>
            <w:noWrap/>
            <w:vAlign w:val="bottom"/>
            <w:hideMark/>
          </w:tcPr>
          <w:p w14:paraId="68489CEC"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0%</w:t>
            </w:r>
          </w:p>
        </w:tc>
        <w:tc>
          <w:tcPr>
            <w:tcW w:w="618" w:type="pct"/>
            <w:tcBorders>
              <w:top w:val="nil"/>
              <w:left w:val="nil"/>
              <w:bottom w:val="nil"/>
              <w:right w:val="nil"/>
            </w:tcBorders>
            <w:shd w:val="clear" w:color="auto" w:fill="auto"/>
            <w:noWrap/>
            <w:vAlign w:val="bottom"/>
            <w:hideMark/>
          </w:tcPr>
          <w:p w14:paraId="44B8EEBD"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100,720.01 </w:t>
            </w:r>
          </w:p>
        </w:tc>
        <w:tc>
          <w:tcPr>
            <w:tcW w:w="282" w:type="pct"/>
            <w:tcBorders>
              <w:top w:val="nil"/>
              <w:left w:val="nil"/>
              <w:bottom w:val="nil"/>
              <w:right w:val="nil"/>
            </w:tcBorders>
            <w:shd w:val="clear" w:color="auto" w:fill="auto"/>
            <w:noWrap/>
            <w:vAlign w:val="bottom"/>
            <w:hideMark/>
          </w:tcPr>
          <w:p w14:paraId="05AB9CCF"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0%</w:t>
            </w:r>
          </w:p>
        </w:tc>
      </w:tr>
      <w:tr w:rsidR="00A85DF8" w:rsidRPr="0076589C" w14:paraId="44FA03AE" w14:textId="77777777" w:rsidTr="1C8D6E3A">
        <w:trPr>
          <w:trHeight w:val="270"/>
        </w:trPr>
        <w:tc>
          <w:tcPr>
            <w:tcW w:w="1399" w:type="pct"/>
            <w:tcBorders>
              <w:top w:val="nil"/>
              <w:left w:val="nil"/>
              <w:bottom w:val="double" w:sz="6" w:space="0" w:color="auto"/>
              <w:right w:val="nil"/>
            </w:tcBorders>
            <w:shd w:val="clear" w:color="auto" w:fill="auto"/>
            <w:noWrap/>
            <w:vAlign w:val="bottom"/>
            <w:hideMark/>
          </w:tcPr>
          <w:p w14:paraId="012833B0" w14:textId="77777777" w:rsidR="00A85DF8" w:rsidRPr="0076589C" w:rsidRDefault="1C8D6E3A" w:rsidP="00A85DF8">
            <w:pPr>
              <w:spacing w:after="0" w:line="240" w:lineRule="auto"/>
              <w:ind w:left="0" w:firstLineChars="200" w:firstLine="36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Amortización Acumulada de Instalaciones</w:t>
            </w:r>
          </w:p>
        </w:tc>
        <w:tc>
          <w:tcPr>
            <w:tcW w:w="618" w:type="pct"/>
            <w:tcBorders>
              <w:top w:val="nil"/>
              <w:left w:val="nil"/>
              <w:bottom w:val="double" w:sz="6" w:space="0" w:color="auto"/>
              <w:right w:val="nil"/>
            </w:tcBorders>
            <w:shd w:val="clear" w:color="auto" w:fill="auto"/>
            <w:noWrap/>
            <w:vAlign w:val="bottom"/>
            <w:hideMark/>
          </w:tcPr>
          <w:p w14:paraId="7E5398B0"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-L            94,245.14 </w:t>
            </w:r>
          </w:p>
        </w:tc>
        <w:tc>
          <w:tcPr>
            <w:tcW w:w="283" w:type="pct"/>
            <w:tcBorders>
              <w:top w:val="nil"/>
              <w:left w:val="nil"/>
              <w:bottom w:val="double" w:sz="6" w:space="0" w:color="auto"/>
              <w:right w:val="nil"/>
            </w:tcBorders>
            <w:shd w:val="clear" w:color="auto" w:fill="auto"/>
            <w:noWrap/>
            <w:vAlign w:val="bottom"/>
            <w:hideMark/>
          </w:tcPr>
          <w:p w14:paraId="68158927"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0%</w:t>
            </w:r>
          </w:p>
        </w:tc>
        <w:tc>
          <w:tcPr>
            <w:tcW w:w="618" w:type="pct"/>
            <w:tcBorders>
              <w:top w:val="nil"/>
              <w:left w:val="nil"/>
              <w:bottom w:val="double" w:sz="6" w:space="0" w:color="auto"/>
              <w:right w:val="nil"/>
            </w:tcBorders>
            <w:shd w:val="clear" w:color="auto" w:fill="auto"/>
            <w:noWrap/>
            <w:vAlign w:val="bottom"/>
            <w:hideMark/>
          </w:tcPr>
          <w:p w14:paraId="1D3B943B"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-L            94,245.14 </w:t>
            </w:r>
          </w:p>
        </w:tc>
        <w:tc>
          <w:tcPr>
            <w:tcW w:w="283" w:type="pct"/>
            <w:tcBorders>
              <w:top w:val="nil"/>
              <w:left w:val="nil"/>
              <w:bottom w:val="double" w:sz="6" w:space="0" w:color="auto"/>
              <w:right w:val="nil"/>
            </w:tcBorders>
            <w:shd w:val="clear" w:color="auto" w:fill="auto"/>
            <w:noWrap/>
            <w:vAlign w:val="bottom"/>
            <w:hideMark/>
          </w:tcPr>
          <w:p w14:paraId="11B266F7"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0%</w:t>
            </w:r>
          </w:p>
        </w:tc>
        <w:tc>
          <w:tcPr>
            <w:tcW w:w="618" w:type="pct"/>
            <w:tcBorders>
              <w:top w:val="nil"/>
              <w:left w:val="nil"/>
              <w:bottom w:val="double" w:sz="6" w:space="0" w:color="auto"/>
              <w:right w:val="nil"/>
            </w:tcBorders>
            <w:shd w:val="clear" w:color="auto" w:fill="auto"/>
            <w:noWrap/>
            <w:vAlign w:val="bottom"/>
            <w:hideMark/>
          </w:tcPr>
          <w:p w14:paraId="0424C8CF"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-L            94,245.14 </w:t>
            </w:r>
          </w:p>
        </w:tc>
        <w:tc>
          <w:tcPr>
            <w:tcW w:w="283" w:type="pct"/>
            <w:tcBorders>
              <w:top w:val="nil"/>
              <w:left w:val="nil"/>
              <w:bottom w:val="double" w:sz="6" w:space="0" w:color="auto"/>
              <w:right w:val="nil"/>
            </w:tcBorders>
            <w:shd w:val="clear" w:color="auto" w:fill="auto"/>
            <w:noWrap/>
            <w:vAlign w:val="bottom"/>
            <w:hideMark/>
          </w:tcPr>
          <w:p w14:paraId="12384DB9"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0%</w:t>
            </w:r>
          </w:p>
        </w:tc>
        <w:tc>
          <w:tcPr>
            <w:tcW w:w="618" w:type="pct"/>
            <w:tcBorders>
              <w:top w:val="nil"/>
              <w:left w:val="nil"/>
              <w:bottom w:val="double" w:sz="6" w:space="0" w:color="auto"/>
              <w:right w:val="nil"/>
            </w:tcBorders>
            <w:shd w:val="clear" w:color="auto" w:fill="auto"/>
            <w:noWrap/>
            <w:vAlign w:val="bottom"/>
            <w:hideMark/>
          </w:tcPr>
          <w:p w14:paraId="150A5F3E"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-L            94,245.14 </w:t>
            </w:r>
          </w:p>
        </w:tc>
        <w:tc>
          <w:tcPr>
            <w:tcW w:w="282" w:type="pct"/>
            <w:tcBorders>
              <w:top w:val="nil"/>
              <w:left w:val="nil"/>
              <w:bottom w:val="double" w:sz="6" w:space="0" w:color="auto"/>
              <w:right w:val="nil"/>
            </w:tcBorders>
            <w:shd w:val="clear" w:color="auto" w:fill="auto"/>
            <w:noWrap/>
            <w:vAlign w:val="bottom"/>
            <w:hideMark/>
          </w:tcPr>
          <w:p w14:paraId="49F4875E"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0%</w:t>
            </w:r>
          </w:p>
        </w:tc>
      </w:tr>
      <w:tr w:rsidR="00A85DF8" w:rsidRPr="0076589C" w14:paraId="18320886" w14:textId="77777777" w:rsidTr="1C8D6E3A">
        <w:trPr>
          <w:trHeight w:val="270"/>
        </w:trPr>
        <w:tc>
          <w:tcPr>
            <w:tcW w:w="1399" w:type="pct"/>
            <w:tcBorders>
              <w:top w:val="nil"/>
              <w:left w:val="nil"/>
              <w:bottom w:val="single" w:sz="4" w:space="0" w:color="auto"/>
              <w:right w:val="nil"/>
            </w:tcBorders>
            <w:shd w:val="clear" w:color="auto" w:fill="auto"/>
            <w:noWrap/>
            <w:vAlign w:val="bottom"/>
            <w:hideMark/>
          </w:tcPr>
          <w:p w14:paraId="466BFE95" w14:textId="77777777" w:rsidR="00A85DF8" w:rsidRPr="0076589C" w:rsidRDefault="1C8D6E3A" w:rsidP="00A85DF8">
            <w:pPr>
              <w:spacing w:after="0" w:line="240" w:lineRule="auto"/>
              <w:ind w:left="0" w:firstLineChars="100" w:firstLine="181"/>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Total Activos Fijos</w:t>
            </w:r>
          </w:p>
        </w:tc>
        <w:tc>
          <w:tcPr>
            <w:tcW w:w="618" w:type="pct"/>
            <w:tcBorders>
              <w:top w:val="nil"/>
              <w:left w:val="nil"/>
              <w:bottom w:val="single" w:sz="4" w:space="0" w:color="auto"/>
              <w:right w:val="nil"/>
            </w:tcBorders>
            <w:shd w:val="clear" w:color="auto" w:fill="auto"/>
            <w:noWrap/>
            <w:vAlign w:val="bottom"/>
            <w:hideMark/>
          </w:tcPr>
          <w:p w14:paraId="381261D6"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3,956,438.24 </w:t>
            </w:r>
          </w:p>
        </w:tc>
        <w:tc>
          <w:tcPr>
            <w:tcW w:w="283" w:type="pct"/>
            <w:tcBorders>
              <w:top w:val="nil"/>
              <w:left w:val="nil"/>
              <w:bottom w:val="single" w:sz="4" w:space="0" w:color="auto"/>
              <w:right w:val="nil"/>
            </w:tcBorders>
            <w:shd w:val="clear" w:color="auto" w:fill="auto"/>
            <w:noWrap/>
            <w:vAlign w:val="bottom"/>
            <w:hideMark/>
          </w:tcPr>
          <w:p w14:paraId="34402210"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21%</w:t>
            </w:r>
          </w:p>
        </w:tc>
        <w:tc>
          <w:tcPr>
            <w:tcW w:w="618" w:type="pct"/>
            <w:tcBorders>
              <w:top w:val="nil"/>
              <w:left w:val="nil"/>
              <w:bottom w:val="single" w:sz="4" w:space="0" w:color="auto"/>
              <w:right w:val="nil"/>
            </w:tcBorders>
            <w:shd w:val="clear" w:color="auto" w:fill="auto"/>
            <w:noWrap/>
            <w:vAlign w:val="bottom"/>
            <w:hideMark/>
          </w:tcPr>
          <w:p w14:paraId="1B67990E"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3,781,742.51 </w:t>
            </w:r>
          </w:p>
        </w:tc>
        <w:tc>
          <w:tcPr>
            <w:tcW w:w="283" w:type="pct"/>
            <w:tcBorders>
              <w:top w:val="nil"/>
              <w:left w:val="nil"/>
              <w:bottom w:val="single" w:sz="4" w:space="0" w:color="auto"/>
              <w:right w:val="nil"/>
            </w:tcBorders>
            <w:shd w:val="clear" w:color="auto" w:fill="auto"/>
            <w:noWrap/>
            <w:vAlign w:val="bottom"/>
            <w:hideMark/>
          </w:tcPr>
          <w:p w14:paraId="70676E5F"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20%</w:t>
            </w:r>
          </w:p>
        </w:tc>
        <w:tc>
          <w:tcPr>
            <w:tcW w:w="618" w:type="pct"/>
            <w:tcBorders>
              <w:top w:val="nil"/>
              <w:left w:val="nil"/>
              <w:bottom w:val="single" w:sz="4" w:space="0" w:color="auto"/>
              <w:right w:val="nil"/>
            </w:tcBorders>
            <w:shd w:val="clear" w:color="auto" w:fill="auto"/>
            <w:noWrap/>
            <w:vAlign w:val="bottom"/>
            <w:hideMark/>
          </w:tcPr>
          <w:p w14:paraId="4B022CDF"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3,781,742.51 </w:t>
            </w:r>
          </w:p>
        </w:tc>
        <w:tc>
          <w:tcPr>
            <w:tcW w:w="283" w:type="pct"/>
            <w:tcBorders>
              <w:top w:val="nil"/>
              <w:left w:val="nil"/>
              <w:bottom w:val="single" w:sz="4" w:space="0" w:color="auto"/>
              <w:right w:val="nil"/>
            </w:tcBorders>
            <w:shd w:val="clear" w:color="auto" w:fill="auto"/>
            <w:noWrap/>
            <w:vAlign w:val="bottom"/>
            <w:hideMark/>
          </w:tcPr>
          <w:p w14:paraId="2D803251"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18%</w:t>
            </w:r>
          </w:p>
        </w:tc>
        <w:tc>
          <w:tcPr>
            <w:tcW w:w="618" w:type="pct"/>
            <w:tcBorders>
              <w:top w:val="nil"/>
              <w:left w:val="nil"/>
              <w:bottom w:val="single" w:sz="4" w:space="0" w:color="auto"/>
              <w:right w:val="nil"/>
            </w:tcBorders>
            <w:shd w:val="clear" w:color="auto" w:fill="auto"/>
            <w:noWrap/>
            <w:vAlign w:val="bottom"/>
            <w:hideMark/>
          </w:tcPr>
          <w:p w14:paraId="2A1715F5"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3,639,230.19 </w:t>
            </w:r>
          </w:p>
        </w:tc>
        <w:tc>
          <w:tcPr>
            <w:tcW w:w="282" w:type="pct"/>
            <w:tcBorders>
              <w:top w:val="nil"/>
              <w:left w:val="nil"/>
              <w:bottom w:val="single" w:sz="4" w:space="0" w:color="auto"/>
              <w:right w:val="nil"/>
            </w:tcBorders>
            <w:shd w:val="clear" w:color="auto" w:fill="auto"/>
            <w:noWrap/>
            <w:vAlign w:val="bottom"/>
            <w:hideMark/>
          </w:tcPr>
          <w:p w14:paraId="52B22B40"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15%</w:t>
            </w:r>
          </w:p>
        </w:tc>
      </w:tr>
      <w:tr w:rsidR="00A85DF8" w:rsidRPr="0076589C" w14:paraId="66A42176" w14:textId="77777777" w:rsidTr="1C8D6E3A">
        <w:trPr>
          <w:trHeight w:val="260"/>
        </w:trPr>
        <w:tc>
          <w:tcPr>
            <w:tcW w:w="1399" w:type="pct"/>
            <w:tcBorders>
              <w:top w:val="nil"/>
              <w:left w:val="nil"/>
              <w:bottom w:val="nil"/>
              <w:right w:val="nil"/>
            </w:tcBorders>
            <w:shd w:val="clear" w:color="auto" w:fill="auto"/>
            <w:noWrap/>
            <w:vAlign w:val="bottom"/>
            <w:hideMark/>
          </w:tcPr>
          <w:p w14:paraId="527DC117" w14:textId="77777777" w:rsidR="00A85DF8" w:rsidRPr="0076589C" w:rsidRDefault="00A85DF8" w:rsidP="00A85DF8">
            <w:pPr>
              <w:spacing w:after="0" w:line="240" w:lineRule="auto"/>
              <w:ind w:left="0"/>
              <w:jc w:val="center"/>
              <w:rPr>
                <w:rFonts w:ascii="Calibri" w:eastAsia="Times New Roman" w:hAnsi="Calibri" w:cs="Calibri"/>
                <w:b/>
                <w:bCs/>
                <w:color w:val="000000"/>
                <w:sz w:val="18"/>
                <w:szCs w:val="18"/>
              </w:rPr>
            </w:pPr>
          </w:p>
        </w:tc>
        <w:tc>
          <w:tcPr>
            <w:tcW w:w="618" w:type="pct"/>
            <w:tcBorders>
              <w:top w:val="nil"/>
              <w:left w:val="nil"/>
              <w:bottom w:val="nil"/>
              <w:right w:val="nil"/>
            </w:tcBorders>
            <w:shd w:val="clear" w:color="auto" w:fill="auto"/>
            <w:noWrap/>
            <w:vAlign w:val="bottom"/>
            <w:hideMark/>
          </w:tcPr>
          <w:p w14:paraId="3D6562FA" w14:textId="77777777" w:rsidR="00A85DF8" w:rsidRPr="0076589C" w:rsidRDefault="00A85DF8" w:rsidP="00A85DF8">
            <w:pPr>
              <w:spacing w:after="0" w:line="240" w:lineRule="auto"/>
              <w:ind w:left="0"/>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7592DF91"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1E97BA35"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3DCF58E6"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56923AA2"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42E032D7"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2E0B41B7" w14:textId="77777777" w:rsidR="00A85DF8" w:rsidRPr="0076589C" w:rsidRDefault="00A85DF8" w:rsidP="00A85DF8">
            <w:pPr>
              <w:spacing w:after="0" w:line="240" w:lineRule="auto"/>
              <w:ind w:left="0"/>
              <w:jc w:val="center"/>
              <w:rPr>
                <w:rFonts w:eastAsia="Times New Roman" w:cs="Times New Roman"/>
                <w:sz w:val="18"/>
                <w:szCs w:val="18"/>
              </w:rPr>
            </w:pPr>
          </w:p>
        </w:tc>
        <w:tc>
          <w:tcPr>
            <w:tcW w:w="282" w:type="pct"/>
            <w:tcBorders>
              <w:top w:val="nil"/>
              <w:left w:val="nil"/>
              <w:bottom w:val="nil"/>
              <w:right w:val="nil"/>
            </w:tcBorders>
            <w:shd w:val="clear" w:color="auto" w:fill="auto"/>
            <w:noWrap/>
            <w:vAlign w:val="bottom"/>
            <w:hideMark/>
          </w:tcPr>
          <w:p w14:paraId="00E4DAA2" w14:textId="77777777" w:rsidR="00A85DF8" w:rsidRPr="0076589C" w:rsidRDefault="00A85DF8" w:rsidP="00A85DF8">
            <w:pPr>
              <w:spacing w:after="0" w:line="240" w:lineRule="auto"/>
              <w:ind w:left="0"/>
              <w:rPr>
                <w:rFonts w:eastAsia="Times New Roman" w:cs="Times New Roman"/>
                <w:sz w:val="18"/>
                <w:szCs w:val="18"/>
              </w:rPr>
            </w:pPr>
          </w:p>
        </w:tc>
      </w:tr>
      <w:tr w:rsidR="00A85DF8" w:rsidRPr="0076589C" w14:paraId="055D2279" w14:textId="77777777" w:rsidTr="1C8D6E3A">
        <w:trPr>
          <w:trHeight w:val="260"/>
        </w:trPr>
        <w:tc>
          <w:tcPr>
            <w:tcW w:w="1399" w:type="pct"/>
            <w:tcBorders>
              <w:top w:val="nil"/>
              <w:left w:val="nil"/>
              <w:bottom w:val="nil"/>
              <w:right w:val="nil"/>
            </w:tcBorders>
            <w:shd w:val="clear" w:color="auto" w:fill="auto"/>
            <w:noWrap/>
            <w:vAlign w:val="bottom"/>
            <w:hideMark/>
          </w:tcPr>
          <w:p w14:paraId="41A496F1" w14:textId="77777777" w:rsidR="00A85DF8" w:rsidRPr="0076589C" w:rsidRDefault="1C8D6E3A" w:rsidP="00A85DF8">
            <w:pPr>
              <w:spacing w:after="0" w:line="240" w:lineRule="auto"/>
              <w:ind w:left="0" w:firstLineChars="100" w:firstLine="181"/>
              <w:rPr>
                <w:rFonts w:ascii="Calibri" w:eastAsia="Times New Roman" w:hAnsi="Calibri" w:cs="Calibri"/>
                <w:b/>
                <w:bCs/>
                <w:color w:val="000000"/>
                <w:sz w:val="18"/>
                <w:szCs w:val="18"/>
                <w:u w:val="single"/>
              </w:rPr>
            </w:pPr>
            <w:r w:rsidRPr="0076589C">
              <w:rPr>
                <w:rFonts w:ascii="Calibri" w:eastAsia="Times New Roman" w:hAnsi="Calibri" w:cs="Calibri"/>
                <w:b/>
                <w:bCs/>
                <w:color w:val="000000" w:themeColor="text1"/>
                <w:sz w:val="18"/>
                <w:szCs w:val="18"/>
                <w:u w:val="single"/>
              </w:rPr>
              <w:t>Otros Activos no Corrientes</w:t>
            </w:r>
          </w:p>
        </w:tc>
        <w:tc>
          <w:tcPr>
            <w:tcW w:w="618" w:type="pct"/>
            <w:tcBorders>
              <w:top w:val="nil"/>
              <w:left w:val="nil"/>
              <w:bottom w:val="nil"/>
              <w:right w:val="nil"/>
            </w:tcBorders>
            <w:shd w:val="clear" w:color="auto" w:fill="auto"/>
            <w:noWrap/>
            <w:vAlign w:val="bottom"/>
            <w:hideMark/>
          </w:tcPr>
          <w:p w14:paraId="623F7025" w14:textId="77777777" w:rsidR="00A85DF8" w:rsidRPr="0076589C" w:rsidRDefault="00A85DF8" w:rsidP="00A85DF8">
            <w:pPr>
              <w:spacing w:after="0" w:line="240" w:lineRule="auto"/>
              <w:ind w:left="0" w:firstLineChars="100" w:firstLine="181"/>
              <w:rPr>
                <w:rFonts w:ascii="Calibri" w:eastAsia="Times New Roman" w:hAnsi="Calibri" w:cs="Calibri"/>
                <w:b/>
                <w:bCs/>
                <w:color w:val="000000"/>
                <w:sz w:val="18"/>
                <w:szCs w:val="18"/>
                <w:u w:val="single"/>
              </w:rPr>
            </w:pPr>
          </w:p>
        </w:tc>
        <w:tc>
          <w:tcPr>
            <w:tcW w:w="283" w:type="pct"/>
            <w:tcBorders>
              <w:top w:val="nil"/>
              <w:left w:val="nil"/>
              <w:bottom w:val="nil"/>
              <w:right w:val="nil"/>
            </w:tcBorders>
            <w:shd w:val="clear" w:color="auto" w:fill="auto"/>
            <w:noWrap/>
            <w:vAlign w:val="bottom"/>
            <w:hideMark/>
          </w:tcPr>
          <w:p w14:paraId="36BE180E"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35AD980B"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5FAEB85C"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4CE37D82"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4E52C722"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58AE3433" w14:textId="77777777" w:rsidR="00A85DF8" w:rsidRPr="0076589C" w:rsidRDefault="00A85DF8" w:rsidP="00A85DF8">
            <w:pPr>
              <w:spacing w:after="0" w:line="240" w:lineRule="auto"/>
              <w:ind w:left="0"/>
              <w:jc w:val="center"/>
              <w:rPr>
                <w:rFonts w:eastAsia="Times New Roman" w:cs="Times New Roman"/>
                <w:sz w:val="18"/>
                <w:szCs w:val="18"/>
              </w:rPr>
            </w:pPr>
          </w:p>
        </w:tc>
        <w:tc>
          <w:tcPr>
            <w:tcW w:w="282" w:type="pct"/>
            <w:tcBorders>
              <w:top w:val="nil"/>
              <w:left w:val="nil"/>
              <w:bottom w:val="nil"/>
              <w:right w:val="nil"/>
            </w:tcBorders>
            <w:shd w:val="clear" w:color="auto" w:fill="auto"/>
            <w:noWrap/>
            <w:vAlign w:val="bottom"/>
            <w:hideMark/>
          </w:tcPr>
          <w:p w14:paraId="2E1561FE" w14:textId="77777777" w:rsidR="00A85DF8" w:rsidRPr="0076589C" w:rsidRDefault="00A85DF8" w:rsidP="00A85DF8">
            <w:pPr>
              <w:spacing w:after="0" w:line="240" w:lineRule="auto"/>
              <w:ind w:left="0"/>
              <w:rPr>
                <w:rFonts w:eastAsia="Times New Roman" w:cs="Times New Roman"/>
                <w:sz w:val="18"/>
                <w:szCs w:val="18"/>
              </w:rPr>
            </w:pPr>
          </w:p>
        </w:tc>
      </w:tr>
      <w:tr w:rsidR="00A85DF8" w:rsidRPr="0076589C" w14:paraId="737A8A7F" w14:textId="77777777" w:rsidTr="1C8D6E3A">
        <w:trPr>
          <w:trHeight w:val="270"/>
        </w:trPr>
        <w:tc>
          <w:tcPr>
            <w:tcW w:w="1399" w:type="pct"/>
            <w:tcBorders>
              <w:top w:val="nil"/>
              <w:left w:val="nil"/>
              <w:bottom w:val="double" w:sz="6" w:space="0" w:color="auto"/>
              <w:right w:val="nil"/>
            </w:tcBorders>
            <w:shd w:val="clear" w:color="auto" w:fill="auto"/>
            <w:noWrap/>
            <w:vAlign w:val="bottom"/>
            <w:hideMark/>
          </w:tcPr>
          <w:p w14:paraId="61001D39" w14:textId="77777777" w:rsidR="00A85DF8" w:rsidRPr="0076589C" w:rsidRDefault="1C8D6E3A" w:rsidP="00A85DF8">
            <w:pPr>
              <w:spacing w:after="0" w:line="240" w:lineRule="auto"/>
              <w:ind w:left="0" w:firstLineChars="200" w:firstLine="36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Otras Cuentas por Cobrar</w:t>
            </w:r>
          </w:p>
        </w:tc>
        <w:tc>
          <w:tcPr>
            <w:tcW w:w="618" w:type="pct"/>
            <w:tcBorders>
              <w:top w:val="nil"/>
              <w:left w:val="nil"/>
              <w:bottom w:val="double" w:sz="6" w:space="0" w:color="auto"/>
              <w:right w:val="nil"/>
            </w:tcBorders>
            <w:shd w:val="clear" w:color="auto" w:fill="auto"/>
            <w:noWrap/>
            <w:vAlign w:val="bottom"/>
            <w:hideMark/>
          </w:tcPr>
          <w:p w14:paraId="5C6E066C"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370,136.84 </w:t>
            </w:r>
          </w:p>
        </w:tc>
        <w:tc>
          <w:tcPr>
            <w:tcW w:w="283" w:type="pct"/>
            <w:tcBorders>
              <w:top w:val="nil"/>
              <w:left w:val="nil"/>
              <w:bottom w:val="double" w:sz="6" w:space="0" w:color="auto"/>
              <w:right w:val="nil"/>
            </w:tcBorders>
            <w:shd w:val="clear" w:color="auto" w:fill="auto"/>
            <w:noWrap/>
            <w:vAlign w:val="bottom"/>
            <w:hideMark/>
          </w:tcPr>
          <w:p w14:paraId="03F93A99"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2%</w:t>
            </w:r>
          </w:p>
        </w:tc>
        <w:tc>
          <w:tcPr>
            <w:tcW w:w="618" w:type="pct"/>
            <w:tcBorders>
              <w:top w:val="nil"/>
              <w:left w:val="nil"/>
              <w:bottom w:val="double" w:sz="6" w:space="0" w:color="auto"/>
              <w:right w:val="nil"/>
            </w:tcBorders>
            <w:shd w:val="clear" w:color="auto" w:fill="auto"/>
            <w:noWrap/>
            <w:vAlign w:val="bottom"/>
            <w:hideMark/>
          </w:tcPr>
          <w:p w14:paraId="0B49BF80"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765,997.04 </w:t>
            </w:r>
          </w:p>
        </w:tc>
        <w:tc>
          <w:tcPr>
            <w:tcW w:w="283" w:type="pct"/>
            <w:tcBorders>
              <w:top w:val="nil"/>
              <w:left w:val="nil"/>
              <w:bottom w:val="double" w:sz="6" w:space="0" w:color="auto"/>
              <w:right w:val="nil"/>
            </w:tcBorders>
            <w:shd w:val="clear" w:color="auto" w:fill="auto"/>
            <w:noWrap/>
            <w:vAlign w:val="bottom"/>
            <w:hideMark/>
          </w:tcPr>
          <w:p w14:paraId="274442A8"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4%</w:t>
            </w:r>
          </w:p>
        </w:tc>
        <w:tc>
          <w:tcPr>
            <w:tcW w:w="618" w:type="pct"/>
            <w:tcBorders>
              <w:top w:val="nil"/>
              <w:left w:val="nil"/>
              <w:bottom w:val="double" w:sz="6" w:space="0" w:color="auto"/>
              <w:right w:val="nil"/>
            </w:tcBorders>
            <w:shd w:val="clear" w:color="auto" w:fill="auto"/>
            <w:noWrap/>
            <w:vAlign w:val="bottom"/>
            <w:hideMark/>
          </w:tcPr>
          <w:p w14:paraId="00BDE081"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690,525.41 </w:t>
            </w:r>
          </w:p>
        </w:tc>
        <w:tc>
          <w:tcPr>
            <w:tcW w:w="283" w:type="pct"/>
            <w:tcBorders>
              <w:top w:val="nil"/>
              <w:left w:val="nil"/>
              <w:bottom w:val="double" w:sz="6" w:space="0" w:color="auto"/>
              <w:right w:val="nil"/>
            </w:tcBorders>
            <w:shd w:val="clear" w:color="auto" w:fill="auto"/>
            <w:noWrap/>
            <w:vAlign w:val="bottom"/>
            <w:hideMark/>
          </w:tcPr>
          <w:p w14:paraId="0F5A748E"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3%</w:t>
            </w:r>
          </w:p>
        </w:tc>
        <w:tc>
          <w:tcPr>
            <w:tcW w:w="618" w:type="pct"/>
            <w:tcBorders>
              <w:top w:val="nil"/>
              <w:left w:val="nil"/>
              <w:bottom w:val="double" w:sz="6" w:space="0" w:color="auto"/>
              <w:right w:val="nil"/>
            </w:tcBorders>
            <w:shd w:val="clear" w:color="auto" w:fill="auto"/>
            <w:noWrap/>
            <w:vAlign w:val="bottom"/>
            <w:hideMark/>
          </w:tcPr>
          <w:p w14:paraId="1C362E33"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549,004.96 </w:t>
            </w:r>
          </w:p>
        </w:tc>
        <w:tc>
          <w:tcPr>
            <w:tcW w:w="282" w:type="pct"/>
            <w:tcBorders>
              <w:top w:val="nil"/>
              <w:left w:val="nil"/>
              <w:bottom w:val="double" w:sz="6" w:space="0" w:color="auto"/>
              <w:right w:val="nil"/>
            </w:tcBorders>
            <w:shd w:val="clear" w:color="auto" w:fill="auto"/>
            <w:noWrap/>
            <w:vAlign w:val="bottom"/>
            <w:hideMark/>
          </w:tcPr>
          <w:p w14:paraId="65972BDC"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2%</w:t>
            </w:r>
          </w:p>
        </w:tc>
      </w:tr>
      <w:tr w:rsidR="00A85DF8" w:rsidRPr="0076589C" w14:paraId="563D45B0" w14:textId="77777777" w:rsidTr="1C8D6E3A">
        <w:trPr>
          <w:trHeight w:val="270"/>
        </w:trPr>
        <w:tc>
          <w:tcPr>
            <w:tcW w:w="1399" w:type="pct"/>
            <w:tcBorders>
              <w:top w:val="nil"/>
              <w:left w:val="nil"/>
              <w:bottom w:val="nil"/>
              <w:right w:val="nil"/>
            </w:tcBorders>
            <w:shd w:val="clear" w:color="auto" w:fill="auto"/>
            <w:noWrap/>
            <w:vAlign w:val="bottom"/>
            <w:hideMark/>
          </w:tcPr>
          <w:p w14:paraId="3F201E20" w14:textId="77777777" w:rsidR="00A85DF8" w:rsidRPr="0076589C" w:rsidRDefault="1C8D6E3A" w:rsidP="00A85DF8">
            <w:pPr>
              <w:spacing w:after="0" w:line="240" w:lineRule="auto"/>
              <w:ind w:left="0" w:firstLineChars="100" w:firstLine="181"/>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Total Activos No Corrientes</w:t>
            </w:r>
          </w:p>
        </w:tc>
        <w:tc>
          <w:tcPr>
            <w:tcW w:w="618" w:type="pct"/>
            <w:tcBorders>
              <w:top w:val="nil"/>
              <w:left w:val="nil"/>
              <w:bottom w:val="nil"/>
              <w:right w:val="nil"/>
            </w:tcBorders>
            <w:shd w:val="clear" w:color="auto" w:fill="auto"/>
            <w:noWrap/>
            <w:vAlign w:val="bottom"/>
            <w:hideMark/>
          </w:tcPr>
          <w:p w14:paraId="4E30925B"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4,326,575.08 </w:t>
            </w:r>
          </w:p>
        </w:tc>
        <w:tc>
          <w:tcPr>
            <w:tcW w:w="283" w:type="pct"/>
            <w:tcBorders>
              <w:top w:val="nil"/>
              <w:left w:val="nil"/>
              <w:bottom w:val="nil"/>
              <w:right w:val="nil"/>
            </w:tcBorders>
            <w:shd w:val="clear" w:color="auto" w:fill="C9E1EF"/>
            <w:noWrap/>
            <w:vAlign w:val="bottom"/>
            <w:hideMark/>
          </w:tcPr>
          <w:p w14:paraId="386B9A01"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23%</w:t>
            </w:r>
          </w:p>
        </w:tc>
        <w:tc>
          <w:tcPr>
            <w:tcW w:w="618" w:type="pct"/>
            <w:tcBorders>
              <w:top w:val="nil"/>
              <w:left w:val="nil"/>
              <w:bottom w:val="nil"/>
              <w:right w:val="nil"/>
            </w:tcBorders>
            <w:shd w:val="clear" w:color="auto" w:fill="auto"/>
            <w:noWrap/>
            <w:vAlign w:val="bottom"/>
            <w:hideMark/>
          </w:tcPr>
          <w:p w14:paraId="12FFF640"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4,547,739.55 </w:t>
            </w:r>
          </w:p>
        </w:tc>
        <w:tc>
          <w:tcPr>
            <w:tcW w:w="283" w:type="pct"/>
            <w:tcBorders>
              <w:top w:val="nil"/>
              <w:left w:val="nil"/>
              <w:bottom w:val="nil"/>
              <w:right w:val="nil"/>
            </w:tcBorders>
            <w:shd w:val="clear" w:color="auto" w:fill="C9E1EF"/>
            <w:noWrap/>
            <w:vAlign w:val="bottom"/>
            <w:hideMark/>
          </w:tcPr>
          <w:p w14:paraId="0096BF95"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24%</w:t>
            </w:r>
          </w:p>
        </w:tc>
        <w:tc>
          <w:tcPr>
            <w:tcW w:w="618" w:type="pct"/>
            <w:tcBorders>
              <w:top w:val="nil"/>
              <w:left w:val="nil"/>
              <w:bottom w:val="nil"/>
              <w:right w:val="nil"/>
            </w:tcBorders>
            <w:shd w:val="clear" w:color="auto" w:fill="auto"/>
            <w:noWrap/>
            <w:vAlign w:val="bottom"/>
            <w:hideMark/>
          </w:tcPr>
          <w:p w14:paraId="324071CD"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4,472,267.92 </w:t>
            </w:r>
          </w:p>
        </w:tc>
        <w:tc>
          <w:tcPr>
            <w:tcW w:w="283" w:type="pct"/>
            <w:tcBorders>
              <w:top w:val="nil"/>
              <w:left w:val="nil"/>
              <w:bottom w:val="nil"/>
              <w:right w:val="nil"/>
            </w:tcBorders>
            <w:shd w:val="clear" w:color="auto" w:fill="C9E1EF"/>
            <w:noWrap/>
            <w:vAlign w:val="bottom"/>
            <w:hideMark/>
          </w:tcPr>
          <w:p w14:paraId="6D5A8190"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21%</w:t>
            </w:r>
          </w:p>
        </w:tc>
        <w:tc>
          <w:tcPr>
            <w:tcW w:w="618" w:type="pct"/>
            <w:tcBorders>
              <w:top w:val="nil"/>
              <w:left w:val="nil"/>
              <w:bottom w:val="nil"/>
              <w:right w:val="nil"/>
            </w:tcBorders>
            <w:shd w:val="clear" w:color="auto" w:fill="auto"/>
            <w:noWrap/>
            <w:vAlign w:val="bottom"/>
            <w:hideMark/>
          </w:tcPr>
          <w:p w14:paraId="44297094"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4,188,235.15 </w:t>
            </w:r>
          </w:p>
        </w:tc>
        <w:tc>
          <w:tcPr>
            <w:tcW w:w="282" w:type="pct"/>
            <w:tcBorders>
              <w:top w:val="nil"/>
              <w:left w:val="nil"/>
              <w:bottom w:val="nil"/>
              <w:right w:val="nil"/>
            </w:tcBorders>
            <w:shd w:val="clear" w:color="auto" w:fill="C9E1EF"/>
            <w:noWrap/>
            <w:vAlign w:val="bottom"/>
            <w:hideMark/>
          </w:tcPr>
          <w:p w14:paraId="04D0B85C"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17%</w:t>
            </w:r>
          </w:p>
        </w:tc>
      </w:tr>
      <w:tr w:rsidR="00A85DF8" w:rsidRPr="0076589C" w14:paraId="36D27B68" w14:textId="77777777" w:rsidTr="1C8D6E3A">
        <w:trPr>
          <w:trHeight w:val="260"/>
        </w:trPr>
        <w:tc>
          <w:tcPr>
            <w:tcW w:w="1399" w:type="pct"/>
            <w:tcBorders>
              <w:top w:val="nil"/>
              <w:left w:val="nil"/>
              <w:bottom w:val="nil"/>
              <w:right w:val="nil"/>
            </w:tcBorders>
            <w:shd w:val="clear" w:color="auto" w:fill="auto"/>
            <w:noWrap/>
            <w:vAlign w:val="bottom"/>
            <w:hideMark/>
          </w:tcPr>
          <w:p w14:paraId="07A7477C" w14:textId="77777777" w:rsidR="00A85DF8" w:rsidRPr="0076589C" w:rsidRDefault="00A85DF8" w:rsidP="00A85DF8">
            <w:pPr>
              <w:spacing w:after="0" w:line="240" w:lineRule="auto"/>
              <w:ind w:left="0"/>
              <w:jc w:val="center"/>
              <w:rPr>
                <w:rFonts w:ascii="Calibri" w:eastAsia="Times New Roman" w:hAnsi="Calibri" w:cs="Calibri"/>
                <w:b/>
                <w:bCs/>
                <w:color w:val="000000"/>
                <w:sz w:val="18"/>
                <w:szCs w:val="18"/>
              </w:rPr>
            </w:pPr>
          </w:p>
        </w:tc>
        <w:tc>
          <w:tcPr>
            <w:tcW w:w="618" w:type="pct"/>
            <w:tcBorders>
              <w:top w:val="nil"/>
              <w:left w:val="nil"/>
              <w:bottom w:val="nil"/>
              <w:right w:val="nil"/>
            </w:tcBorders>
            <w:shd w:val="clear" w:color="auto" w:fill="auto"/>
            <w:noWrap/>
            <w:vAlign w:val="bottom"/>
            <w:hideMark/>
          </w:tcPr>
          <w:p w14:paraId="376E0BA8" w14:textId="77777777" w:rsidR="00A85DF8" w:rsidRPr="0076589C" w:rsidRDefault="00A85DF8" w:rsidP="00A85DF8">
            <w:pPr>
              <w:spacing w:after="0" w:line="240" w:lineRule="auto"/>
              <w:ind w:left="0" w:firstLineChars="100" w:firstLine="180"/>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13C1FAEF"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13C46091"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6FB967ED"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36D4D35A"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1DBCFF09"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7690BFDA" w14:textId="77777777" w:rsidR="00A85DF8" w:rsidRPr="0076589C" w:rsidRDefault="00A85DF8" w:rsidP="00A85DF8">
            <w:pPr>
              <w:spacing w:after="0" w:line="240" w:lineRule="auto"/>
              <w:ind w:left="0"/>
              <w:jc w:val="center"/>
              <w:rPr>
                <w:rFonts w:eastAsia="Times New Roman" w:cs="Times New Roman"/>
                <w:sz w:val="18"/>
                <w:szCs w:val="18"/>
              </w:rPr>
            </w:pPr>
          </w:p>
        </w:tc>
        <w:tc>
          <w:tcPr>
            <w:tcW w:w="282" w:type="pct"/>
            <w:tcBorders>
              <w:top w:val="nil"/>
              <w:left w:val="nil"/>
              <w:bottom w:val="nil"/>
              <w:right w:val="nil"/>
            </w:tcBorders>
            <w:shd w:val="clear" w:color="auto" w:fill="auto"/>
            <w:noWrap/>
            <w:vAlign w:val="bottom"/>
            <w:hideMark/>
          </w:tcPr>
          <w:p w14:paraId="2A1D0841" w14:textId="77777777" w:rsidR="00A85DF8" w:rsidRPr="0076589C" w:rsidRDefault="00A85DF8" w:rsidP="00A85DF8">
            <w:pPr>
              <w:spacing w:after="0" w:line="240" w:lineRule="auto"/>
              <w:ind w:left="0"/>
              <w:rPr>
                <w:rFonts w:eastAsia="Times New Roman" w:cs="Times New Roman"/>
                <w:sz w:val="18"/>
                <w:szCs w:val="18"/>
              </w:rPr>
            </w:pPr>
          </w:p>
        </w:tc>
      </w:tr>
      <w:tr w:rsidR="00A85DF8" w:rsidRPr="0076589C" w14:paraId="3A70E384" w14:textId="77777777" w:rsidTr="1C8D6E3A">
        <w:trPr>
          <w:trHeight w:val="260"/>
        </w:trPr>
        <w:tc>
          <w:tcPr>
            <w:tcW w:w="1399" w:type="pct"/>
            <w:tcBorders>
              <w:top w:val="single" w:sz="4" w:space="0" w:color="auto"/>
              <w:left w:val="nil"/>
              <w:bottom w:val="single" w:sz="4" w:space="0" w:color="auto"/>
              <w:right w:val="nil"/>
            </w:tcBorders>
            <w:shd w:val="clear" w:color="auto" w:fill="auto"/>
            <w:noWrap/>
            <w:vAlign w:val="bottom"/>
            <w:hideMark/>
          </w:tcPr>
          <w:p w14:paraId="43D51DCC" w14:textId="77777777" w:rsidR="00A85DF8" w:rsidRPr="0076589C" w:rsidRDefault="1C8D6E3A" w:rsidP="00A85DF8">
            <w:pPr>
              <w:spacing w:after="0" w:line="240" w:lineRule="auto"/>
              <w:ind w:left="0" w:firstLineChars="100" w:firstLine="181"/>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Total Activos</w:t>
            </w:r>
          </w:p>
        </w:tc>
        <w:tc>
          <w:tcPr>
            <w:tcW w:w="618" w:type="pct"/>
            <w:tcBorders>
              <w:top w:val="single" w:sz="4" w:space="0" w:color="auto"/>
              <w:left w:val="nil"/>
              <w:bottom w:val="single" w:sz="4" w:space="0" w:color="auto"/>
              <w:right w:val="nil"/>
            </w:tcBorders>
            <w:shd w:val="clear" w:color="auto" w:fill="auto"/>
            <w:noWrap/>
            <w:vAlign w:val="bottom"/>
            <w:hideMark/>
          </w:tcPr>
          <w:p w14:paraId="61E4ECDB"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19,024,539.28 </w:t>
            </w:r>
          </w:p>
        </w:tc>
        <w:tc>
          <w:tcPr>
            <w:tcW w:w="283" w:type="pct"/>
            <w:tcBorders>
              <w:top w:val="single" w:sz="4" w:space="0" w:color="auto"/>
              <w:left w:val="nil"/>
              <w:bottom w:val="single" w:sz="4" w:space="0" w:color="auto"/>
              <w:right w:val="nil"/>
            </w:tcBorders>
            <w:shd w:val="clear" w:color="auto" w:fill="C9E1EF"/>
            <w:noWrap/>
            <w:vAlign w:val="bottom"/>
            <w:hideMark/>
          </w:tcPr>
          <w:p w14:paraId="265F6DEB"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100%</w:t>
            </w:r>
          </w:p>
        </w:tc>
        <w:tc>
          <w:tcPr>
            <w:tcW w:w="618" w:type="pct"/>
            <w:tcBorders>
              <w:top w:val="single" w:sz="4" w:space="0" w:color="auto"/>
              <w:left w:val="nil"/>
              <w:bottom w:val="single" w:sz="4" w:space="0" w:color="auto"/>
              <w:right w:val="nil"/>
            </w:tcBorders>
            <w:shd w:val="clear" w:color="auto" w:fill="auto"/>
            <w:noWrap/>
            <w:vAlign w:val="bottom"/>
            <w:hideMark/>
          </w:tcPr>
          <w:p w14:paraId="36089A7A"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19,103,113.19 </w:t>
            </w:r>
          </w:p>
        </w:tc>
        <w:tc>
          <w:tcPr>
            <w:tcW w:w="283" w:type="pct"/>
            <w:tcBorders>
              <w:top w:val="single" w:sz="4" w:space="0" w:color="auto"/>
              <w:left w:val="nil"/>
              <w:bottom w:val="single" w:sz="4" w:space="0" w:color="auto"/>
              <w:right w:val="nil"/>
            </w:tcBorders>
            <w:shd w:val="clear" w:color="auto" w:fill="C9E1EF"/>
            <w:noWrap/>
            <w:vAlign w:val="bottom"/>
            <w:hideMark/>
          </w:tcPr>
          <w:p w14:paraId="031B0674"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100%</w:t>
            </w:r>
          </w:p>
        </w:tc>
        <w:tc>
          <w:tcPr>
            <w:tcW w:w="618" w:type="pct"/>
            <w:tcBorders>
              <w:top w:val="single" w:sz="4" w:space="0" w:color="auto"/>
              <w:left w:val="nil"/>
              <w:bottom w:val="single" w:sz="4" w:space="0" w:color="auto"/>
              <w:right w:val="nil"/>
            </w:tcBorders>
            <w:shd w:val="clear" w:color="auto" w:fill="auto"/>
            <w:noWrap/>
            <w:vAlign w:val="bottom"/>
            <w:hideMark/>
          </w:tcPr>
          <w:p w14:paraId="3ED3323C"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21,393,809.22 </w:t>
            </w:r>
          </w:p>
        </w:tc>
        <w:tc>
          <w:tcPr>
            <w:tcW w:w="283" w:type="pct"/>
            <w:tcBorders>
              <w:top w:val="single" w:sz="4" w:space="0" w:color="auto"/>
              <w:left w:val="nil"/>
              <w:bottom w:val="single" w:sz="4" w:space="0" w:color="auto"/>
              <w:right w:val="nil"/>
            </w:tcBorders>
            <w:shd w:val="clear" w:color="auto" w:fill="C9E1EF"/>
            <w:noWrap/>
            <w:vAlign w:val="bottom"/>
            <w:hideMark/>
          </w:tcPr>
          <w:p w14:paraId="473AF413"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112%</w:t>
            </w:r>
          </w:p>
        </w:tc>
        <w:tc>
          <w:tcPr>
            <w:tcW w:w="618" w:type="pct"/>
            <w:tcBorders>
              <w:top w:val="single" w:sz="4" w:space="0" w:color="auto"/>
              <w:left w:val="nil"/>
              <w:bottom w:val="single" w:sz="4" w:space="0" w:color="auto"/>
              <w:right w:val="nil"/>
            </w:tcBorders>
            <w:shd w:val="clear" w:color="auto" w:fill="auto"/>
            <w:noWrap/>
            <w:vAlign w:val="bottom"/>
            <w:hideMark/>
          </w:tcPr>
          <w:p w14:paraId="3BB26A4C"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24,423,314.42 </w:t>
            </w:r>
          </w:p>
        </w:tc>
        <w:tc>
          <w:tcPr>
            <w:tcW w:w="282" w:type="pct"/>
            <w:tcBorders>
              <w:top w:val="single" w:sz="4" w:space="0" w:color="auto"/>
              <w:left w:val="nil"/>
              <w:bottom w:val="single" w:sz="4" w:space="0" w:color="auto"/>
              <w:right w:val="nil"/>
            </w:tcBorders>
            <w:shd w:val="clear" w:color="auto" w:fill="C9E1EF"/>
            <w:noWrap/>
            <w:vAlign w:val="bottom"/>
            <w:hideMark/>
          </w:tcPr>
          <w:p w14:paraId="46A4C6F1"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100%</w:t>
            </w:r>
          </w:p>
        </w:tc>
      </w:tr>
      <w:tr w:rsidR="00A85DF8" w:rsidRPr="0076589C" w14:paraId="485205BD" w14:textId="77777777" w:rsidTr="1C8D6E3A">
        <w:trPr>
          <w:trHeight w:val="260"/>
        </w:trPr>
        <w:tc>
          <w:tcPr>
            <w:tcW w:w="1399" w:type="pct"/>
            <w:tcBorders>
              <w:top w:val="nil"/>
              <w:left w:val="nil"/>
              <w:bottom w:val="nil"/>
              <w:right w:val="nil"/>
            </w:tcBorders>
            <w:shd w:val="clear" w:color="auto" w:fill="auto"/>
            <w:noWrap/>
            <w:vAlign w:val="bottom"/>
            <w:hideMark/>
          </w:tcPr>
          <w:p w14:paraId="17D5223C" w14:textId="77777777" w:rsidR="00A85DF8" w:rsidRPr="0076589C" w:rsidRDefault="00A85DF8" w:rsidP="00A85DF8">
            <w:pPr>
              <w:spacing w:after="0" w:line="240" w:lineRule="auto"/>
              <w:ind w:left="0"/>
              <w:jc w:val="center"/>
              <w:rPr>
                <w:rFonts w:ascii="Calibri" w:eastAsia="Times New Roman" w:hAnsi="Calibri" w:cs="Calibri"/>
                <w:b/>
                <w:bCs/>
                <w:color w:val="000000"/>
                <w:sz w:val="18"/>
                <w:szCs w:val="18"/>
              </w:rPr>
            </w:pPr>
          </w:p>
        </w:tc>
        <w:tc>
          <w:tcPr>
            <w:tcW w:w="618" w:type="pct"/>
            <w:tcBorders>
              <w:top w:val="nil"/>
              <w:left w:val="nil"/>
              <w:bottom w:val="nil"/>
              <w:right w:val="nil"/>
            </w:tcBorders>
            <w:shd w:val="clear" w:color="auto" w:fill="auto"/>
            <w:noWrap/>
            <w:vAlign w:val="bottom"/>
            <w:hideMark/>
          </w:tcPr>
          <w:p w14:paraId="668F251F" w14:textId="77777777" w:rsidR="00A85DF8" w:rsidRPr="0076589C" w:rsidRDefault="00A85DF8" w:rsidP="00A85DF8">
            <w:pPr>
              <w:spacing w:after="0" w:line="240" w:lineRule="auto"/>
              <w:ind w:left="0" w:firstLineChars="100" w:firstLine="180"/>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1C90017D"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5B95C91D"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1C5139ED"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7327EB26"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5D74F788"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6B48F771" w14:textId="77777777" w:rsidR="00A85DF8" w:rsidRPr="0076589C" w:rsidRDefault="00A85DF8" w:rsidP="00A85DF8">
            <w:pPr>
              <w:spacing w:after="0" w:line="240" w:lineRule="auto"/>
              <w:ind w:left="0"/>
              <w:jc w:val="center"/>
              <w:rPr>
                <w:rFonts w:eastAsia="Times New Roman" w:cs="Times New Roman"/>
                <w:sz w:val="18"/>
                <w:szCs w:val="18"/>
              </w:rPr>
            </w:pPr>
          </w:p>
        </w:tc>
        <w:tc>
          <w:tcPr>
            <w:tcW w:w="282" w:type="pct"/>
            <w:tcBorders>
              <w:top w:val="nil"/>
              <w:left w:val="nil"/>
              <w:bottom w:val="nil"/>
              <w:right w:val="nil"/>
            </w:tcBorders>
            <w:shd w:val="clear" w:color="auto" w:fill="auto"/>
            <w:noWrap/>
            <w:vAlign w:val="bottom"/>
            <w:hideMark/>
          </w:tcPr>
          <w:p w14:paraId="69499E7D" w14:textId="77777777" w:rsidR="00A85DF8" w:rsidRPr="0076589C" w:rsidRDefault="00A85DF8" w:rsidP="00A85DF8">
            <w:pPr>
              <w:spacing w:after="0" w:line="240" w:lineRule="auto"/>
              <w:ind w:left="0"/>
              <w:rPr>
                <w:rFonts w:eastAsia="Times New Roman" w:cs="Times New Roman"/>
                <w:sz w:val="18"/>
                <w:szCs w:val="18"/>
              </w:rPr>
            </w:pPr>
          </w:p>
        </w:tc>
      </w:tr>
      <w:tr w:rsidR="00A85DF8" w:rsidRPr="0076589C" w14:paraId="35D5DBF2" w14:textId="77777777" w:rsidTr="1C8D6E3A">
        <w:trPr>
          <w:trHeight w:val="260"/>
        </w:trPr>
        <w:tc>
          <w:tcPr>
            <w:tcW w:w="1399" w:type="pct"/>
            <w:tcBorders>
              <w:top w:val="nil"/>
              <w:left w:val="nil"/>
              <w:bottom w:val="nil"/>
              <w:right w:val="nil"/>
            </w:tcBorders>
            <w:shd w:val="clear" w:color="auto" w:fill="EDEDED" w:themeFill="accent3" w:themeFillTint="33"/>
            <w:noWrap/>
            <w:vAlign w:val="bottom"/>
            <w:hideMark/>
          </w:tcPr>
          <w:p w14:paraId="0DB305D2" w14:textId="77777777" w:rsidR="00A85DF8" w:rsidRPr="0076589C" w:rsidRDefault="1C8D6E3A" w:rsidP="00A85DF8">
            <w:pPr>
              <w:spacing w:after="0" w:line="240" w:lineRule="auto"/>
              <w:ind w:left="0"/>
              <w:rPr>
                <w:rFonts w:ascii="Calibri" w:eastAsia="Times New Roman" w:hAnsi="Calibri" w:cs="Calibri"/>
                <w:b/>
                <w:bCs/>
                <w:color w:val="44546A"/>
                <w:sz w:val="18"/>
                <w:szCs w:val="18"/>
              </w:rPr>
            </w:pPr>
            <w:r w:rsidRPr="0076589C">
              <w:rPr>
                <w:rFonts w:ascii="Calibri" w:eastAsia="Times New Roman" w:hAnsi="Calibri" w:cs="Calibri"/>
                <w:b/>
                <w:bCs/>
                <w:color w:val="44546A" w:themeColor="text2"/>
                <w:sz w:val="18"/>
                <w:szCs w:val="18"/>
              </w:rPr>
              <w:t>Pasivos</w:t>
            </w:r>
          </w:p>
        </w:tc>
        <w:tc>
          <w:tcPr>
            <w:tcW w:w="618" w:type="pct"/>
            <w:tcBorders>
              <w:top w:val="nil"/>
              <w:left w:val="nil"/>
              <w:bottom w:val="nil"/>
              <w:right w:val="nil"/>
            </w:tcBorders>
            <w:shd w:val="clear" w:color="auto" w:fill="EDEDED" w:themeFill="accent3" w:themeFillTint="33"/>
            <w:noWrap/>
            <w:vAlign w:val="bottom"/>
            <w:hideMark/>
          </w:tcPr>
          <w:p w14:paraId="27F2FAD2"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c>
          <w:tcPr>
            <w:tcW w:w="283" w:type="pct"/>
            <w:tcBorders>
              <w:top w:val="nil"/>
              <w:left w:val="nil"/>
              <w:bottom w:val="nil"/>
              <w:right w:val="nil"/>
            </w:tcBorders>
            <w:shd w:val="clear" w:color="auto" w:fill="EDEDED" w:themeFill="accent3" w:themeFillTint="33"/>
            <w:noWrap/>
            <w:vAlign w:val="bottom"/>
            <w:hideMark/>
          </w:tcPr>
          <w:p w14:paraId="2F8D003D"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c>
          <w:tcPr>
            <w:tcW w:w="618" w:type="pct"/>
            <w:tcBorders>
              <w:top w:val="nil"/>
              <w:left w:val="nil"/>
              <w:bottom w:val="nil"/>
              <w:right w:val="nil"/>
            </w:tcBorders>
            <w:shd w:val="clear" w:color="auto" w:fill="EDEDED" w:themeFill="accent3" w:themeFillTint="33"/>
            <w:noWrap/>
            <w:vAlign w:val="bottom"/>
            <w:hideMark/>
          </w:tcPr>
          <w:p w14:paraId="4F4EF59B"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c>
          <w:tcPr>
            <w:tcW w:w="283" w:type="pct"/>
            <w:tcBorders>
              <w:top w:val="nil"/>
              <w:left w:val="nil"/>
              <w:bottom w:val="nil"/>
              <w:right w:val="nil"/>
            </w:tcBorders>
            <w:shd w:val="clear" w:color="auto" w:fill="EDEDED" w:themeFill="accent3" w:themeFillTint="33"/>
            <w:noWrap/>
            <w:vAlign w:val="bottom"/>
            <w:hideMark/>
          </w:tcPr>
          <w:p w14:paraId="23312629"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c>
          <w:tcPr>
            <w:tcW w:w="618" w:type="pct"/>
            <w:tcBorders>
              <w:top w:val="nil"/>
              <w:left w:val="nil"/>
              <w:bottom w:val="nil"/>
              <w:right w:val="nil"/>
            </w:tcBorders>
            <w:shd w:val="clear" w:color="auto" w:fill="EDEDED" w:themeFill="accent3" w:themeFillTint="33"/>
            <w:noWrap/>
            <w:vAlign w:val="bottom"/>
            <w:hideMark/>
          </w:tcPr>
          <w:p w14:paraId="2F91A71F"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c>
          <w:tcPr>
            <w:tcW w:w="283" w:type="pct"/>
            <w:tcBorders>
              <w:top w:val="nil"/>
              <w:left w:val="nil"/>
              <w:bottom w:val="nil"/>
              <w:right w:val="nil"/>
            </w:tcBorders>
            <w:shd w:val="clear" w:color="auto" w:fill="EDEDED" w:themeFill="accent3" w:themeFillTint="33"/>
            <w:noWrap/>
            <w:vAlign w:val="bottom"/>
            <w:hideMark/>
          </w:tcPr>
          <w:p w14:paraId="01C51AE5"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c>
          <w:tcPr>
            <w:tcW w:w="618" w:type="pct"/>
            <w:tcBorders>
              <w:top w:val="nil"/>
              <w:left w:val="nil"/>
              <w:bottom w:val="nil"/>
              <w:right w:val="nil"/>
            </w:tcBorders>
            <w:shd w:val="clear" w:color="auto" w:fill="EDEDED" w:themeFill="accent3" w:themeFillTint="33"/>
            <w:noWrap/>
            <w:vAlign w:val="bottom"/>
            <w:hideMark/>
          </w:tcPr>
          <w:p w14:paraId="01A57360"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c>
          <w:tcPr>
            <w:tcW w:w="282" w:type="pct"/>
            <w:tcBorders>
              <w:top w:val="nil"/>
              <w:left w:val="nil"/>
              <w:bottom w:val="nil"/>
              <w:right w:val="nil"/>
            </w:tcBorders>
            <w:shd w:val="clear" w:color="auto" w:fill="EDEDED" w:themeFill="accent3" w:themeFillTint="33"/>
            <w:noWrap/>
            <w:vAlign w:val="bottom"/>
            <w:hideMark/>
          </w:tcPr>
          <w:p w14:paraId="4347D57C"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r>
      <w:tr w:rsidR="00A85DF8" w:rsidRPr="0076589C" w14:paraId="51364129" w14:textId="77777777" w:rsidTr="1C8D6E3A">
        <w:trPr>
          <w:trHeight w:val="260"/>
        </w:trPr>
        <w:tc>
          <w:tcPr>
            <w:tcW w:w="1399" w:type="pct"/>
            <w:tcBorders>
              <w:top w:val="nil"/>
              <w:left w:val="nil"/>
              <w:bottom w:val="nil"/>
              <w:right w:val="nil"/>
            </w:tcBorders>
            <w:shd w:val="clear" w:color="auto" w:fill="auto"/>
            <w:noWrap/>
            <w:vAlign w:val="bottom"/>
            <w:hideMark/>
          </w:tcPr>
          <w:p w14:paraId="68639AD8" w14:textId="77777777" w:rsidR="00A85DF8" w:rsidRPr="0076589C" w:rsidRDefault="1C8D6E3A" w:rsidP="00A85DF8">
            <w:pPr>
              <w:spacing w:after="0" w:line="240" w:lineRule="auto"/>
              <w:ind w:left="0" w:firstLineChars="100" w:firstLine="181"/>
              <w:rPr>
                <w:rFonts w:ascii="Calibri" w:eastAsia="Times New Roman" w:hAnsi="Calibri" w:cs="Calibri"/>
                <w:b/>
                <w:bCs/>
                <w:color w:val="000000"/>
                <w:sz w:val="18"/>
                <w:szCs w:val="18"/>
                <w:u w:val="single"/>
              </w:rPr>
            </w:pPr>
            <w:r w:rsidRPr="0076589C">
              <w:rPr>
                <w:rFonts w:ascii="Calibri" w:eastAsia="Times New Roman" w:hAnsi="Calibri" w:cs="Calibri"/>
                <w:b/>
                <w:bCs/>
                <w:color w:val="000000" w:themeColor="text1"/>
                <w:sz w:val="18"/>
                <w:szCs w:val="18"/>
                <w:u w:val="single"/>
              </w:rPr>
              <w:t>Pasivos Corrientes</w:t>
            </w:r>
          </w:p>
        </w:tc>
        <w:tc>
          <w:tcPr>
            <w:tcW w:w="618" w:type="pct"/>
            <w:tcBorders>
              <w:top w:val="nil"/>
              <w:left w:val="nil"/>
              <w:bottom w:val="nil"/>
              <w:right w:val="nil"/>
            </w:tcBorders>
            <w:shd w:val="clear" w:color="auto" w:fill="auto"/>
            <w:noWrap/>
            <w:vAlign w:val="bottom"/>
            <w:hideMark/>
          </w:tcPr>
          <w:p w14:paraId="503838B1" w14:textId="77777777" w:rsidR="00A85DF8" w:rsidRPr="0076589C" w:rsidRDefault="00A85DF8" w:rsidP="00A85DF8">
            <w:pPr>
              <w:spacing w:after="0" w:line="240" w:lineRule="auto"/>
              <w:ind w:left="0" w:firstLineChars="100" w:firstLine="181"/>
              <w:rPr>
                <w:rFonts w:ascii="Calibri" w:eastAsia="Times New Roman" w:hAnsi="Calibri" w:cs="Calibri"/>
                <w:b/>
                <w:bCs/>
                <w:color w:val="000000"/>
                <w:sz w:val="18"/>
                <w:szCs w:val="18"/>
                <w:u w:val="single"/>
              </w:rPr>
            </w:pPr>
          </w:p>
        </w:tc>
        <w:tc>
          <w:tcPr>
            <w:tcW w:w="283" w:type="pct"/>
            <w:tcBorders>
              <w:top w:val="nil"/>
              <w:left w:val="nil"/>
              <w:bottom w:val="nil"/>
              <w:right w:val="nil"/>
            </w:tcBorders>
            <w:shd w:val="clear" w:color="auto" w:fill="auto"/>
            <w:noWrap/>
            <w:vAlign w:val="bottom"/>
            <w:hideMark/>
          </w:tcPr>
          <w:p w14:paraId="17E3D18B"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19EA82E9"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54ACEE13"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0936290B"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7DD1522D"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624A779D" w14:textId="77777777" w:rsidR="00A85DF8" w:rsidRPr="0076589C" w:rsidRDefault="00A85DF8" w:rsidP="00A85DF8">
            <w:pPr>
              <w:spacing w:after="0" w:line="240" w:lineRule="auto"/>
              <w:ind w:left="0"/>
              <w:jc w:val="center"/>
              <w:rPr>
                <w:rFonts w:eastAsia="Times New Roman" w:cs="Times New Roman"/>
                <w:sz w:val="18"/>
                <w:szCs w:val="18"/>
              </w:rPr>
            </w:pPr>
          </w:p>
        </w:tc>
        <w:tc>
          <w:tcPr>
            <w:tcW w:w="282" w:type="pct"/>
            <w:tcBorders>
              <w:top w:val="nil"/>
              <w:left w:val="nil"/>
              <w:bottom w:val="nil"/>
              <w:right w:val="nil"/>
            </w:tcBorders>
            <w:shd w:val="clear" w:color="auto" w:fill="auto"/>
            <w:noWrap/>
            <w:vAlign w:val="bottom"/>
            <w:hideMark/>
          </w:tcPr>
          <w:p w14:paraId="5DDBB832" w14:textId="77777777" w:rsidR="00A85DF8" w:rsidRPr="0076589C" w:rsidRDefault="00A85DF8" w:rsidP="00A85DF8">
            <w:pPr>
              <w:spacing w:after="0" w:line="240" w:lineRule="auto"/>
              <w:ind w:left="0"/>
              <w:rPr>
                <w:rFonts w:eastAsia="Times New Roman" w:cs="Times New Roman"/>
                <w:sz w:val="18"/>
                <w:szCs w:val="18"/>
              </w:rPr>
            </w:pPr>
          </w:p>
        </w:tc>
      </w:tr>
      <w:tr w:rsidR="00A85DF8" w:rsidRPr="0076589C" w14:paraId="58D396F3" w14:textId="77777777" w:rsidTr="1C8D6E3A">
        <w:trPr>
          <w:trHeight w:val="260"/>
        </w:trPr>
        <w:tc>
          <w:tcPr>
            <w:tcW w:w="1399" w:type="pct"/>
            <w:tcBorders>
              <w:top w:val="nil"/>
              <w:left w:val="nil"/>
              <w:bottom w:val="nil"/>
              <w:right w:val="nil"/>
            </w:tcBorders>
            <w:shd w:val="clear" w:color="auto" w:fill="auto"/>
            <w:noWrap/>
            <w:vAlign w:val="bottom"/>
            <w:hideMark/>
          </w:tcPr>
          <w:p w14:paraId="296EAA6C" w14:textId="77777777" w:rsidR="00A85DF8" w:rsidRPr="0076589C" w:rsidRDefault="1C8D6E3A" w:rsidP="00A85DF8">
            <w:pPr>
              <w:spacing w:after="0" w:line="240" w:lineRule="auto"/>
              <w:ind w:left="0" w:firstLineChars="200" w:firstLine="36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lastRenderedPageBreak/>
              <w:t>Proveedores</w:t>
            </w:r>
          </w:p>
        </w:tc>
        <w:tc>
          <w:tcPr>
            <w:tcW w:w="618" w:type="pct"/>
            <w:tcBorders>
              <w:top w:val="nil"/>
              <w:left w:val="nil"/>
              <w:bottom w:val="nil"/>
              <w:right w:val="nil"/>
            </w:tcBorders>
            <w:shd w:val="clear" w:color="auto" w:fill="auto"/>
            <w:noWrap/>
            <w:vAlign w:val="bottom"/>
            <w:hideMark/>
          </w:tcPr>
          <w:p w14:paraId="158CB3A0"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1,278,082.07 </w:t>
            </w:r>
          </w:p>
        </w:tc>
        <w:tc>
          <w:tcPr>
            <w:tcW w:w="283" w:type="pct"/>
            <w:tcBorders>
              <w:top w:val="nil"/>
              <w:left w:val="nil"/>
              <w:bottom w:val="nil"/>
              <w:right w:val="nil"/>
            </w:tcBorders>
            <w:shd w:val="clear" w:color="auto" w:fill="auto"/>
            <w:noWrap/>
            <w:vAlign w:val="bottom"/>
            <w:hideMark/>
          </w:tcPr>
          <w:p w14:paraId="51D3B20D"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7%</w:t>
            </w:r>
          </w:p>
        </w:tc>
        <w:tc>
          <w:tcPr>
            <w:tcW w:w="618" w:type="pct"/>
            <w:tcBorders>
              <w:top w:val="nil"/>
              <w:left w:val="nil"/>
              <w:bottom w:val="nil"/>
              <w:right w:val="nil"/>
            </w:tcBorders>
            <w:shd w:val="clear" w:color="auto" w:fill="auto"/>
            <w:noWrap/>
            <w:vAlign w:val="bottom"/>
            <w:hideMark/>
          </w:tcPr>
          <w:p w14:paraId="41628E04"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708,642.39 </w:t>
            </w:r>
          </w:p>
        </w:tc>
        <w:tc>
          <w:tcPr>
            <w:tcW w:w="283" w:type="pct"/>
            <w:tcBorders>
              <w:top w:val="nil"/>
              <w:left w:val="nil"/>
              <w:bottom w:val="nil"/>
              <w:right w:val="nil"/>
            </w:tcBorders>
            <w:shd w:val="clear" w:color="auto" w:fill="auto"/>
            <w:noWrap/>
            <w:vAlign w:val="bottom"/>
            <w:hideMark/>
          </w:tcPr>
          <w:p w14:paraId="7CEEFB80"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4%</w:t>
            </w:r>
          </w:p>
        </w:tc>
        <w:tc>
          <w:tcPr>
            <w:tcW w:w="618" w:type="pct"/>
            <w:tcBorders>
              <w:top w:val="nil"/>
              <w:left w:val="nil"/>
              <w:bottom w:val="nil"/>
              <w:right w:val="nil"/>
            </w:tcBorders>
            <w:shd w:val="clear" w:color="auto" w:fill="auto"/>
            <w:noWrap/>
            <w:vAlign w:val="bottom"/>
            <w:hideMark/>
          </w:tcPr>
          <w:p w14:paraId="77336BB6"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1,119,274.85 </w:t>
            </w:r>
          </w:p>
        </w:tc>
        <w:tc>
          <w:tcPr>
            <w:tcW w:w="283" w:type="pct"/>
            <w:tcBorders>
              <w:top w:val="nil"/>
              <w:left w:val="nil"/>
              <w:bottom w:val="nil"/>
              <w:right w:val="nil"/>
            </w:tcBorders>
            <w:shd w:val="clear" w:color="auto" w:fill="auto"/>
            <w:noWrap/>
            <w:vAlign w:val="bottom"/>
            <w:hideMark/>
          </w:tcPr>
          <w:p w14:paraId="0AB81C08"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5%</w:t>
            </w:r>
          </w:p>
        </w:tc>
        <w:tc>
          <w:tcPr>
            <w:tcW w:w="618" w:type="pct"/>
            <w:tcBorders>
              <w:top w:val="nil"/>
              <w:left w:val="nil"/>
              <w:bottom w:val="nil"/>
              <w:right w:val="nil"/>
            </w:tcBorders>
            <w:shd w:val="clear" w:color="auto" w:fill="auto"/>
            <w:noWrap/>
            <w:vAlign w:val="bottom"/>
            <w:hideMark/>
          </w:tcPr>
          <w:p w14:paraId="54181C92"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2,515,299.71 </w:t>
            </w:r>
          </w:p>
        </w:tc>
        <w:tc>
          <w:tcPr>
            <w:tcW w:w="282" w:type="pct"/>
            <w:tcBorders>
              <w:top w:val="nil"/>
              <w:left w:val="nil"/>
              <w:bottom w:val="nil"/>
              <w:right w:val="nil"/>
            </w:tcBorders>
            <w:shd w:val="clear" w:color="auto" w:fill="auto"/>
            <w:noWrap/>
            <w:vAlign w:val="bottom"/>
            <w:hideMark/>
          </w:tcPr>
          <w:p w14:paraId="3C0CF9B0"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10%</w:t>
            </w:r>
          </w:p>
        </w:tc>
      </w:tr>
      <w:tr w:rsidR="00A85DF8" w:rsidRPr="0076589C" w14:paraId="130E5F87" w14:textId="77777777" w:rsidTr="1C8D6E3A">
        <w:trPr>
          <w:trHeight w:val="260"/>
        </w:trPr>
        <w:tc>
          <w:tcPr>
            <w:tcW w:w="1399" w:type="pct"/>
            <w:tcBorders>
              <w:top w:val="nil"/>
              <w:left w:val="nil"/>
              <w:bottom w:val="nil"/>
              <w:right w:val="nil"/>
            </w:tcBorders>
            <w:shd w:val="clear" w:color="auto" w:fill="auto"/>
            <w:noWrap/>
            <w:vAlign w:val="bottom"/>
            <w:hideMark/>
          </w:tcPr>
          <w:p w14:paraId="4852C317" w14:textId="77777777" w:rsidR="00A85DF8" w:rsidRPr="0076589C" w:rsidRDefault="1C8D6E3A" w:rsidP="00A85DF8">
            <w:pPr>
              <w:spacing w:after="0" w:line="240" w:lineRule="auto"/>
              <w:ind w:left="0" w:firstLineChars="200" w:firstLine="36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Cuentas por Pagar</w:t>
            </w:r>
          </w:p>
        </w:tc>
        <w:tc>
          <w:tcPr>
            <w:tcW w:w="618" w:type="pct"/>
            <w:tcBorders>
              <w:top w:val="nil"/>
              <w:left w:val="nil"/>
              <w:bottom w:val="nil"/>
              <w:right w:val="nil"/>
            </w:tcBorders>
            <w:shd w:val="clear" w:color="auto" w:fill="auto"/>
            <w:noWrap/>
            <w:vAlign w:val="bottom"/>
            <w:hideMark/>
          </w:tcPr>
          <w:p w14:paraId="2A1328E4"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289,116.59 </w:t>
            </w:r>
          </w:p>
        </w:tc>
        <w:tc>
          <w:tcPr>
            <w:tcW w:w="283" w:type="pct"/>
            <w:tcBorders>
              <w:top w:val="nil"/>
              <w:left w:val="nil"/>
              <w:bottom w:val="nil"/>
              <w:right w:val="nil"/>
            </w:tcBorders>
            <w:shd w:val="clear" w:color="auto" w:fill="auto"/>
            <w:noWrap/>
            <w:vAlign w:val="bottom"/>
            <w:hideMark/>
          </w:tcPr>
          <w:p w14:paraId="3C147D02"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2%</w:t>
            </w:r>
          </w:p>
        </w:tc>
        <w:tc>
          <w:tcPr>
            <w:tcW w:w="618" w:type="pct"/>
            <w:tcBorders>
              <w:top w:val="nil"/>
              <w:left w:val="nil"/>
              <w:bottom w:val="nil"/>
              <w:right w:val="nil"/>
            </w:tcBorders>
            <w:shd w:val="clear" w:color="auto" w:fill="auto"/>
            <w:noWrap/>
            <w:vAlign w:val="bottom"/>
            <w:hideMark/>
          </w:tcPr>
          <w:p w14:paraId="790C88D2"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386,865.72 </w:t>
            </w:r>
          </w:p>
        </w:tc>
        <w:tc>
          <w:tcPr>
            <w:tcW w:w="283" w:type="pct"/>
            <w:tcBorders>
              <w:top w:val="nil"/>
              <w:left w:val="nil"/>
              <w:bottom w:val="nil"/>
              <w:right w:val="nil"/>
            </w:tcBorders>
            <w:shd w:val="clear" w:color="auto" w:fill="auto"/>
            <w:noWrap/>
            <w:vAlign w:val="bottom"/>
            <w:hideMark/>
          </w:tcPr>
          <w:p w14:paraId="70E9CAFC"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2%</w:t>
            </w:r>
          </w:p>
        </w:tc>
        <w:tc>
          <w:tcPr>
            <w:tcW w:w="618" w:type="pct"/>
            <w:tcBorders>
              <w:top w:val="nil"/>
              <w:left w:val="nil"/>
              <w:bottom w:val="nil"/>
              <w:right w:val="nil"/>
            </w:tcBorders>
            <w:shd w:val="clear" w:color="auto" w:fill="auto"/>
            <w:noWrap/>
            <w:vAlign w:val="bottom"/>
            <w:hideMark/>
          </w:tcPr>
          <w:p w14:paraId="541D1890"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238,445.34 </w:t>
            </w:r>
          </w:p>
        </w:tc>
        <w:tc>
          <w:tcPr>
            <w:tcW w:w="283" w:type="pct"/>
            <w:tcBorders>
              <w:top w:val="nil"/>
              <w:left w:val="nil"/>
              <w:bottom w:val="nil"/>
              <w:right w:val="nil"/>
            </w:tcBorders>
            <w:shd w:val="clear" w:color="auto" w:fill="auto"/>
            <w:noWrap/>
            <w:vAlign w:val="bottom"/>
            <w:hideMark/>
          </w:tcPr>
          <w:p w14:paraId="7B441F41"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w:t>
            </w:r>
          </w:p>
        </w:tc>
        <w:tc>
          <w:tcPr>
            <w:tcW w:w="618" w:type="pct"/>
            <w:tcBorders>
              <w:top w:val="nil"/>
              <w:left w:val="nil"/>
              <w:bottom w:val="nil"/>
              <w:right w:val="nil"/>
            </w:tcBorders>
            <w:shd w:val="clear" w:color="auto" w:fill="auto"/>
            <w:noWrap/>
            <w:vAlign w:val="bottom"/>
            <w:hideMark/>
          </w:tcPr>
          <w:p w14:paraId="7F7003BC"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205,730.54 </w:t>
            </w:r>
          </w:p>
        </w:tc>
        <w:tc>
          <w:tcPr>
            <w:tcW w:w="282" w:type="pct"/>
            <w:tcBorders>
              <w:top w:val="nil"/>
              <w:left w:val="nil"/>
              <w:bottom w:val="nil"/>
              <w:right w:val="nil"/>
            </w:tcBorders>
            <w:shd w:val="clear" w:color="auto" w:fill="auto"/>
            <w:noWrap/>
            <w:vAlign w:val="bottom"/>
            <w:hideMark/>
          </w:tcPr>
          <w:p w14:paraId="074C3EB5"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w:t>
            </w:r>
          </w:p>
        </w:tc>
      </w:tr>
      <w:tr w:rsidR="00A85DF8" w:rsidRPr="0076589C" w14:paraId="4FEE8262" w14:textId="77777777" w:rsidTr="1C8D6E3A">
        <w:trPr>
          <w:trHeight w:val="270"/>
        </w:trPr>
        <w:tc>
          <w:tcPr>
            <w:tcW w:w="1399" w:type="pct"/>
            <w:tcBorders>
              <w:top w:val="nil"/>
              <w:left w:val="nil"/>
              <w:bottom w:val="double" w:sz="6" w:space="0" w:color="auto"/>
              <w:right w:val="nil"/>
            </w:tcBorders>
            <w:shd w:val="clear" w:color="auto" w:fill="auto"/>
            <w:noWrap/>
            <w:vAlign w:val="bottom"/>
            <w:hideMark/>
          </w:tcPr>
          <w:p w14:paraId="2973733E" w14:textId="77777777" w:rsidR="00A85DF8" w:rsidRPr="0076589C" w:rsidRDefault="1C8D6E3A" w:rsidP="00A85DF8">
            <w:pPr>
              <w:spacing w:after="0" w:line="240" w:lineRule="auto"/>
              <w:ind w:left="0" w:firstLineChars="200" w:firstLine="36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Impuesto Sobre la Renta por pagar</w:t>
            </w:r>
          </w:p>
        </w:tc>
        <w:tc>
          <w:tcPr>
            <w:tcW w:w="618" w:type="pct"/>
            <w:tcBorders>
              <w:top w:val="nil"/>
              <w:left w:val="nil"/>
              <w:bottom w:val="double" w:sz="6" w:space="0" w:color="auto"/>
              <w:right w:val="nil"/>
            </w:tcBorders>
            <w:shd w:val="clear" w:color="auto" w:fill="auto"/>
            <w:noWrap/>
            <w:vAlign w:val="bottom"/>
            <w:hideMark/>
          </w:tcPr>
          <w:p w14:paraId="4D18EA03"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336,435.80 </w:t>
            </w:r>
          </w:p>
        </w:tc>
        <w:tc>
          <w:tcPr>
            <w:tcW w:w="283" w:type="pct"/>
            <w:tcBorders>
              <w:top w:val="nil"/>
              <w:left w:val="nil"/>
              <w:bottom w:val="nil"/>
              <w:right w:val="nil"/>
            </w:tcBorders>
            <w:shd w:val="clear" w:color="auto" w:fill="auto"/>
            <w:noWrap/>
            <w:vAlign w:val="bottom"/>
            <w:hideMark/>
          </w:tcPr>
          <w:p w14:paraId="4FD662C9"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2%</w:t>
            </w:r>
          </w:p>
        </w:tc>
        <w:tc>
          <w:tcPr>
            <w:tcW w:w="618" w:type="pct"/>
            <w:tcBorders>
              <w:top w:val="nil"/>
              <w:left w:val="nil"/>
              <w:bottom w:val="double" w:sz="6" w:space="0" w:color="auto"/>
              <w:right w:val="nil"/>
            </w:tcBorders>
            <w:shd w:val="clear" w:color="auto" w:fill="auto"/>
            <w:noWrap/>
            <w:vAlign w:val="bottom"/>
            <w:hideMark/>
          </w:tcPr>
          <w:p w14:paraId="6E988FDC"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   </w:t>
            </w:r>
          </w:p>
        </w:tc>
        <w:tc>
          <w:tcPr>
            <w:tcW w:w="283" w:type="pct"/>
            <w:tcBorders>
              <w:top w:val="nil"/>
              <w:left w:val="nil"/>
              <w:bottom w:val="nil"/>
              <w:right w:val="nil"/>
            </w:tcBorders>
            <w:shd w:val="clear" w:color="auto" w:fill="auto"/>
            <w:noWrap/>
            <w:vAlign w:val="bottom"/>
            <w:hideMark/>
          </w:tcPr>
          <w:p w14:paraId="6DD3D8C4"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0%</w:t>
            </w:r>
          </w:p>
        </w:tc>
        <w:tc>
          <w:tcPr>
            <w:tcW w:w="618" w:type="pct"/>
            <w:tcBorders>
              <w:top w:val="nil"/>
              <w:left w:val="nil"/>
              <w:bottom w:val="double" w:sz="6" w:space="0" w:color="auto"/>
              <w:right w:val="nil"/>
            </w:tcBorders>
            <w:shd w:val="clear" w:color="auto" w:fill="auto"/>
            <w:noWrap/>
            <w:vAlign w:val="bottom"/>
            <w:hideMark/>
          </w:tcPr>
          <w:p w14:paraId="732FBC21"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269,735.45 </w:t>
            </w:r>
          </w:p>
        </w:tc>
        <w:tc>
          <w:tcPr>
            <w:tcW w:w="283" w:type="pct"/>
            <w:tcBorders>
              <w:top w:val="nil"/>
              <w:left w:val="nil"/>
              <w:bottom w:val="nil"/>
              <w:right w:val="nil"/>
            </w:tcBorders>
            <w:shd w:val="clear" w:color="auto" w:fill="auto"/>
            <w:noWrap/>
            <w:vAlign w:val="bottom"/>
            <w:hideMark/>
          </w:tcPr>
          <w:p w14:paraId="0951319B"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w:t>
            </w:r>
          </w:p>
        </w:tc>
        <w:tc>
          <w:tcPr>
            <w:tcW w:w="618" w:type="pct"/>
            <w:tcBorders>
              <w:top w:val="nil"/>
              <w:left w:val="nil"/>
              <w:bottom w:val="double" w:sz="6" w:space="0" w:color="auto"/>
              <w:right w:val="nil"/>
            </w:tcBorders>
            <w:shd w:val="clear" w:color="auto" w:fill="auto"/>
            <w:noWrap/>
            <w:vAlign w:val="bottom"/>
            <w:hideMark/>
          </w:tcPr>
          <w:p w14:paraId="0AE8C547"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249,879.60 </w:t>
            </w:r>
          </w:p>
        </w:tc>
        <w:tc>
          <w:tcPr>
            <w:tcW w:w="282" w:type="pct"/>
            <w:tcBorders>
              <w:top w:val="nil"/>
              <w:left w:val="nil"/>
              <w:bottom w:val="nil"/>
              <w:right w:val="nil"/>
            </w:tcBorders>
            <w:shd w:val="clear" w:color="auto" w:fill="auto"/>
            <w:noWrap/>
            <w:vAlign w:val="bottom"/>
            <w:hideMark/>
          </w:tcPr>
          <w:p w14:paraId="1EE4F097"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w:t>
            </w:r>
          </w:p>
        </w:tc>
      </w:tr>
      <w:tr w:rsidR="00A85DF8" w:rsidRPr="0076589C" w14:paraId="2FBB7973" w14:textId="77777777" w:rsidTr="1C8D6E3A">
        <w:trPr>
          <w:trHeight w:val="270"/>
        </w:trPr>
        <w:tc>
          <w:tcPr>
            <w:tcW w:w="1399" w:type="pct"/>
            <w:tcBorders>
              <w:top w:val="nil"/>
              <w:left w:val="nil"/>
              <w:bottom w:val="single" w:sz="4" w:space="0" w:color="auto"/>
              <w:right w:val="nil"/>
            </w:tcBorders>
            <w:shd w:val="clear" w:color="auto" w:fill="auto"/>
            <w:noWrap/>
            <w:vAlign w:val="bottom"/>
            <w:hideMark/>
          </w:tcPr>
          <w:p w14:paraId="0C0CC5EB" w14:textId="77777777" w:rsidR="00A85DF8" w:rsidRPr="0076589C" w:rsidRDefault="1C8D6E3A" w:rsidP="00A85DF8">
            <w:pPr>
              <w:spacing w:after="0" w:line="240" w:lineRule="auto"/>
              <w:ind w:left="0" w:firstLineChars="100" w:firstLine="181"/>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Total Pasivos Corrientes</w:t>
            </w:r>
          </w:p>
        </w:tc>
        <w:tc>
          <w:tcPr>
            <w:tcW w:w="618" w:type="pct"/>
            <w:tcBorders>
              <w:top w:val="nil"/>
              <w:left w:val="nil"/>
              <w:bottom w:val="single" w:sz="4" w:space="0" w:color="auto"/>
              <w:right w:val="nil"/>
            </w:tcBorders>
            <w:shd w:val="clear" w:color="auto" w:fill="auto"/>
            <w:noWrap/>
            <w:vAlign w:val="bottom"/>
            <w:hideMark/>
          </w:tcPr>
          <w:p w14:paraId="61117374"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1,903,634.46 </w:t>
            </w:r>
          </w:p>
        </w:tc>
        <w:tc>
          <w:tcPr>
            <w:tcW w:w="283" w:type="pct"/>
            <w:tcBorders>
              <w:top w:val="double" w:sz="6" w:space="0" w:color="auto"/>
              <w:left w:val="nil"/>
              <w:bottom w:val="single" w:sz="4" w:space="0" w:color="auto"/>
              <w:right w:val="nil"/>
            </w:tcBorders>
            <w:shd w:val="clear" w:color="auto" w:fill="C9E1EF"/>
            <w:noWrap/>
            <w:vAlign w:val="bottom"/>
            <w:hideMark/>
          </w:tcPr>
          <w:p w14:paraId="758713FC"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10%</w:t>
            </w:r>
          </w:p>
        </w:tc>
        <w:tc>
          <w:tcPr>
            <w:tcW w:w="618" w:type="pct"/>
            <w:tcBorders>
              <w:top w:val="nil"/>
              <w:left w:val="nil"/>
              <w:bottom w:val="single" w:sz="4" w:space="0" w:color="auto"/>
              <w:right w:val="nil"/>
            </w:tcBorders>
            <w:shd w:val="clear" w:color="auto" w:fill="auto"/>
            <w:noWrap/>
            <w:vAlign w:val="bottom"/>
            <w:hideMark/>
          </w:tcPr>
          <w:p w14:paraId="5A16AB7F"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1,095,508.11 </w:t>
            </w:r>
          </w:p>
        </w:tc>
        <w:tc>
          <w:tcPr>
            <w:tcW w:w="283" w:type="pct"/>
            <w:tcBorders>
              <w:top w:val="double" w:sz="6" w:space="0" w:color="auto"/>
              <w:left w:val="nil"/>
              <w:bottom w:val="single" w:sz="4" w:space="0" w:color="auto"/>
              <w:right w:val="nil"/>
            </w:tcBorders>
            <w:shd w:val="clear" w:color="auto" w:fill="C9E1EF"/>
            <w:noWrap/>
            <w:vAlign w:val="bottom"/>
            <w:hideMark/>
          </w:tcPr>
          <w:p w14:paraId="32BE1834"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6%</w:t>
            </w:r>
          </w:p>
        </w:tc>
        <w:tc>
          <w:tcPr>
            <w:tcW w:w="618" w:type="pct"/>
            <w:tcBorders>
              <w:top w:val="nil"/>
              <w:left w:val="nil"/>
              <w:bottom w:val="single" w:sz="4" w:space="0" w:color="auto"/>
              <w:right w:val="nil"/>
            </w:tcBorders>
            <w:shd w:val="clear" w:color="auto" w:fill="auto"/>
            <w:noWrap/>
            <w:vAlign w:val="bottom"/>
            <w:hideMark/>
          </w:tcPr>
          <w:p w14:paraId="41B36067"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1,627,455.64 </w:t>
            </w:r>
          </w:p>
        </w:tc>
        <w:tc>
          <w:tcPr>
            <w:tcW w:w="283" w:type="pct"/>
            <w:tcBorders>
              <w:top w:val="double" w:sz="6" w:space="0" w:color="auto"/>
              <w:left w:val="nil"/>
              <w:bottom w:val="single" w:sz="4" w:space="0" w:color="auto"/>
              <w:right w:val="nil"/>
            </w:tcBorders>
            <w:shd w:val="clear" w:color="auto" w:fill="C9E1EF"/>
            <w:noWrap/>
            <w:vAlign w:val="bottom"/>
            <w:hideMark/>
          </w:tcPr>
          <w:p w14:paraId="19861D45"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8%</w:t>
            </w:r>
          </w:p>
        </w:tc>
        <w:tc>
          <w:tcPr>
            <w:tcW w:w="618" w:type="pct"/>
            <w:tcBorders>
              <w:top w:val="nil"/>
              <w:left w:val="nil"/>
              <w:bottom w:val="single" w:sz="4" w:space="0" w:color="auto"/>
              <w:right w:val="nil"/>
            </w:tcBorders>
            <w:shd w:val="clear" w:color="auto" w:fill="auto"/>
            <w:noWrap/>
            <w:vAlign w:val="bottom"/>
            <w:hideMark/>
          </w:tcPr>
          <w:p w14:paraId="491DAF57"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2,970,909.85 </w:t>
            </w:r>
          </w:p>
        </w:tc>
        <w:tc>
          <w:tcPr>
            <w:tcW w:w="282" w:type="pct"/>
            <w:tcBorders>
              <w:top w:val="double" w:sz="6" w:space="0" w:color="auto"/>
              <w:left w:val="nil"/>
              <w:bottom w:val="single" w:sz="4" w:space="0" w:color="auto"/>
              <w:right w:val="nil"/>
            </w:tcBorders>
            <w:shd w:val="clear" w:color="auto" w:fill="C9E1EF"/>
            <w:noWrap/>
            <w:vAlign w:val="bottom"/>
            <w:hideMark/>
          </w:tcPr>
          <w:p w14:paraId="12DC7D31"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12%</w:t>
            </w:r>
          </w:p>
        </w:tc>
      </w:tr>
      <w:tr w:rsidR="00A85DF8" w:rsidRPr="0076589C" w14:paraId="3BE45E62" w14:textId="77777777" w:rsidTr="1C8D6E3A">
        <w:trPr>
          <w:trHeight w:val="260"/>
        </w:trPr>
        <w:tc>
          <w:tcPr>
            <w:tcW w:w="1399" w:type="pct"/>
            <w:tcBorders>
              <w:top w:val="nil"/>
              <w:left w:val="nil"/>
              <w:bottom w:val="nil"/>
              <w:right w:val="nil"/>
            </w:tcBorders>
            <w:shd w:val="clear" w:color="auto" w:fill="auto"/>
            <w:noWrap/>
            <w:vAlign w:val="bottom"/>
            <w:hideMark/>
          </w:tcPr>
          <w:p w14:paraId="462EF08B" w14:textId="77777777" w:rsidR="00A85DF8" w:rsidRPr="0076589C" w:rsidRDefault="00A85DF8" w:rsidP="00A85DF8">
            <w:pPr>
              <w:spacing w:after="0" w:line="240" w:lineRule="auto"/>
              <w:ind w:left="0"/>
              <w:jc w:val="center"/>
              <w:rPr>
                <w:rFonts w:ascii="Calibri" w:eastAsia="Times New Roman" w:hAnsi="Calibri" w:cs="Calibri"/>
                <w:b/>
                <w:bCs/>
                <w:color w:val="000000"/>
                <w:sz w:val="18"/>
                <w:szCs w:val="18"/>
              </w:rPr>
            </w:pPr>
          </w:p>
        </w:tc>
        <w:tc>
          <w:tcPr>
            <w:tcW w:w="618" w:type="pct"/>
            <w:tcBorders>
              <w:top w:val="nil"/>
              <w:left w:val="nil"/>
              <w:bottom w:val="nil"/>
              <w:right w:val="nil"/>
            </w:tcBorders>
            <w:shd w:val="clear" w:color="auto" w:fill="auto"/>
            <w:noWrap/>
            <w:vAlign w:val="bottom"/>
            <w:hideMark/>
          </w:tcPr>
          <w:p w14:paraId="11CECE14" w14:textId="77777777" w:rsidR="00A85DF8" w:rsidRPr="0076589C" w:rsidRDefault="00A85DF8" w:rsidP="00A85DF8">
            <w:pPr>
              <w:spacing w:after="0" w:line="240" w:lineRule="auto"/>
              <w:ind w:left="0" w:firstLineChars="200" w:firstLine="360"/>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45C496FA"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21E0DA20"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4A1CC747"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4D15DDD6"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5AEC3BEC"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33C3BD21" w14:textId="77777777" w:rsidR="00A85DF8" w:rsidRPr="0076589C" w:rsidRDefault="00A85DF8" w:rsidP="00A85DF8">
            <w:pPr>
              <w:spacing w:after="0" w:line="240" w:lineRule="auto"/>
              <w:ind w:left="0"/>
              <w:jc w:val="center"/>
              <w:rPr>
                <w:rFonts w:eastAsia="Times New Roman" w:cs="Times New Roman"/>
                <w:sz w:val="18"/>
                <w:szCs w:val="18"/>
              </w:rPr>
            </w:pPr>
          </w:p>
        </w:tc>
        <w:tc>
          <w:tcPr>
            <w:tcW w:w="282" w:type="pct"/>
            <w:tcBorders>
              <w:top w:val="nil"/>
              <w:left w:val="nil"/>
              <w:bottom w:val="nil"/>
              <w:right w:val="nil"/>
            </w:tcBorders>
            <w:shd w:val="clear" w:color="auto" w:fill="auto"/>
            <w:noWrap/>
            <w:vAlign w:val="bottom"/>
            <w:hideMark/>
          </w:tcPr>
          <w:p w14:paraId="773B6025" w14:textId="77777777" w:rsidR="00A85DF8" w:rsidRPr="0076589C" w:rsidRDefault="00A85DF8" w:rsidP="00A85DF8">
            <w:pPr>
              <w:spacing w:after="0" w:line="240" w:lineRule="auto"/>
              <w:ind w:left="0"/>
              <w:rPr>
                <w:rFonts w:eastAsia="Times New Roman" w:cs="Times New Roman"/>
                <w:sz w:val="18"/>
                <w:szCs w:val="18"/>
              </w:rPr>
            </w:pPr>
          </w:p>
        </w:tc>
      </w:tr>
      <w:tr w:rsidR="00A85DF8" w:rsidRPr="0076589C" w14:paraId="37F68944" w14:textId="77777777" w:rsidTr="1C8D6E3A">
        <w:trPr>
          <w:trHeight w:val="260"/>
        </w:trPr>
        <w:tc>
          <w:tcPr>
            <w:tcW w:w="1399" w:type="pct"/>
            <w:tcBorders>
              <w:top w:val="nil"/>
              <w:left w:val="nil"/>
              <w:bottom w:val="nil"/>
              <w:right w:val="nil"/>
            </w:tcBorders>
            <w:shd w:val="clear" w:color="auto" w:fill="auto"/>
            <w:noWrap/>
            <w:vAlign w:val="bottom"/>
            <w:hideMark/>
          </w:tcPr>
          <w:p w14:paraId="4305A1A7" w14:textId="77777777" w:rsidR="00A85DF8" w:rsidRPr="0076589C" w:rsidRDefault="1C8D6E3A" w:rsidP="00A85DF8">
            <w:pPr>
              <w:spacing w:after="0" w:line="240" w:lineRule="auto"/>
              <w:ind w:left="0" w:firstLineChars="100" w:firstLine="181"/>
              <w:rPr>
                <w:rFonts w:ascii="Calibri" w:eastAsia="Times New Roman" w:hAnsi="Calibri" w:cs="Calibri"/>
                <w:b/>
                <w:bCs/>
                <w:color w:val="000000"/>
                <w:sz w:val="18"/>
                <w:szCs w:val="18"/>
                <w:u w:val="single"/>
              </w:rPr>
            </w:pPr>
            <w:r w:rsidRPr="0076589C">
              <w:rPr>
                <w:rFonts w:ascii="Calibri" w:eastAsia="Times New Roman" w:hAnsi="Calibri" w:cs="Calibri"/>
                <w:b/>
                <w:bCs/>
                <w:color w:val="000000" w:themeColor="text1"/>
                <w:sz w:val="18"/>
                <w:szCs w:val="18"/>
                <w:u w:val="single"/>
              </w:rPr>
              <w:t>Pasivos No Corrientes</w:t>
            </w:r>
          </w:p>
        </w:tc>
        <w:tc>
          <w:tcPr>
            <w:tcW w:w="618" w:type="pct"/>
            <w:tcBorders>
              <w:top w:val="nil"/>
              <w:left w:val="nil"/>
              <w:bottom w:val="nil"/>
              <w:right w:val="nil"/>
            </w:tcBorders>
            <w:shd w:val="clear" w:color="auto" w:fill="auto"/>
            <w:noWrap/>
            <w:vAlign w:val="bottom"/>
            <w:hideMark/>
          </w:tcPr>
          <w:p w14:paraId="4A176B85" w14:textId="77777777" w:rsidR="00A85DF8" w:rsidRPr="0076589C" w:rsidRDefault="00A85DF8" w:rsidP="00A85DF8">
            <w:pPr>
              <w:spacing w:after="0" w:line="240" w:lineRule="auto"/>
              <w:ind w:left="0" w:firstLineChars="100" w:firstLine="181"/>
              <w:rPr>
                <w:rFonts w:ascii="Calibri" w:eastAsia="Times New Roman" w:hAnsi="Calibri" w:cs="Calibri"/>
                <w:b/>
                <w:bCs/>
                <w:color w:val="000000"/>
                <w:sz w:val="18"/>
                <w:szCs w:val="18"/>
                <w:u w:val="single"/>
              </w:rPr>
            </w:pPr>
          </w:p>
        </w:tc>
        <w:tc>
          <w:tcPr>
            <w:tcW w:w="283" w:type="pct"/>
            <w:tcBorders>
              <w:top w:val="nil"/>
              <w:left w:val="nil"/>
              <w:bottom w:val="nil"/>
              <w:right w:val="nil"/>
            </w:tcBorders>
            <w:shd w:val="clear" w:color="auto" w:fill="auto"/>
            <w:noWrap/>
            <w:vAlign w:val="bottom"/>
            <w:hideMark/>
          </w:tcPr>
          <w:p w14:paraId="7F849DB6"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1DA34B80"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1C94350F"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7CC445D4"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10B7DDDD"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78C726E5" w14:textId="77777777" w:rsidR="00A85DF8" w:rsidRPr="0076589C" w:rsidRDefault="00A85DF8" w:rsidP="00A85DF8">
            <w:pPr>
              <w:spacing w:after="0" w:line="240" w:lineRule="auto"/>
              <w:ind w:left="0"/>
              <w:jc w:val="center"/>
              <w:rPr>
                <w:rFonts w:eastAsia="Times New Roman" w:cs="Times New Roman"/>
                <w:sz w:val="18"/>
                <w:szCs w:val="18"/>
              </w:rPr>
            </w:pPr>
          </w:p>
        </w:tc>
        <w:tc>
          <w:tcPr>
            <w:tcW w:w="282" w:type="pct"/>
            <w:tcBorders>
              <w:top w:val="nil"/>
              <w:left w:val="nil"/>
              <w:bottom w:val="nil"/>
              <w:right w:val="nil"/>
            </w:tcBorders>
            <w:shd w:val="clear" w:color="auto" w:fill="auto"/>
            <w:noWrap/>
            <w:vAlign w:val="bottom"/>
            <w:hideMark/>
          </w:tcPr>
          <w:p w14:paraId="0B2C2790" w14:textId="77777777" w:rsidR="00A85DF8" w:rsidRPr="0076589C" w:rsidRDefault="00A85DF8" w:rsidP="00A85DF8">
            <w:pPr>
              <w:spacing w:after="0" w:line="240" w:lineRule="auto"/>
              <w:ind w:left="0"/>
              <w:rPr>
                <w:rFonts w:eastAsia="Times New Roman" w:cs="Times New Roman"/>
                <w:sz w:val="18"/>
                <w:szCs w:val="18"/>
              </w:rPr>
            </w:pPr>
          </w:p>
        </w:tc>
      </w:tr>
      <w:tr w:rsidR="00A85DF8" w:rsidRPr="0076589C" w14:paraId="4B0C1A45" w14:textId="77777777" w:rsidTr="1C8D6E3A">
        <w:trPr>
          <w:trHeight w:val="260"/>
        </w:trPr>
        <w:tc>
          <w:tcPr>
            <w:tcW w:w="1399" w:type="pct"/>
            <w:tcBorders>
              <w:top w:val="nil"/>
              <w:left w:val="nil"/>
              <w:bottom w:val="nil"/>
              <w:right w:val="nil"/>
            </w:tcBorders>
            <w:shd w:val="clear" w:color="auto" w:fill="auto"/>
            <w:noWrap/>
            <w:vAlign w:val="bottom"/>
            <w:hideMark/>
          </w:tcPr>
          <w:p w14:paraId="07FCDA43" w14:textId="77777777" w:rsidR="00A85DF8" w:rsidRPr="0076589C" w:rsidRDefault="1C8D6E3A" w:rsidP="00A85DF8">
            <w:pPr>
              <w:spacing w:after="0" w:line="240" w:lineRule="auto"/>
              <w:ind w:left="0" w:firstLineChars="200" w:firstLine="36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Cuentas por Pagar</w:t>
            </w:r>
          </w:p>
        </w:tc>
        <w:tc>
          <w:tcPr>
            <w:tcW w:w="618" w:type="pct"/>
            <w:tcBorders>
              <w:top w:val="nil"/>
              <w:left w:val="nil"/>
              <w:bottom w:val="nil"/>
              <w:right w:val="nil"/>
            </w:tcBorders>
            <w:shd w:val="clear" w:color="auto" w:fill="auto"/>
            <w:noWrap/>
            <w:vAlign w:val="bottom"/>
            <w:hideMark/>
          </w:tcPr>
          <w:p w14:paraId="0A4DE6AE"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5,766,726.36 </w:t>
            </w:r>
          </w:p>
        </w:tc>
        <w:tc>
          <w:tcPr>
            <w:tcW w:w="283" w:type="pct"/>
            <w:tcBorders>
              <w:top w:val="nil"/>
              <w:left w:val="nil"/>
              <w:bottom w:val="nil"/>
              <w:right w:val="nil"/>
            </w:tcBorders>
            <w:shd w:val="clear" w:color="auto" w:fill="C9E1EF"/>
            <w:noWrap/>
            <w:vAlign w:val="bottom"/>
            <w:hideMark/>
          </w:tcPr>
          <w:p w14:paraId="69974660"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30%</w:t>
            </w:r>
          </w:p>
        </w:tc>
        <w:tc>
          <w:tcPr>
            <w:tcW w:w="618" w:type="pct"/>
            <w:tcBorders>
              <w:top w:val="nil"/>
              <w:left w:val="nil"/>
              <w:bottom w:val="nil"/>
              <w:right w:val="nil"/>
            </w:tcBorders>
            <w:shd w:val="clear" w:color="auto" w:fill="auto"/>
            <w:noWrap/>
            <w:vAlign w:val="bottom"/>
            <w:hideMark/>
          </w:tcPr>
          <w:p w14:paraId="6B73AE4F"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5,766,726.36 </w:t>
            </w:r>
          </w:p>
        </w:tc>
        <w:tc>
          <w:tcPr>
            <w:tcW w:w="283" w:type="pct"/>
            <w:tcBorders>
              <w:top w:val="nil"/>
              <w:left w:val="nil"/>
              <w:bottom w:val="nil"/>
              <w:right w:val="nil"/>
            </w:tcBorders>
            <w:shd w:val="clear" w:color="auto" w:fill="C9E1EF"/>
            <w:noWrap/>
            <w:vAlign w:val="bottom"/>
            <w:hideMark/>
          </w:tcPr>
          <w:p w14:paraId="4FF2F9F2"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30%</w:t>
            </w:r>
          </w:p>
        </w:tc>
        <w:tc>
          <w:tcPr>
            <w:tcW w:w="618" w:type="pct"/>
            <w:tcBorders>
              <w:top w:val="nil"/>
              <w:left w:val="nil"/>
              <w:bottom w:val="nil"/>
              <w:right w:val="nil"/>
            </w:tcBorders>
            <w:shd w:val="clear" w:color="auto" w:fill="auto"/>
            <w:noWrap/>
            <w:vAlign w:val="bottom"/>
            <w:hideMark/>
          </w:tcPr>
          <w:p w14:paraId="376B8C76"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5,766,726.36 </w:t>
            </w:r>
          </w:p>
        </w:tc>
        <w:tc>
          <w:tcPr>
            <w:tcW w:w="283" w:type="pct"/>
            <w:tcBorders>
              <w:top w:val="nil"/>
              <w:left w:val="nil"/>
              <w:bottom w:val="nil"/>
              <w:right w:val="nil"/>
            </w:tcBorders>
            <w:shd w:val="clear" w:color="auto" w:fill="C9E1EF"/>
            <w:noWrap/>
            <w:vAlign w:val="bottom"/>
            <w:hideMark/>
          </w:tcPr>
          <w:p w14:paraId="33F852A6"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27%</w:t>
            </w:r>
          </w:p>
        </w:tc>
        <w:tc>
          <w:tcPr>
            <w:tcW w:w="618" w:type="pct"/>
            <w:tcBorders>
              <w:top w:val="nil"/>
              <w:left w:val="nil"/>
              <w:bottom w:val="nil"/>
              <w:right w:val="nil"/>
            </w:tcBorders>
            <w:shd w:val="clear" w:color="auto" w:fill="auto"/>
            <w:noWrap/>
            <w:vAlign w:val="bottom"/>
            <w:hideMark/>
          </w:tcPr>
          <w:p w14:paraId="58878498"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5,766,726.36 </w:t>
            </w:r>
          </w:p>
        </w:tc>
        <w:tc>
          <w:tcPr>
            <w:tcW w:w="282" w:type="pct"/>
            <w:tcBorders>
              <w:top w:val="nil"/>
              <w:left w:val="nil"/>
              <w:bottom w:val="nil"/>
              <w:right w:val="nil"/>
            </w:tcBorders>
            <w:shd w:val="clear" w:color="auto" w:fill="C9E1EF"/>
            <w:noWrap/>
            <w:vAlign w:val="bottom"/>
            <w:hideMark/>
          </w:tcPr>
          <w:p w14:paraId="61F69056"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24%</w:t>
            </w:r>
          </w:p>
        </w:tc>
      </w:tr>
      <w:tr w:rsidR="00A85DF8" w:rsidRPr="0076589C" w14:paraId="39934B33" w14:textId="77777777" w:rsidTr="1C8D6E3A">
        <w:trPr>
          <w:trHeight w:val="260"/>
        </w:trPr>
        <w:tc>
          <w:tcPr>
            <w:tcW w:w="1399" w:type="pct"/>
            <w:tcBorders>
              <w:top w:val="nil"/>
              <w:left w:val="nil"/>
              <w:bottom w:val="nil"/>
              <w:right w:val="nil"/>
            </w:tcBorders>
            <w:shd w:val="clear" w:color="auto" w:fill="auto"/>
            <w:noWrap/>
            <w:vAlign w:val="bottom"/>
            <w:hideMark/>
          </w:tcPr>
          <w:p w14:paraId="2A58998B" w14:textId="77777777" w:rsidR="00A85DF8" w:rsidRPr="0076589C" w:rsidRDefault="00A85DF8" w:rsidP="00A85DF8">
            <w:pPr>
              <w:spacing w:after="0" w:line="240" w:lineRule="auto"/>
              <w:ind w:left="0"/>
              <w:jc w:val="center"/>
              <w:rPr>
                <w:rFonts w:ascii="Calibri" w:eastAsia="Times New Roman" w:hAnsi="Calibri" w:cs="Calibri"/>
                <w:b/>
                <w:bCs/>
                <w:color w:val="000000"/>
                <w:sz w:val="18"/>
                <w:szCs w:val="18"/>
              </w:rPr>
            </w:pPr>
          </w:p>
        </w:tc>
        <w:tc>
          <w:tcPr>
            <w:tcW w:w="618" w:type="pct"/>
            <w:tcBorders>
              <w:top w:val="nil"/>
              <w:left w:val="nil"/>
              <w:bottom w:val="nil"/>
              <w:right w:val="nil"/>
            </w:tcBorders>
            <w:shd w:val="clear" w:color="auto" w:fill="auto"/>
            <w:noWrap/>
            <w:vAlign w:val="bottom"/>
            <w:hideMark/>
          </w:tcPr>
          <w:p w14:paraId="2407201F" w14:textId="77777777" w:rsidR="00A85DF8" w:rsidRPr="0076589C" w:rsidRDefault="00A85DF8" w:rsidP="00A85DF8">
            <w:pPr>
              <w:spacing w:after="0" w:line="240" w:lineRule="auto"/>
              <w:ind w:left="0" w:firstLineChars="100" w:firstLine="180"/>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406808B3"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722280C8"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30B37CFB"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70CE7AA1"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3C435D56"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7F6086FA" w14:textId="77777777" w:rsidR="00A85DF8" w:rsidRPr="0076589C" w:rsidRDefault="00A85DF8" w:rsidP="00A85DF8">
            <w:pPr>
              <w:spacing w:after="0" w:line="240" w:lineRule="auto"/>
              <w:ind w:left="0"/>
              <w:jc w:val="center"/>
              <w:rPr>
                <w:rFonts w:eastAsia="Times New Roman" w:cs="Times New Roman"/>
                <w:sz w:val="18"/>
                <w:szCs w:val="18"/>
              </w:rPr>
            </w:pPr>
          </w:p>
        </w:tc>
        <w:tc>
          <w:tcPr>
            <w:tcW w:w="282" w:type="pct"/>
            <w:tcBorders>
              <w:top w:val="nil"/>
              <w:left w:val="nil"/>
              <w:bottom w:val="nil"/>
              <w:right w:val="nil"/>
            </w:tcBorders>
            <w:shd w:val="clear" w:color="auto" w:fill="auto"/>
            <w:noWrap/>
            <w:vAlign w:val="bottom"/>
            <w:hideMark/>
          </w:tcPr>
          <w:p w14:paraId="352723C0" w14:textId="77777777" w:rsidR="00A85DF8" w:rsidRPr="0076589C" w:rsidRDefault="00A85DF8" w:rsidP="00A85DF8">
            <w:pPr>
              <w:spacing w:after="0" w:line="240" w:lineRule="auto"/>
              <w:ind w:left="0"/>
              <w:rPr>
                <w:rFonts w:eastAsia="Times New Roman" w:cs="Times New Roman"/>
                <w:sz w:val="18"/>
                <w:szCs w:val="18"/>
              </w:rPr>
            </w:pPr>
          </w:p>
        </w:tc>
      </w:tr>
      <w:tr w:rsidR="00A85DF8" w:rsidRPr="0076589C" w14:paraId="69712AB4" w14:textId="77777777" w:rsidTr="1C8D6E3A">
        <w:trPr>
          <w:trHeight w:val="260"/>
        </w:trPr>
        <w:tc>
          <w:tcPr>
            <w:tcW w:w="1399" w:type="pct"/>
            <w:tcBorders>
              <w:top w:val="single" w:sz="4" w:space="0" w:color="auto"/>
              <w:left w:val="nil"/>
              <w:bottom w:val="single" w:sz="4" w:space="0" w:color="auto"/>
              <w:right w:val="nil"/>
            </w:tcBorders>
            <w:shd w:val="clear" w:color="auto" w:fill="auto"/>
            <w:noWrap/>
            <w:vAlign w:val="bottom"/>
            <w:hideMark/>
          </w:tcPr>
          <w:p w14:paraId="62B8C42F" w14:textId="77777777" w:rsidR="00A85DF8" w:rsidRPr="0076589C" w:rsidRDefault="1C8D6E3A" w:rsidP="00A85DF8">
            <w:pPr>
              <w:spacing w:after="0" w:line="240" w:lineRule="auto"/>
              <w:ind w:left="0" w:firstLineChars="100" w:firstLine="181"/>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Total Pasivos</w:t>
            </w:r>
          </w:p>
        </w:tc>
        <w:tc>
          <w:tcPr>
            <w:tcW w:w="618" w:type="pct"/>
            <w:tcBorders>
              <w:top w:val="single" w:sz="4" w:space="0" w:color="auto"/>
              <w:left w:val="nil"/>
              <w:bottom w:val="single" w:sz="4" w:space="0" w:color="auto"/>
              <w:right w:val="nil"/>
            </w:tcBorders>
            <w:shd w:val="clear" w:color="auto" w:fill="auto"/>
            <w:noWrap/>
            <w:vAlign w:val="bottom"/>
            <w:hideMark/>
          </w:tcPr>
          <w:p w14:paraId="654B250D"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7,670,360.82 </w:t>
            </w:r>
          </w:p>
        </w:tc>
        <w:tc>
          <w:tcPr>
            <w:tcW w:w="283" w:type="pct"/>
            <w:tcBorders>
              <w:top w:val="single" w:sz="4" w:space="0" w:color="auto"/>
              <w:left w:val="nil"/>
              <w:bottom w:val="single" w:sz="4" w:space="0" w:color="auto"/>
              <w:right w:val="nil"/>
            </w:tcBorders>
            <w:shd w:val="clear" w:color="auto" w:fill="C9E1EF"/>
            <w:noWrap/>
            <w:vAlign w:val="bottom"/>
            <w:hideMark/>
          </w:tcPr>
          <w:p w14:paraId="0ED945BB"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40%</w:t>
            </w:r>
          </w:p>
        </w:tc>
        <w:tc>
          <w:tcPr>
            <w:tcW w:w="618" w:type="pct"/>
            <w:tcBorders>
              <w:top w:val="single" w:sz="4" w:space="0" w:color="auto"/>
              <w:left w:val="nil"/>
              <w:bottom w:val="single" w:sz="4" w:space="0" w:color="auto"/>
              <w:right w:val="nil"/>
            </w:tcBorders>
            <w:shd w:val="clear" w:color="auto" w:fill="auto"/>
            <w:noWrap/>
            <w:vAlign w:val="bottom"/>
            <w:hideMark/>
          </w:tcPr>
          <w:p w14:paraId="4054E0E3"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6,862,234.47 </w:t>
            </w:r>
          </w:p>
        </w:tc>
        <w:tc>
          <w:tcPr>
            <w:tcW w:w="283" w:type="pct"/>
            <w:tcBorders>
              <w:top w:val="single" w:sz="4" w:space="0" w:color="auto"/>
              <w:left w:val="nil"/>
              <w:bottom w:val="single" w:sz="4" w:space="0" w:color="auto"/>
              <w:right w:val="nil"/>
            </w:tcBorders>
            <w:shd w:val="clear" w:color="auto" w:fill="C9E1EF"/>
            <w:noWrap/>
            <w:vAlign w:val="bottom"/>
            <w:hideMark/>
          </w:tcPr>
          <w:p w14:paraId="13444906"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36%</w:t>
            </w:r>
          </w:p>
        </w:tc>
        <w:tc>
          <w:tcPr>
            <w:tcW w:w="618" w:type="pct"/>
            <w:tcBorders>
              <w:top w:val="single" w:sz="4" w:space="0" w:color="auto"/>
              <w:left w:val="nil"/>
              <w:bottom w:val="single" w:sz="4" w:space="0" w:color="auto"/>
              <w:right w:val="nil"/>
            </w:tcBorders>
            <w:shd w:val="clear" w:color="auto" w:fill="auto"/>
            <w:noWrap/>
            <w:vAlign w:val="bottom"/>
            <w:hideMark/>
          </w:tcPr>
          <w:p w14:paraId="3DB21584"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7,394,182.00 </w:t>
            </w:r>
          </w:p>
        </w:tc>
        <w:tc>
          <w:tcPr>
            <w:tcW w:w="283" w:type="pct"/>
            <w:tcBorders>
              <w:top w:val="single" w:sz="4" w:space="0" w:color="auto"/>
              <w:left w:val="nil"/>
              <w:bottom w:val="single" w:sz="4" w:space="0" w:color="auto"/>
              <w:right w:val="nil"/>
            </w:tcBorders>
            <w:shd w:val="clear" w:color="auto" w:fill="C9E1EF"/>
            <w:noWrap/>
            <w:vAlign w:val="bottom"/>
            <w:hideMark/>
          </w:tcPr>
          <w:p w14:paraId="73F0347A"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35%</w:t>
            </w:r>
          </w:p>
        </w:tc>
        <w:tc>
          <w:tcPr>
            <w:tcW w:w="618" w:type="pct"/>
            <w:tcBorders>
              <w:top w:val="single" w:sz="4" w:space="0" w:color="auto"/>
              <w:left w:val="nil"/>
              <w:bottom w:val="single" w:sz="4" w:space="0" w:color="auto"/>
              <w:right w:val="nil"/>
            </w:tcBorders>
            <w:shd w:val="clear" w:color="auto" w:fill="auto"/>
            <w:noWrap/>
            <w:vAlign w:val="bottom"/>
            <w:hideMark/>
          </w:tcPr>
          <w:p w14:paraId="611A301E"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8,737,636.21 </w:t>
            </w:r>
          </w:p>
        </w:tc>
        <w:tc>
          <w:tcPr>
            <w:tcW w:w="282" w:type="pct"/>
            <w:tcBorders>
              <w:top w:val="single" w:sz="4" w:space="0" w:color="auto"/>
              <w:left w:val="nil"/>
              <w:bottom w:val="single" w:sz="4" w:space="0" w:color="auto"/>
              <w:right w:val="nil"/>
            </w:tcBorders>
            <w:shd w:val="clear" w:color="auto" w:fill="C9E1EF"/>
            <w:noWrap/>
            <w:vAlign w:val="bottom"/>
            <w:hideMark/>
          </w:tcPr>
          <w:p w14:paraId="44B4DC38"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36%</w:t>
            </w:r>
          </w:p>
        </w:tc>
      </w:tr>
      <w:tr w:rsidR="00A85DF8" w:rsidRPr="0076589C" w14:paraId="3E67A428" w14:textId="77777777" w:rsidTr="1C8D6E3A">
        <w:trPr>
          <w:trHeight w:val="260"/>
        </w:trPr>
        <w:tc>
          <w:tcPr>
            <w:tcW w:w="1399" w:type="pct"/>
            <w:tcBorders>
              <w:top w:val="nil"/>
              <w:left w:val="nil"/>
              <w:bottom w:val="nil"/>
              <w:right w:val="nil"/>
            </w:tcBorders>
            <w:shd w:val="clear" w:color="auto" w:fill="auto"/>
            <w:noWrap/>
            <w:vAlign w:val="bottom"/>
            <w:hideMark/>
          </w:tcPr>
          <w:p w14:paraId="35803DD7" w14:textId="77777777" w:rsidR="00A85DF8" w:rsidRPr="0076589C" w:rsidRDefault="00A85DF8" w:rsidP="00A85DF8">
            <w:pPr>
              <w:spacing w:after="0" w:line="240" w:lineRule="auto"/>
              <w:ind w:left="0"/>
              <w:jc w:val="center"/>
              <w:rPr>
                <w:rFonts w:ascii="Calibri" w:eastAsia="Times New Roman" w:hAnsi="Calibri" w:cs="Calibri"/>
                <w:b/>
                <w:bCs/>
                <w:color w:val="000000"/>
                <w:sz w:val="18"/>
                <w:szCs w:val="18"/>
              </w:rPr>
            </w:pPr>
          </w:p>
        </w:tc>
        <w:tc>
          <w:tcPr>
            <w:tcW w:w="618" w:type="pct"/>
            <w:tcBorders>
              <w:top w:val="nil"/>
              <w:left w:val="nil"/>
              <w:bottom w:val="nil"/>
              <w:right w:val="nil"/>
            </w:tcBorders>
            <w:shd w:val="clear" w:color="auto" w:fill="auto"/>
            <w:noWrap/>
            <w:vAlign w:val="bottom"/>
            <w:hideMark/>
          </w:tcPr>
          <w:p w14:paraId="13D14404" w14:textId="77777777" w:rsidR="00A85DF8" w:rsidRPr="0076589C" w:rsidRDefault="00A85DF8" w:rsidP="00A85DF8">
            <w:pPr>
              <w:spacing w:after="0" w:line="240" w:lineRule="auto"/>
              <w:ind w:left="0" w:firstLineChars="100" w:firstLine="180"/>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5E2AF7F0"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31768BA7"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2BD85ADD"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262297EB"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182ADEBA"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3FAF3C91" w14:textId="77777777" w:rsidR="00A85DF8" w:rsidRPr="0076589C" w:rsidRDefault="00A85DF8" w:rsidP="00A85DF8">
            <w:pPr>
              <w:spacing w:after="0" w:line="240" w:lineRule="auto"/>
              <w:ind w:left="0"/>
              <w:jc w:val="center"/>
              <w:rPr>
                <w:rFonts w:eastAsia="Times New Roman" w:cs="Times New Roman"/>
                <w:sz w:val="18"/>
                <w:szCs w:val="18"/>
              </w:rPr>
            </w:pPr>
          </w:p>
        </w:tc>
        <w:tc>
          <w:tcPr>
            <w:tcW w:w="282" w:type="pct"/>
            <w:tcBorders>
              <w:top w:val="nil"/>
              <w:left w:val="nil"/>
              <w:bottom w:val="nil"/>
              <w:right w:val="nil"/>
            </w:tcBorders>
            <w:shd w:val="clear" w:color="auto" w:fill="auto"/>
            <w:noWrap/>
            <w:vAlign w:val="bottom"/>
            <w:hideMark/>
          </w:tcPr>
          <w:p w14:paraId="40B36CF4" w14:textId="77777777" w:rsidR="00A85DF8" w:rsidRPr="0076589C" w:rsidRDefault="00A85DF8" w:rsidP="00A85DF8">
            <w:pPr>
              <w:spacing w:after="0" w:line="240" w:lineRule="auto"/>
              <w:ind w:left="0"/>
              <w:rPr>
                <w:rFonts w:eastAsia="Times New Roman" w:cs="Times New Roman"/>
                <w:sz w:val="18"/>
                <w:szCs w:val="18"/>
              </w:rPr>
            </w:pPr>
          </w:p>
        </w:tc>
      </w:tr>
      <w:tr w:rsidR="00A85DF8" w:rsidRPr="0076589C" w14:paraId="5EFD8D2B" w14:textId="77777777" w:rsidTr="1C8D6E3A">
        <w:trPr>
          <w:trHeight w:val="260"/>
        </w:trPr>
        <w:tc>
          <w:tcPr>
            <w:tcW w:w="1399" w:type="pct"/>
            <w:tcBorders>
              <w:top w:val="nil"/>
              <w:left w:val="nil"/>
              <w:bottom w:val="nil"/>
              <w:right w:val="nil"/>
            </w:tcBorders>
            <w:shd w:val="clear" w:color="auto" w:fill="F2F2F2" w:themeFill="background1" w:themeFillShade="F2"/>
            <w:noWrap/>
            <w:vAlign w:val="bottom"/>
            <w:hideMark/>
          </w:tcPr>
          <w:p w14:paraId="2911725E" w14:textId="77777777" w:rsidR="00A85DF8" w:rsidRPr="0076589C" w:rsidRDefault="1C8D6E3A" w:rsidP="00A85DF8">
            <w:pPr>
              <w:spacing w:after="0" w:line="240" w:lineRule="auto"/>
              <w:ind w:left="0"/>
              <w:rPr>
                <w:rFonts w:ascii="Calibri" w:eastAsia="Times New Roman" w:hAnsi="Calibri" w:cs="Calibri"/>
                <w:b/>
                <w:bCs/>
                <w:color w:val="44546A"/>
                <w:sz w:val="18"/>
                <w:szCs w:val="18"/>
              </w:rPr>
            </w:pPr>
            <w:r w:rsidRPr="0076589C">
              <w:rPr>
                <w:rFonts w:ascii="Calibri" w:eastAsia="Times New Roman" w:hAnsi="Calibri" w:cs="Calibri"/>
                <w:b/>
                <w:bCs/>
                <w:color w:val="44546A" w:themeColor="text2"/>
                <w:sz w:val="18"/>
                <w:szCs w:val="18"/>
              </w:rPr>
              <w:t>Patrimonio Neto</w:t>
            </w:r>
          </w:p>
        </w:tc>
        <w:tc>
          <w:tcPr>
            <w:tcW w:w="618" w:type="pct"/>
            <w:tcBorders>
              <w:top w:val="nil"/>
              <w:left w:val="nil"/>
              <w:bottom w:val="nil"/>
              <w:right w:val="nil"/>
            </w:tcBorders>
            <w:shd w:val="clear" w:color="auto" w:fill="F2F2F2" w:themeFill="background1" w:themeFillShade="F2"/>
            <w:noWrap/>
            <w:vAlign w:val="bottom"/>
            <w:hideMark/>
          </w:tcPr>
          <w:p w14:paraId="1D5D3FD7"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c>
          <w:tcPr>
            <w:tcW w:w="283" w:type="pct"/>
            <w:tcBorders>
              <w:top w:val="nil"/>
              <w:left w:val="nil"/>
              <w:bottom w:val="nil"/>
              <w:right w:val="nil"/>
            </w:tcBorders>
            <w:shd w:val="clear" w:color="auto" w:fill="F2F2F2" w:themeFill="background1" w:themeFillShade="F2"/>
            <w:noWrap/>
            <w:vAlign w:val="bottom"/>
            <w:hideMark/>
          </w:tcPr>
          <w:p w14:paraId="1D66DDB8"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c>
          <w:tcPr>
            <w:tcW w:w="618" w:type="pct"/>
            <w:tcBorders>
              <w:top w:val="nil"/>
              <w:left w:val="nil"/>
              <w:bottom w:val="nil"/>
              <w:right w:val="nil"/>
            </w:tcBorders>
            <w:shd w:val="clear" w:color="auto" w:fill="F2F2F2" w:themeFill="background1" w:themeFillShade="F2"/>
            <w:noWrap/>
            <w:vAlign w:val="bottom"/>
            <w:hideMark/>
          </w:tcPr>
          <w:p w14:paraId="0E54A1AE"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c>
          <w:tcPr>
            <w:tcW w:w="283" w:type="pct"/>
            <w:tcBorders>
              <w:top w:val="nil"/>
              <w:left w:val="nil"/>
              <w:bottom w:val="nil"/>
              <w:right w:val="nil"/>
            </w:tcBorders>
            <w:shd w:val="clear" w:color="auto" w:fill="F2F2F2" w:themeFill="background1" w:themeFillShade="F2"/>
            <w:noWrap/>
            <w:vAlign w:val="bottom"/>
            <w:hideMark/>
          </w:tcPr>
          <w:p w14:paraId="5FCB4EC6"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c>
          <w:tcPr>
            <w:tcW w:w="618" w:type="pct"/>
            <w:tcBorders>
              <w:top w:val="nil"/>
              <w:left w:val="nil"/>
              <w:bottom w:val="nil"/>
              <w:right w:val="nil"/>
            </w:tcBorders>
            <w:shd w:val="clear" w:color="auto" w:fill="F2F2F2" w:themeFill="background1" w:themeFillShade="F2"/>
            <w:noWrap/>
            <w:vAlign w:val="bottom"/>
            <w:hideMark/>
          </w:tcPr>
          <w:p w14:paraId="1599F579"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c>
          <w:tcPr>
            <w:tcW w:w="283" w:type="pct"/>
            <w:tcBorders>
              <w:top w:val="nil"/>
              <w:left w:val="nil"/>
              <w:bottom w:val="nil"/>
              <w:right w:val="nil"/>
            </w:tcBorders>
            <w:shd w:val="clear" w:color="auto" w:fill="F2F2F2" w:themeFill="background1" w:themeFillShade="F2"/>
            <w:noWrap/>
            <w:vAlign w:val="bottom"/>
            <w:hideMark/>
          </w:tcPr>
          <w:p w14:paraId="4E6AD9E1"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c>
          <w:tcPr>
            <w:tcW w:w="618" w:type="pct"/>
            <w:tcBorders>
              <w:top w:val="nil"/>
              <w:left w:val="nil"/>
              <w:bottom w:val="nil"/>
              <w:right w:val="nil"/>
            </w:tcBorders>
            <w:shd w:val="clear" w:color="auto" w:fill="F2F2F2" w:themeFill="background1" w:themeFillShade="F2"/>
            <w:noWrap/>
            <w:vAlign w:val="bottom"/>
            <w:hideMark/>
          </w:tcPr>
          <w:p w14:paraId="74356C0B"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c>
          <w:tcPr>
            <w:tcW w:w="282" w:type="pct"/>
            <w:tcBorders>
              <w:top w:val="nil"/>
              <w:left w:val="nil"/>
              <w:bottom w:val="nil"/>
              <w:right w:val="nil"/>
            </w:tcBorders>
            <w:shd w:val="clear" w:color="auto" w:fill="F2F2F2" w:themeFill="background1" w:themeFillShade="F2"/>
            <w:noWrap/>
            <w:vAlign w:val="bottom"/>
            <w:hideMark/>
          </w:tcPr>
          <w:p w14:paraId="407EE3FF"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w:t>
            </w:r>
          </w:p>
        </w:tc>
      </w:tr>
      <w:tr w:rsidR="00A85DF8" w:rsidRPr="0076589C" w14:paraId="43E9F637" w14:textId="77777777" w:rsidTr="1C8D6E3A">
        <w:trPr>
          <w:trHeight w:val="260"/>
        </w:trPr>
        <w:tc>
          <w:tcPr>
            <w:tcW w:w="1399" w:type="pct"/>
            <w:tcBorders>
              <w:top w:val="nil"/>
              <w:left w:val="nil"/>
              <w:bottom w:val="nil"/>
              <w:right w:val="nil"/>
            </w:tcBorders>
            <w:shd w:val="clear" w:color="auto" w:fill="auto"/>
            <w:noWrap/>
            <w:vAlign w:val="bottom"/>
            <w:hideMark/>
          </w:tcPr>
          <w:p w14:paraId="401D9B2A" w14:textId="77777777" w:rsidR="00A85DF8" w:rsidRPr="0076589C" w:rsidRDefault="1C8D6E3A" w:rsidP="00A85DF8">
            <w:pPr>
              <w:spacing w:after="0" w:line="240" w:lineRule="auto"/>
              <w:ind w:left="0" w:firstLineChars="200" w:firstLine="36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Capital Social</w:t>
            </w:r>
          </w:p>
        </w:tc>
        <w:tc>
          <w:tcPr>
            <w:tcW w:w="618" w:type="pct"/>
            <w:tcBorders>
              <w:top w:val="nil"/>
              <w:left w:val="nil"/>
              <w:bottom w:val="nil"/>
              <w:right w:val="nil"/>
            </w:tcBorders>
            <w:shd w:val="clear" w:color="auto" w:fill="auto"/>
            <w:noWrap/>
            <w:vAlign w:val="bottom"/>
            <w:hideMark/>
          </w:tcPr>
          <w:p w14:paraId="4AD66D5A"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200,000.00 </w:t>
            </w:r>
          </w:p>
        </w:tc>
        <w:tc>
          <w:tcPr>
            <w:tcW w:w="283" w:type="pct"/>
            <w:tcBorders>
              <w:top w:val="nil"/>
              <w:left w:val="nil"/>
              <w:bottom w:val="nil"/>
              <w:right w:val="nil"/>
            </w:tcBorders>
            <w:shd w:val="clear" w:color="auto" w:fill="auto"/>
            <w:noWrap/>
            <w:vAlign w:val="bottom"/>
            <w:hideMark/>
          </w:tcPr>
          <w:p w14:paraId="1F2E0065"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w:t>
            </w:r>
          </w:p>
        </w:tc>
        <w:tc>
          <w:tcPr>
            <w:tcW w:w="618" w:type="pct"/>
            <w:tcBorders>
              <w:top w:val="nil"/>
              <w:left w:val="nil"/>
              <w:bottom w:val="nil"/>
              <w:right w:val="nil"/>
            </w:tcBorders>
            <w:shd w:val="clear" w:color="auto" w:fill="auto"/>
            <w:noWrap/>
            <w:vAlign w:val="bottom"/>
            <w:hideMark/>
          </w:tcPr>
          <w:p w14:paraId="42D1EF58"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200,000.00 </w:t>
            </w:r>
          </w:p>
        </w:tc>
        <w:tc>
          <w:tcPr>
            <w:tcW w:w="283" w:type="pct"/>
            <w:tcBorders>
              <w:top w:val="nil"/>
              <w:left w:val="nil"/>
              <w:bottom w:val="nil"/>
              <w:right w:val="nil"/>
            </w:tcBorders>
            <w:shd w:val="clear" w:color="auto" w:fill="auto"/>
            <w:noWrap/>
            <w:vAlign w:val="bottom"/>
            <w:hideMark/>
          </w:tcPr>
          <w:p w14:paraId="0AD7D5D8"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w:t>
            </w:r>
          </w:p>
        </w:tc>
        <w:tc>
          <w:tcPr>
            <w:tcW w:w="618" w:type="pct"/>
            <w:tcBorders>
              <w:top w:val="nil"/>
              <w:left w:val="nil"/>
              <w:bottom w:val="nil"/>
              <w:right w:val="nil"/>
            </w:tcBorders>
            <w:shd w:val="clear" w:color="auto" w:fill="auto"/>
            <w:noWrap/>
            <w:vAlign w:val="bottom"/>
            <w:hideMark/>
          </w:tcPr>
          <w:p w14:paraId="15336EE7"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200,000.00 </w:t>
            </w:r>
          </w:p>
        </w:tc>
        <w:tc>
          <w:tcPr>
            <w:tcW w:w="283" w:type="pct"/>
            <w:tcBorders>
              <w:top w:val="nil"/>
              <w:left w:val="nil"/>
              <w:bottom w:val="nil"/>
              <w:right w:val="nil"/>
            </w:tcBorders>
            <w:shd w:val="clear" w:color="auto" w:fill="auto"/>
            <w:noWrap/>
            <w:vAlign w:val="bottom"/>
            <w:hideMark/>
          </w:tcPr>
          <w:p w14:paraId="71324691"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w:t>
            </w:r>
          </w:p>
        </w:tc>
        <w:tc>
          <w:tcPr>
            <w:tcW w:w="618" w:type="pct"/>
            <w:tcBorders>
              <w:top w:val="nil"/>
              <w:left w:val="nil"/>
              <w:bottom w:val="nil"/>
              <w:right w:val="nil"/>
            </w:tcBorders>
            <w:shd w:val="clear" w:color="auto" w:fill="auto"/>
            <w:noWrap/>
            <w:vAlign w:val="bottom"/>
            <w:hideMark/>
          </w:tcPr>
          <w:p w14:paraId="30CA20C9"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200,000.00 </w:t>
            </w:r>
          </w:p>
        </w:tc>
        <w:tc>
          <w:tcPr>
            <w:tcW w:w="282" w:type="pct"/>
            <w:tcBorders>
              <w:top w:val="nil"/>
              <w:left w:val="nil"/>
              <w:bottom w:val="nil"/>
              <w:right w:val="nil"/>
            </w:tcBorders>
            <w:shd w:val="clear" w:color="auto" w:fill="auto"/>
            <w:noWrap/>
            <w:vAlign w:val="bottom"/>
            <w:hideMark/>
          </w:tcPr>
          <w:p w14:paraId="55589F74"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w:t>
            </w:r>
          </w:p>
        </w:tc>
      </w:tr>
      <w:tr w:rsidR="00A85DF8" w:rsidRPr="0076589C" w14:paraId="64F38952" w14:textId="77777777" w:rsidTr="1C8D6E3A">
        <w:trPr>
          <w:trHeight w:val="260"/>
        </w:trPr>
        <w:tc>
          <w:tcPr>
            <w:tcW w:w="1399" w:type="pct"/>
            <w:tcBorders>
              <w:top w:val="nil"/>
              <w:left w:val="nil"/>
              <w:bottom w:val="nil"/>
              <w:right w:val="nil"/>
            </w:tcBorders>
            <w:shd w:val="clear" w:color="auto" w:fill="auto"/>
            <w:noWrap/>
            <w:vAlign w:val="bottom"/>
            <w:hideMark/>
          </w:tcPr>
          <w:p w14:paraId="019763FE" w14:textId="77777777" w:rsidR="00A85DF8" w:rsidRPr="0076589C" w:rsidRDefault="1C8D6E3A" w:rsidP="00A85DF8">
            <w:pPr>
              <w:spacing w:after="0" w:line="240" w:lineRule="auto"/>
              <w:ind w:left="0" w:firstLineChars="200" w:firstLine="36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Utilidades Acumuladas</w:t>
            </w:r>
          </w:p>
        </w:tc>
        <w:tc>
          <w:tcPr>
            <w:tcW w:w="618" w:type="pct"/>
            <w:tcBorders>
              <w:top w:val="nil"/>
              <w:left w:val="nil"/>
              <w:bottom w:val="nil"/>
              <w:right w:val="nil"/>
            </w:tcBorders>
            <w:shd w:val="clear" w:color="auto" w:fill="auto"/>
            <w:noWrap/>
            <w:vAlign w:val="bottom"/>
            <w:hideMark/>
          </w:tcPr>
          <w:p w14:paraId="27E3A9BE"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94,092.51 </w:t>
            </w:r>
          </w:p>
        </w:tc>
        <w:tc>
          <w:tcPr>
            <w:tcW w:w="283" w:type="pct"/>
            <w:tcBorders>
              <w:top w:val="nil"/>
              <w:left w:val="nil"/>
              <w:bottom w:val="nil"/>
              <w:right w:val="nil"/>
            </w:tcBorders>
            <w:shd w:val="clear" w:color="auto" w:fill="auto"/>
            <w:noWrap/>
            <w:vAlign w:val="bottom"/>
            <w:hideMark/>
          </w:tcPr>
          <w:p w14:paraId="63F3A6C7"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0%</w:t>
            </w:r>
          </w:p>
        </w:tc>
        <w:tc>
          <w:tcPr>
            <w:tcW w:w="618" w:type="pct"/>
            <w:tcBorders>
              <w:top w:val="nil"/>
              <w:left w:val="nil"/>
              <w:bottom w:val="nil"/>
              <w:right w:val="nil"/>
            </w:tcBorders>
            <w:shd w:val="clear" w:color="auto" w:fill="auto"/>
            <w:noWrap/>
            <w:vAlign w:val="bottom"/>
            <w:hideMark/>
          </w:tcPr>
          <w:p w14:paraId="155213F3"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11,154,178.46 </w:t>
            </w:r>
          </w:p>
        </w:tc>
        <w:tc>
          <w:tcPr>
            <w:tcW w:w="283" w:type="pct"/>
            <w:tcBorders>
              <w:top w:val="nil"/>
              <w:left w:val="nil"/>
              <w:bottom w:val="nil"/>
              <w:right w:val="nil"/>
            </w:tcBorders>
            <w:shd w:val="clear" w:color="auto" w:fill="auto"/>
            <w:noWrap/>
            <w:vAlign w:val="bottom"/>
            <w:hideMark/>
          </w:tcPr>
          <w:p w14:paraId="08D3FF70"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58%</w:t>
            </w:r>
          </w:p>
        </w:tc>
        <w:tc>
          <w:tcPr>
            <w:tcW w:w="618" w:type="pct"/>
            <w:tcBorders>
              <w:top w:val="nil"/>
              <w:left w:val="nil"/>
              <w:bottom w:val="nil"/>
              <w:right w:val="nil"/>
            </w:tcBorders>
            <w:shd w:val="clear" w:color="auto" w:fill="auto"/>
            <w:noWrap/>
            <w:vAlign w:val="bottom"/>
            <w:hideMark/>
          </w:tcPr>
          <w:p w14:paraId="47FB1AF8"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12,040,878.72 </w:t>
            </w:r>
          </w:p>
        </w:tc>
        <w:tc>
          <w:tcPr>
            <w:tcW w:w="283" w:type="pct"/>
            <w:tcBorders>
              <w:top w:val="nil"/>
              <w:left w:val="nil"/>
              <w:bottom w:val="nil"/>
              <w:right w:val="nil"/>
            </w:tcBorders>
            <w:shd w:val="clear" w:color="auto" w:fill="auto"/>
            <w:noWrap/>
            <w:vAlign w:val="bottom"/>
            <w:hideMark/>
          </w:tcPr>
          <w:p w14:paraId="0746672D"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56%</w:t>
            </w:r>
          </w:p>
        </w:tc>
        <w:tc>
          <w:tcPr>
            <w:tcW w:w="618" w:type="pct"/>
            <w:tcBorders>
              <w:top w:val="nil"/>
              <w:left w:val="nil"/>
              <w:bottom w:val="nil"/>
              <w:right w:val="nil"/>
            </w:tcBorders>
            <w:shd w:val="clear" w:color="auto" w:fill="auto"/>
            <w:noWrap/>
            <w:vAlign w:val="bottom"/>
            <w:hideMark/>
          </w:tcPr>
          <w:p w14:paraId="32F0DCF9"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13,591,616.30 </w:t>
            </w:r>
          </w:p>
        </w:tc>
        <w:tc>
          <w:tcPr>
            <w:tcW w:w="282" w:type="pct"/>
            <w:tcBorders>
              <w:top w:val="nil"/>
              <w:left w:val="nil"/>
              <w:bottom w:val="nil"/>
              <w:right w:val="nil"/>
            </w:tcBorders>
            <w:shd w:val="clear" w:color="auto" w:fill="auto"/>
            <w:noWrap/>
            <w:vAlign w:val="bottom"/>
            <w:hideMark/>
          </w:tcPr>
          <w:p w14:paraId="5D5A1C10"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56%</w:t>
            </w:r>
          </w:p>
        </w:tc>
      </w:tr>
      <w:tr w:rsidR="00A85DF8" w:rsidRPr="0076589C" w14:paraId="0966F2CB" w14:textId="77777777" w:rsidTr="1C8D6E3A">
        <w:trPr>
          <w:trHeight w:val="260"/>
        </w:trPr>
        <w:tc>
          <w:tcPr>
            <w:tcW w:w="1399" w:type="pct"/>
            <w:tcBorders>
              <w:top w:val="nil"/>
              <w:left w:val="nil"/>
              <w:bottom w:val="nil"/>
              <w:right w:val="nil"/>
            </w:tcBorders>
            <w:shd w:val="clear" w:color="auto" w:fill="auto"/>
            <w:noWrap/>
            <w:vAlign w:val="bottom"/>
            <w:hideMark/>
          </w:tcPr>
          <w:p w14:paraId="6DE80420" w14:textId="77777777" w:rsidR="00A85DF8" w:rsidRPr="0076589C" w:rsidRDefault="1C8D6E3A" w:rsidP="00A85DF8">
            <w:pPr>
              <w:spacing w:after="0" w:line="240" w:lineRule="auto"/>
              <w:ind w:left="0" w:firstLineChars="200" w:firstLine="36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Utilidad del Período</w:t>
            </w:r>
          </w:p>
        </w:tc>
        <w:tc>
          <w:tcPr>
            <w:tcW w:w="618" w:type="pct"/>
            <w:tcBorders>
              <w:top w:val="nil"/>
              <w:left w:val="nil"/>
              <w:bottom w:val="nil"/>
              <w:right w:val="nil"/>
            </w:tcBorders>
            <w:shd w:val="clear" w:color="auto" w:fill="auto"/>
            <w:noWrap/>
            <w:vAlign w:val="bottom"/>
            <w:hideMark/>
          </w:tcPr>
          <w:p w14:paraId="78F32AB2"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9,129,798.10 </w:t>
            </w:r>
          </w:p>
        </w:tc>
        <w:tc>
          <w:tcPr>
            <w:tcW w:w="283" w:type="pct"/>
            <w:tcBorders>
              <w:top w:val="nil"/>
              <w:left w:val="nil"/>
              <w:bottom w:val="nil"/>
              <w:right w:val="nil"/>
            </w:tcBorders>
            <w:shd w:val="clear" w:color="auto" w:fill="auto"/>
            <w:noWrap/>
            <w:vAlign w:val="bottom"/>
            <w:hideMark/>
          </w:tcPr>
          <w:p w14:paraId="23B9DE3C"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48%</w:t>
            </w:r>
          </w:p>
        </w:tc>
        <w:tc>
          <w:tcPr>
            <w:tcW w:w="618" w:type="pct"/>
            <w:tcBorders>
              <w:top w:val="nil"/>
              <w:left w:val="nil"/>
              <w:bottom w:val="nil"/>
              <w:right w:val="nil"/>
            </w:tcBorders>
            <w:shd w:val="clear" w:color="auto" w:fill="auto"/>
            <w:noWrap/>
            <w:vAlign w:val="bottom"/>
            <w:hideMark/>
          </w:tcPr>
          <w:p w14:paraId="2C8F691B"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886,700.26 </w:t>
            </w:r>
          </w:p>
        </w:tc>
        <w:tc>
          <w:tcPr>
            <w:tcW w:w="283" w:type="pct"/>
            <w:tcBorders>
              <w:top w:val="nil"/>
              <w:left w:val="nil"/>
              <w:bottom w:val="nil"/>
              <w:right w:val="nil"/>
            </w:tcBorders>
            <w:shd w:val="clear" w:color="auto" w:fill="auto"/>
            <w:noWrap/>
            <w:vAlign w:val="bottom"/>
            <w:hideMark/>
          </w:tcPr>
          <w:p w14:paraId="14C00B53"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5%</w:t>
            </w:r>
          </w:p>
        </w:tc>
        <w:tc>
          <w:tcPr>
            <w:tcW w:w="618" w:type="pct"/>
            <w:tcBorders>
              <w:top w:val="nil"/>
              <w:left w:val="nil"/>
              <w:bottom w:val="nil"/>
              <w:right w:val="nil"/>
            </w:tcBorders>
            <w:shd w:val="clear" w:color="auto" w:fill="auto"/>
            <w:noWrap/>
            <w:vAlign w:val="bottom"/>
            <w:hideMark/>
          </w:tcPr>
          <w:p w14:paraId="267F32D1"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   </w:t>
            </w:r>
          </w:p>
        </w:tc>
        <w:tc>
          <w:tcPr>
            <w:tcW w:w="283" w:type="pct"/>
            <w:tcBorders>
              <w:top w:val="nil"/>
              <w:left w:val="nil"/>
              <w:bottom w:val="nil"/>
              <w:right w:val="nil"/>
            </w:tcBorders>
            <w:shd w:val="clear" w:color="auto" w:fill="auto"/>
            <w:noWrap/>
            <w:vAlign w:val="bottom"/>
            <w:hideMark/>
          </w:tcPr>
          <w:p w14:paraId="78CD3039"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0%</w:t>
            </w:r>
          </w:p>
        </w:tc>
        <w:tc>
          <w:tcPr>
            <w:tcW w:w="618" w:type="pct"/>
            <w:tcBorders>
              <w:top w:val="nil"/>
              <w:left w:val="nil"/>
              <w:bottom w:val="nil"/>
              <w:right w:val="nil"/>
            </w:tcBorders>
            <w:shd w:val="clear" w:color="auto" w:fill="auto"/>
            <w:noWrap/>
            <w:vAlign w:val="bottom"/>
            <w:hideMark/>
          </w:tcPr>
          <w:p w14:paraId="72BFF2AA"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   </w:t>
            </w:r>
          </w:p>
        </w:tc>
        <w:tc>
          <w:tcPr>
            <w:tcW w:w="282" w:type="pct"/>
            <w:tcBorders>
              <w:top w:val="nil"/>
              <w:left w:val="nil"/>
              <w:bottom w:val="nil"/>
              <w:right w:val="nil"/>
            </w:tcBorders>
            <w:shd w:val="clear" w:color="auto" w:fill="auto"/>
            <w:noWrap/>
            <w:vAlign w:val="bottom"/>
            <w:hideMark/>
          </w:tcPr>
          <w:p w14:paraId="48CD5C9E"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0%</w:t>
            </w:r>
          </w:p>
        </w:tc>
      </w:tr>
      <w:tr w:rsidR="00A85DF8" w:rsidRPr="0076589C" w14:paraId="0CC3DFD3" w14:textId="77777777" w:rsidTr="1C8D6E3A">
        <w:trPr>
          <w:trHeight w:val="270"/>
        </w:trPr>
        <w:tc>
          <w:tcPr>
            <w:tcW w:w="1399" w:type="pct"/>
            <w:tcBorders>
              <w:top w:val="nil"/>
              <w:left w:val="nil"/>
              <w:bottom w:val="double" w:sz="6" w:space="0" w:color="auto"/>
              <w:right w:val="nil"/>
            </w:tcBorders>
            <w:shd w:val="clear" w:color="auto" w:fill="auto"/>
            <w:noWrap/>
            <w:vAlign w:val="bottom"/>
            <w:hideMark/>
          </w:tcPr>
          <w:p w14:paraId="4D7CFD9C" w14:textId="77777777" w:rsidR="00A85DF8" w:rsidRPr="0076589C" w:rsidRDefault="1C8D6E3A" w:rsidP="00A85DF8">
            <w:pPr>
              <w:spacing w:after="0" w:line="240" w:lineRule="auto"/>
              <w:ind w:left="0" w:firstLineChars="200" w:firstLine="36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Utilidad del Ejercicio</w:t>
            </w:r>
          </w:p>
        </w:tc>
        <w:tc>
          <w:tcPr>
            <w:tcW w:w="618" w:type="pct"/>
            <w:tcBorders>
              <w:top w:val="nil"/>
              <w:left w:val="nil"/>
              <w:bottom w:val="double" w:sz="6" w:space="0" w:color="auto"/>
              <w:right w:val="nil"/>
            </w:tcBorders>
            <w:shd w:val="clear" w:color="auto" w:fill="auto"/>
            <w:noWrap/>
            <w:vAlign w:val="bottom"/>
            <w:hideMark/>
          </w:tcPr>
          <w:p w14:paraId="4F1A156C"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1,930,287.85 </w:t>
            </w:r>
          </w:p>
        </w:tc>
        <w:tc>
          <w:tcPr>
            <w:tcW w:w="283" w:type="pct"/>
            <w:tcBorders>
              <w:top w:val="nil"/>
              <w:left w:val="nil"/>
              <w:bottom w:val="nil"/>
              <w:right w:val="nil"/>
            </w:tcBorders>
            <w:shd w:val="clear" w:color="auto" w:fill="auto"/>
            <w:noWrap/>
            <w:vAlign w:val="bottom"/>
            <w:hideMark/>
          </w:tcPr>
          <w:p w14:paraId="36B4C293"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10%</w:t>
            </w:r>
          </w:p>
        </w:tc>
        <w:tc>
          <w:tcPr>
            <w:tcW w:w="618" w:type="pct"/>
            <w:tcBorders>
              <w:top w:val="nil"/>
              <w:left w:val="nil"/>
              <w:bottom w:val="double" w:sz="6" w:space="0" w:color="auto"/>
              <w:right w:val="nil"/>
            </w:tcBorders>
            <w:shd w:val="clear" w:color="auto" w:fill="auto"/>
            <w:noWrap/>
            <w:vAlign w:val="bottom"/>
            <w:hideMark/>
          </w:tcPr>
          <w:p w14:paraId="4F996249"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   </w:t>
            </w:r>
          </w:p>
        </w:tc>
        <w:tc>
          <w:tcPr>
            <w:tcW w:w="283" w:type="pct"/>
            <w:tcBorders>
              <w:top w:val="nil"/>
              <w:left w:val="nil"/>
              <w:bottom w:val="nil"/>
              <w:right w:val="nil"/>
            </w:tcBorders>
            <w:shd w:val="clear" w:color="auto" w:fill="auto"/>
            <w:noWrap/>
            <w:vAlign w:val="bottom"/>
            <w:hideMark/>
          </w:tcPr>
          <w:p w14:paraId="4A5C5F0A"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0%</w:t>
            </w:r>
          </w:p>
        </w:tc>
        <w:tc>
          <w:tcPr>
            <w:tcW w:w="618" w:type="pct"/>
            <w:tcBorders>
              <w:top w:val="nil"/>
              <w:left w:val="nil"/>
              <w:bottom w:val="double" w:sz="6" w:space="0" w:color="auto"/>
              <w:right w:val="nil"/>
            </w:tcBorders>
            <w:shd w:val="clear" w:color="auto" w:fill="auto"/>
            <w:noWrap/>
            <w:vAlign w:val="bottom"/>
            <w:hideMark/>
          </w:tcPr>
          <w:p w14:paraId="54B6D846"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1,758,748.50 </w:t>
            </w:r>
          </w:p>
        </w:tc>
        <w:tc>
          <w:tcPr>
            <w:tcW w:w="283" w:type="pct"/>
            <w:tcBorders>
              <w:top w:val="nil"/>
              <w:left w:val="nil"/>
              <w:bottom w:val="double" w:sz="6" w:space="0" w:color="auto"/>
              <w:right w:val="nil"/>
            </w:tcBorders>
            <w:shd w:val="clear" w:color="auto" w:fill="auto"/>
            <w:noWrap/>
            <w:vAlign w:val="bottom"/>
            <w:hideMark/>
          </w:tcPr>
          <w:p w14:paraId="0593E6E0"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8%</w:t>
            </w:r>
          </w:p>
        </w:tc>
        <w:tc>
          <w:tcPr>
            <w:tcW w:w="618" w:type="pct"/>
            <w:tcBorders>
              <w:top w:val="nil"/>
              <w:left w:val="nil"/>
              <w:bottom w:val="double" w:sz="6" w:space="0" w:color="auto"/>
              <w:right w:val="nil"/>
            </w:tcBorders>
            <w:shd w:val="clear" w:color="auto" w:fill="auto"/>
            <w:noWrap/>
            <w:vAlign w:val="bottom"/>
            <w:hideMark/>
          </w:tcPr>
          <w:p w14:paraId="160CD301" w14:textId="77777777" w:rsidR="00A85DF8" w:rsidRPr="0076589C" w:rsidRDefault="1C8D6E3A" w:rsidP="00A85DF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 xml:space="preserve"> L       1,894,061.91 </w:t>
            </w:r>
          </w:p>
        </w:tc>
        <w:tc>
          <w:tcPr>
            <w:tcW w:w="282" w:type="pct"/>
            <w:tcBorders>
              <w:top w:val="nil"/>
              <w:left w:val="nil"/>
              <w:bottom w:val="double" w:sz="6" w:space="0" w:color="auto"/>
              <w:right w:val="nil"/>
            </w:tcBorders>
            <w:shd w:val="clear" w:color="auto" w:fill="auto"/>
            <w:noWrap/>
            <w:vAlign w:val="bottom"/>
            <w:hideMark/>
          </w:tcPr>
          <w:p w14:paraId="0507869D" w14:textId="77777777" w:rsidR="00A85DF8" w:rsidRPr="0076589C" w:rsidRDefault="1C8D6E3A" w:rsidP="00A85DF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themeColor="text1"/>
                <w:sz w:val="18"/>
                <w:szCs w:val="18"/>
              </w:rPr>
              <w:t>8%</w:t>
            </w:r>
          </w:p>
        </w:tc>
      </w:tr>
      <w:tr w:rsidR="00A85DF8" w:rsidRPr="0076589C" w14:paraId="50AF116C" w14:textId="77777777" w:rsidTr="1C8D6E3A">
        <w:trPr>
          <w:trHeight w:val="270"/>
        </w:trPr>
        <w:tc>
          <w:tcPr>
            <w:tcW w:w="1399" w:type="pct"/>
            <w:tcBorders>
              <w:top w:val="nil"/>
              <w:left w:val="nil"/>
              <w:bottom w:val="single" w:sz="4" w:space="0" w:color="auto"/>
              <w:right w:val="nil"/>
            </w:tcBorders>
            <w:shd w:val="clear" w:color="auto" w:fill="auto"/>
            <w:noWrap/>
            <w:vAlign w:val="bottom"/>
            <w:hideMark/>
          </w:tcPr>
          <w:p w14:paraId="516E4A43" w14:textId="77777777" w:rsidR="00A85DF8" w:rsidRPr="0076589C" w:rsidRDefault="1C8D6E3A" w:rsidP="00A85DF8">
            <w:pPr>
              <w:spacing w:after="0" w:line="240" w:lineRule="auto"/>
              <w:ind w:left="0" w:firstLineChars="200" w:firstLine="361"/>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Total Patrimonio Neto</w:t>
            </w:r>
          </w:p>
        </w:tc>
        <w:tc>
          <w:tcPr>
            <w:tcW w:w="618" w:type="pct"/>
            <w:tcBorders>
              <w:top w:val="nil"/>
              <w:left w:val="nil"/>
              <w:bottom w:val="single" w:sz="4" w:space="0" w:color="auto"/>
              <w:right w:val="nil"/>
            </w:tcBorders>
            <w:shd w:val="clear" w:color="auto" w:fill="auto"/>
            <w:noWrap/>
            <w:vAlign w:val="bottom"/>
            <w:hideMark/>
          </w:tcPr>
          <w:p w14:paraId="0F23D76A"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11,354,178.46 </w:t>
            </w:r>
          </w:p>
        </w:tc>
        <w:tc>
          <w:tcPr>
            <w:tcW w:w="283" w:type="pct"/>
            <w:tcBorders>
              <w:top w:val="double" w:sz="6" w:space="0" w:color="auto"/>
              <w:left w:val="nil"/>
              <w:bottom w:val="single" w:sz="4" w:space="0" w:color="auto"/>
              <w:right w:val="nil"/>
            </w:tcBorders>
            <w:shd w:val="clear" w:color="auto" w:fill="C9E1EF"/>
            <w:noWrap/>
            <w:vAlign w:val="bottom"/>
            <w:hideMark/>
          </w:tcPr>
          <w:p w14:paraId="6D0BC6A3"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60%</w:t>
            </w:r>
          </w:p>
        </w:tc>
        <w:tc>
          <w:tcPr>
            <w:tcW w:w="618" w:type="pct"/>
            <w:tcBorders>
              <w:top w:val="nil"/>
              <w:left w:val="nil"/>
              <w:bottom w:val="single" w:sz="4" w:space="0" w:color="auto"/>
              <w:right w:val="nil"/>
            </w:tcBorders>
            <w:shd w:val="clear" w:color="auto" w:fill="auto"/>
            <w:noWrap/>
            <w:vAlign w:val="bottom"/>
            <w:hideMark/>
          </w:tcPr>
          <w:p w14:paraId="77D03FD7"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12,240,878.72 </w:t>
            </w:r>
          </w:p>
        </w:tc>
        <w:tc>
          <w:tcPr>
            <w:tcW w:w="283" w:type="pct"/>
            <w:tcBorders>
              <w:top w:val="double" w:sz="6" w:space="0" w:color="auto"/>
              <w:left w:val="nil"/>
              <w:bottom w:val="single" w:sz="4" w:space="0" w:color="auto"/>
              <w:right w:val="nil"/>
            </w:tcBorders>
            <w:shd w:val="clear" w:color="auto" w:fill="C9E1EF"/>
            <w:noWrap/>
            <w:vAlign w:val="bottom"/>
            <w:hideMark/>
          </w:tcPr>
          <w:p w14:paraId="0B2E1937"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64%</w:t>
            </w:r>
          </w:p>
        </w:tc>
        <w:tc>
          <w:tcPr>
            <w:tcW w:w="618" w:type="pct"/>
            <w:tcBorders>
              <w:top w:val="nil"/>
              <w:left w:val="nil"/>
              <w:bottom w:val="single" w:sz="4" w:space="0" w:color="auto"/>
              <w:right w:val="nil"/>
            </w:tcBorders>
            <w:shd w:val="clear" w:color="auto" w:fill="auto"/>
            <w:noWrap/>
            <w:vAlign w:val="bottom"/>
            <w:hideMark/>
          </w:tcPr>
          <w:p w14:paraId="0289FB12"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13,999,627.22 </w:t>
            </w:r>
          </w:p>
        </w:tc>
        <w:tc>
          <w:tcPr>
            <w:tcW w:w="283" w:type="pct"/>
            <w:tcBorders>
              <w:top w:val="nil"/>
              <w:left w:val="nil"/>
              <w:bottom w:val="single" w:sz="4" w:space="0" w:color="auto"/>
              <w:right w:val="nil"/>
            </w:tcBorders>
            <w:shd w:val="clear" w:color="auto" w:fill="C9E1EF"/>
            <w:noWrap/>
            <w:vAlign w:val="bottom"/>
            <w:hideMark/>
          </w:tcPr>
          <w:p w14:paraId="02719BD6"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65%</w:t>
            </w:r>
          </w:p>
        </w:tc>
        <w:tc>
          <w:tcPr>
            <w:tcW w:w="618" w:type="pct"/>
            <w:tcBorders>
              <w:top w:val="nil"/>
              <w:left w:val="nil"/>
              <w:bottom w:val="single" w:sz="4" w:space="0" w:color="auto"/>
              <w:right w:val="nil"/>
            </w:tcBorders>
            <w:shd w:val="clear" w:color="auto" w:fill="auto"/>
            <w:noWrap/>
            <w:vAlign w:val="bottom"/>
            <w:hideMark/>
          </w:tcPr>
          <w:p w14:paraId="5B74205B"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15,685,678.21 </w:t>
            </w:r>
          </w:p>
        </w:tc>
        <w:tc>
          <w:tcPr>
            <w:tcW w:w="282" w:type="pct"/>
            <w:tcBorders>
              <w:top w:val="nil"/>
              <w:left w:val="nil"/>
              <w:bottom w:val="single" w:sz="4" w:space="0" w:color="auto"/>
              <w:right w:val="nil"/>
            </w:tcBorders>
            <w:shd w:val="clear" w:color="auto" w:fill="C9E1EF"/>
            <w:noWrap/>
            <w:vAlign w:val="bottom"/>
            <w:hideMark/>
          </w:tcPr>
          <w:p w14:paraId="110A3C11"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64%</w:t>
            </w:r>
          </w:p>
        </w:tc>
      </w:tr>
      <w:tr w:rsidR="00A85DF8" w:rsidRPr="0076589C" w14:paraId="215EC6B3" w14:textId="77777777" w:rsidTr="1C8D6E3A">
        <w:trPr>
          <w:trHeight w:val="260"/>
        </w:trPr>
        <w:tc>
          <w:tcPr>
            <w:tcW w:w="1399" w:type="pct"/>
            <w:tcBorders>
              <w:top w:val="nil"/>
              <w:left w:val="nil"/>
              <w:bottom w:val="nil"/>
              <w:right w:val="nil"/>
            </w:tcBorders>
            <w:shd w:val="clear" w:color="auto" w:fill="auto"/>
            <w:noWrap/>
            <w:vAlign w:val="bottom"/>
            <w:hideMark/>
          </w:tcPr>
          <w:p w14:paraId="673C2D61" w14:textId="77777777" w:rsidR="00A85DF8" w:rsidRPr="0076589C" w:rsidRDefault="00A85DF8" w:rsidP="00A85DF8">
            <w:pPr>
              <w:spacing w:after="0" w:line="240" w:lineRule="auto"/>
              <w:ind w:left="0"/>
              <w:jc w:val="center"/>
              <w:rPr>
                <w:rFonts w:ascii="Calibri" w:eastAsia="Times New Roman" w:hAnsi="Calibri" w:cs="Calibri"/>
                <w:b/>
                <w:bCs/>
                <w:color w:val="000000"/>
                <w:sz w:val="18"/>
                <w:szCs w:val="18"/>
              </w:rPr>
            </w:pPr>
          </w:p>
        </w:tc>
        <w:tc>
          <w:tcPr>
            <w:tcW w:w="618" w:type="pct"/>
            <w:tcBorders>
              <w:top w:val="nil"/>
              <w:left w:val="nil"/>
              <w:bottom w:val="nil"/>
              <w:right w:val="nil"/>
            </w:tcBorders>
            <w:shd w:val="clear" w:color="auto" w:fill="auto"/>
            <w:noWrap/>
            <w:vAlign w:val="bottom"/>
            <w:hideMark/>
          </w:tcPr>
          <w:p w14:paraId="0AA5D794" w14:textId="77777777" w:rsidR="00A85DF8" w:rsidRPr="0076589C" w:rsidRDefault="00A85DF8" w:rsidP="00A85DF8">
            <w:pPr>
              <w:spacing w:after="0" w:line="240" w:lineRule="auto"/>
              <w:ind w:left="0" w:firstLineChars="200" w:firstLine="360"/>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174C0D7A"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5BADCA73"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353C8268"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6D63A772" w14:textId="77777777" w:rsidR="00A85DF8" w:rsidRPr="0076589C" w:rsidRDefault="00A85DF8" w:rsidP="00A85DF8">
            <w:pPr>
              <w:spacing w:after="0" w:line="240" w:lineRule="auto"/>
              <w:ind w:left="0"/>
              <w:jc w:val="center"/>
              <w:rPr>
                <w:rFonts w:eastAsia="Times New Roman" w:cs="Times New Roman"/>
                <w:sz w:val="18"/>
                <w:szCs w:val="18"/>
              </w:rPr>
            </w:pPr>
          </w:p>
        </w:tc>
        <w:tc>
          <w:tcPr>
            <w:tcW w:w="283" w:type="pct"/>
            <w:tcBorders>
              <w:top w:val="nil"/>
              <w:left w:val="nil"/>
              <w:bottom w:val="nil"/>
              <w:right w:val="nil"/>
            </w:tcBorders>
            <w:shd w:val="clear" w:color="auto" w:fill="auto"/>
            <w:noWrap/>
            <w:vAlign w:val="bottom"/>
            <w:hideMark/>
          </w:tcPr>
          <w:p w14:paraId="231BAE30" w14:textId="77777777" w:rsidR="00A85DF8" w:rsidRPr="0076589C" w:rsidRDefault="00A85DF8" w:rsidP="00A85DF8">
            <w:pPr>
              <w:spacing w:after="0" w:line="240" w:lineRule="auto"/>
              <w:ind w:left="0"/>
              <w:rPr>
                <w:rFonts w:eastAsia="Times New Roman" w:cs="Times New Roman"/>
                <w:sz w:val="18"/>
                <w:szCs w:val="18"/>
              </w:rPr>
            </w:pPr>
          </w:p>
        </w:tc>
        <w:tc>
          <w:tcPr>
            <w:tcW w:w="618" w:type="pct"/>
            <w:tcBorders>
              <w:top w:val="nil"/>
              <w:left w:val="nil"/>
              <w:bottom w:val="nil"/>
              <w:right w:val="nil"/>
            </w:tcBorders>
            <w:shd w:val="clear" w:color="auto" w:fill="auto"/>
            <w:noWrap/>
            <w:vAlign w:val="bottom"/>
            <w:hideMark/>
          </w:tcPr>
          <w:p w14:paraId="77F61EF5" w14:textId="77777777" w:rsidR="00A85DF8" w:rsidRPr="0076589C" w:rsidRDefault="00A85DF8" w:rsidP="00A85DF8">
            <w:pPr>
              <w:spacing w:after="0" w:line="240" w:lineRule="auto"/>
              <w:ind w:left="0"/>
              <w:jc w:val="center"/>
              <w:rPr>
                <w:rFonts w:eastAsia="Times New Roman" w:cs="Times New Roman"/>
                <w:sz w:val="18"/>
                <w:szCs w:val="18"/>
              </w:rPr>
            </w:pPr>
          </w:p>
        </w:tc>
        <w:tc>
          <w:tcPr>
            <w:tcW w:w="282" w:type="pct"/>
            <w:tcBorders>
              <w:top w:val="nil"/>
              <w:left w:val="nil"/>
              <w:bottom w:val="nil"/>
              <w:right w:val="nil"/>
            </w:tcBorders>
            <w:shd w:val="clear" w:color="auto" w:fill="auto"/>
            <w:noWrap/>
            <w:vAlign w:val="bottom"/>
            <w:hideMark/>
          </w:tcPr>
          <w:p w14:paraId="380E8DB2" w14:textId="77777777" w:rsidR="00A85DF8" w:rsidRPr="0076589C" w:rsidRDefault="00A85DF8" w:rsidP="00A85DF8">
            <w:pPr>
              <w:spacing w:after="0" w:line="240" w:lineRule="auto"/>
              <w:ind w:left="0"/>
              <w:rPr>
                <w:rFonts w:eastAsia="Times New Roman" w:cs="Times New Roman"/>
                <w:sz w:val="18"/>
                <w:szCs w:val="18"/>
              </w:rPr>
            </w:pPr>
          </w:p>
        </w:tc>
      </w:tr>
      <w:tr w:rsidR="00A85DF8" w:rsidRPr="0076589C" w14:paraId="1B20AA57" w14:textId="77777777" w:rsidTr="1C8D6E3A">
        <w:trPr>
          <w:trHeight w:val="260"/>
        </w:trPr>
        <w:tc>
          <w:tcPr>
            <w:tcW w:w="1399" w:type="pct"/>
            <w:tcBorders>
              <w:top w:val="single" w:sz="4" w:space="0" w:color="auto"/>
              <w:left w:val="nil"/>
              <w:bottom w:val="single" w:sz="4" w:space="0" w:color="auto"/>
              <w:right w:val="nil"/>
            </w:tcBorders>
            <w:shd w:val="clear" w:color="auto" w:fill="auto"/>
            <w:noWrap/>
            <w:vAlign w:val="bottom"/>
            <w:hideMark/>
          </w:tcPr>
          <w:p w14:paraId="4BF97D1F" w14:textId="77777777" w:rsidR="00A85DF8" w:rsidRPr="0076589C" w:rsidRDefault="1C8D6E3A" w:rsidP="00A85DF8">
            <w:pPr>
              <w:spacing w:after="0" w:line="240" w:lineRule="auto"/>
              <w:ind w:left="0" w:firstLineChars="100" w:firstLine="181"/>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Total Pasivo + Capital</w:t>
            </w:r>
          </w:p>
        </w:tc>
        <w:tc>
          <w:tcPr>
            <w:tcW w:w="618" w:type="pct"/>
            <w:tcBorders>
              <w:top w:val="single" w:sz="4" w:space="0" w:color="auto"/>
              <w:left w:val="nil"/>
              <w:bottom w:val="single" w:sz="4" w:space="0" w:color="auto"/>
              <w:right w:val="nil"/>
            </w:tcBorders>
            <w:shd w:val="clear" w:color="auto" w:fill="auto"/>
            <w:noWrap/>
            <w:vAlign w:val="bottom"/>
            <w:hideMark/>
          </w:tcPr>
          <w:p w14:paraId="3D41DBAA"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19,024,539.28 </w:t>
            </w:r>
          </w:p>
        </w:tc>
        <w:tc>
          <w:tcPr>
            <w:tcW w:w="283" w:type="pct"/>
            <w:tcBorders>
              <w:top w:val="single" w:sz="4" w:space="0" w:color="auto"/>
              <w:left w:val="nil"/>
              <w:bottom w:val="single" w:sz="4" w:space="0" w:color="auto"/>
              <w:right w:val="nil"/>
            </w:tcBorders>
            <w:shd w:val="clear" w:color="auto" w:fill="C9E1EF"/>
            <w:noWrap/>
            <w:vAlign w:val="bottom"/>
            <w:hideMark/>
          </w:tcPr>
          <w:p w14:paraId="2294D496"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100%</w:t>
            </w:r>
          </w:p>
        </w:tc>
        <w:tc>
          <w:tcPr>
            <w:tcW w:w="618" w:type="pct"/>
            <w:tcBorders>
              <w:top w:val="single" w:sz="4" w:space="0" w:color="auto"/>
              <w:left w:val="nil"/>
              <w:bottom w:val="single" w:sz="4" w:space="0" w:color="auto"/>
              <w:right w:val="nil"/>
            </w:tcBorders>
            <w:shd w:val="clear" w:color="auto" w:fill="auto"/>
            <w:noWrap/>
            <w:vAlign w:val="bottom"/>
            <w:hideMark/>
          </w:tcPr>
          <w:p w14:paraId="42AC5170"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19,103,113.19 </w:t>
            </w:r>
          </w:p>
        </w:tc>
        <w:tc>
          <w:tcPr>
            <w:tcW w:w="283" w:type="pct"/>
            <w:tcBorders>
              <w:top w:val="single" w:sz="4" w:space="0" w:color="auto"/>
              <w:left w:val="nil"/>
              <w:bottom w:val="single" w:sz="4" w:space="0" w:color="auto"/>
              <w:right w:val="nil"/>
            </w:tcBorders>
            <w:shd w:val="clear" w:color="auto" w:fill="C9E1EF"/>
            <w:noWrap/>
            <w:vAlign w:val="bottom"/>
            <w:hideMark/>
          </w:tcPr>
          <w:p w14:paraId="67BD1272"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100%</w:t>
            </w:r>
          </w:p>
        </w:tc>
        <w:tc>
          <w:tcPr>
            <w:tcW w:w="618" w:type="pct"/>
            <w:tcBorders>
              <w:top w:val="single" w:sz="4" w:space="0" w:color="auto"/>
              <w:left w:val="nil"/>
              <w:bottom w:val="single" w:sz="4" w:space="0" w:color="auto"/>
              <w:right w:val="nil"/>
            </w:tcBorders>
            <w:shd w:val="clear" w:color="auto" w:fill="auto"/>
            <w:noWrap/>
            <w:vAlign w:val="bottom"/>
            <w:hideMark/>
          </w:tcPr>
          <w:p w14:paraId="5B799AAB"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21,393,809.22 </w:t>
            </w:r>
          </w:p>
        </w:tc>
        <w:tc>
          <w:tcPr>
            <w:tcW w:w="283" w:type="pct"/>
            <w:tcBorders>
              <w:top w:val="single" w:sz="4" w:space="0" w:color="auto"/>
              <w:left w:val="nil"/>
              <w:bottom w:val="single" w:sz="4" w:space="0" w:color="auto"/>
              <w:right w:val="nil"/>
            </w:tcBorders>
            <w:shd w:val="clear" w:color="auto" w:fill="C9E1EF"/>
            <w:noWrap/>
            <w:vAlign w:val="bottom"/>
            <w:hideMark/>
          </w:tcPr>
          <w:p w14:paraId="632F8A9B"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100%</w:t>
            </w:r>
          </w:p>
        </w:tc>
        <w:tc>
          <w:tcPr>
            <w:tcW w:w="618" w:type="pct"/>
            <w:tcBorders>
              <w:top w:val="single" w:sz="4" w:space="0" w:color="auto"/>
              <w:left w:val="nil"/>
              <w:bottom w:val="single" w:sz="4" w:space="0" w:color="auto"/>
              <w:right w:val="nil"/>
            </w:tcBorders>
            <w:shd w:val="clear" w:color="auto" w:fill="auto"/>
            <w:noWrap/>
            <w:vAlign w:val="bottom"/>
            <w:hideMark/>
          </w:tcPr>
          <w:p w14:paraId="31E53925" w14:textId="77777777" w:rsidR="00A85DF8" w:rsidRPr="0076589C" w:rsidRDefault="1C8D6E3A" w:rsidP="00A85DF8">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 xml:space="preserve"> L     24,423,314.42 </w:t>
            </w:r>
          </w:p>
        </w:tc>
        <w:tc>
          <w:tcPr>
            <w:tcW w:w="282" w:type="pct"/>
            <w:tcBorders>
              <w:top w:val="single" w:sz="4" w:space="0" w:color="auto"/>
              <w:left w:val="nil"/>
              <w:bottom w:val="single" w:sz="4" w:space="0" w:color="auto"/>
              <w:right w:val="nil"/>
            </w:tcBorders>
            <w:shd w:val="clear" w:color="auto" w:fill="C9E1EF"/>
            <w:noWrap/>
            <w:vAlign w:val="bottom"/>
            <w:hideMark/>
          </w:tcPr>
          <w:p w14:paraId="41CE1C4E" w14:textId="77777777" w:rsidR="00A85DF8" w:rsidRPr="0076589C" w:rsidRDefault="1C8D6E3A" w:rsidP="00A85DF8">
            <w:pPr>
              <w:spacing w:after="0" w:line="240" w:lineRule="auto"/>
              <w:ind w:left="0"/>
              <w:jc w:val="center"/>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100%</w:t>
            </w:r>
          </w:p>
        </w:tc>
      </w:tr>
    </w:tbl>
    <w:p w14:paraId="734F48D8" w14:textId="418A32D3" w:rsidR="008E22AD" w:rsidRPr="0076589C" w:rsidRDefault="1C8D6E3A" w:rsidP="00B56900">
      <w:pPr>
        <w:pStyle w:val="Fuentes"/>
        <w:rPr>
          <w:lang w:val="es-HN"/>
        </w:rPr>
      </w:pPr>
      <w:r w:rsidRPr="0076589C">
        <w:rPr>
          <w:lang w:val="es-HN"/>
        </w:rPr>
        <w:t xml:space="preserve">Fuente: Elaboración propia con datos de Industria Procesadora de Alimentos IPRA. </w:t>
      </w:r>
    </w:p>
    <w:p w14:paraId="33153053" w14:textId="756FEB9F" w:rsidR="227C315C" w:rsidRPr="0076589C" w:rsidRDefault="1C8D6E3A" w:rsidP="259A0F6A">
      <w:pPr>
        <w:spacing w:line="360" w:lineRule="auto"/>
        <w:ind w:left="0" w:firstLine="720"/>
        <w:jc w:val="both"/>
      </w:pPr>
      <w:r w:rsidRPr="0076589C">
        <w:t>Primeramente, al comparar los porcentajes de los activos, pasivos y capital de los años 2019 al 2022, se identificó que a la empresa está utilizando más recursos propios de la misma para financiar sus inversiones, esto se puede determinar al notar que el total de sus pasivos representa un 35%- 40% y su capital un 60%- 65%, mientras que sus activos están representados por un porcentaje menor del 17%-24%.  Esta es una señal de una estructura financiera más sólida y menos apalancada, ya que, al financiar sus inversiones con su capital propio, la empresa tiene un mayor control sobre su dirección y decisiones estratégicas, ya que no está sujeta a las obligaciones y restricciones asociadas con la deuda.</w:t>
      </w:r>
    </w:p>
    <w:p w14:paraId="66FDA20F" w14:textId="77777777" w:rsidR="00625999" w:rsidRPr="0076589C" w:rsidRDefault="00625999" w:rsidP="259A0F6A">
      <w:pPr>
        <w:spacing w:line="360" w:lineRule="auto"/>
        <w:ind w:left="0" w:firstLine="720"/>
        <w:jc w:val="both"/>
      </w:pPr>
    </w:p>
    <w:p w14:paraId="59C36D6F" w14:textId="77777777" w:rsidR="00625999" w:rsidRPr="0076589C" w:rsidRDefault="00625999" w:rsidP="259A0F6A">
      <w:pPr>
        <w:spacing w:line="360" w:lineRule="auto"/>
        <w:ind w:left="0" w:firstLine="720"/>
        <w:jc w:val="both"/>
        <w:sectPr w:rsidR="00625999" w:rsidRPr="0076589C" w:rsidSect="008C6BD1">
          <w:pgSz w:w="15840" w:h="12240" w:orient="landscape" w:code="1"/>
          <w:pgMar w:top="1440" w:right="1440" w:bottom="1440" w:left="1440" w:header="720" w:footer="720" w:gutter="0"/>
          <w:cols w:space="720"/>
          <w:docGrid w:linePitch="360"/>
        </w:sectPr>
      </w:pPr>
    </w:p>
    <w:p w14:paraId="6C76189B" w14:textId="55905A68" w:rsidR="00074F1A" w:rsidRPr="0076589C" w:rsidRDefault="00074F1A" w:rsidP="6BF5B991">
      <w:pPr>
        <w:spacing w:line="360" w:lineRule="auto"/>
        <w:ind w:left="0" w:firstLine="720"/>
        <w:jc w:val="both"/>
      </w:pPr>
      <w:r w:rsidRPr="0076589C">
        <w:lastRenderedPageBreak/>
        <w:t xml:space="preserve">Los </w:t>
      </w:r>
      <w:r w:rsidR="006B55BC" w:rsidRPr="0076589C">
        <w:t xml:space="preserve">activos corrientes y no </w:t>
      </w:r>
      <w:r w:rsidRPr="0076589C">
        <w:t>corrientes de</w:t>
      </w:r>
      <w:r w:rsidR="006B55BC" w:rsidRPr="0076589C">
        <w:t xml:space="preserve"> la empresa</w:t>
      </w:r>
      <w:r w:rsidR="6BF5B991" w:rsidRPr="0076589C">
        <w:t xml:space="preserve"> representan los bienes y derechos que la empresa pos</w:t>
      </w:r>
      <w:r w:rsidRPr="0076589C">
        <w:t>ee y tienen un valor monetario; al saber esto se puede identificar en el balance general de</w:t>
      </w:r>
      <w:r w:rsidR="6BF5B991" w:rsidRPr="0076589C">
        <w:t xml:space="preserve"> IPRA </w:t>
      </w:r>
      <w:r w:rsidRPr="0076589C">
        <w:t xml:space="preserve">que </w:t>
      </w:r>
      <w:r w:rsidR="6BF5B991" w:rsidRPr="0076589C">
        <w:t>los activos totales de la empresa están representados ma</w:t>
      </w:r>
      <w:r w:rsidRPr="0076589C">
        <w:t>yormente por activos corrientes, siendo así de un 15% a un 21% a comparación de los activos no corrientes que únicamente representan un 2% a un 4% lo que indica que la empresa tiene una mayor disponibilidad de recursos líquidos y de corto plazo en comparación con sus inversiones a largo plazo.</w:t>
      </w:r>
    </w:p>
    <w:p w14:paraId="78B70D2E" w14:textId="1B75AE8C" w:rsidR="259A0F6A" w:rsidRPr="0076589C" w:rsidRDefault="1C8D6E3A" w:rsidP="6BF5B991">
      <w:pPr>
        <w:spacing w:line="360" w:lineRule="auto"/>
        <w:ind w:left="0" w:firstLine="720"/>
        <w:jc w:val="both"/>
      </w:pPr>
      <w:r w:rsidRPr="0076589C">
        <w:t xml:space="preserve">Dicho lo anterior se concentró el análisis en los activos corrientes, estos son el efectivo (cajas y bancos), cuentas por cobrar (clientes), inventarios y gastos por anticipado. </w:t>
      </w:r>
    </w:p>
    <w:p w14:paraId="07BEA045" w14:textId="3179B0C3" w:rsidR="004214B6" w:rsidRPr="0076589C" w:rsidRDefault="1C8D6E3A" w:rsidP="6BF5B991">
      <w:pPr>
        <w:spacing w:line="360" w:lineRule="auto"/>
        <w:ind w:left="0" w:firstLine="720"/>
        <w:jc w:val="both"/>
      </w:pPr>
      <w:r w:rsidRPr="0076589C">
        <w:t>Para los años 2019 y 2020 las partidas de los activos corrientes que tienen mayor representación porcentual son las cuentas por cobrar con un 60% y sus inventarios en un 13%; mientras que para los años 2021 y 2022 se observó que las cuentas por cobrar disminuyeron a un 29% y sus inventarios aumentaron a un 43%, mientras que efectivo fue aumentando anualmente de un 10% a un 18%.</w:t>
      </w:r>
    </w:p>
    <w:p w14:paraId="16629B29" w14:textId="5C958987" w:rsidR="6BF5B991" w:rsidRPr="0076589C" w:rsidRDefault="1C8D6E3A" w:rsidP="00A02697">
      <w:pPr>
        <w:spacing w:line="360" w:lineRule="auto"/>
        <w:ind w:left="0" w:firstLine="720"/>
        <w:jc w:val="both"/>
      </w:pPr>
      <w:r w:rsidRPr="0076589C">
        <w:t xml:space="preserve">La diminución de las cuentas por cobrar para el año 2021 al 2022 puede deberse a una gestión más eficiente de las mismas, la cual puede estar relacionado con cambios en las políticas de crédito o en la rapidez con la que se cobran las cuentas. La acumulación de inventarios para los años 2021 al 2022 puede tener ser un impacto negativo reduciendo la liquidez de la empresa, pero también positivo si se está produciendo en mayor volumen para satisfacer una mayor demanda en el futuro. Sin embargo, el realizar el análisis se tomó en cuenta un factor externo que afecto la economía del país, el cual fue la pandemia Covid-2019 por lo cual se puede determinar que las cuentas por cobrar incrementaron para el año 2020 debido a este fenómeno, IPRA al notar la situación del país tomo medidas preventivas en la gestión de cobranza para poder recuperar liquidez, lo cual explica la disminución porcentual de los siguientes años. Así mismo </w:t>
      </w:r>
      <w:r w:rsidR="00EC5A49" w:rsidRPr="0076589C">
        <w:t>se pudo</w:t>
      </w:r>
      <w:r w:rsidRPr="0076589C">
        <w:t xml:space="preserve"> deducir que las ventas </w:t>
      </w:r>
      <w:r w:rsidR="00EC5A49" w:rsidRPr="0076589C">
        <w:t>disminuyeron debido</w:t>
      </w:r>
      <w:r w:rsidRPr="0076589C">
        <w:t xml:space="preserve"> a la recesión económica que se encontraba en esos momentos por lo cual se dio el incremento de inventarios en los años 2021 y 2022.</w:t>
      </w:r>
    </w:p>
    <w:p w14:paraId="2E17A6DF" w14:textId="238B8D08" w:rsidR="2EFDABDB" w:rsidRPr="0076589C" w:rsidRDefault="074520F4" w:rsidP="2EFDABDB">
      <w:pPr>
        <w:spacing w:line="360" w:lineRule="auto"/>
        <w:ind w:left="0" w:firstLine="720"/>
        <w:jc w:val="both"/>
      </w:pPr>
      <w:r w:rsidRPr="0076589C">
        <w:t xml:space="preserve">A lo largo de los años analizados, "Caja y Bancos" </w:t>
      </w:r>
      <w:r w:rsidR="00C75315" w:rsidRPr="0076589C">
        <w:t xml:space="preserve">ósea el efectivo se observó que </w:t>
      </w:r>
      <w:r w:rsidRPr="0076589C">
        <w:t xml:space="preserve">representa una proporción menor en los activos corrientes de IPRA, oscilando entre el 10% y el 18%. Esto indica que </w:t>
      </w:r>
      <w:r w:rsidR="00C75315" w:rsidRPr="0076589C">
        <w:t xml:space="preserve">las partidas </w:t>
      </w:r>
      <w:r w:rsidRPr="0076589C">
        <w:t xml:space="preserve">de los activos corrientes </w:t>
      </w:r>
      <w:r w:rsidR="00C75315" w:rsidRPr="0076589C">
        <w:t xml:space="preserve">donde </w:t>
      </w:r>
      <w:r w:rsidRPr="0076589C">
        <w:t xml:space="preserve">proviene </w:t>
      </w:r>
      <w:r w:rsidR="00C75315" w:rsidRPr="0076589C">
        <w:t xml:space="preserve">un mayor porcentaje es el </w:t>
      </w:r>
      <w:r w:rsidRPr="0076589C">
        <w:t>de cuentas por cobrar e inventarios.</w:t>
      </w:r>
      <w:r w:rsidR="00C75315" w:rsidRPr="0076589C">
        <w:t xml:space="preserve"> Se debe tener en consideración que las cuentas por cobrar </w:t>
      </w:r>
      <w:r w:rsidR="00C75315" w:rsidRPr="0076589C">
        <w:lastRenderedPageBreak/>
        <w:t>representan ventas a crédito, no se convierten en efectivo hasta que los clientes paguen. Por lo tanto, un alto nivel de cuentas por cobrar puede aumentar el riesgo de liquidez si los clientes demoran sus pagos. La empresa debe administrar de manera efectiva sus cuentas por cobrar para garantizar que los flujos de efectivo sean adecuados para cubrir sus necesidades operativas. Al igualmente con sus inventarios al no moverlos pueden resultar en pérdidas por deterioro o descuentos para vender inventario no deseado.</w:t>
      </w:r>
    </w:p>
    <w:p w14:paraId="74493287" w14:textId="7D880A40" w:rsidR="00C75315" w:rsidRPr="0076589C" w:rsidRDefault="00C75315" w:rsidP="2EFDABDB">
      <w:pPr>
        <w:spacing w:line="360" w:lineRule="auto"/>
        <w:ind w:left="0" w:firstLine="720"/>
        <w:jc w:val="both"/>
      </w:pPr>
      <w:r w:rsidRPr="0076589C">
        <w:t>Tener una proporción significativa de cuentas por cobrar e inventarios en comparación con el efectivo en el balance general es común en muchas empresas, pero requiere una gestión cuidadosa para garantizar la liquidez y minimizar los riesgos asociados con estos activos.</w:t>
      </w:r>
    </w:p>
    <w:p w14:paraId="6E54EFA8" w14:textId="4F6A09D7" w:rsidR="00F102F4" w:rsidRPr="0076589C" w:rsidRDefault="1C8D6E3A" w:rsidP="2C2256AE">
      <w:pPr>
        <w:spacing w:line="360" w:lineRule="auto"/>
        <w:ind w:left="0" w:firstLine="720"/>
        <w:jc w:val="both"/>
      </w:pPr>
      <w:r w:rsidRPr="0076589C">
        <w:t>A continuación, el análisis de los pasivos y patrimonio neto de los balances generales del 2019 al 2022, se pudo evaluar los pasivos corrientes y no corrientes de IPRA donde se observó que los pasivos no corrientes tienen un mayor peso porcentual representados con un 30% y los pasivos corrientes un 10%. Siendo los pasivos un 40%, y el patrimonio neto el de mayor representación con un 60%.</w:t>
      </w:r>
    </w:p>
    <w:p w14:paraId="48FF3FD1" w14:textId="025E90EA" w:rsidR="00CB1453" w:rsidRPr="0076589C" w:rsidRDefault="00CB1453" w:rsidP="2C2256AE">
      <w:pPr>
        <w:spacing w:line="360" w:lineRule="auto"/>
        <w:ind w:left="0" w:firstLine="720"/>
        <w:jc w:val="both"/>
      </w:pPr>
      <w:r w:rsidRPr="0076589C">
        <w:t xml:space="preserve">Al analizar los pasivos corrientes </w:t>
      </w:r>
      <w:r w:rsidR="00AA1847" w:rsidRPr="0076589C">
        <w:t xml:space="preserve">se </w:t>
      </w:r>
      <w:r w:rsidR="00997268" w:rsidRPr="0076589C">
        <w:t xml:space="preserve">encontró que </w:t>
      </w:r>
      <w:r w:rsidR="00BD25F6" w:rsidRPr="0076589C">
        <w:t>en las</w:t>
      </w:r>
      <w:r w:rsidRPr="0076589C">
        <w:t xml:space="preserve"> partidas de proveedores, cuentas por pagar e impuestos por pagar, donde </w:t>
      </w:r>
      <w:r w:rsidR="00BD25F6" w:rsidRPr="0076589C">
        <w:t>se pudo</w:t>
      </w:r>
      <w:r w:rsidRPr="0076589C">
        <w:t xml:space="preserve"> identificar que los impuestos po</w:t>
      </w:r>
      <w:r w:rsidR="004F39A6" w:rsidRPr="0076589C">
        <w:t>r pagar representan el</w:t>
      </w:r>
      <w:r w:rsidRPr="0076589C">
        <w:t xml:space="preserve"> menor porcent</w:t>
      </w:r>
      <w:r w:rsidR="00663E5C" w:rsidRPr="0076589C">
        <w:t xml:space="preserve">aje siendo 1-2%, en el año 2020, </w:t>
      </w:r>
      <w:r w:rsidRPr="0076589C">
        <w:t xml:space="preserve">no se pagó impuestos por el tema del factor </w:t>
      </w:r>
      <w:r w:rsidR="004F39A6" w:rsidRPr="0076589C">
        <w:t xml:space="preserve">externo </w:t>
      </w:r>
      <w:r w:rsidRPr="0076589C">
        <w:t xml:space="preserve">pandemia-2019, donde </w:t>
      </w:r>
      <w:r w:rsidR="004F39A6" w:rsidRPr="0076589C">
        <w:t>Honduras lanzo el decreto 33-</w:t>
      </w:r>
      <w:r w:rsidR="00663E5C" w:rsidRPr="0076589C">
        <w:t>2020 que es una ley de auxilio para que se año no se hiciera efecto el pago.</w:t>
      </w:r>
    </w:p>
    <w:p w14:paraId="1A5CFEE2" w14:textId="78D73105" w:rsidR="00663E5C" w:rsidRPr="0076589C" w:rsidRDefault="00663E5C" w:rsidP="00663E5C">
      <w:pPr>
        <w:spacing w:line="360" w:lineRule="auto"/>
        <w:ind w:left="0" w:firstLine="720"/>
        <w:jc w:val="both"/>
      </w:pPr>
      <w:r w:rsidRPr="0076589C">
        <w:t>La partida de cuentas por pagar que se encuentra en los pasivos corrientes también representa un porcentaje muy bajo siendo 1% a 2%, se debe tener en cuenta que son una categoría más amplia que incluye no solo las deudas pendientes con proveedores, sino también otras obligaciones a corto plazo, como impuestos por pagar, salarios y bonificaciones pendientes, intereses por pagar, entre otros.</w:t>
      </w:r>
    </w:p>
    <w:p w14:paraId="66B7538A" w14:textId="5732CE80" w:rsidR="004F39A6" w:rsidRPr="0076589C" w:rsidRDefault="004F39A6" w:rsidP="004F39A6">
      <w:pPr>
        <w:spacing w:line="360" w:lineRule="auto"/>
        <w:ind w:left="0" w:firstLine="720"/>
        <w:jc w:val="both"/>
      </w:pPr>
      <w:r w:rsidRPr="0076589C">
        <w:t>La partida proveedores es el que tiene mayor representació</w:t>
      </w:r>
      <w:r w:rsidR="00663E5C" w:rsidRPr="0076589C">
        <w:t>n porcentual en los pasivos c</w:t>
      </w:r>
      <w:r w:rsidRPr="0076589C">
        <w:t xml:space="preserve">orrientes donde </w:t>
      </w:r>
      <w:r w:rsidR="00997268" w:rsidRPr="0076589C">
        <w:t>se identificó</w:t>
      </w:r>
      <w:r w:rsidRPr="0076589C">
        <w:t xml:space="preserve"> que se mantiene entre un 4% a un 10%, en el año 2022 fue el año en donde hubo mayor incremento lo que podría indicar que IPRA ha utilizado más crédito de proveedores para financiar sus operaciones en ese año, estas deudas son a corto plazo y forman parte de la gestión del capital de trabajo de la empresa. </w:t>
      </w:r>
    </w:p>
    <w:p w14:paraId="56E605BF" w14:textId="6C3AC92F" w:rsidR="00A270A7" w:rsidRPr="0076589C" w:rsidRDefault="1C8D6E3A" w:rsidP="004F39A6">
      <w:pPr>
        <w:spacing w:line="360" w:lineRule="auto"/>
        <w:ind w:left="0" w:firstLine="720"/>
        <w:jc w:val="both"/>
      </w:pPr>
      <w:r w:rsidRPr="0076589C">
        <w:lastRenderedPageBreak/>
        <w:t>Ahora al analizar los pasivos no corrientes la partida cuentas por pagar es la que representa un mayor peso porcentual por lo cual se puede deberse a varias razones, entre ellas: estrategia de financiamiento que ha adoptado, disponibilidad de capital a largo plazo, o puede que haya adquirido activos a largo plazo por lo cual se debe obtener préstamos o financiamiento.</w:t>
      </w:r>
    </w:p>
    <w:p w14:paraId="3828D9CC" w14:textId="557DA44B" w:rsidR="00105906" w:rsidRPr="0076589C" w:rsidRDefault="1C8D6E3A" w:rsidP="00392DDF">
      <w:pPr>
        <w:spacing w:line="360" w:lineRule="auto"/>
        <w:ind w:left="0" w:firstLine="720"/>
        <w:jc w:val="both"/>
      </w:pPr>
      <w:r w:rsidRPr="0076589C">
        <w:t xml:space="preserve">Las utilidades acumuladas se utilizan para financiar operaciones, inversiones o reducir deudas. Es una cuenta acumulativa y continúa creciendo año tras año a menos que se realicen distribuciones de utilidades entre los socios. Al analizar esta partida en los balances generales se identificó que aumentaron de un 0% en el año 2019 a un 56% en los años 2021 y 2022, esto se puede deber indica una retención significativa de ganancias para financiar operaciones o expansiones. </w:t>
      </w:r>
    </w:p>
    <w:p w14:paraId="278B86DC" w14:textId="40678A9A" w:rsidR="00343A9B" w:rsidRPr="0076589C" w:rsidRDefault="00343A9B" w:rsidP="00343A9B">
      <w:pPr>
        <w:spacing w:line="360" w:lineRule="auto"/>
        <w:ind w:left="0" w:firstLine="720"/>
        <w:jc w:val="both"/>
      </w:pPr>
      <w:r w:rsidRPr="0076589C">
        <w:t xml:space="preserve">En los años 2019, 2020 y 2022 existieron utilidades del ejercicio alrededor del 8%, ya para el año 2020 no hubo, lo que se puede determinar al factor externo de </w:t>
      </w:r>
      <w:r w:rsidR="00E02CBA" w:rsidRPr="0076589C">
        <w:t>COVID</w:t>
      </w:r>
      <w:r w:rsidRPr="0076589C">
        <w:t xml:space="preserve"> 2019.</w:t>
      </w:r>
    </w:p>
    <w:p w14:paraId="7555F367" w14:textId="222C352F" w:rsidR="00CB761C" w:rsidRPr="0076589C" w:rsidRDefault="2A255591" w:rsidP="00E02CBA">
      <w:pPr>
        <w:spacing w:line="360" w:lineRule="auto"/>
        <w:ind w:left="0" w:firstLine="720"/>
        <w:jc w:val="both"/>
      </w:pPr>
      <w:r w:rsidRPr="0076589C">
        <w:t>Las</w:t>
      </w:r>
      <w:r w:rsidR="68D01033" w:rsidRPr="0076589C">
        <w:t xml:space="preserve"> utilidades del período </w:t>
      </w:r>
      <w:r w:rsidR="4AD95FF4" w:rsidRPr="0076589C">
        <w:t xml:space="preserve">2021 y </w:t>
      </w:r>
      <w:r w:rsidR="225F9F42" w:rsidRPr="0076589C">
        <w:t xml:space="preserve">2022 </w:t>
      </w:r>
      <w:r w:rsidR="68D01033" w:rsidRPr="0076589C">
        <w:t>disminuyen a cero, significa que la empresa no ha generado ganancias en ese período específico. En otras palabras, los ingresos que la empresa obtuvo durante ese período no fueron suficientes para cubrir todos los gastos y costos operativos, lo que resultó en un balance financiero neutro, sin ganancias ni pérdidas</w:t>
      </w:r>
      <w:r w:rsidR="4E6C8F51" w:rsidRPr="0076589C">
        <w:t xml:space="preserve">; esto se puede deber a varios factores como que la empresa pudo haber invertido fuertemente en expansión, </w:t>
      </w:r>
      <w:r w:rsidR="00E02CBA" w:rsidRPr="0076589C">
        <w:t xml:space="preserve">una distribución de ganancias a los accionistas, </w:t>
      </w:r>
      <w:r w:rsidR="4E6C8F51" w:rsidRPr="0076589C">
        <w:t xml:space="preserve">desarrollo de nuevos productos o adquisiciones, lo que puede reducir las ganancias temporariamente, gastos inusuales o </w:t>
      </w:r>
      <w:r w:rsidR="00E02CBA" w:rsidRPr="0076589C">
        <w:t xml:space="preserve">excepcionales,  </w:t>
      </w:r>
      <w:r w:rsidR="1AB279D8" w:rsidRPr="0076589C">
        <w:t>puede experimentar fluctuaciones estacionales en sus ganancias</w:t>
      </w:r>
      <w:r w:rsidR="5B79719C" w:rsidRPr="0076589C">
        <w:t>, entre otras.</w:t>
      </w:r>
    </w:p>
    <w:p w14:paraId="53FBEC0B" w14:textId="5DFA4DBC" w:rsidR="007851D3" w:rsidRPr="0076589C" w:rsidRDefault="1C8D6E3A" w:rsidP="4E6C8F51">
      <w:pPr>
        <w:spacing w:line="360" w:lineRule="auto"/>
        <w:ind w:left="0" w:firstLine="720"/>
        <w:jc w:val="both"/>
      </w:pPr>
      <w:r w:rsidRPr="0076589C">
        <w:t>Sin embargo, aun cuando sus pasivos representan un porcentaje alto 40%, existe una mayor diferencia hacia su patrimonio neto significando que la empresa está menos apalancada financieramente y tiene una mayor capacidad para enfrentar riesgos financieros y económicos. Además, puede indicar que la empresa tiene una estructura de capital más equilibrada.</w:t>
      </w:r>
    </w:p>
    <w:p w14:paraId="42D92CB1" w14:textId="5558FB47" w:rsidR="003F27CD" w:rsidRPr="0076589C" w:rsidRDefault="003F27CD" w:rsidP="4E6C8F51">
      <w:pPr>
        <w:spacing w:line="360" w:lineRule="auto"/>
        <w:ind w:left="0" w:firstLine="720"/>
        <w:jc w:val="both"/>
      </w:pPr>
    </w:p>
    <w:p w14:paraId="51ACC429" w14:textId="77777777" w:rsidR="003F27CD" w:rsidRPr="0076589C" w:rsidRDefault="003F27CD" w:rsidP="4E6C8F51">
      <w:pPr>
        <w:spacing w:line="360" w:lineRule="auto"/>
        <w:ind w:left="0" w:firstLine="720"/>
        <w:jc w:val="both"/>
      </w:pPr>
    </w:p>
    <w:p w14:paraId="7A802EB3" w14:textId="77777777" w:rsidR="009233F1" w:rsidRPr="0076589C" w:rsidRDefault="009233F1" w:rsidP="008E22AD">
      <w:pPr>
        <w:ind w:left="0"/>
      </w:pPr>
    </w:p>
    <w:p w14:paraId="4A35F7F1" w14:textId="5451154E" w:rsidR="008306DC" w:rsidRPr="0076589C" w:rsidRDefault="008306DC" w:rsidP="00E65060">
      <w:pPr>
        <w:pStyle w:val="TextoPrincipal"/>
        <w:rPr>
          <w:lang w:val="es-HN"/>
        </w:rPr>
        <w:sectPr w:rsidR="008306DC" w:rsidRPr="0076589C" w:rsidSect="008C6BD1">
          <w:pgSz w:w="12240" w:h="15840" w:code="1"/>
          <w:pgMar w:top="1440" w:right="1440" w:bottom="1440" w:left="1440" w:header="720" w:footer="720" w:gutter="0"/>
          <w:cols w:space="720"/>
          <w:docGrid w:linePitch="360"/>
        </w:sectPr>
      </w:pPr>
    </w:p>
    <w:p w14:paraId="333F10AF" w14:textId="7568FEE2" w:rsidR="00C45912" w:rsidRPr="0076589C" w:rsidRDefault="1C8D6E3A" w:rsidP="0053775F">
      <w:pPr>
        <w:pStyle w:val="Nivel5"/>
        <w:numPr>
          <w:ilvl w:val="0"/>
          <w:numId w:val="31"/>
        </w:numPr>
        <w:ind w:left="1440" w:firstLine="0"/>
      </w:pPr>
      <w:r w:rsidRPr="0076589C">
        <w:lastRenderedPageBreak/>
        <w:t>ESTADO DE RESULTADO ANÁLISIS VERTICAL</w:t>
      </w:r>
    </w:p>
    <w:p w14:paraId="59A71002" w14:textId="20EADA50" w:rsidR="000F21B6" w:rsidRPr="0076589C" w:rsidRDefault="1C8D6E3A" w:rsidP="000F21B6">
      <w:pPr>
        <w:pStyle w:val="TextoPrincipal"/>
        <w:rPr>
          <w:lang w:val="es-HN"/>
        </w:rPr>
      </w:pPr>
      <w:r w:rsidRPr="0076589C">
        <w:rPr>
          <w:lang w:val="es-HN"/>
        </w:rPr>
        <w:t>El análisis vertical para el Estado de Resultados permite conocer cuáles son las cuentas de mayor importancia para la generación de utilidades netas de la empresa Industria Procesadora de Alimentos IPRA.</w:t>
      </w:r>
    </w:p>
    <w:p w14:paraId="791E09BE" w14:textId="78936B4A" w:rsidR="000F21B6" w:rsidRPr="0076589C" w:rsidRDefault="1C8D6E3A" w:rsidP="000F21B6">
      <w:pPr>
        <w:pStyle w:val="TextoPrincipal"/>
        <w:rPr>
          <w:lang w:val="es-HN"/>
        </w:rPr>
      </w:pPr>
      <w:r w:rsidRPr="0076589C">
        <w:rPr>
          <w:lang w:val="es-HN"/>
        </w:rPr>
        <w:t xml:space="preserve">En la </w:t>
      </w:r>
      <w:r w:rsidRPr="0076589C">
        <w:rPr>
          <w:b/>
          <w:bCs/>
          <w:lang w:val="es-HN"/>
        </w:rPr>
        <w:t>Tabla 7</w:t>
      </w:r>
      <w:r w:rsidRPr="0076589C">
        <w:rPr>
          <w:lang w:val="es-HN"/>
        </w:rPr>
        <w:t>, se presenta el estado de resultados a través de un análisis vertical para el periodo del 2019 al 2022 en términos porcentuales para la empresa Industria Procesadora de Alimentos IPRA.</w:t>
      </w:r>
    </w:p>
    <w:p w14:paraId="1068C93E" w14:textId="17E7EDC8" w:rsidR="000F21B6" w:rsidRPr="0076589C" w:rsidRDefault="1C8D6E3A" w:rsidP="000F21B6">
      <w:pPr>
        <w:pStyle w:val="ImagenyTabla"/>
        <w:rPr>
          <w:noProof w:val="0"/>
        </w:rPr>
      </w:pPr>
      <w:bookmarkStart w:id="231" w:name="_Toc158365555"/>
      <w:r w:rsidRPr="0076589C">
        <w:t xml:space="preserve">Tabla </w:t>
      </w:r>
      <w:r w:rsidR="000F21B6" w:rsidRPr="0076589C">
        <w:rPr>
          <w:noProof w:val="0"/>
        </w:rPr>
        <w:fldChar w:fldCharType="begin"/>
      </w:r>
      <w:r w:rsidR="000F21B6" w:rsidRPr="0076589C">
        <w:rPr>
          <w:noProof w:val="0"/>
        </w:rPr>
        <w:instrText xml:space="preserve"> SEQ Tabla \* ARABIC </w:instrText>
      </w:r>
      <w:r w:rsidR="000F21B6" w:rsidRPr="0076589C">
        <w:rPr>
          <w:noProof w:val="0"/>
        </w:rPr>
        <w:fldChar w:fldCharType="separate"/>
      </w:r>
      <w:r w:rsidR="009F171A">
        <w:t>7</w:t>
      </w:r>
      <w:r w:rsidR="000F21B6" w:rsidRPr="0076589C">
        <w:rPr>
          <w:noProof w:val="0"/>
        </w:rPr>
        <w:fldChar w:fldCharType="end"/>
      </w:r>
      <w:r w:rsidRPr="0076589C">
        <w:t>. Análisis Vertical del Estado de Resultados Industria Procesadora de Alimentos IPRA 2019-2022</w:t>
      </w:r>
      <w:bookmarkEnd w:id="231"/>
    </w:p>
    <w:tbl>
      <w:tblPr>
        <w:tblW w:w="5000" w:type="pct"/>
        <w:tblCellMar>
          <w:left w:w="70" w:type="dxa"/>
          <w:right w:w="70" w:type="dxa"/>
        </w:tblCellMar>
        <w:tblLook w:val="04A0" w:firstRow="1" w:lastRow="0" w:firstColumn="1" w:lastColumn="0" w:noHBand="0" w:noVBand="1"/>
      </w:tblPr>
      <w:tblGrid>
        <w:gridCol w:w="4568"/>
        <w:gridCol w:w="1553"/>
        <w:gridCol w:w="545"/>
        <w:gridCol w:w="1553"/>
        <w:gridCol w:w="545"/>
        <w:gridCol w:w="1553"/>
        <w:gridCol w:w="545"/>
        <w:gridCol w:w="1553"/>
        <w:gridCol w:w="545"/>
      </w:tblGrid>
      <w:tr w:rsidR="00B0341F" w:rsidRPr="0076589C" w14:paraId="6C7B7039" w14:textId="77777777" w:rsidTr="1C8D6E3A">
        <w:trPr>
          <w:trHeight w:val="260"/>
        </w:trPr>
        <w:tc>
          <w:tcPr>
            <w:tcW w:w="5000" w:type="pct"/>
            <w:gridSpan w:val="9"/>
            <w:tcBorders>
              <w:top w:val="nil"/>
              <w:left w:val="nil"/>
              <w:bottom w:val="nil"/>
              <w:right w:val="nil"/>
            </w:tcBorders>
            <w:shd w:val="clear" w:color="auto" w:fill="auto"/>
            <w:noWrap/>
            <w:vAlign w:val="bottom"/>
            <w:hideMark/>
          </w:tcPr>
          <w:p w14:paraId="26E2F91C"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ANALIS VERTICAL</w:t>
            </w:r>
          </w:p>
        </w:tc>
      </w:tr>
      <w:tr w:rsidR="00B0341F" w:rsidRPr="0076589C" w14:paraId="03AC67E0" w14:textId="77777777" w:rsidTr="1C8D6E3A">
        <w:trPr>
          <w:trHeight w:val="260"/>
        </w:trPr>
        <w:tc>
          <w:tcPr>
            <w:tcW w:w="5000" w:type="pct"/>
            <w:gridSpan w:val="9"/>
            <w:tcBorders>
              <w:top w:val="nil"/>
              <w:left w:val="nil"/>
              <w:bottom w:val="nil"/>
              <w:right w:val="nil"/>
            </w:tcBorders>
            <w:shd w:val="clear" w:color="auto" w:fill="auto"/>
            <w:noWrap/>
            <w:vAlign w:val="bottom"/>
            <w:hideMark/>
          </w:tcPr>
          <w:p w14:paraId="568D3EBB" w14:textId="77777777" w:rsidR="00B0341F" w:rsidRPr="0076589C" w:rsidRDefault="1C8D6E3A" w:rsidP="1C8D6E3A">
            <w:pPr>
              <w:spacing w:after="0" w:line="240" w:lineRule="auto"/>
              <w:ind w:left="0"/>
              <w:jc w:val="center"/>
              <w:rPr>
                <w:rFonts w:asciiTheme="minorHAnsi" w:eastAsia="Times New Roman" w:hAnsiTheme="minorHAnsi"/>
                <w:b/>
                <w:bCs/>
                <w:color w:val="44546A"/>
                <w:sz w:val="18"/>
                <w:szCs w:val="18"/>
                <w:lang w:eastAsia="es-HN"/>
              </w:rPr>
            </w:pPr>
            <w:r w:rsidRPr="0076589C">
              <w:rPr>
                <w:rFonts w:asciiTheme="minorHAnsi" w:eastAsia="Times New Roman" w:hAnsiTheme="minorHAnsi"/>
                <w:b/>
                <w:bCs/>
                <w:color w:val="44546A" w:themeColor="text2"/>
                <w:sz w:val="18"/>
                <w:szCs w:val="18"/>
              </w:rPr>
              <w:t>Industria Procesadora de Alimentos (IPRA)</w:t>
            </w:r>
          </w:p>
        </w:tc>
      </w:tr>
      <w:tr w:rsidR="00B0341F" w:rsidRPr="0076589C" w14:paraId="5BC13846" w14:textId="77777777" w:rsidTr="1C8D6E3A">
        <w:trPr>
          <w:trHeight w:val="260"/>
        </w:trPr>
        <w:tc>
          <w:tcPr>
            <w:tcW w:w="5000" w:type="pct"/>
            <w:gridSpan w:val="9"/>
            <w:tcBorders>
              <w:top w:val="nil"/>
              <w:left w:val="nil"/>
              <w:bottom w:val="nil"/>
              <w:right w:val="nil"/>
            </w:tcBorders>
            <w:shd w:val="clear" w:color="auto" w:fill="auto"/>
            <w:noWrap/>
            <w:vAlign w:val="bottom"/>
            <w:hideMark/>
          </w:tcPr>
          <w:p w14:paraId="0819AAFC"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Análisis Vertical del Estado de Resultados periodos 2019-2022</w:t>
            </w:r>
          </w:p>
        </w:tc>
      </w:tr>
      <w:tr w:rsidR="00B0341F" w:rsidRPr="0076589C" w14:paraId="625D9DAD" w14:textId="77777777" w:rsidTr="1C8D6E3A">
        <w:trPr>
          <w:trHeight w:val="260"/>
        </w:trPr>
        <w:tc>
          <w:tcPr>
            <w:tcW w:w="5000" w:type="pct"/>
            <w:gridSpan w:val="9"/>
            <w:tcBorders>
              <w:top w:val="nil"/>
              <w:left w:val="nil"/>
              <w:bottom w:val="nil"/>
              <w:right w:val="nil"/>
            </w:tcBorders>
            <w:shd w:val="clear" w:color="auto" w:fill="auto"/>
            <w:noWrap/>
            <w:vAlign w:val="bottom"/>
            <w:hideMark/>
          </w:tcPr>
          <w:p w14:paraId="1E98AE26"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(Expresado en L)</w:t>
            </w:r>
          </w:p>
        </w:tc>
      </w:tr>
      <w:tr w:rsidR="00B0341F" w:rsidRPr="0076589C" w14:paraId="20987391" w14:textId="77777777" w:rsidTr="1C8D6E3A">
        <w:trPr>
          <w:trHeight w:val="260"/>
        </w:trPr>
        <w:tc>
          <w:tcPr>
            <w:tcW w:w="1765" w:type="pct"/>
            <w:tcBorders>
              <w:top w:val="nil"/>
              <w:left w:val="nil"/>
              <w:bottom w:val="nil"/>
              <w:right w:val="nil"/>
            </w:tcBorders>
            <w:shd w:val="clear" w:color="auto" w:fill="auto"/>
            <w:noWrap/>
            <w:vAlign w:val="bottom"/>
            <w:hideMark/>
          </w:tcPr>
          <w:p w14:paraId="3C76E6B1" w14:textId="77777777" w:rsidR="00B0341F" w:rsidRPr="0076589C" w:rsidRDefault="00B0341F" w:rsidP="1C8D6E3A">
            <w:pPr>
              <w:spacing w:after="0" w:line="240" w:lineRule="auto"/>
              <w:ind w:left="0"/>
              <w:jc w:val="center"/>
              <w:rPr>
                <w:rFonts w:asciiTheme="minorHAnsi" w:eastAsia="Times New Roman" w:hAnsiTheme="minorHAnsi"/>
                <w:color w:val="000000"/>
                <w:sz w:val="18"/>
                <w:szCs w:val="18"/>
                <w:lang w:eastAsia="es-HN"/>
              </w:rPr>
            </w:pPr>
          </w:p>
        </w:tc>
        <w:tc>
          <w:tcPr>
            <w:tcW w:w="602" w:type="pct"/>
            <w:tcBorders>
              <w:top w:val="nil"/>
              <w:left w:val="nil"/>
              <w:bottom w:val="single" w:sz="4" w:space="0" w:color="auto"/>
              <w:right w:val="nil"/>
            </w:tcBorders>
            <w:shd w:val="clear" w:color="auto" w:fill="auto"/>
            <w:noWrap/>
            <w:vAlign w:val="center"/>
            <w:hideMark/>
          </w:tcPr>
          <w:p w14:paraId="387CDCE8"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2019</w:t>
            </w:r>
          </w:p>
        </w:tc>
        <w:tc>
          <w:tcPr>
            <w:tcW w:w="207" w:type="pct"/>
            <w:tcBorders>
              <w:top w:val="nil"/>
              <w:left w:val="nil"/>
              <w:bottom w:val="single" w:sz="4" w:space="0" w:color="auto"/>
              <w:right w:val="nil"/>
            </w:tcBorders>
            <w:shd w:val="clear" w:color="auto" w:fill="auto"/>
            <w:noWrap/>
            <w:vAlign w:val="center"/>
            <w:hideMark/>
          </w:tcPr>
          <w:p w14:paraId="29338A7F"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w:t>
            </w:r>
          </w:p>
        </w:tc>
        <w:tc>
          <w:tcPr>
            <w:tcW w:w="602" w:type="pct"/>
            <w:tcBorders>
              <w:top w:val="nil"/>
              <w:left w:val="nil"/>
              <w:bottom w:val="single" w:sz="4" w:space="0" w:color="auto"/>
              <w:right w:val="nil"/>
            </w:tcBorders>
            <w:shd w:val="clear" w:color="auto" w:fill="auto"/>
            <w:noWrap/>
            <w:vAlign w:val="center"/>
            <w:hideMark/>
          </w:tcPr>
          <w:p w14:paraId="3954F84A"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2020</w:t>
            </w:r>
          </w:p>
        </w:tc>
        <w:tc>
          <w:tcPr>
            <w:tcW w:w="207" w:type="pct"/>
            <w:tcBorders>
              <w:top w:val="nil"/>
              <w:left w:val="nil"/>
              <w:bottom w:val="single" w:sz="4" w:space="0" w:color="auto"/>
              <w:right w:val="nil"/>
            </w:tcBorders>
            <w:shd w:val="clear" w:color="auto" w:fill="auto"/>
            <w:noWrap/>
            <w:vAlign w:val="center"/>
            <w:hideMark/>
          </w:tcPr>
          <w:p w14:paraId="0BC5F3AC"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w:t>
            </w:r>
          </w:p>
        </w:tc>
        <w:tc>
          <w:tcPr>
            <w:tcW w:w="602" w:type="pct"/>
            <w:tcBorders>
              <w:top w:val="nil"/>
              <w:left w:val="nil"/>
              <w:bottom w:val="single" w:sz="4" w:space="0" w:color="auto"/>
              <w:right w:val="nil"/>
            </w:tcBorders>
            <w:shd w:val="clear" w:color="auto" w:fill="auto"/>
            <w:noWrap/>
            <w:vAlign w:val="center"/>
            <w:hideMark/>
          </w:tcPr>
          <w:p w14:paraId="4421B738"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2021</w:t>
            </w:r>
          </w:p>
        </w:tc>
        <w:tc>
          <w:tcPr>
            <w:tcW w:w="207" w:type="pct"/>
            <w:tcBorders>
              <w:top w:val="nil"/>
              <w:left w:val="nil"/>
              <w:bottom w:val="single" w:sz="4" w:space="0" w:color="auto"/>
              <w:right w:val="nil"/>
            </w:tcBorders>
            <w:shd w:val="clear" w:color="auto" w:fill="auto"/>
            <w:noWrap/>
            <w:vAlign w:val="center"/>
            <w:hideMark/>
          </w:tcPr>
          <w:p w14:paraId="5C7EBFDA"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w:t>
            </w:r>
          </w:p>
        </w:tc>
        <w:tc>
          <w:tcPr>
            <w:tcW w:w="602" w:type="pct"/>
            <w:tcBorders>
              <w:top w:val="nil"/>
              <w:left w:val="nil"/>
              <w:bottom w:val="single" w:sz="4" w:space="0" w:color="auto"/>
              <w:right w:val="nil"/>
            </w:tcBorders>
            <w:shd w:val="clear" w:color="auto" w:fill="auto"/>
            <w:noWrap/>
            <w:vAlign w:val="center"/>
            <w:hideMark/>
          </w:tcPr>
          <w:p w14:paraId="0592E63D"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2022</w:t>
            </w:r>
          </w:p>
        </w:tc>
        <w:tc>
          <w:tcPr>
            <w:tcW w:w="207" w:type="pct"/>
            <w:tcBorders>
              <w:top w:val="nil"/>
              <w:left w:val="nil"/>
              <w:bottom w:val="single" w:sz="4" w:space="0" w:color="auto"/>
              <w:right w:val="nil"/>
            </w:tcBorders>
            <w:shd w:val="clear" w:color="auto" w:fill="auto"/>
            <w:noWrap/>
            <w:vAlign w:val="center"/>
            <w:hideMark/>
          </w:tcPr>
          <w:p w14:paraId="6F97760B"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w:t>
            </w:r>
          </w:p>
        </w:tc>
      </w:tr>
      <w:tr w:rsidR="00B0341F" w:rsidRPr="0076589C" w14:paraId="194A89DF" w14:textId="77777777" w:rsidTr="1C8D6E3A">
        <w:trPr>
          <w:trHeight w:val="260"/>
        </w:trPr>
        <w:tc>
          <w:tcPr>
            <w:tcW w:w="1765" w:type="pct"/>
            <w:tcBorders>
              <w:top w:val="nil"/>
              <w:left w:val="nil"/>
              <w:bottom w:val="nil"/>
              <w:right w:val="nil"/>
            </w:tcBorders>
            <w:shd w:val="clear" w:color="auto" w:fill="auto"/>
            <w:noWrap/>
            <w:vAlign w:val="bottom"/>
            <w:hideMark/>
          </w:tcPr>
          <w:p w14:paraId="139646FD" w14:textId="77777777" w:rsidR="00B0341F" w:rsidRPr="0076589C" w:rsidRDefault="1C8D6E3A" w:rsidP="1C8D6E3A">
            <w:pPr>
              <w:spacing w:after="0" w:line="240" w:lineRule="auto"/>
              <w:ind w:left="0" w:firstLineChars="100" w:firstLine="181"/>
              <w:rPr>
                <w:rFonts w:asciiTheme="minorHAnsi" w:eastAsia="Times New Roman" w:hAnsiTheme="minorHAnsi"/>
                <w:b/>
                <w:bCs/>
                <w:color w:val="000000"/>
                <w:sz w:val="18"/>
                <w:szCs w:val="18"/>
                <w:u w:val="single"/>
                <w:lang w:eastAsia="es-HN"/>
              </w:rPr>
            </w:pPr>
            <w:r w:rsidRPr="0076589C">
              <w:rPr>
                <w:rFonts w:asciiTheme="minorHAnsi" w:eastAsia="Times New Roman" w:hAnsiTheme="minorHAnsi"/>
                <w:b/>
                <w:bCs/>
                <w:color w:val="000000" w:themeColor="text1"/>
                <w:sz w:val="18"/>
                <w:szCs w:val="18"/>
                <w:u w:val="single"/>
              </w:rPr>
              <w:t>Ventas Netas</w:t>
            </w:r>
          </w:p>
        </w:tc>
        <w:tc>
          <w:tcPr>
            <w:tcW w:w="602" w:type="pct"/>
            <w:tcBorders>
              <w:top w:val="nil"/>
              <w:left w:val="nil"/>
              <w:bottom w:val="nil"/>
              <w:right w:val="nil"/>
            </w:tcBorders>
            <w:shd w:val="clear" w:color="auto" w:fill="auto"/>
            <w:noWrap/>
            <w:vAlign w:val="center"/>
            <w:hideMark/>
          </w:tcPr>
          <w:p w14:paraId="072E0C10" w14:textId="77777777" w:rsidR="00B0341F" w:rsidRPr="0076589C" w:rsidRDefault="00B0341F" w:rsidP="1C8D6E3A">
            <w:pPr>
              <w:spacing w:after="0" w:line="240" w:lineRule="auto"/>
              <w:ind w:left="0" w:firstLineChars="100" w:firstLine="181"/>
              <w:rPr>
                <w:rFonts w:asciiTheme="minorHAnsi" w:eastAsia="Times New Roman" w:hAnsiTheme="minorHAnsi"/>
                <w:b/>
                <w:bCs/>
                <w:color w:val="000000"/>
                <w:sz w:val="18"/>
                <w:szCs w:val="18"/>
                <w:u w:val="single"/>
                <w:lang w:eastAsia="es-HN"/>
              </w:rPr>
            </w:pPr>
          </w:p>
        </w:tc>
        <w:tc>
          <w:tcPr>
            <w:tcW w:w="207" w:type="pct"/>
            <w:tcBorders>
              <w:top w:val="nil"/>
              <w:left w:val="nil"/>
              <w:bottom w:val="nil"/>
              <w:right w:val="nil"/>
            </w:tcBorders>
            <w:shd w:val="clear" w:color="auto" w:fill="auto"/>
            <w:noWrap/>
            <w:vAlign w:val="center"/>
            <w:hideMark/>
          </w:tcPr>
          <w:p w14:paraId="0C91857A"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45BA4D9F"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17409E5D"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250801D8"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3F3B8DD1"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6ABC564D"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5647BDD5"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r>
      <w:tr w:rsidR="00B0341F" w:rsidRPr="0076589C" w14:paraId="5B6E036D" w14:textId="77777777" w:rsidTr="1C8D6E3A">
        <w:trPr>
          <w:trHeight w:val="260"/>
        </w:trPr>
        <w:tc>
          <w:tcPr>
            <w:tcW w:w="1765" w:type="pct"/>
            <w:tcBorders>
              <w:top w:val="nil"/>
              <w:left w:val="nil"/>
              <w:bottom w:val="nil"/>
              <w:right w:val="nil"/>
            </w:tcBorders>
            <w:shd w:val="clear" w:color="auto" w:fill="auto"/>
            <w:noWrap/>
            <w:vAlign w:val="bottom"/>
            <w:hideMark/>
          </w:tcPr>
          <w:p w14:paraId="5B97DC4B" w14:textId="77777777" w:rsidR="00B0341F" w:rsidRPr="0076589C" w:rsidRDefault="1C8D6E3A" w:rsidP="1C8D6E3A">
            <w:pPr>
              <w:spacing w:after="0" w:line="240" w:lineRule="auto"/>
              <w:ind w:left="0" w:firstLineChars="200" w:firstLine="360"/>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Ventas Totales</w:t>
            </w:r>
          </w:p>
        </w:tc>
        <w:tc>
          <w:tcPr>
            <w:tcW w:w="602" w:type="pct"/>
            <w:tcBorders>
              <w:top w:val="nil"/>
              <w:left w:val="nil"/>
              <w:bottom w:val="nil"/>
              <w:right w:val="nil"/>
            </w:tcBorders>
            <w:shd w:val="clear" w:color="auto" w:fill="auto"/>
            <w:noWrap/>
            <w:vAlign w:val="center"/>
            <w:hideMark/>
          </w:tcPr>
          <w:p w14:paraId="6BEB107F"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28,019,893.73 </w:t>
            </w:r>
          </w:p>
        </w:tc>
        <w:tc>
          <w:tcPr>
            <w:tcW w:w="207" w:type="pct"/>
            <w:tcBorders>
              <w:top w:val="nil"/>
              <w:left w:val="nil"/>
              <w:bottom w:val="nil"/>
              <w:right w:val="nil"/>
            </w:tcBorders>
            <w:shd w:val="clear" w:color="auto" w:fill="auto"/>
            <w:noWrap/>
            <w:vAlign w:val="center"/>
            <w:hideMark/>
          </w:tcPr>
          <w:p w14:paraId="33E4BD84" w14:textId="77777777" w:rsidR="00B0341F" w:rsidRPr="0076589C" w:rsidRDefault="00B0341F" w:rsidP="1C8D6E3A">
            <w:pPr>
              <w:spacing w:after="0" w:line="240" w:lineRule="auto"/>
              <w:ind w:left="0"/>
              <w:jc w:val="center"/>
              <w:rPr>
                <w:rFonts w:asciiTheme="minorHAnsi" w:eastAsia="Times New Roman" w:hAnsiTheme="minorHAnsi"/>
                <w:color w:val="000000"/>
                <w:sz w:val="18"/>
                <w:szCs w:val="18"/>
                <w:lang w:eastAsia="es-HN"/>
              </w:rPr>
            </w:pPr>
          </w:p>
        </w:tc>
        <w:tc>
          <w:tcPr>
            <w:tcW w:w="602" w:type="pct"/>
            <w:tcBorders>
              <w:top w:val="nil"/>
              <w:left w:val="nil"/>
              <w:bottom w:val="nil"/>
              <w:right w:val="nil"/>
            </w:tcBorders>
            <w:shd w:val="clear" w:color="auto" w:fill="auto"/>
            <w:noWrap/>
            <w:vAlign w:val="center"/>
            <w:hideMark/>
          </w:tcPr>
          <w:p w14:paraId="694741A6"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40,047,807.55 </w:t>
            </w:r>
          </w:p>
        </w:tc>
        <w:tc>
          <w:tcPr>
            <w:tcW w:w="207" w:type="pct"/>
            <w:tcBorders>
              <w:top w:val="nil"/>
              <w:left w:val="nil"/>
              <w:bottom w:val="nil"/>
              <w:right w:val="nil"/>
            </w:tcBorders>
            <w:shd w:val="clear" w:color="auto" w:fill="auto"/>
            <w:noWrap/>
            <w:vAlign w:val="center"/>
            <w:hideMark/>
          </w:tcPr>
          <w:p w14:paraId="6DAE6F31" w14:textId="77777777" w:rsidR="00B0341F" w:rsidRPr="0076589C" w:rsidRDefault="00B0341F" w:rsidP="1C8D6E3A">
            <w:pPr>
              <w:spacing w:after="0" w:line="240" w:lineRule="auto"/>
              <w:ind w:left="0"/>
              <w:jc w:val="center"/>
              <w:rPr>
                <w:rFonts w:asciiTheme="minorHAnsi" w:eastAsia="Times New Roman" w:hAnsiTheme="minorHAnsi"/>
                <w:color w:val="000000"/>
                <w:sz w:val="18"/>
                <w:szCs w:val="18"/>
                <w:lang w:eastAsia="es-HN"/>
              </w:rPr>
            </w:pPr>
          </w:p>
        </w:tc>
        <w:tc>
          <w:tcPr>
            <w:tcW w:w="602" w:type="pct"/>
            <w:tcBorders>
              <w:top w:val="nil"/>
              <w:left w:val="nil"/>
              <w:bottom w:val="nil"/>
              <w:right w:val="nil"/>
            </w:tcBorders>
            <w:shd w:val="clear" w:color="auto" w:fill="auto"/>
            <w:noWrap/>
            <w:vAlign w:val="center"/>
            <w:hideMark/>
          </w:tcPr>
          <w:p w14:paraId="57ECAE99"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24,056,130.53 </w:t>
            </w:r>
          </w:p>
        </w:tc>
        <w:tc>
          <w:tcPr>
            <w:tcW w:w="207" w:type="pct"/>
            <w:tcBorders>
              <w:top w:val="nil"/>
              <w:left w:val="nil"/>
              <w:bottom w:val="nil"/>
              <w:right w:val="nil"/>
            </w:tcBorders>
            <w:shd w:val="clear" w:color="auto" w:fill="auto"/>
            <w:noWrap/>
            <w:vAlign w:val="center"/>
            <w:hideMark/>
          </w:tcPr>
          <w:p w14:paraId="2DF310E7" w14:textId="77777777" w:rsidR="00B0341F" w:rsidRPr="0076589C" w:rsidRDefault="00B0341F" w:rsidP="1C8D6E3A">
            <w:pPr>
              <w:spacing w:after="0" w:line="240" w:lineRule="auto"/>
              <w:ind w:left="0"/>
              <w:jc w:val="center"/>
              <w:rPr>
                <w:rFonts w:asciiTheme="minorHAnsi" w:eastAsia="Times New Roman" w:hAnsiTheme="minorHAnsi"/>
                <w:color w:val="000000"/>
                <w:sz w:val="18"/>
                <w:szCs w:val="18"/>
                <w:lang w:eastAsia="es-HN"/>
              </w:rPr>
            </w:pPr>
          </w:p>
        </w:tc>
        <w:tc>
          <w:tcPr>
            <w:tcW w:w="602" w:type="pct"/>
            <w:tcBorders>
              <w:top w:val="nil"/>
              <w:left w:val="nil"/>
              <w:bottom w:val="nil"/>
              <w:right w:val="nil"/>
            </w:tcBorders>
            <w:shd w:val="clear" w:color="auto" w:fill="auto"/>
            <w:noWrap/>
            <w:vAlign w:val="center"/>
            <w:hideMark/>
          </w:tcPr>
          <w:p w14:paraId="60DC4848"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32,472,504.39 </w:t>
            </w:r>
          </w:p>
        </w:tc>
        <w:tc>
          <w:tcPr>
            <w:tcW w:w="207" w:type="pct"/>
            <w:tcBorders>
              <w:top w:val="nil"/>
              <w:left w:val="nil"/>
              <w:bottom w:val="nil"/>
              <w:right w:val="nil"/>
            </w:tcBorders>
            <w:shd w:val="clear" w:color="auto" w:fill="auto"/>
            <w:noWrap/>
            <w:vAlign w:val="center"/>
            <w:hideMark/>
          </w:tcPr>
          <w:p w14:paraId="7DCDCE3D" w14:textId="77777777" w:rsidR="00B0341F" w:rsidRPr="0076589C" w:rsidRDefault="00B0341F" w:rsidP="1C8D6E3A">
            <w:pPr>
              <w:spacing w:after="0" w:line="240" w:lineRule="auto"/>
              <w:ind w:left="0"/>
              <w:jc w:val="center"/>
              <w:rPr>
                <w:rFonts w:asciiTheme="minorHAnsi" w:eastAsia="Times New Roman" w:hAnsiTheme="minorHAnsi"/>
                <w:color w:val="000000"/>
                <w:sz w:val="18"/>
                <w:szCs w:val="18"/>
                <w:lang w:eastAsia="es-HN"/>
              </w:rPr>
            </w:pPr>
          </w:p>
        </w:tc>
      </w:tr>
      <w:tr w:rsidR="00B0341F" w:rsidRPr="0076589C" w14:paraId="6AE253B9" w14:textId="77777777" w:rsidTr="1C8D6E3A">
        <w:trPr>
          <w:trHeight w:val="270"/>
        </w:trPr>
        <w:tc>
          <w:tcPr>
            <w:tcW w:w="1765" w:type="pct"/>
            <w:tcBorders>
              <w:top w:val="nil"/>
              <w:left w:val="nil"/>
              <w:bottom w:val="double" w:sz="6" w:space="0" w:color="auto"/>
              <w:right w:val="nil"/>
            </w:tcBorders>
            <w:shd w:val="clear" w:color="auto" w:fill="auto"/>
            <w:noWrap/>
            <w:vAlign w:val="bottom"/>
            <w:hideMark/>
          </w:tcPr>
          <w:p w14:paraId="268663CF" w14:textId="77777777" w:rsidR="00B0341F" w:rsidRPr="0076589C" w:rsidRDefault="1C8D6E3A" w:rsidP="1C8D6E3A">
            <w:pPr>
              <w:spacing w:after="0" w:line="240" w:lineRule="auto"/>
              <w:ind w:left="0" w:firstLineChars="200" w:firstLine="360"/>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Devoluciones, Rebajas y Descuentos s/Ventas</w:t>
            </w:r>
          </w:p>
        </w:tc>
        <w:tc>
          <w:tcPr>
            <w:tcW w:w="602" w:type="pct"/>
            <w:tcBorders>
              <w:top w:val="nil"/>
              <w:left w:val="nil"/>
              <w:bottom w:val="double" w:sz="6" w:space="0" w:color="auto"/>
              <w:right w:val="nil"/>
            </w:tcBorders>
            <w:shd w:val="clear" w:color="auto" w:fill="auto"/>
            <w:noWrap/>
            <w:vAlign w:val="center"/>
            <w:hideMark/>
          </w:tcPr>
          <w:p w14:paraId="0CAFD5AB"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1,914,469.09 </w:t>
            </w:r>
          </w:p>
        </w:tc>
        <w:tc>
          <w:tcPr>
            <w:tcW w:w="207" w:type="pct"/>
            <w:tcBorders>
              <w:top w:val="nil"/>
              <w:left w:val="nil"/>
              <w:bottom w:val="double" w:sz="6" w:space="0" w:color="auto"/>
              <w:right w:val="nil"/>
            </w:tcBorders>
            <w:shd w:val="clear" w:color="auto" w:fill="auto"/>
            <w:noWrap/>
            <w:vAlign w:val="center"/>
            <w:hideMark/>
          </w:tcPr>
          <w:p w14:paraId="50A4AFF3"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w:t>
            </w:r>
          </w:p>
        </w:tc>
        <w:tc>
          <w:tcPr>
            <w:tcW w:w="602" w:type="pct"/>
            <w:tcBorders>
              <w:top w:val="nil"/>
              <w:left w:val="nil"/>
              <w:bottom w:val="double" w:sz="6" w:space="0" w:color="auto"/>
              <w:right w:val="nil"/>
            </w:tcBorders>
            <w:shd w:val="clear" w:color="auto" w:fill="auto"/>
            <w:noWrap/>
            <w:vAlign w:val="center"/>
            <w:hideMark/>
          </w:tcPr>
          <w:p w14:paraId="58FEEB45"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8,156,774.63 </w:t>
            </w:r>
          </w:p>
        </w:tc>
        <w:tc>
          <w:tcPr>
            <w:tcW w:w="207" w:type="pct"/>
            <w:tcBorders>
              <w:top w:val="nil"/>
              <w:left w:val="nil"/>
              <w:bottom w:val="double" w:sz="6" w:space="0" w:color="auto"/>
              <w:right w:val="nil"/>
            </w:tcBorders>
            <w:shd w:val="clear" w:color="auto" w:fill="auto"/>
            <w:noWrap/>
            <w:vAlign w:val="center"/>
            <w:hideMark/>
          </w:tcPr>
          <w:p w14:paraId="4694A8C8"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w:t>
            </w:r>
          </w:p>
        </w:tc>
        <w:tc>
          <w:tcPr>
            <w:tcW w:w="602" w:type="pct"/>
            <w:tcBorders>
              <w:top w:val="nil"/>
              <w:left w:val="nil"/>
              <w:bottom w:val="double" w:sz="6" w:space="0" w:color="auto"/>
              <w:right w:val="nil"/>
            </w:tcBorders>
            <w:shd w:val="clear" w:color="auto" w:fill="auto"/>
            <w:noWrap/>
            <w:vAlign w:val="center"/>
            <w:hideMark/>
          </w:tcPr>
          <w:p w14:paraId="501BDE04"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1,734,375.45 </w:t>
            </w:r>
          </w:p>
        </w:tc>
        <w:tc>
          <w:tcPr>
            <w:tcW w:w="207" w:type="pct"/>
            <w:tcBorders>
              <w:top w:val="nil"/>
              <w:left w:val="nil"/>
              <w:bottom w:val="double" w:sz="6" w:space="0" w:color="auto"/>
              <w:right w:val="nil"/>
            </w:tcBorders>
            <w:shd w:val="clear" w:color="auto" w:fill="auto"/>
            <w:noWrap/>
            <w:vAlign w:val="center"/>
            <w:hideMark/>
          </w:tcPr>
          <w:p w14:paraId="582125BB"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w:t>
            </w:r>
          </w:p>
        </w:tc>
        <w:tc>
          <w:tcPr>
            <w:tcW w:w="602" w:type="pct"/>
            <w:tcBorders>
              <w:top w:val="nil"/>
              <w:left w:val="nil"/>
              <w:bottom w:val="double" w:sz="6" w:space="0" w:color="auto"/>
              <w:right w:val="nil"/>
            </w:tcBorders>
            <w:shd w:val="clear" w:color="auto" w:fill="auto"/>
            <w:noWrap/>
            <w:vAlign w:val="center"/>
            <w:hideMark/>
          </w:tcPr>
          <w:p w14:paraId="0AB14E74"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2,867,493.73 </w:t>
            </w:r>
          </w:p>
        </w:tc>
        <w:tc>
          <w:tcPr>
            <w:tcW w:w="207" w:type="pct"/>
            <w:tcBorders>
              <w:top w:val="nil"/>
              <w:left w:val="nil"/>
              <w:bottom w:val="double" w:sz="6" w:space="0" w:color="auto"/>
              <w:right w:val="nil"/>
            </w:tcBorders>
            <w:shd w:val="clear" w:color="auto" w:fill="auto"/>
            <w:noWrap/>
            <w:vAlign w:val="center"/>
            <w:hideMark/>
          </w:tcPr>
          <w:p w14:paraId="4F1B719C"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w:t>
            </w:r>
          </w:p>
        </w:tc>
      </w:tr>
      <w:tr w:rsidR="00B0341F" w:rsidRPr="0076589C" w14:paraId="2976DA92" w14:textId="77777777" w:rsidTr="1C8D6E3A">
        <w:trPr>
          <w:trHeight w:val="270"/>
        </w:trPr>
        <w:tc>
          <w:tcPr>
            <w:tcW w:w="1765" w:type="pct"/>
            <w:tcBorders>
              <w:top w:val="nil"/>
              <w:left w:val="nil"/>
              <w:bottom w:val="nil"/>
              <w:right w:val="nil"/>
            </w:tcBorders>
            <w:shd w:val="clear" w:color="auto" w:fill="auto"/>
            <w:noWrap/>
            <w:vAlign w:val="bottom"/>
            <w:hideMark/>
          </w:tcPr>
          <w:p w14:paraId="07B2C92F" w14:textId="77777777" w:rsidR="00B0341F" w:rsidRPr="0076589C" w:rsidRDefault="1C8D6E3A" w:rsidP="1C8D6E3A">
            <w:pPr>
              <w:spacing w:after="0" w:line="240" w:lineRule="auto"/>
              <w:ind w:left="0" w:firstLineChars="100" w:firstLine="181"/>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Total Ventas Netas</w:t>
            </w:r>
          </w:p>
        </w:tc>
        <w:tc>
          <w:tcPr>
            <w:tcW w:w="602" w:type="pct"/>
            <w:tcBorders>
              <w:top w:val="nil"/>
              <w:left w:val="nil"/>
              <w:bottom w:val="nil"/>
              <w:right w:val="nil"/>
            </w:tcBorders>
            <w:shd w:val="clear" w:color="auto" w:fill="auto"/>
            <w:noWrap/>
            <w:vAlign w:val="center"/>
            <w:hideMark/>
          </w:tcPr>
          <w:p w14:paraId="70DCD5FB"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26,105,424.64 </w:t>
            </w:r>
          </w:p>
        </w:tc>
        <w:tc>
          <w:tcPr>
            <w:tcW w:w="207" w:type="pct"/>
            <w:tcBorders>
              <w:top w:val="nil"/>
              <w:left w:val="nil"/>
              <w:bottom w:val="nil"/>
              <w:right w:val="nil"/>
            </w:tcBorders>
            <w:shd w:val="clear" w:color="auto" w:fill="auto"/>
            <w:noWrap/>
            <w:vAlign w:val="center"/>
            <w:hideMark/>
          </w:tcPr>
          <w:p w14:paraId="6309EA14"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100%</w:t>
            </w:r>
          </w:p>
        </w:tc>
        <w:tc>
          <w:tcPr>
            <w:tcW w:w="602" w:type="pct"/>
            <w:tcBorders>
              <w:top w:val="nil"/>
              <w:left w:val="nil"/>
              <w:bottom w:val="nil"/>
              <w:right w:val="nil"/>
            </w:tcBorders>
            <w:shd w:val="clear" w:color="auto" w:fill="auto"/>
            <w:noWrap/>
            <w:vAlign w:val="center"/>
            <w:hideMark/>
          </w:tcPr>
          <w:p w14:paraId="0E65F0B0"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31,891,032.92 </w:t>
            </w:r>
          </w:p>
        </w:tc>
        <w:tc>
          <w:tcPr>
            <w:tcW w:w="207" w:type="pct"/>
            <w:tcBorders>
              <w:top w:val="nil"/>
              <w:left w:val="nil"/>
              <w:bottom w:val="nil"/>
              <w:right w:val="nil"/>
            </w:tcBorders>
            <w:shd w:val="clear" w:color="auto" w:fill="auto"/>
            <w:noWrap/>
            <w:vAlign w:val="center"/>
            <w:hideMark/>
          </w:tcPr>
          <w:p w14:paraId="77CF473B"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100%</w:t>
            </w:r>
          </w:p>
        </w:tc>
        <w:tc>
          <w:tcPr>
            <w:tcW w:w="602" w:type="pct"/>
            <w:tcBorders>
              <w:top w:val="nil"/>
              <w:left w:val="nil"/>
              <w:bottom w:val="nil"/>
              <w:right w:val="nil"/>
            </w:tcBorders>
            <w:shd w:val="clear" w:color="auto" w:fill="auto"/>
            <w:noWrap/>
            <w:vAlign w:val="center"/>
            <w:hideMark/>
          </w:tcPr>
          <w:p w14:paraId="65ECA495"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22,321,755.08 </w:t>
            </w:r>
          </w:p>
        </w:tc>
        <w:tc>
          <w:tcPr>
            <w:tcW w:w="207" w:type="pct"/>
            <w:tcBorders>
              <w:top w:val="nil"/>
              <w:left w:val="nil"/>
              <w:bottom w:val="nil"/>
              <w:right w:val="nil"/>
            </w:tcBorders>
            <w:shd w:val="clear" w:color="auto" w:fill="auto"/>
            <w:noWrap/>
            <w:vAlign w:val="center"/>
            <w:hideMark/>
          </w:tcPr>
          <w:p w14:paraId="4272D599"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100%</w:t>
            </w:r>
          </w:p>
        </w:tc>
        <w:tc>
          <w:tcPr>
            <w:tcW w:w="602" w:type="pct"/>
            <w:tcBorders>
              <w:top w:val="nil"/>
              <w:left w:val="nil"/>
              <w:bottom w:val="nil"/>
              <w:right w:val="nil"/>
            </w:tcBorders>
            <w:shd w:val="clear" w:color="auto" w:fill="auto"/>
            <w:noWrap/>
            <w:vAlign w:val="center"/>
            <w:hideMark/>
          </w:tcPr>
          <w:p w14:paraId="4A7936E2"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29,605,010.66 </w:t>
            </w:r>
          </w:p>
        </w:tc>
        <w:tc>
          <w:tcPr>
            <w:tcW w:w="207" w:type="pct"/>
            <w:tcBorders>
              <w:top w:val="nil"/>
              <w:left w:val="nil"/>
              <w:bottom w:val="nil"/>
              <w:right w:val="nil"/>
            </w:tcBorders>
            <w:shd w:val="clear" w:color="auto" w:fill="auto"/>
            <w:noWrap/>
            <w:vAlign w:val="center"/>
            <w:hideMark/>
          </w:tcPr>
          <w:p w14:paraId="273B4FF3"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100%</w:t>
            </w:r>
          </w:p>
        </w:tc>
      </w:tr>
      <w:tr w:rsidR="00B0341F" w:rsidRPr="0076589C" w14:paraId="0DAB12B2" w14:textId="77777777" w:rsidTr="1C8D6E3A">
        <w:trPr>
          <w:trHeight w:val="260"/>
        </w:trPr>
        <w:tc>
          <w:tcPr>
            <w:tcW w:w="1765" w:type="pct"/>
            <w:tcBorders>
              <w:top w:val="nil"/>
              <w:left w:val="nil"/>
              <w:bottom w:val="nil"/>
              <w:right w:val="nil"/>
            </w:tcBorders>
            <w:shd w:val="clear" w:color="auto" w:fill="auto"/>
            <w:noWrap/>
            <w:vAlign w:val="bottom"/>
            <w:hideMark/>
          </w:tcPr>
          <w:p w14:paraId="4FABDCD8" w14:textId="77777777" w:rsidR="00B0341F" w:rsidRPr="0076589C" w:rsidRDefault="00B0341F" w:rsidP="1C8D6E3A">
            <w:pPr>
              <w:spacing w:after="0" w:line="240" w:lineRule="auto"/>
              <w:ind w:left="0"/>
              <w:jc w:val="center"/>
              <w:rPr>
                <w:rFonts w:asciiTheme="minorHAnsi" w:eastAsia="Times New Roman" w:hAnsiTheme="minorHAnsi"/>
                <w:b/>
                <w:bCs/>
                <w:color w:val="000000"/>
                <w:sz w:val="18"/>
                <w:szCs w:val="18"/>
                <w:lang w:eastAsia="es-HN"/>
              </w:rPr>
            </w:pPr>
          </w:p>
        </w:tc>
        <w:tc>
          <w:tcPr>
            <w:tcW w:w="602" w:type="pct"/>
            <w:tcBorders>
              <w:top w:val="nil"/>
              <w:left w:val="nil"/>
              <w:bottom w:val="nil"/>
              <w:right w:val="nil"/>
            </w:tcBorders>
            <w:shd w:val="clear" w:color="auto" w:fill="auto"/>
            <w:noWrap/>
            <w:vAlign w:val="center"/>
            <w:hideMark/>
          </w:tcPr>
          <w:p w14:paraId="0F442117" w14:textId="77777777" w:rsidR="00B0341F" w:rsidRPr="0076589C" w:rsidRDefault="00B0341F" w:rsidP="1C8D6E3A">
            <w:pPr>
              <w:spacing w:after="0" w:line="240" w:lineRule="auto"/>
              <w:ind w:left="0" w:firstLineChars="100" w:firstLine="180"/>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43B621EF"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3D40989A"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722B306C"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7DED8F53"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1DA0592B"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2B897D65"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549C5D10"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r>
      <w:tr w:rsidR="00B0341F" w:rsidRPr="0076589C" w14:paraId="135F09F9" w14:textId="77777777" w:rsidTr="1C8D6E3A">
        <w:trPr>
          <w:trHeight w:val="260"/>
        </w:trPr>
        <w:tc>
          <w:tcPr>
            <w:tcW w:w="1765" w:type="pct"/>
            <w:tcBorders>
              <w:top w:val="nil"/>
              <w:left w:val="nil"/>
              <w:bottom w:val="nil"/>
              <w:right w:val="nil"/>
            </w:tcBorders>
            <w:shd w:val="clear" w:color="auto" w:fill="auto"/>
            <w:noWrap/>
            <w:vAlign w:val="bottom"/>
            <w:hideMark/>
          </w:tcPr>
          <w:p w14:paraId="76F8EF02" w14:textId="77777777" w:rsidR="00B0341F" w:rsidRPr="0076589C" w:rsidRDefault="1C8D6E3A" w:rsidP="1C8D6E3A">
            <w:pPr>
              <w:spacing w:after="0" w:line="240" w:lineRule="auto"/>
              <w:ind w:left="0" w:firstLineChars="100" w:firstLine="181"/>
              <w:rPr>
                <w:rFonts w:asciiTheme="minorHAnsi" w:eastAsia="Times New Roman" w:hAnsiTheme="minorHAnsi"/>
                <w:b/>
                <w:bCs/>
                <w:color w:val="000000"/>
                <w:sz w:val="18"/>
                <w:szCs w:val="18"/>
                <w:u w:val="single"/>
                <w:lang w:eastAsia="es-HN"/>
              </w:rPr>
            </w:pPr>
            <w:r w:rsidRPr="0076589C">
              <w:rPr>
                <w:rFonts w:asciiTheme="minorHAnsi" w:eastAsia="Times New Roman" w:hAnsiTheme="minorHAnsi"/>
                <w:b/>
                <w:bCs/>
                <w:color w:val="000000" w:themeColor="text1"/>
                <w:sz w:val="18"/>
                <w:szCs w:val="18"/>
                <w:u w:val="single"/>
              </w:rPr>
              <w:t>Menos: Costo de Ventas</w:t>
            </w:r>
          </w:p>
        </w:tc>
        <w:tc>
          <w:tcPr>
            <w:tcW w:w="602" w:type="pct"/>
            <w:tcBorders>
              <w:top w:val="nil"/>
              <w:left w:val="nil"/>
              <w:bottom w:val="nil"/>
              <w:right w:val="nil"/>
            </w:tcBorders>
            <w:shd w:val="clear" w:color="auto" w:fill="auto"/>
            <w:noWrap/>
            <w:vAlign w:val="center"/>
            <w:hideMark/>
          </w:tcPr>
          <w:p w14:paraId="46F61058" w14:textId="77777777" w:rsidR="00B0341F" w:rsidRPr="0076589C" w:rsidRDefault="00B0341F" w:rsidP="1C8D6E3A">
            <w:pPr>
              <w:spacing w:after="0" w:line="240" w:lineRule="auto"/>
              <w:ind w:left="0" w:firstLineChars="100" w:firstLine="181"/>
              <w:rPr>
                <w:rFonts w:asciiTheme="minorHAnsi" w:eastAsia="Times New Roman" w:hAnsiTheme="minorHAnsi"/>
                <w:b/>
                <w:bCs/>
                <w:color w:val="000000"/>
                <w:sz w:val="18"/>
                <w:szCs w:val="18"/>
                <w:u w:val="single"/>
                <w:lang w:eastAsia="es-HN"/>
              </w:rPr>
            </w:pPr>
          </w:p>
        </w:tc>
        <w:tc>
          <w:tcPr>
            <w:tcW w:w="207" w:type="pct"/>
            <w:tcBorders>
              <w:top w:val="nil"/>
              <w:left w:val="nil"/>
              <w:bottom w:val="nil"/>
              <w:right w:val="nil"/>
            </w:tcBorders>
            <w:shd w:val="clear" w:color="auto" w:fill="auto"/>
            <w:noWrap/>
            <w:vAlign w:val="center"/>
            <w:hideMark/>
          </w:tcPr>
          <w:p w14:paraId="68DDDA1B"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22052B5B"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3B5D0AF7"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7B7A7573"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23F8C72C"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19FDA958"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33565DF3"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r>
      <w:tr w:rsidR="00B0341F" w:rsidRPr="0076589C" w14:paraId="4BA00C31" w14:textId="77777777" w:rsidTr="1C8D6E3A">
        <w:trPr>
          <w:trHeight w:val="260"/>
        </w:trPr>
        <w:tc>
          <w:tcPr>
            <w:tcW w:w="1765" w:type="pct"/>
            <w:tcBorders>
              <w:top w:val="nil"/>
              <w:left w:val="nil"/>
              <w:bottom w:val="single" w:sz="4" w:space="0" w:color="auto"/>
              <w:right w:val="nil"/>
            </w:tcBorders>
            <w:shd w:val="clear" w:color="auto" w:fill="auto"/>
            <w:noWrap/>
            <w:vAlign w:val="bottom"/>
            <w:hideMark/>
          </w:tcPr>
          <w:p w14:paraId="400E4F01" w14:textId="77777777" w:rsidR="00B0341F" w:rsidRPr="0076589C" w:rsidRDefault="1C8D6E3A" w:rsidP="1C8D6E3A">
            <w:pPr>
              <w:spacing w:after="0" w:line="240" w:lineRule="auto"/>
              <w:ind w:left="0" w:firstLineChars="200" w:firstLine="360"/>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Costo de Ventas</w:t>
            </w:r>
          </w:p>
        </w:tc>
        <w:tc>
          <w:tcPr>
            <w:tcW w:w="602" w:type="pct"/>
            <w:tcBorders>
              <w:top w:val="nil"/>
              <w:left w:val="nil"/>
              <w:bottom w:val="single" w:sz="4" w:space="0" w:color="auto"/>
              <w:right w:val="nil"/>
            </w:tcBorders>
            <w:shd w:val="clear" w:color="auto" w:fill="auto"/>
            <w:noWrap/>
            <w:vAlign w:val="center"/>
            <w:hideMark/>
          </w:tcPr>
          <w:p w14:paraId="7FF9A004"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16,697,146.61 </w:t>
            </w:r>
          </w:p>
        </w:tc>
        <w:tc>
          <w:tcPr>
            <w:tcW w:w="207" w:type="pct"/>
            <w:tcBorders>
              <w:top w:val="nil"/>
              <w:left w:val="nil"/>
              <w:bottom w:val="single" w:sz="4" w:space="0" w:color="auto"/>
              <w:right w:val="nil"/>
            </w:tcBorders>
            <w:shd w:val="clear" w:color="auto" w:fill="auto"/>
            <w:noWrap/>
            <w:vAlign w:val="center"/>
            <w:hideMark/>
          </w:tcPr>
          <w:p w14:paraId="267CC4AC"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64%</w:t>
            </w:r>
          </w:p>
        </w:tc>
        <w:tc>
          <w:tcPr>
            <w:tcW w:w="602" w:type="pct"/>
            <w:tcBorders>
              <w:top w:val="nil"/>
              <w:left w:val="nil"/>
              <w:bottom w:val="single" w:sz="4" w:space="0" w:color="auto"/>
              <w:right w:val="nil"/>
            </w:tcBorders>
            <w:shd w:val="clear" w:color="auto" w:fill="auto"/>
            <w:noWrap/>
            <w:vAlign w:val="center"/>
            <w:hideMark/>
          </w:tcPr>
          <w:p w14:paraId="1B91C0D8"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23,447,506.21 </w:t>
            </w:r>
          </w:p>
        </w:tc>
        <w:tc>
          <w:tcPr>
            <w:tcW w:w="207" w:type="pct"/>
            <w:tcBorders>
              <w:top w:val="nil"/>
              <w:left w:val="nil"/>
              <w:bottom w:val="single" w:sz="4" w:space="0" w:color="auto"/>
              <w:right w:val="nil"/>
            </w:tcBorders>
            <w:shd w:val="clear" w:color="auto" w:fill="auto"/>
            <w:noWrap/>
            <w:vAlign w:val="center"/>
            <w:hideMark/>
          </w:tcPr>
          <w:p w14:paraId="419FE773"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74%</w:t>
            </w:r>
          </w:p>
        </w:tc>
        <w:tc>
          <w:tcPr>
            <w:tcW w:w="602" w:type="pct"/>
            <w:tcBorders>
              <w:top w:val="nil"/>
              <w:left w:val="nil"/>
              <w:bottom w:val="single" w:sz="4" w:space="0" w:color="auto"/>
              <w:right w:val="nil"/>
            </w:tcBorders>
            <w:shd w:val="clear" w:color="auto" w:fill="auto"/>
            <w:noWrap/>
            <w:vAlign w:val="center"/>
            <w:hideMark/>
          </w:tcPr>
          <w:p w14:paraId="2E7EFD79"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14,311,460.95 </w:t>
            </w:r>
          </w:p>
        </w:tc>
        <w:tc>
          <w:tcPr>
            <w:tcW w:w="207" w:type="pct"/>
            <w:tcBorders>
              <w:top w:val="nil"/>
              <w:left w:val="nil"/>
              <w:bottom w:val="single" w:sz="4" w:space="0" w:color="auto"/>
              <w:right w:val="nil"/>
            </w:tcBorders>
            <w:shd w:val="clear" w:color="auto" w:fill="auto"/>
            <w:noWrap/>
            <w:vAlign w:val="center"/>
            <w:hideMark/>
          </w:tcPr>
          <w:p w14:paraId="58CEC480"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64%</w:t>
            </w:r>
          </w:p>
        </w:tc>
        <w:tc>
          <w:tcPr>
            <w:tcW w:w="602" w:type="pct"/>
            <w:tcBorders>
              <w:top w:val="nil"/>
              <w:left w:val="nil"/>
              <w:bottom w:val="single" w:sz="4" w:space="0" w:color="auto"/>
              <w:right w:val="nil"/>
            </w:tcBorders>
            <w:shd w:val="clear" w:color="auto" w:fill="auto"/>
            <w:noWrap/>
            <w:vAlign w:val="center"/>
            <w:hideMark/>
          </w:tcPr>
          <w:p w14:paraId="0F554F86"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19,595,712.44 </w:t>
            </w:r>
          </w:p>
        </w:tc>
        <w:tc>
          <w:tcPr>
            <w:tcW w:w="207" w:type="pct"/>
            <w:tcBorders>
              <w:top w:val="nil"/>
              <w:left w:val="nil"/>
              <w:bottom w:val="single" w:sz="4" w:space="0" w:color="auto"/>
              <w:right w:val="nil"/>
            </w:tcBorders>
            <w:shd w:val="clear" w:color="auto" w:fill="auto"/>
            <w:noWrap/>
            <w:vAlign w:val="center"/>
            <w:hideMark/>
          </w:tcPr>
          <w:p w14:paraId="56D8862B"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66%</w:t>
            </w:r>
          </w:p>
        </w:tc>
      </w:tr>
      <w:tr w:rsidR="00B0341F" w:rsidRPr="0076589C" w14:paraId="716A0A14" w14:textId="77777777" w:rsidTr="1C8D6E3A">
        <w:trPr>
          <w:trHeight w:val="260"/>
        </w:trPr>
        <w:tc>
          <w:tcPr>
            <w:tcW w:w="1765" w:type="pct"/>
            <w:tcBorders>
              <w:top w:val="nil"/>
              <w:left w:val="nil"/>
              <w:bottom w:val="nil"/>
              <w:right w:val="nil"/>
            </w:tcBorders>
            <w:shd w:val="clear" w:color="auto" w:fill="auto"/>
            <w:noWrap/>
            <w:vAlign w:val="bottom"/>
            <w:hideMark/>
          </w:tcPr>
          <w:p w14:paraId="56009535" w14:textId="77777777" w:rsidR="00B0341F" w:rsidRPr="0076589C" w:rsidRDefault="1C8D6E3A" w:rsidP="1C8D6E3A">
            <w:pPr>
              <w:spacing w:after="0" w:line="240" w:lineRule="auto"/>
              <w:ind w:left="0" w:firstLineChars="100" w:firstLine="181"/>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Costo de la Producción Vendida</w:t>
            </w:r>
          </w:p>
        </w:tc>
        <w:tc>
          <w:tcPr>
            <w:tcW w:w="602" w:type="pct"/>
            <w:tcBorders>
              <w:top w:val="nil"/>
              <w:left w:val="nil"/>
              <w:bottom w:val="nil"/>
              <w:right w:val="nil"/>
            </w:tcBorders>
            <w:shd w:val="clear" w:color="auto" w:fill="auto"/>
            <w:noWrap/>
            <w:vAlign w:val="center"/>
            <w:hideMark/>
          </w:tcPr>
          <w:p w14:paraId="6F68F12F"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16,697,146.61 </w:t>
            </w:r>
          </w:p>
        </w:tc>
        <w:tc>
          <w:tcPr>
            <w:tcW w:w="207" w:type="pct"/>
            <w:tcBorders>
              <w:top w:val="nil"/>
              <w:left w:val="nil"/>
              <w:bottom w:val="nil"/>
              <w:right w:val="nil"/>
            </w:tcBorders>
            <w:shd w:val="clear" w:color="auto" w:fill="C9E1EF"/>
            <w:noWrap/>
            <w:vAlign w:val="center"/>
            <w:hideMark/>
          </w:tcPr>
          <w:p w14:paraId="27F99D99"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64%</w:t>
            </w:r>
          </w:p>
        </w:tc>
        <w:tc>
          <w:tcPr>
            <w:tcW w:w="602" w:type="pct"/>
            <w:tcBorders>
              <w:top w:val="nil"/>
              <w:left w:val="nil"/>
              <w:bottom w:val="nil"/>
              <w:right w:val="nil"/>
            </w:tcBorders>
            <w:shd w:val="clear" w:color="auto" w:fill="auto"/>
            <w:noWrap/>
            <w:vAlign w:val="center"/>
            <w:hideMark/>
          </w:tcPr>
          <w:p w14:paraId="2E1FC46F"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23,447,506.21 </w:t>
            </w:r>
          </w:p>
        </w:tc>
        <w:tc>
          <w:tcPr>
            <w:tcW w:w="207" w:type="pct"/>
            <w:tcBorders>
              <w:top w:val="nil"/>
              <w:left w:val="nil"/>
              <w:bottom w:val="nil"/>
              <w:right w:val="nil"/>
            </w:tcBorders>
            <w:shd w:val="clear" w:color="auto" w:fill="C9E1EF"/>
            <w:noWrap/>
            <w:vAlign w:val="center"/>
            <w:hideMark/>
          </w:tcPr>
          <w:p w14:paraId="13BFA59A"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74%</w:t>
            </w:r>
          </w:p>
        </w:tc>
        <w:tc>
          <w:tcPr>
            <w:tcW w:w="602" w:type="pct"/>
            <w:tcBorders>
              <w:top w:val="nil"/>
              <w:left w:val="nil"/>
              <w:bottom w:val="nil"/>
              <w:right w:val="nil"/>
            </w:tcBorders>
            <w:shd w:val="clear" w:color="auto" w:fill="auto"/>
            <w:noWrap/>
            <w:vAlign w:val="center"/>
            <w:hideMark/>
          </w:tcPr>
          <w:p w14:paraId="3A40BF2A"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14,311,460.95 </w:t>
            </w:r>
          </w:p>
        </w:tc>
        <w:tc>
          <w:tcPr>
            <w:tcW w:w="207" w:type="pct"/>
            <w:tcBorders>
              <w:top w:val="nil"/>
              <w:left w:val="nil"/>
              <w:bottom w:val="nil"/>
              <w:right w:val="nil"/>
            </w:tcBorders>
            <w:shd w:val="clear" w:color="auto" w:fill="C9E1EF"/>
            <w:noWrap/>
            <w:vAlign w:val="center"/>
            <w:hideMark/>
          </w:tcPr>
          <w:p w14:paraId="60F28D44"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64%</w:t>
            </w:r>
          </w:p>
        </w:tc>
        <w:tc>
          <w:tcPr>
            <w:tcW w:w="602" w:type="pct"/>
            <w:tcBorders>
              <w:top w:val="nil"/>
              <w:left w:val="nil"/>
              <w:bottom w:val="nil"/>
              <w:right w:val="nil"/>
            </w:tcBorders>
            <w:shd w:val="clear" w:color="auto" w:fill="auto"/>
            <w:noWrap/>
            <w:vAlign w:val="center"/>
            <w:hideMark/>
          </w:tcPr>
          <w:p w14:paraId="54224FD4"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19,595,712.44 </w:t>
            </w:r>
          </w:p>
        </w:tc>
        <w:tc>
          <w:tcPr>
            <w:tcW w:w="207" w:type="pct"/>
            <w:tcBorders>
              <w:top w:val="nil"/>
              <w:left w:val="nil"/>
              <w:bottom w:val="nil"/>
              <w:right w:val="nil"/>
            </w:tcBorders>
            <w:shd w:val="clear" w:color="auto" w:fill="C9E1EF"/>
            <w:noWrap/>
            <w:vAlign w:val="center"/>
            <w:hideMark/>
          </w:tcPr>
          <w:p w14:paraId="435D67F5"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66%</w:t>
            </w:r>
          </w:p>
        </w:tc>
      </w:tr>
      <w:tr w:rsidR="00B0341F" w:rsidRPr="0076589C" w14:paraId="55D91826" w14:textId="77777777" w:rsidTr="1C8D6E3A">
        <w:trPr>
          <w:trHeight w:val="260"/>
        </w:trPr>
        <w:tc>
          <w:tcPr>
            <w:tcW w:w="1765" w:type="pct"/>
            <w:tcBorders>
              <w:top w:val="nil"/>
              <w:left w:val="nil"/>
              <w:bottom w:val="nil"/>
              <w:right w:val="nil"/>
            </w:tcBorders>
            <w:shd w:val="clear" w:color="auto" w:fill="auto"/>
            <w:noWrap/>
            <w:vAlign w:val="bottom"/>
            <w:hideMark/>
          </w:tcPr>
          <w:p w14:paraId="0C118692" w14:textId="77777777" w:rsidR="00B0341F" w:rsidRPr="0076589C" w:rsidRDefault="00B0341F" w:rsidP="1C8D6E3A">
            <w:pPr>
              <w:spacing w:after="0" w:line="240" w:lineRule="auto"/>
              <w:ind w:left="0"/>
              <w:jc w:val="center"/>
              <w:rPr>
                <w:rFonts w:asciiTheme="minorHAnsi" w:eastAsia="Times New Roman" w:hAnsiTheme="minorHAnsi"/>
                <w:b/>
                <w:bCs/>
                <w:color w:val="000000"/>
                <w:sz w:val="18"/>
                <w:szCs w:val="18"/>
                <w:lang w:eastAsia="es-HN"/>
              </w:rPr>
            </w:pPr>
          </w:p>
        </w:tc>
        <w:tc>
          <w:tcPr>
            <w:tcW w:w="602" w:type="pct"/>
            <w:tcBorders>
              <w:top w:val="nil"/>
              <w:left w:val="nil"/>
              <w:bottom w:val="nil"/>
              <w:right w:val="nil"/>
            </w:tcBorders>
            <w:shd w:val="clear" w:color="auto" w:fill="auto"/>
            <w:noWrap/>
            <w:vAlign w:val="center"/>
            <w:hideMark/>
          </w:tcPr>
          <w:p w14:paraId="176458B2" w14:textId="77777777" w:rsidR="00B0341F" w:rsidRPr="0076589C" w:rsidRDefault="00B0341F" w:rsidP="1C8D6E3A">
            <w:pPr>
              <w:spacing w:after="0" w:line="240" w:lineRule="auto"/>
              <w:ind w:left="0" w:firstLineChars="100" w:firstLine="180"/>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7FAB6D57"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6E8EAA26"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72226445"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2C6D9DA2"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04451F5B"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6AD08ED1"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5E03E0EF"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r>
      <w:tr w:rsidR="00B0341F" w:rsidRPr="0076589C" w14:paraId="02D29DD3" w14:textId="77777777" w:rsidTr="1C8D6E3A">
        <w:trPr>
          <w:trHeight w:val="260"/>
        </w:trPr>
        <w:tc>
          <w:tcPr>
            <w:tcW w:w="1765" w:type="pct"/>
            <w:tcBorders>
              <w:top w:val="single" w:sz="4" w:space="0" w:color="auto"/>
              <w:left w:val="nil"/>
              <w:bottom w:val="single" w:sz="4" w:space="0" w:color="auto"/>
              <w:right w:val="nil"/>
            </w:tcBorders>
            <w:shd w:val="clear" w:color="auto" w:fill="auto"/>
            <w:noWrap/>
            <w:vAlign w:val="bottom"/>
            <w:hideMark/>
          </w:tcPr>
          <w:p w14:paraId="04805628" w14:textId="77777777" w:rsidR="00B0341F" w:rsidRPr="0076589C" w:rsidRDefault="1C8D6E3A" w:rsidP="1C8D6E3A">
            <w:pPr>
              <w:spacing w:after="0" w:line="240" w:lineRule="auto"/>
              <w:ind w:left="0" w:firstLineChars="100" w:firstLine="181"/>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Utilidad Bruta en Ventas</w:t>
            </w:r>
          </w:p>
        </w:tc>
        <w:tc>
          <w:tcPr>
            <w:tcW w:w="602" w:type="pct"/>
            <w:tcBorders>
              <w:top w:val="single" w:sz="4" w:space="0" w:color="auto"/>
              <w:left w:val="nil"/>
              <w:bottom w:val="single" w:sz="4" w:space="0" w:color="auto"/>
              <w:right w:val="nil"/>
            </w:tcBorders>
            <w:shd w:val="clear" w:color="auto" w:fill="auto"/>
            <w:noWrap/>
            <w:vAlign w:val="center"/>
            <w:hideMark/>
          </w:tcPr>
          <w:p w14:paraId="4A75E2AB"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9,408,278.03 </w:t>
            </w:r>
          </w:p>
        </w:tc>
        <w:tc>
          <w:tcPr>
            <w:tcW w:w="207" w:type="pct"/>
            <w:tcBorders>
              <w:top w:val="single" w:sz="4" w:space="0" w:color="auto"/>
              <w:left w:val="nil"/>
              <w:bottom w:val="single" w:sz="4" w:space="0" w:color="auto"/>
              <w:right w:val="nil"/>
            </w:tcBorders>
            <w:shd w:val="clear" w:color="auto" w:fill="C9E1EF"/>
            <w:noWrap/>
            <w:vAlign w:val="center"/>
            <w:hideMark/>
          </w:tcPr>
          <w:p w14:paraId="2785A56C"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36%</w:t>
            </w:r>
          </w:p>
        </w:tc>
        <w:tc>
          <w:tcPr>
            <w:tcW w:w="602" w:type="pct"/>
            <w:tcBorders>
              <w:top w:val="single" w:sz="4" w:space="0" w:color="auto"/>
              <w:left w:val="nil"/>
              <w:bottom w:val="single" w:sz="4" w:space="0" w:color="auto"/>
              <w:right w:val="nil"/>
            </w:tcBorders>
            <w:shd w:val="clear" w:color="auto" w:fill="auto"/>
            <w:noWrap/>
            <w:vAlign w:val="center"/>
            <w:hideMark/>
          </w:tcPr>
          <w:p w14:paraId="4D27D7E8"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8,443,526.71 </w:t>
            </w:r>
          </w:p>
        </w:tc>
        <w:tc>
          <w:tcPr>
            <w:tcW w:w="207" w:type="pct"/>
            <w:tcBorders>
              <w:top w:val="single" w:sz="4" w:space="0" w:color="auto"/>
              <w:left w:val="nil"/>
              <w:bottom w:val="single" w:sz="4" w:space="0" w:color="auto"/>
              <w:right w:val="nil"/>
            </w:tcBorders>
            <w:shd w:val="clear" w:color="auto" w:fill="C9E1EF"/>
            <w:noWrap/>
            <w:vAlign w:val="center"/>
            <w:hideMark/>
          </w:tcPr>
          <w:p w14:paraId="0C92B78D"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26%</w:t>
            </w:r>
          </w:p>
        </w:tc>
        <w:tc>
          <w:tcPr>
            <w:tcW w:w="602" w:type="pct"/>
            <w:tcBorders>
              <w:top w:val="single" w:sz="4" w:space="0" w:color="auto"/>
              <w:left w:val="nil"/>
              <w:bottom w:val="single" w:sz="4" w:space="0" w:color="auto"/>
              <w:right w:val="nil"/>
            </w:tcBorders>
            <w:shd w:val="clear" w:color="auto" w:fill="auto"/>
            <w:noWrap/>
            <w:vAlign w:val="center"/>
            <w:hideMark/>
          </w:tcPr>
          <w:p w14:paraId="73984EA6"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8,010,294.13 </w:t>
            </w:r>
          </w:p>
        </w:tc>
        <w:tc>
          <w:tcPr>
            <w:tcW w:w="207" w:type="pct"/>
            <w:tcBorders>
              <w:top w:val="single" w:sz="4" w:space="0" w:color="auto"/>
              <w:left w:val="nil"/>
              <w:bottom w:val="single" w:sz="4" w:space="0" w:color="auto"/>
              <w:right w:val="nil"/>
            </w:tcBorders>
            <w:shd w:val="clear" w:color="auto" w:fill="C9E1EF"/>
            <w:noWrap/>
            <w:vAlign w:val="center"/>
            <w:hideMark/>
          </w:tcPr>
          <w:p w14:paraId="350E1983"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36%</w:t>
            </w:r>
          </w:p>
        </w:tc>
        <w:tc>
          <w:tcPr>
            <w:tcW w:w="602" w:type="pct"/>
            <w:tcBorders>
              <w:top w:val="single" w:sz="4" w:space="0" w:color="auto"/>
              <w:left w:val="nil"/>
              <w:bottom w:val="single" w:sz="4" w:space="0" w:color="auto"/>
              <w:right w:val="nil"/>
            </w:tcBorders>
            <w:shd w:val="clear" w:color="auto" w:fill="auto"/>
            <w:noWrap/>
            <w:vAlign w:val="center"/>
            <w:hideMark/>
          </w:tcPr>
          <w:p w14:paraId="78F57CF2"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10,009,298.22 </w:t>
            </w:r>
          </w:p>
        </w:tc>
        <w:tc>
          <w:tcPr>
            <w:tcW w:w="207" w:type="pct"/>
            <w:tcBorders>
              <w:top w:val="single" w:sz="4" w:space="0" w:color="auto"/>
              <w:left w:val="nil"/>
              <w:bottom w:val="single" w:sz="4" w:space="0" w:color="auto"/>
              <w:right w:val="nil"/>
            </w:tcBorders>
            <w:shd w:val="clear" w:color="auto" w:fill="C9E1EF"/>
            <w:noWrap/>
            <w:vAlign w:val="center"/>
            <w:hideMark/>
          </w:tcPr>
          <w:p w14:paraId="7CC73F41"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34%</w:t>
            </w:r>
          </w:p>
        </w:tc>
      </w:tr>
      <w:tr w:rsidR="00B0341F" w:rsidRPr="0076589C" w14:paraId="61B43775" w14:textId="77777777" w:rsidTr="1C8D6E3A">
        <w:trPr>
          <w:trHeight w:val="260"/>
        </w:trPr>
        <w:tc>
          <w:tcPr>
            <w:tcW w:w="1765" w:type="pct"/>
            <w:tcBorders>
              <w:top w:val="nil"/>
              <w:left w:val="nil"/>
              <w:bottom w:val="nil"/>
              <w:right w:val="nil"/>
            </w:tcBorders>
            <w:shd w:val="clear" w:color="auto" w:fill="auto"/>
            <w:noWrap/>
            <w:vAlign w:val="bottom"/>
            <w:hideMark/>
          </w:tcPr>
          <w:p w14:paraId="64FD48D8" w14:textId="77777777" w:rsidR="00B0341F" w:rsidRPr="0076589C" w:rsidRDefault="00B0341F" w:rsidP="1C8D6E3A">
            <w:pPr>
              <w:spacing w:after="0" w:line="240" w:lineRule="auto"/>
              <w:ind w:left="0"/>
              <w:jc w:val="center"/>
              <w:rPr>
                <w:rFonts w:asciiTheme="minorHAnsi" w:eastAsia="Times New Roman" w:hAnsiTheme="minorHAnsi"/>
                <w:b/>
                <w:bCs/>
                <w:color w:val="000000"/>
                <w:sz w:val="18"/>
                <w:szCs w:val="18"/>
                <w:lang w:eastAsia="es-HN"/>
              </w:rPr>
            </w:pPr>
          </w:p>
        </w:tc>
        <w:tc>
          <w:tcPr>
            <w:tcW w:w="602" w:type="pct"/>
            <w:tcBorders>
              <w:top w:val="nil"/>
              <w:left w:val="nil"/>
              <w:bottom w:val="nil"/>
              <w:right w:val="nil"/>
            </w:tcBorders>
            <w:shd w:val="clear" w:color="auto" w:fill="auto"/>
            <w:noWrap/>
            <w:vAlign w:val="center"/>
            <w:hideMark/>
          </w:tcPr>
          <w:p w14:paraId="63E07237" w14:textId="77777777" w:rsidR="00B0341F" w:rsidRPr="0076589C" w:rsidRDefault="00B0341F" w:rsidP="1C8D6E3A">
            <w:pPr>
              <w:spacing w:after="0" w:line="240" w:lineRule="auto"/>
              <w:ind w:left="0" w:firstLineChars="100" w:firstLine="180"/>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348AA077"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453AD211"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7C99B209"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2F4FF7A2"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29DBDF24"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730C2105"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335BBED1"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r>
      <w:tr w:rsidR="00B0341F" w:rsidRPr="0076589C" w14:paraId="46672CB2" w14:textId="77777777" w:rsidTr="1C8D6E3A">
        <w:trPr>
          <w:trHeight w:val="260"/>
        </w:trPr>
        <w:tc>
          <w:tcPr>
            <w:tcW w:w="1765" w:type="pct"/>
            <w:tcBorders>
              <w:top w:val="nil"/>
              <w:left w:val="nil"/>
              <w:bottom w:val="nil"/>
              <w:right w:val="nil"/>
            </w:tcBorders>
            <w:shd w:val="clear" w:color="auto" w:fill="auto"/>
            <w:noWrap/>
            <w:vAlign w:val="bottom"/>
            <w:hideMark/>
          </w:tcPr>
          <w:p w14:paraId="59C0740C" w14:textId="77777777" w:rsidR="00B0341F" w:rsidRPr="0076589C" w:rsidRDefault="1C8D6E3A" w:rsidP="1C8D6E3A">
            <w:pPr>
              <w:spacing w:after="0" w:line="240" w:lineRule="auto"/>
              <w:ind w:left="0" w:firstLineChars="100" w:firstLine="181"/>
              <w:rPr>
                <w:rFonts w:asciiTheme="minorHAnsi" w:eastAsia="Times New Roman" w:hAnsiTheme="minorHAnsi"/>
                <w:b/>
                <w:bCs/>
                <w:color w:val="000000"/>
                <w:sz w:val="18"/>
                <w:szCs w:val="18"/>
                <w:u w:val="single"/>
                <w:lang w:eastAsia="es-HN"/>
              </w:rPr>
            </w:pPr>
            <w:r w:rsidRPr="0076589C">
              <w:rPr>
                <w:rFonts w:asciiTheme="minorHAnsi" w:eastAsia="Times New Roman" w:hAnsiTheme="minorHAnsi"/>
                <w:b/>
                <w:bCs/>
                <w:color w:val="000000" w:themeColor="text1"/>
                <w:sz w:val="18"/>
                <w:szCs w:val="18"/>
                <w:u w:val="single"/>
              </w:rPr>
              <w:t>Menos: Gastos de Operación</w:t>
            </w:r>
          </w:p>
        </w:tc>
        <w:tc>
          <w:tcPr>
            <w:tcW w:w="602" w:type="pct"/>
            <w:tcBorders>
              <w:top w:val="nil"/>
              <w:left w:val="nil"/>
              <w:bottom w:val="nil"/>
              <w:right w:val="nil"/>
            </w:tcBorders>
            <w:shd w:val="clear" w:color="auto" w:fill="auto"/>
            <w:noWrap/>
            <w:vAlign w:val="center"/>
            <w:hideMark/>
          </w:tcPr>
          <w:p w14:paraId="4730C374" w14:textId="77777777" w:rsidR="00B0341F" w:rsidRPr="0076589C" w:rsidRDefault="00B0341F" w:rsidP="1C8D6E3A">
            <w:pPr>
              <w:spacing w:after="0" w:line="240" w:lineRule="auto"/>
              <w:ind w:left="0" w:firstLineChars="100" w:firstLine="181"/>
              <w:rPr>
                <w:rFonts w:asciiTheme="minorHAnsi" w:eastAsia="Times New Roman" w:hAnsiTheme="minorHAnsi"/>
                <w:b/>
                <w:bCs/>
                <w:color w:val="000000"/>
                <w:sz w:val="18"/>
                <w:szCs w:val="18"/>
                <w:u w:val="single"/>
                <w:lang w:eastAsia="es-HN"/>
              </w:rPr>
            </w:pPr>
          </w:p>
        </w:tc>
        <w:tc>
          <w:tcPr>
            <w:tcW w:w="207" w:type="pct"/>
            <w:tcBorders>
              <w:top w:val="nil"/>
              <w:left w:val="nil"/>
              <w:bottom w:val="nil"/>
              <w:right w:val="nil"/>
            </w:tcBorders>
            <w:shd w:val="clear" w:color="auto" w:fill="auto"/>
            <w:noWrap/>
            <w:vAlign w:val="center"/>
            <w:hideMark/>
          </w:tcPr>
          <w:p w14:paraId="34C723D7"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56B6BBC2"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3B4DD459"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33D83020"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07BB14A5"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2F13A954"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2053B583"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r>
      <w:tr w:rsidR="00B0341F" w:rsidRPr="0076589C" w14:paraId="619827A9" w14:textId="77777777" w:rsidTr="1C8D6E3A">
        <w:trPr>
          <w:trHeight w:val="260"/>
        </w:trPr>
        <w:tc>
          <w:tcPr>
            <w:tcW w:w="1765" w:type="pct"/>
            <w:tcBorders>
              <w:top w:val="nil"/>
              <w:left w:val="nil"/>
              <w:bottom w:val="nil"/>
              <w:right w:val="nil"/>
            </w:tcBorders>
            <w:shd w:val="clear" w:color="auto" w:fill="auto"/>
            <w:noWrap/>
            <w:vAlign w:val="bottom"/>
            <w:hideMark/>
          </w:tcPr>
          <w:p w14:paraId="7F2A74CA" w14:textId="77777777" w:rsidR="00B0341F" w:rsidRPr="0076589C" w:rsidRDefault="1C8D6E3A" w:rsidP="1C8D6E3A">
            <w:pPr>
              <w:spacing w:after="0" w:line="240" w:lineRule="auto"/>
              <w:ind w:left="0" w:firstLineChars="200" w:firstLine="360"/>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Gastos de Administración</w:t>
            </w:r>
          </w:p>
        </w:tc>
        <w:tc>
          <w:tcPr>
            <w:tcW w:w="602" w:type="pct"/>
            <w:tcBorders>
              <w:top w:val="nil"/>
              <w:left w:val="nil"/>
              <w:bottom w:val="nil"/>
              <w:right w:val="nil"/>
            </w:tcBorders>
            <w:shd w:val="clear" w:color="auto" w:fill="auto"/>
            <w:noWrap/>
            <w:vAlign w:val="center"/>
            <w:hideMark/>
          </w:tcPr>
          <w:p w14:paraId="1ACF5834"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282,731.30 </w:t>
            </w:r>
          </w:p>
        </w:tc>
        <w:tc>
          <w:tcPr>
            <w:tcW w:w="207" w:type="pct"/>
            <w:tcBorders>
              <w:top w:val="nil"/>
              <w:left w:val="nil"/>
              <w:bottom w:val="nil"/>
              <w:right w:val="nil"/>
            </w:tcBorders>
            <w:shd w:val="clear" w:color="auto" w:fill="auto"/>
            <w:noWrap/>
            <w:vAlign w:val="center"/>
            <w:hideMark/>
          </w:tcPr>
          <w:p w14:paraId="1F778F3F"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1%</w:t>
            </w:r>
          </w:p>
        </w:tc>
        <w:tc>
          <w:tcPr>
            <w:tcW w:w="602" w:type="pct"/>
            <w:tcBorders>
              <w:top w:val="nil"/>
              <w:left w:val="nil"/>
              <w:bottom w:val="nil"/>
              <w:right w:val="nil"/>
            </w:tcBorders>
            <w:shd w:val="clear" w:color="auto" w:fill="auto"/>
            <w:noWrap/>
            <w:vAlign w:val="center"/>
            <w:hideMark/>
          </w:tcPr>
          <w:p w14:paraId="48BF1AE2"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420,145.61 </w:t>
            </w:r>
          </w:p>
        </w:tc>
        <w:tc>
          <w:tcPr>
            <w:tcW w:w="207" w:type="pct"/>
            <w:tcBorders>
              <w:top w:val="nil"/>
              <w:left w:val="nil"/>
              <w:bottom w:val="nil"/>
              <w:right w:val="nil"/>
            </w:tcBorders>
            <w:shd w:val="clear" w:color="auto" w:fill="auto"/>
            <w:noWrap/>
            <w:vAlign w:val="center"/>
            <w:hideMark/>
          </w:tcPr>
          <w:p w14:paraId="66773660"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1%</w:t>
            </w:r>
          </w:p>
        </w:tc>
        <w:tc>
          <w:tcPr>
            <w:tcW w:w="602" w:type="pct"/>
            <w:tcBorders>
              <w:top w:val="nil"/>
              <w:left w:val="nil"/>
              <w:bottom w:val="nil"/>
              <w:right w:val="nil"/>
            </w:tcBorders>
            <w:shd w:val="clear" w:color="auto" w:fill="auto"/>
            <w:noWrap/>
            <w:vAlign w:val="center"/>
            <w:hideMark/>
          </w:tcPr>
          <w:p w14:paraId="066DFEC2"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210,575.69 </w:t>
            </w:r>
          </w:p>
        </w:tc>
        <w:tc>
          <w:tcPr>
            <w:tcW w:w="207" w:type="pct"/>
            <w:tcBorders>
              <w:top w:val="nil"/>
              <w:left w:val="nil"/>
              <w:bottom w:val="nil"/>
              <w:right w:val="nil"/>
            </w:tcBorders>
            <w:shd w:val="clear" w:color="auto" w:fill="auto"/>
            <w:noWrap/>
            <w:vAlign w:val="center"/>
            <w:hideMark/>
          </w:tcPr>
          <w:p w14:paraId="44D311F2"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1%</w:t>
            </w:r>
          </w:p>
        </w:tc>
        <w:tc>
          <w:tcPr>
            <w:tcW w:w="602" w:type="pct"/>
            <w:tcBorders>
              <w:top w:val="nil"/>
              <w:left w:val="nil"/>
              <w:bottom w:val="nil"/>
              <w:right w:val="nil"/>
            </w:tcBorders>
            <w:shd w:val="clear" w:color="auto" w:fill="auto"/>
            <w:noWrap/>
            <w:vAlign w:val="center"/>
            <w:hideMark/>
          </w:tcPr>
          <w:p w14:paraId="706456F7"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359,452.81 </w:t>
            </w:r>
          </w:p>
        </w:tc>
        <w:tc>
          <w:tcPr>
            <w:tcW w:w="207" w:type="pct"/>
            <w:tcBorders>
              <w:top w:val="nil"/>
              <w:left w:val="nil"/>
              <w:bottom w:val="nil"/>
              <w:right w:val="nil"/>
            </w:tcBorders>
            <w:shd w:val="clear" w:color="auto" w:fill="auto"/>
            <w:noWrap/>
            <w:vAlign w:val="center"/>
            <w:hideMark/>
          </w:tcPr>
          <w:p w14:paraId="54692AB4"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1%</w:t>
            </w:r>
          </w:p>
        </w:tc>
      </w:tr>
      <w:tr w:rsidR="00B0341F" w:rsidRPr="0076589C" w14:paraId="7BF0CB73" w14:textId="77777777" w:rsidTr="1C8D6E3A">
        <w:trPr>
          <w:trHeight w:val="270"/>
        </w:trPr>
        <w:tc>
          <w:tcPr>
            <w:tcW w:w="1765" w:type="pct"/>
            <w:tcBorders>
              <w:top w:val="nil"/>
              <w:left w:val="nil"/>
              <w:bottom w:val="double" w:sz="6" w:space="0" w:color="auto"/>
              <w:right w:val="nil"/>
            </w:tcBorders>
            <w:shd w:val="clear" w:color="auto" w:fill="auto"/>
            <w:noWrap/>
            <w:vAlign w:val="bottom"/>
            <w:hideMark/>
          </w:tcPr>
          <w:p w14:paraId="25366A4B" w14:textId="77777777" w:rsidR="00B0341F" w:rsidRPr="0076589C" w:rsidRDefault="1C8D6E3A" w:rsidP="1C8D6E3A">
            <w:pPr>
              <w:spacing w:after="0" w:line="240" w:lineRule="auto"/>
              <w:ind w:left="0" w:firstLineChars="200" w:firstLine="360"/>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Gastos de Distribución</w:t>
            </w:r>
          </w:p>
        </w:tc>
        <w:tc>
          <w:tcPr>
            <w:tcW w:w="602" w:type="pct"/>
            <w:tcBorders>
              <w:top w:val="nil"/>
              <w:left w:val="nil"/>
              <w:bottom w:val="double" w:sz="6" w:space="0" w:color="auto"/>
              <w:right w:val="nil"/>
            </w:tcBorders>
            <w:shd w:val="clear" w:color="auto" w:fill="auto"/>
            <w:noWrap/>
            <w:vAlign w:val="center"/>
            <w:hideMark/>
          </w:tcPr>
          <w:p w14:paraId="3398884D"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6,439,421.23 </w:t>
            </w:r>
          </w:p>
        </w:tc>
        <w:tc>
          <w:tcPr>
            <w:tcW w:w="207" w:type="pct"/>
            <w:tcBorders>
              <w:top w:val="nil"/>
              <w:left w:val="nil"/>
              <w:bottom w:val="double" w:sz="6" w:space="0" w:color="auto"/>
              <w:right w:val="nil"/>
            </w:tcBorders>
            <w:shd w:val="clear" w:color="auto" w:fill="auto"/>
            <w:noWrap/>
            <w:vAlign w:val="center"/>
            <w:hideMark/>
          </w:tcPr>
          <w:p w14:paraId="7DB1CFA1"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25%</w:t>
            </w:r>
          </w:p>
        </w:tc>
        <w:tc>
          <w:tcPr>
            <w:tcW w:w="602" w:type="pct"/>
            <w:tcBorders>
              <w:top w:val="nil"/>
              <w:left w:val="nil"/>
              <w:bottom w:val="double" w:sz="6" w:space="0" w:color="auto"/>
              <w:right w:val="nil"/>
            </w:tcBorders>
            <w:shd w:val="clear" w:color="auto" w:fill="auto"/>
            <w:noWrap/>
            <w:vAlign w:val="center"/>
            <w:hideMark/>
          </w:tcPr>
          <w:p w14:paraId="297755A4"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6,828,095.02 </w:t>
            </w:r>
          </w:p>
        </w:tc>
        <w:tc>
          <w:tcPr>
            <w:tcW w:w="207" w:type="pct"/>
            <w:tcBorders>
              <w:top w:val="nil"/>
              <w:left w:val="nil"/>
              <w:bottom w:val="double" w:sz="6" w:space="0" w:color="auto"/>
              <w:right w:val="nil"/>
            </w:tcBorders>
            <w:shd w:val="clear" w:color="auto" w:fill="auto"/>
            <w:noWrap/>
            <w:vAlign w:val="center"/>
            <w:hideMark/>
          </w:tcPr>
          <w:p w14:paraId="621D3BAF"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21%</w:t>
            </w:r>
          </w:p>
        </w:tc>
        <w:tc>
          <w:tcPr>
            <w:tcW w:w="602" w:type="pct"/>
            <w:tcBorders>
              <w:top w:val="nil"/>
              <w:left w:val="nil"/>
              <w:bottom w:val="double" w:sz="6" w:space="0" w:color="auto"/>
              <w:right w:val="nil"/>
            </w:tcBorders>
            <w:shd w:val="clear" w:color="auto" w:fill="auto"/>
            <w:noWrap/>
            <w:vAlign w:val="center"/>
            <w:hideMark/>
          </w:tcPr>
          <w:p w14:paraId="168790E1"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5,358,649.15 </w:t>
            </w:r>
          </w:p>
        </w:tc>
        <w:tc>
          <w:tcPr>
            <w:tcW w:w="207" w:type="pct"/>
            <w:tcBorders>
              <w:top w:val="nil"/>
              <w:left w:val="nil"/>
              <w:bottom w:val="double" w:sz="6" w:space="0" w:color="auto"/>
              <w:right w:val="nil"/>
            </w:tcBorders>
            <w:shd w:val="clear" w:color="auto" w:fill="auto"/>
            <w:noWrap/>
            <w:vAlign w:val="center"/>
            <w:hideMark/>
          </w:tcPr>
          <w:p w14:paraId="69CDB538"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24%</w:t>
            </w:r>
          </w:p>
        </w:tc>
        <w:tc>
          <w:tcPr>
            <w:tcW w:w="602" w:type="pct"/>
            <w:tcBorders>
              <w:top w:val="nil"/>
              <w:left w:val="nil"/>
              <w:bottom w:val="double" w:sz="6" w:space="0" w:color="auto"/>
              <w:right w:val="nil"/>
            </w:tcBorders>
            <w:shd w:val="clear" w:color="auto" w:fill="auto"/>
            <w:noWrap/>
            <w:vAlign w:val="center"/>
            <w:hideMark/>
          </w:tcPr>
          <w:p w14:paraId="13AE0900"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7,015,471.25 </w:t>
            </w:r>
          </w:p>
        </w:tc>
        <w:tc>
          <w:tcPr>
            <w:tcW w:w="207" w:type="pct"/>
            <w:tcBorders>
              <w:top w:val="nil"/>
              <w:left w:val="nil"/>
              <w:bottom w:val="double" w:sz="6" w:space="0" w:color="auto"/>
              <w:right w:val="nil"/>
            </w:tcBorders>
            <w:shd w:val="clear" w:color="auto" w:fill="auto"/>
            <w:noWrap/>
            <w:vAlign w:val="center"/>
            <w:hideMark/>
          </w:tcPr>
          <w:p w14:paraId="169C0ECF"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24%</w:t>
            </w:r>
          </w:p>
        </w:tc>
      </w:tr>
      <w:tr w:rsidR="00B0341F" w:rsidRPr="0076589C" w14:paraId="2134B9A3" w14:textId="77777777" w:rsidTr="1C8D6E3A">
        <w:trPr>
          <w:trHeight w:val="270"/>
        </w:trPr>
        <w:tc>
          <w:tcPr>
            <w:tcW w:w="1765" w:type="pct"/>
            <w:tcBorders>
              <w:top w:val="nil"/>
              <w:left w:val="nil"/>
              <w:bottom w:val="nil"/>
              <w:right w:val="nil"/>
            </w:tcBorders>
            <w:shd w:val="clear" w:color="auto" w:fill="auto"/>
            <w:noWrap/>
            <w:vAlign w:val="bottom"/>
            <w:hideMark/>
          </w:tcPr>
          <w:p w14:paraId="5FB9FA14" w14:textId="77777777" w:rsidR="00B0341F" w:rsidRPr="0076589C" w:rsidRDefault="1C8D6E3A" w:rsidP="1C8D6E3A">
            <w:pPr>
              <w:spacing w:after="0" w:line="240" w:lineRule="auto"/>
              <w:ind w:left="0" w:firstLineChars="100" w:firstLine="181"/>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Total Gastos de Operación</w:t>
            </w:r>
          </w:p>
        </w:tc>
        <w:tc>
          <w:tcPr>
            <w:tcW w:w="602" w:type="pct"/>
            <w:tcBorders>
              <w:top w:val="nil"/>
              <w:left w:val="nil"/>
              <w:bottom w:val="nil"/>
              <w:right w:val="nil"/>
            </w:tcBorders>
            <w:shd w:val="clear" w:color="auto" w:fill="auto"/>
            <w:noWrap/>
            <w:vAlign w:val="center"/>
            <w:hideMark/>
          </w:tcPr>
          <w:p w14:paraId="7CBBC27B"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6,722,152.53 </w:t>
            </w:r>
          </w:p>
        </w:tc>
        <w:tc>
          <w:tcPr>
            <w:tcW w:w="207" w:type="pct"/>
            <w:tcBorders>
              <w:top w:val="nil"/>
              <w:left w:val="nil"/>
              <w:bottom w:val="nil"/>
              <w:right w:val="nil"/>
            </w:tcBorders>
            <w:shd w:val="clear" w:color="auto" w:fill="C9E1EF"/>
            <w:noWrap/>
            <w:vAlign w:val="center"/>
            <w:hideMark/>
          </w:tcPr>
          <w:p w14:paraId="4A20D421"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26%</w:t>
            </w:r>
          </w:p>
        </w:tc>
        <w:tc>
          <w:tcPr>
            <w:tcW w:w="602" w:type="pct"/>
            <w:tcBorders>
              <w:top w:val="nil"/>
              <w:left w:val="nil"/>
              <w:bottom w:val="nil"/>
              <w:right w:val="nil"/>
            </w:tcBorders>
            <w:shd w:val="clear" w:color="auto" w:fill="auto"/>
            <w:noWrap/>
            <w:vAlign w:val="center"/>
            <w:hideMark/>
          </w:tcPr>
          <w:p w14:paraId="6876E21C"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7,248,240.63 </w:t>
            </w:r>
          </w:p>
        </w:tc>
        <w:tc>
          <w:tcPr>
            <w:tcW w:w="207" w:type="pct"/>
            <w:tcBorders>
              <w:top w:val="nil"/>
              <w:left w:val="nil"/>
              <w:bottom w:val="nil"/>
              <w:right w:val="nil"/>
            </w:tcBorders>
            <w:shd w:val="clear" w:color="auto" w:fill="C9E1EF"/>
            <w:noWrap/>
            <w:vAlign w:val="center"/>
            <w:hideMark/>
          </w:tcPr>
          <w:p w14:paraId="33CD2A22"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23%</w:t>
            </w:r>
          </w:p>
        </w:tc>
        <w:tc>
          <w:tcPr>
            <w:tcW w:w="602" w:type="pct"/>
            <w:tcBorders>
              <w:top w:val="nil"/>
              <w:left w:val="nil"/>
              <w:bottom w:val="nil"/>
              <w:right w:val="nil"/>
            </w:tcBorders>
            <w:shd w:val="clear" w:color="auto" w:fill="auto"/>
            <w:noWrap/>
            <w:vAlign w:val="center"/>
            <w:hideMark/>
          </w:tcPr>
          <w:p w14:paraId="60D62BA6"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5,569,224.84 </w:t>
            </w:r>
          </w:p>
        </w:tc>
        <w:tc>
          <w:tcPr>
            <w:tcW w:w="207" w:type="pct"/>
            <w:tcBorders>
              <w:top w:val="nil"/>
              <w:left w:val="nil"/>
              <w:bottom w:val="nil"/>
              <w:right w:val="nil"/>
            </w:tcBorders>
            <w:shd w:val="clear" w:color="auto" w:fill="C9E1EF"/>
            <w:noWrap/>
            <w:vAlign w:val="center"/>
            <w:hideMark/>
          </w:tcPr>
          <w:p w14:paraId="13555C38"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25%</w:t>
            </w:r>
          </w:p>
        </w:tc>
        <w:tc>
          <w:tcPr>
            <w:tcW w:w="602" w:type="pct"/>
            <w:tcBorders>
              <w:top w:val="nil"/>
              <w:left w:val="nil"/>
              <w:bottom w:val="nil"/>
              <w:right w:val="nil"/>
            </w:tcBorders>
            <w:shd w:val="clear" w:color="auto" w:fill="auto"/>
            <w:noWrap/>
            <w:vAlign w:val="center"/>
            <w:hideMark/>
          </w:tcPr>
          <w:p w14:paraId="4CBF8CCF"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7,374,924.06 </w:t>
            </w:r>
          </w:p>
        </w:tc>
        <w:tc>
          <w:tcPr>
            <w:tcW w:w="207" w:type="pct"/>
            <w:tcBorders>
              <w:top w:val="nil"/>
              <w:left w:val="nil"/>
              <w:bottom w:val="nil"/>
              <w:right w:val="nil"/>
            </w:tcBorders>
            <w:shd w:val="clear" w:color="auto" w:fill="C9E1EF"/>
            <w:noWrap/>
            <w:vAlign w:val="center"/>
            <w:hideMark/>
          </w:tcPr>
          <w:p w14:paraId="6B89D171"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25%</w:t>
            </w:r>
          </w:p>
        </w:tc>
      </w:tr>
      <w:tr w:rsidR="00B0341F" w:rsidRPr="0076589C" w14:paraId="0001AAE3" w14:textId="77777777" w:rsidTr="1C8D6E3A">
        <w:trPr>
          <w:trHeight w:val="260"/>
        </w:trPr>
        <w:tc>
          <w:tcPr>
            <w:tcW w:w="1765" w:type="pct"/>
            <w:tcBorders>
              <w:top w:val="nil"/>
              <w:left w:val="nil"/>
              <w:bottom w:val="nil"/>
              <w:right w:val="nil"/>
            </w:tcBorders>
            <w:shd w:val="clear" w:color="auto" w:fill="auto"/>
            <w:noWrap/>
            <w:vAlign w:val="bottom"/>
            <w:hideMark/>
          </w:tcPr>
          <w:p w14:paraId="7EC2771B" w14:textId="77777777" w:rsidR="00B0341F" w:rsidRPr="0076589C" w:rsidRDefault="00B0341F" w:rsidP="1C8D6E3A">
            <w:pPr>
              <w:spacing w:after="0" w:line="240" w:lineRule="auto"/>
              <w:ind w:left="0"/>
              <w:jc w:val="center"/>
              <w:rPr>
                <w:rFonts w:asciiTheme="minorHAnsi" w:eastAsia="Times New Roman" w:hAnsiTheme="minorHAnsi"/>
                <w:b/>
                <w:bCs/>
                <w:color w:val="000000"/>
                <w:sz w:val="18"/>
                <w:szCs w:val="18"/>
                <w:lang w:eastAsia="es-HN"/>
              </w:rPr>
            </w:pPr>
          </w:p>
        </w:tc>
        <w:tc>
          <w:tcPr>
            <w:tcW w:w="602" w:type="pct"/>
            <w:tcBorders>
              <w:top w:val="nil"/>
              <w:left w:val="nil"/>
              <w:bottom w:val="nil"/>
              <w:right w:val="nil"/>
            </w:tcBorders>
            <w:shd w:val="clear" w:color="auto" w:fill="auto"/>
            <w:noWrap/>
            <w:vAlign w:val="center"/>
            <w:hideMark/>
          </w:tcPr>
          <w:p w14:paraId="05603F4C" w14:textId="77777777" w:rsidR="00B0341F" w:rsidRPr="0076589C" w:rsidRDefault="00B0341F" w:rsidP="1C8D6E3A">
            <w:pPr>
              <w:spacing w:after="0" w:line="240" w:lineRule="auto"/>
              <w:ind w:left="0" w:firstLineChars="100" w:firstLine="180"/>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5868FD15"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4EC1EA7E"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004DB1C7"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3FA9D624"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7188FB6B"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2F222604"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4C1941E4"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r>
      <w:tr w:rsidR="00B0341F" w:rsidRPr="0076589C" w14:paraId="00B1E86A" w14:textId="77777777" w:rsidTr="1C8D6E3A">
        <w:trPr>
          <w:trHeight w:val="260"/>
        </w:trPr>
        <w:tc>
          <w:tcPr>
            <w:tcW w:w="1765" w:type="pct"/>
            <w:tcBorders>
              <w:top w:val="single" w:sz="4" w:space="0" w:color="auto"/>
              <w:left w:val="nil"/>
              <w:bottom w:val="single" w:sz="4" w:space="0" w:color="auto"/>
              <w:right w:val="nil"/>
            </w:tcBorders>
            <w:shd w:val="clear" w:color="auto" w:fill="auto"/>
            <w:noWrap/>
            <w:vAlign w:val="bottom"/>
            <w:hideMark/>
          </w:tcPr>
          <w:p w14:paraId="5B057EE2" w14:textId="77777777" w:rsidR="00B0341F" w:rsidRPr="0076589C" w:rsidRDefault="1C8D6E3A" w:rsidP="1C8D6E3A">
            <w:pPr>
              <w:spacing w:after="0" w:line="240" w:lineRule="auto"/>
              <w:ind w:left="0" w:firstLineChars="100" w:firstLine="181"/>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Utilidad Antes del Impuesto S.L/R.</w:t>
            </w:r>
          </w:p>
        </w:tc>
        <w:tc>
          <w:tcPr>
            <w:tcW w:w="602" w:type="pct"/>
            <w:tcBorders>
              <w:top w:val="single" w:sz="4" w:space="0" w:color="auto"/>
              <w:left w:val="nil"/>
              <w:bottom w:val="single" w:sz="4" w:space="0" w:color="auto"/>
              <w:right w:val="nil"/>
            </w:tcBorders>
            <w:shd w:val="clear" w:color="auto" w:fill="auto"/>
            <w:noWrap/>
            <w:vAlign w:val="center"/>
            <w:hideMark/>
          </w:tcPr>
          <w:p w14:paraId="7CE19BAF"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2,686,125.50 </w:t>
            </w:r>
          </w:p>
        </w:tc>
        <w:tc>
          <w:tcPr>
            <w:tcW w:w="207" w:type="pct"/>
            <w:tcBorders>
              <w:top w:val="single" w:sz="4" w:space="0" w:color="auto"/>
              <w:left w:val="nil"/>
              <w:bottom w:val="single" w:sz="4" w:space="0" w:color="auto"/>
              <w:right w:val="nil"/>
            </w:tcBorders>
            <w:shd w:val="clear" w:color="auto" w:fill="C9E1EF"/>
            <w:noWrap/>
            <w:vAlign w:val="center"/>
            <w:hideMark/>
          </w:tcPr>
          <w:p w14:paraId="761E92BD"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10%</w:t>
            </w:r>
          </w:p>
        </w:tc>
        <w:tc>
          <w:tcPr>
            <w:tcW w:w="602" w:type="pct"/>
            <w:tcBorders>
              <w:top w:val="single" w:sz="4" w:space="0" w:color="auto"/>
              <w:left w:val="nil"/>
              <w:bottom w:val="single" w:sz="4" w:space="0" w:color="auto"/>
              <w:right w:val="nil"/>
            </w:tcBorders>
            <w:shd w:val="clear" w:color="auto" w:fill="auto"/>
            <w:noWrap/>
            <w:vAlign w:val="center"/>
            <w:hideMark/>
          </w:tcPr>
          <w:p w14:paraId="0DF05AC5"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1,195,286.08 </w:t>
            </w:r>
          </w:p>
        </w:tc>
        <w:tc>
          <w:tcPr>
            <w:tcW w:w="207" w:type="pct"/>
            <w:tcBorders>
              <w:top w:val="single" w:sz="4" w:space="0" w:color="auto"/>
              <w:left w:val="nil"/>
              <w:bottom w:val="single" w:sz="4" w:space="0" w:color="auto"/>
              <w:right w:val="nil"/>
            </w:tcBorders>
            <w:shd w:val="clear" w:color="auto" w:fill="C9E1EF"/>
            <w:noWrap/>
            <w:vAlign w:val="center"/>
            <w:hideMark/>
          </w:tcPr>
          <w:p w14:paraId="58D6DFA7"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4%</w:t>
            </w:r>
          </w:p>
        </w:tc>
        <w:tc>
          <w:tcPr>
            <w:tcW w:w="602" w:type="pct"/>
            <w:tcBorders>
              <w:top w:val="single" w:sz="4" w:space="0" w:color="auto"/>
              <w:left w:val="nil"/>
              <w:bottom w:val="single" w:sz="4" w:space="0" w:color="auto"/>
              <w:right w:val="nil"/>
            </w:tcBorders>
            <w:shd w:val="clear" w:color="auto" w:fill="auto"/>
            <w:noWrap/>
            <w:vAlign w:val="center"/>
            <w:hideMark/>
          </w:tcPr>
          <w:p w14:paraId="464EEA53"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2,441,069.29 </w:t>
            </w:r>
          </w:p>
        </w:tc>
        <w:tc>
          <w:tcPr>
            <w:tcW w:w="207" w:type="pct"/>
            <w:tcBorders>
              <w:top w:val="single" w:sz="4" w:space="0" w:color="auto"/>
              <w:left w:val="nil"/>
              <w:bottom w:val="single" w:sz="4" w:space="0" w:color="auto"/>
              <w:right w:val="nil"/>
            </w:tcBorders>
            <w:shd w:val="clear" w:color="auto" w:fill="C9E1EF"/>
            <w:noWrap/>
            <w:vAlign w:val="center"/>
            <w:hideMark/>
          </w:tcPr>
          <w:p w14:paraId="5C805821"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11%</w:t>
            </w:r>
          </w:p>
        </w:tc>
        <w:tc>
          <w:tcPr>
            <w:tcW w:w="602" w:type="pct"/>
            <w:tcBorders>
              <w:top w:val="single" w:sz="4" w:space="0" w:color="auto"/>
              <w:left w:val="nil"/>
              <w:bottom w:val="single" w:sz="4" w:space="0" w:color="auto"/>
              <w:right w:val="nil"/>
            </w:tcBorders>
            <w:shd w:val="clear" w:color="auto" w:fill="auto"/>
            <w:noWrap/>
            <w:vAlign w:val="center"/>
            <w:hideMark/>
          </w:tcPr>
          <w:p w14:paraId="42C1CBFF"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2,634,374.16 </w:t>
            </w:r>
          </w:p>
        </w:tc>
        <w:tc>
          <w:tcPr>
            <w:tcW w:w="207" w:type="pct"/>
            <w:tcBorders>
              <w:top w:val="single" w:sz="4" w:space="0" w:color="auto"/>
              <w:left w:val="nil"/>
              <w:bottom w:val="single" w:sz="4" w:space="0" w:color="auto"/>
              <w:right w:val="nil"/>
            </w:tcBorders>
            <w:shd w:val="clear" w:color="auto" w:fill="C9E1EF"/>
            <w:noWrap/>
            <w:vAlign w:val="center"/>
            <w:hideMark/>
          </w:tcPr>
          <w:p w14:paraId="1FBBBF98"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9%</w:t>
            </w:r>
          </w:p>
        </w:tc>
      </w:tr>
      <w:tr w:rsidR="00B0341F" w:rsidRPr="0076589C" w14:paraId="1CC4401C" w14:textId="77777777" w:rsidTr="1C8D6E3A">
        <w:trPr>
          <w:trHeight w:val="260"/>
        </w:trPr>
        <w:tc>
          <w:tcPr>
            <w:tcW w:w="1765" w:type="pct"/>
            <w:tcBorders>
              <w:top w:val="nil"/>
              <w:left w:val="nil"/>
              <w:bottom w:val="nil"/>
              <w:right w:val="nil"/>
            </w:tcBorders>
            <w:shd w:val="clear" w:color="auto" w:fill="auto"/>
            <w:noWrap/>
            <w:vAlign w:val="bottom"/>
            <w:hideMark/>
          </w:tcPr>
          <w:p w14:paraId="442DD4D8" w14:textId="77777777" w:rsidR="00B0341F" w:rsidRPr="0076589C" w:rsidRDefault="00B0341F" w:rsidP="1C8D6E3A">
            <w:pPr>
              <w:spacing w:after="0" w:line="240" w:lineRule="auto"/>
              <w:ind w:left="0"/>
              <w:jc w:val="center"/>
              <w:rPr>
                <w:rFonts w:asciiTheme="minorHAnsi" w:eastAsia="Times New Roman" w:hAnsiTheme="minorHAnsi"/>
                <w:b/>
                <w:bCs/>
                <w:color w:val="000000"/>
                <w:sz w:val="18"/>
                <w:szCs w:val="18"/>
                <w:lang w:eastAsia="es-HN"/>
              </w:rPr>
            </w:pPr>
          </w:p>
        </w:tc>
        <w:tc>
          <w:tcPr>
            <w:tcW w:w="602" w:type="pct"/>
            <w:tcBorders>
              <w:top w:val="nil"/>
              <w:left w:val="nil"/>
              <w:bottom w:val="nil"/>
              <w:right w:val="nil"/>
            </w:tcBorders>
            <w:shd w:val="clear" w:color="auto" w:fill="auto"/>
            <w:noWrap/>
            <w:vAlign w:val="center"/>
            <w:hideMark/>
          </w:tcPr>
          <w:p w14:paraId="2D4B2E00" w14:textId="77777777" w:rsidR="00B0341F" w:rsidRPr="0076589C" w:rsidRDefault="00B0341F" w:rsidP="1C8D6E3A">
            <w:pPr>
              <w:spacing w:after="0" w:line="240" w:lineRule="auto"/>
              <w:ind w:left="0" w:firstLineChars="100" w:firstLine="180"/>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3830788A"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368D0500"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5B0593AF"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7FFF93BC"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0AD39A79"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72D9BB24"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25ED5435"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r>
      <w:tr w:rsidR="00B0341F" w:rsidRPr="0076589C" w14:paraId="3CC195E6" w14:textId="77777777" w:rsidTr="1C8D6E3A">
        <w:trPr>
          <w:trHeight w:val="260"/>
        </w:trPr>
        <w:tc>
          <w:tcPr>
            <w:tcW w:w="1765" w:type="pct"/>
            <w:tcBorders>
              <w:top w:val="nil"/>
              <w:left w:val="nil"/>
              <w:bottom w:val="nil"/>
              <w:right w:val="nil"/>
            </w:tcBorders>
            <w:shd w:val="clear" w:color="auto" w:fill="auto"/>
            <w:noWrap/>
            <w:vAlign w:val="bottom"/>
            <w:hideMark/>
          </w:tcPr>
          <w:p w14:paraId="2FDC3742" w14:textId="77777777" w:rsidR="00B0341F" w:rsidRPr="0076589C" w:rsidRDefault="1C8D6E3A" w:rsidP="1C8D6E3A">
            <w:pPr>
              <w:spacing w:after="0" w:line="240" w:lineRule="auto"/>
              <w:ind w:left="0" w:firstLineChars="100" w:firstLine="180"/>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Menos: Impuesto Sobre La Renta      </w:t>
            </w:r>
          </w:p>
        </w:tc>
        <w:tc>
          <w:tcPr>
            <w:tcW w:w="602" w:type="pct"/>
            <w:tcBorders>
              <w:top w:val="nil"/>
              <w:left w:val="nil"/>
              <w:bottom w:val="nil"/>
              <w:right w:val="nil"/>
            </w:tcBorders>
            <w:shd w:val="clear" w:color="auto" w:fill="auto"/>
            <w:noWrap/>
            <w:vAlign w:val="center"/>
            <w:hideMark/>
          </w:tcPr>
          <w:p w14:paraId="2E40A496"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755,837.65 </w:t>
            </w:r>
          </w:p>
        </w:tc>
        <w:tc>
          <w:tcPr>
            <w:tcW w:w="207" w:type="pct"/>
            <w:tcBorders>
              <w:top w:val="nil"/>
              <w:left w:val="nil"/>
              <w:bottom w:val="nil"/>
              <w:right w:val="nil"/>
            </w:tcBorders>
            <w:shd w:val="clear" w:color="auto" w:fill="auto"/>
            <w:noWrap/>
            <w:vAlign w:val="center"/>
            <w:hideMark/>
          </w:tcPr>
          <w:p w14:paraId="00F6DE85"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3%</w:t>
            </w:r>
          </w:p>
        </w:tc>
        <w:tc>
          <w:tcPr>
            <w:tcW w:w="602" w:type="pct"/>
            <w:tcBorders>
              <w:top w:val="nil"/>
              <w:left w:val="nil"/>
              <w:bottom w:val="nil"/>
              <w:right w:val="nil"/>
            </w:tcBorders>
            <w:shd w:val="clear" w:color="auto" w:fill="auto"/>
            <w:noWrap/>
            <w:vAlign w:val="center"/>
            <w:hideMark/>
          </w:tcPr>
          <w:p w14:paraId="19C3477F"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308,585.82 </w:t>
            </w:r>
          </w:p>
        </w:tc>
        <w:tc>
          <w:tcPr>
            <w:tcW w:w="207" w:type="pct"/>
            <w:tcBorders>
              <w:top w:val="nil"/>
              <w:left w:val="nil"/>
              <w:bottom w:val="nil"/>
              <w:right w:val="nil"/>
            </w:tcBorders>
            <w:shd w:val="clear" w:color="auto" w:fill="auto"/>
            <w:noWrap/>
            <w:vAlign w:val="center"/>
            <w:hideMark/>
          </w:tcPr>
          <w:p w14:paraId="739A88EF"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1%</w:t>
            </w:r>
          </w:p>
        </w:tc>
        <w:tc>
          <w:tcPr>
            <w:tcW w:w="602" w:type="pct"/>
            <w:tcBorders>
              <w:top w:val="nil"/>
              <w:left w:val="nil"/>
              <w:bottom w:val="nil"/>
              <w:right w:val="nil"/>
            </w:tcBorders>
            <w:shd w:val="clear" w:color="auto" w:fill="auto"/>
            <w:noWrap/>
            <w:vAlign w:val="center"/>
            <w:hideMark/>
          </w:tcPr>
          <w:p w14:paraId="0A842E34"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682,320.79 </w:t>
            </w:r>
          </w:p>
        </w:tc>
        <w:tc>
          <w:tcPr>
            <w:tcW w:w="207" w:type="pct"/>
            <w:tcBorders>
              <w:top w:val="nil"/>
              <w:left w:val="nil"/>
              <w:bottom w:val="nil"/>
              <w:right w:val="nil"/>
            </w:tcBorders>
            <w:shd w:val="clear" w:color="auto" w:fill="auto"/>
            <w:noWrap/>
            <w:vAlign w:val="center"/>
            <w:hideMark/>
          </w:tcPr>
          <w:p w14:paraId="0BED3605"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3%</w:t>
            </w:r>
          </w:p>
        </w:tc>
        <w:tc>
          <w:tcPr>
            <w:tcW w:w="602" w:type="pct"/>
            <w:tcBorders>
              <w:top w:val="nil"/>
              <w:left w:val="nil"/>
              <w:bottom w:val="nil"/>
              <w:right w:val="nil"/>
            </w:tcBorders>
            <w:shd w:val="clear" w:color="auto" w:fill="auto"/>
            <w:noWrap/>
            <w:vAlign w:val="center"/>
            <w:hideMark/>
          </w:tcPr>
          <w:p w14:paraId="263E08FA" w14:textId="77777777" w:rsidR="00B0341F" w:rsidRPr="0076589C" w:rsidRDefault="1C8D6E3A" w:rsidP="1C8D6E3A">
            <w:pPr>
              <w:spacing w:after="0" w:line="240" w:lineRule="auto"/>
              <w:ind w:left="0"/>
              <w:jc w:val="center"/>
              <w:rPr>
                <w:rFonts w:asciiTheme="minorHAnsi" w:eastAsia="Times New Roman" w:hAnsiTheme="minorHAnsi"/>
                <w:color w:val="000000"/>
                <w:sz w:val="18"/>
                <w:szCs w:val="18"/>
                <w:lang w:eastAsia="es-HN"/>
              </w:rPr>
            </w:pPr>
            <w:r w:rsidRPr="0076589C">
              <w:rPr>
                <w:rFonts w:asciiTheme="minorHAnsi" w:eastAsia="Times New Roman" w:hAnsiTheme="minorHAnsi"/>
                <w:color w:val="000000" w:themeColor="text1"/>
                <w:sz w:val="18"/>
                <w:szCs w:val="18"/>
              </w:rPr>
              <w:t xml:space="preserve"> L          740,312.25 </w:t>
            </w:r>
          </w:p>
        </w:tc>
        <w:tc>
          <w:tcPr>
            <w:tcW w:w="207" w:type="pct"/>
            <w:tcBorders>
              <w:top w:val="nil"/>
              <w:left w:val="nil"/>
              <w:bottom w:val="nil"/>
              <w:right w:val="nil"/>
            </w:tcBorders>
            <w:shd w:val="clear" w:color="auto" w:fill="auto"/>
            <w:noWrap/>
            <w:vAlign w:val="center"/>
            <w:hideMark/>
          </w:tcPr>
          <w:p w14:paraId="34EB2A46"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3%</w:t>
            </w:r>
          </w:p>
        </w:tc>
      </w:tr>
      <w:tr w:rsidR="00B0341F" w:rsidRPr="0076589C" w14:paraId="7C7901DC" w14:textId="77777777" w:rsidTr="1C8D6E3A">
        <w:trPr>
          <w:trHeight w:val="260"/>
        </w:trPr>
        <w:tc>
          <w:tcPr>
            <w:tcW w:w="1765" w:type="pct"/>
            <w:tcBorders>
              <w:top w:val="nil"/>
              <w:left w:val="nil"/>
              <w:bottom w:val="nil"/>
              <w:right w:val="nil"/>
            </w:tcBorders>
            <w:shd w:val="clear" w:color="auto" w:fill="auto"/>
            <w:noWrap/>
            <w:vAlign w:val="bottom"/>
            <w:hideMark/>
          </w:tcPr>
          <w:p w14:paraId="69A0638E" w14:textId="77777777" w:rsidR="00B0341F" w:rsidRPr="0076589C" w:rsidRDefault="00B0341F" w:rsidP="1C8D6E3A">
            <w:pPr>
              <w:spacing w:after="0" w:line="240" w:lineRule="auto"/>
              <w:ind w:left="0"/>
              <w:jc w:val="center"/>
              <w:rPr>
                <w:rFonts w:asciiTheme="minorHAnsi" w:eastAsia="Times New Roman" w:hAnsiTheme="minorHAnsi"/>
                <w:b/>
                <w:bCs/>
                <w:color w:val="000000"/>
                <w:sz w:val="18"/>
                <w:szCs w:val="18"/>
                <w:lang w:eastAsia="es-HN"/>
              </w:rPr>
            </w:pPr>
          </w:p>
        </w:tc>
        <w:tc>
          <w:tcPr>
            <w:tcW w:w="602" w:type="pct"/>
            <w:tcBorders>
              <w:top w:val="nil"/>
              <w:left w:val="nil"/>
              <w:bottom w:val="nil"/>
              <w:right w:val="nil"/>
            </w:tcBorders>
            <w:shd w:val="clear" w:color="auto" w:fill="auto"/>
            <w:noWrap/>
            <w:vAlign w:val="center"/>
            <w:hideMark/>
          </w:tcPr>
          <w:p w14:paraId="491837F8" w14:textId="77777777" w:rsidR="00B0341F" w:rsidRPr="0076589C" w:rsidRDefault="00B0341F" w:rsidP="1C8D6E3A">
            <w:pPr>
              <w:spacing w:after="0" w:line="240" w:lineRule="auto"/>
              <w:ind w:left="0" w:firstLineChars="100" w:firstLine="180"/>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412808D3"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37E7576D"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4111C318"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61764908"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11DCA588"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58C6FBEA"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64BB31F9"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r>
      <w:tr w:rsidR="00B0341F" w:rsidRPr="0076589C" w14:paraId="4C6F7578" w14:textId="77777777" w:rsidTr="1C8D6E3A">
        <w:trPr>
          <w:trHeight w:val="260"/>
        </w:trPr>
        <w:tc>
          <w:tcPr>
            <w:tcW w:w="1765" w:type="pct"/>
            <w:tcBorders>
              <w:top w:val="single" w:sz="4" w:space="0" w:color="auto"/>
              <w:left w:val="nil"/>
              <w:bottom w:val="single" w:sz="4" w:space="0" w:color="auto"/>
              <w:right w:val="nil"/>
            </w:tcBorders>
            <w:shd w:val="clear" w:color="auto" w:fill="auto"/>
            <w:noWrap/>
            <w:vAlign w:val="bottom"/>
            <w:hideMark/>
          </w:tcPr>
          <w:p w14:paraId="49493E0C" w14:textId="77777777" w:rsidR="00B0341F" w:rsidRPr="0076589C" w:rsidRDefault="1C8D6E3A" w:rsidP="1C8D6E3A">
            <w:pPr>
              <w:spacing w:after="0" w:line="240" w:lineRule="auto"/>
              <w:ind w:left="0" w:firstLineChars="100" w:firstLine="181"/>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lastRenderedPageBreak/>
              <w:t>Utilidad Neta</w:t>
            </w:r>
          </w:p>
        </w:tc>
        <w:tc>
          <w:tcPr>
            <w:tcW w:w="602" w:type="pct"/>
            <w:tcBorders>
              <w:top w:val="single" w:sz="4" w:space="0" w:color="auto"/>
              <w:left w:val="nil"/>
              <w:bottom w:val="single" w:sz="4" w:space="0" w:color="auto"/>
              <w:right w:val="nil"/>
            </w:tcBorders>
            <w:shd w:val="clear" w:color="auto" w:fill="auto"/>
            <w:noWrap/>
            <w:vAlign w:val="center"/>
            <w:hideMark/>
          </w:tcPr>
          <w:p w14:paraId="19DE2635"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1,930,287.85 </w:t>
            </w:r>
          </w:p>
        </w:tc>
        <w:tc>
          <w:tcPr>
            <w:tcW w:w="207" w:type="pct"/>
            <w:tcBorders>
              <w:top w:val="single" w:sz="4" w:space="0" w:color="auto"/>
              <w:left w:val="nil"/>
              <w:bottom w:val="single" w:sz="4" w:space="0" w:color="auto"/>
              <w:right w:val="nil"/>
            </w:tcBorders>
            <w:shd w:val="clear" w:color="auto" w:fill="C9E1EF"/>
            <w:noWrap/>
            <w:vAlign w:val="center"/>
            <w:hideMark/>
          </w:tcPr>
          <w:p w14:paraId="7A6C7C8B"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7%</w:t>
            </w:r>
          </w:p>
        </w:tc>
        <w:tc>
          <w:tcPr>
            <w:tcW w:w="602" w:type="pct"/>
            <w:tcBorders>
              <w:top w:val="single" w:sz="4" w:space="0" w:color="auto"/>
              <w:left w:val="nil"/>
              <w:bottom w:val="single" w:sz="4" w:space="0" w:color="auto"/>
              <w:right w:val="nil"/>
            </w:tcBorders>
            <w:shd w:val="clear" w:color="auto" w:fill="auto"/>
            <w:noWrap/>
            <w:vAlign w:val="center"/>
            <w:hideMark/>
          </w:tcPr>
          <w:p w14:paraId="2EF2D0AA"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886,700.26 </w:t>
            </w:r>
          </w:p>
        </w:tc>
        <w:tc>
          <w:tcPr>
            <w:tcW w:w="207" w:type="pct"/>
            <w:tcBorders>
              <w:top w:val="single" w:sz="4" w:space="0" w:color="auto"/>
              <w:left w:val="nil"/>
              <w:bottom w:val="single" w:sz="4" w:space="0" w:color="auto"/>
              <w:right w:val="nil"/>
            </w:tcBorders>
            <w:shd w:val="clear" w:color="auto" w:fill="C9E1EF"/>
            <w:noWrap/>
            <w:vAlign w:val="center"/>
            <w:hideMark/>
          </w:tcPr>
          <w:p w14:paraId="343BE073"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3%</w:t>
            </w:r>
          </w:p>
        </w:tc>
        <w:tc>
          <w:tcPr>
            <w:tcW w:w="602" w:type="pct"/>
            <w:tcBorders>
              <w:top w:val="single" w:sz="4" w:space="0" w:color="auto"/>
              <w:left w:val="nil"/>
              <w:bottom w:val="single" w:sz="4" w:space="0" w:color="auto"/>
              <w:right w:val="nil"/>
            </w:tcBorders>
            <w:shd w:val="clear" w:color="auto" w:fill="auto"/>
            <w:noWrap/>
            <w:vAlign w:val="center"/>
            <w:hideMark/>
          </w:tcPr>
          <w:p w14:paraId="781E7BAF"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1,758,748.50 </w:t>
            </w:r>
          </w:p>
        </w:tc>
        <w:tc>
          <w:tcPr>
            <w:tcW w:w="207" w:type="pct"/>
            <w:tcBorders>
              <w:top w:val="single" w:sz="4" w:space="0" w:color="auto"/>
              <w:left w:val="nil"/>
              <w:bottom w:val="single" w:sz="4" w:space="0" w:color="auto"/>
              <w:right w:val="nil"/>
            </w:tcBorders>
            <w:shd w:val="clear" w:color="auto" w:fill="C9E1EF"/>
            <w:noWrap/>
            <w:vAlign w:val="center"/>
            <w:hideMark/>
          </w:tcPr>
          <w:p w14:paraId="447BD598"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8%</w:t>
            </w:r>
          </w:p>
        </w:tc>
        <w:tc>
          <w:tcPr>
            <w:tcW w:w="602" w:type="pct"/>
            <w:tcBorders>
              <w:top w:val="single" w:sz="4" w:space="0" w:color="auto"/>
              <w:left w:val="nil"/>
              <w:bottom w:val="single" w:sz="4" w:space="0" w:color="auto"/>
              <w:right w:val="nil"/>
            </w:tcBorders>
            <w:shd w:val="clear" w:color="auto" w:fill="auto"/>
            <w:noWrap/>
            <w:vAlign w:val="center"/>
            <w:hideMark/>
          </w:tcPr>
          <w:p w14:paraId="5DBE0D25"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1,894,061.91 </w:t>
            </w:r>
          </w:p>
        </w:tc>
        <w:tc>
          <w:tcPr>
            <w:tcW w:w="207" w:type="pct"/>
            <w:tcBorders>
              <w:top w:val="single" w:sz="4" w:space="0" w:color="auto"/>
              <w:left w:val="nil"/>
              <w:bottom w:val="single" w:sz="4" w:space="0" w:color="auto"/>
              <w:right w:val="nil"/>
            </w:tcBorders>
            <w:shd w:val="clear" w:color="auto" w:fill="C9E1EF"/>
            <w:noWrap/>
            <w:vAlign w:val="center"/>
            <w:hideMark/>
          </w:tcPr>
          <w:p w14:paraId="5F0B37FB"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6%</w:t>
            </w:r>
          </w:p>
        </w:tc>
      </w:tr>
      <w:tr w:rsidR="00B0341F" w:rsidRPr="0076589C" w14:paraId="53742C3E" w14:textId="77777777" w:rsidTr="1C8D6E3A">
        <w:trPr>
          <w:trHeight w:val="260"/>
        </w:trPr>
        <w:tc>
          <w:tcPr>
            <w:tcW w:w="1765" w:type="pct"/>
            <w:tcBorders>
              <w:top w:val="nil"/>
              <w:left w:val="nil"/>
              <w:bottom w:val="nil"/>
              <w:right w:val="nil"/>
            </w:tcBorders>
            <w:shd w:val="clear" w:color="auto" w:fill="auto"/>
            <w:noWrap/>
            <w:vAlign w:val="bottom"/>
            <w:hideMark/>
          </w:tcPr>
          <w:p w14:paraId="6AFA5BE6" w14:textId="77777777" w:rsidR="00B0341F" w:rsidRPr="0076589C" w:rsidRDefault="00B0341F" w:rsidP="1C8D6E3A">
            <w:pPr>
              <w:spacing w:after="0" w:line="240" w:lineRule="auto"/>
              <w:ind w:left="0"/>
              <w:jc w:val="center"/>
              <w:rPr>
                <w:rFonts w:asciiTheme="minorHAnsi" w:eastAsia="Times New Roman" w:hAnsiTheme="minorHAnsi"/>
                <w:b/>
                <w:bCs/>
                <w:color w:val="000000"/>
                <w:sz w:val="18"/>
                <w:szCs w:val="18"/>
                <w:lang w:eastAsia="es-HN"/>
              </w:rPr>
            </w:pPr>
          </w:p>
        </w:tc>
        <w:tc>
          <w:tcPr>
            <w:tcW w:w="602" w:type="pct"/>
            <w:tcBorders>
              <w:top w:val="nil"/>
              <w:left w:val="nil"/>
              <w:bottom w:val="nil"/>
              <w:right w:val="nil"/>
            </w:tcBorders>
            <w:shd w:val="clear" w:color="auto" w:fill="auto"/>
            <w:noWrap/>
            <w:vAlign w:val="center"/>
            <w:hideMark/>
          </w:tcPr>
          <w:p w14:paraId="21A4888F" w14:textId="77777777" w:rsidR="00B0341F" w:rsidRPr="0076589C" w:rsidRDefault="00B0341F" w:rsidP="1C8D6E3A">
            <w:pPr>
              <w:spacing w:after="0" w:line="240" w:lineRule="auto"/>
              <w:ind w:left="0" w:firstLineChars="100" w:firstLine="180"/>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40178F1F"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62DA6270"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6EFF5C25"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557EE223"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7FB64BBA"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0F8417CF"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59920FC7"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r>
      <w:tr w:rsidR="00B0341F" w:rsidRPr="0076589C" w14:paraId="671B2DEE" w14:textId="77777777" w:rsidTr="1C8D6E3A">
        <w:trPr>
          <w:trHeight w:val="260"/>
        </w:trPr>
        <w:tc>
          <w:tcPr>
            <w:tcW w:w="1765" w:type="pct"/>
            <w:tcBorders>
              <w:top w:val="nil"/>
              <w:left w:val="nil"/>
              <w:bottom w:val="nil"/>
              <w:right w:val="nil"/>
            </w:tcBorders>
            <w:shd w:val="clear" w:color="auto" w:fill="auto"/>
            <w:noWrap/>
            <w:vAlign w:val="bottom"/>
            <w:hideMark/>
          </w:tcPr>
          <w:p w14:paraId="2AD23665"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5D7D7B6F" w14:textId="77777777" w:rsidR="00B0341F" w:rsidRPr="0076589C" w:rsidRDefault="00B0341F" w:rsidP="1C8D6E3A">
            <w:pPr>
              <w:spacing w:after="0" w:line="240" w:lineRule="auto"/>
              <w:ind w:left="0" w:firstLineChars="200" w:firstLine="360"/>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31F53AC0"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27DBA108"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2FBD7C1C"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134F0D99"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5AC96EBD"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602" w:type="pct"/>
            <w:tcBorders>
              <w:top w:val="nil"/>
              <w:left w:val="nil"/>
              <w:bottom w:val="nil"/>
              <w:right w:val="nil"/>
            </w:tcBorders>
            <w:shd w:val="clear" w:color="auto" w:fill="auto"/>
            <w:noWrap/>
            <w:vAlign w:val="center"/>
            <w:hideMark/>
          </w:tcPr>
          <w:p w14:paraId="7CAA1F6C"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c>
          <w:tcPr>
            <w:tcW w:w="207" w:type="pct"/>
            <w:tcBorders>
              <w:top w:val="nil"/>
              <w:left w:val="nil"/>
              <w:bottom w:val="nil"/>
              <w:right w:val="nil"/>
            </w:tcBorders>
            <w:shd w:val="clear" w:color="auto" w:fill="auto"/>
            <w:noWrap/>
            <w:vAlign w:val="center"/>
            <w:hideMark/>
          </w:tcPr>
          <w:p w14:paraId="25847F7A" w14:textId="77777777" w:rsidR="00B0341F" w:rsidRPr="0076589C" w:rsidRDefault="00B0341F" w:rsidP="1C8D6E3A">
            <w:pPr>
              <w:spacing w:after="0" w:line="240" w:lineRule="auto"/>
              <w:ind w:left="0"/>
              <w:jc w:val="center"/>
              <w:rPr>
                <w:rFonts w:asciiTheme="minorHAnsi" w:eastAsia="Times New Roman" w:hAnsiTheme="minorHAnsi"/>
                <w:sz w:val="18"/>
                <w:szCs w:val="18"/>
                <w:lang w:eastAsia="es-HN"/>
              </w:rPr>
            </w:pPr>
          </w:p>
        </w:tc>
      </w:tr>
      <w:tr w:rsidR="00B0341F" w:rsidRPr="0076589C" w14:paraId="4D327F67" w14:textId="77777777" w:rsidTr="1C8D6E3A">
        <w:trPr>
          <w:trHeight w:val="260"/>
        </w:trPr>
        <w:tc>
          <w:tcPr>
            <w:tcW w:w="1765" w:type="pct"/>
            <w:tcBorders>
              <w:top w:val="single" w:sz="4" w:space="0" w:color="auto"/>
              <w:left w:val="nil"/>
              <w:bottom w:val="single" w:sz="4" w:space="0" w:color="auto"/>
              <w:right w:val="nil"/>
            </w:tcBorders>
            <w:shd w:val="clear" w:color="auto" w:fill="auto"/>
            <w:noWrap/>
            <w:vAlign w:val="bottom"/>
            <w:hideMark/>
          </w:tcPr>
          <w:p w14:paraId="18BDEFA9" w14:textId="77777777" w:rsidR="00B0341F" w:rsidRPr="0076589C" w:rsidRDefault="1C8D6E3A" w:rsidP="1C8D6E3A">
            <w:pPr>
              <w:spacing w:after="0" w:line="240" w:lineRule="auto"/>
              <w:ind w:left="0" w:firstLineChars="100" w:firstLine="181"/>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Incremento patrimonial neto</w:t>
            </w:r>
          </w:p>
        </w:tc>
        <w:tc>
          <w:tcPr>
            <w:tcW w:w="602" w:type="pct"/>
            <w:tcBorders>
              <w:top w:val="single" w:sz="4" w:space="0" w:color="auto"/>
              <w:left w:val="nil"/>
              <w:bottom w:val="single" w:sz="4" w:space="0" w:color="auto"/>
              <w:right w:val="nil"/>
            </w:tcBorders>
            <w:shd w:val="clear" w:color="auto" w:fill="auto"/>
            <w:noWrap/>
            <w:vAlign w:val="center"/>
            <w:hideMark/>
          </w:tcPr>
          <w:p w14:paraId="499FE4F6"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1,930,287.85 </w:t>
            </w:r>
          </w:p>
        </w:tc>
        <w:tc>
          <w:tcPr>
            <w:tcW w:w="207" w:type="pct"/>
            <w:tcBorders>
              <w:top w:val="single" w:sz="4" w:space="0" w:color="auto"/>
              <w:left w:val="nil"/>
              <w:bottom w:val="single" w:sz="4" w:space="0" w:color="auto"/>
              <w:right w:val="nil"/>
            </w:tcBorders>
            <w:shd w:val="clear" w:color="auto" w:fill="auto"/>
            <w:noWrap/>
            <w:vAlign w:val="center"/>
            <w:hideMark/>
          </w:tcPr>
          <w:p w14:paraId="161F7E8C"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7%</w:t>
            </w:r>
          </w:p>
        </w:tc>
        <w:tc>
          <w:tcPr>
            <w:tcW w:w="602" w:type="pct"/>
            <w:tcBorders>
              <w:top w:val="single" w:sz="4" w:space="0" w:color="auto"/>
              <w:left w:val="nil"/>
              <w:bottom w:val="single" w:sz="4" w:space="0" w:color="auto"/>
              <w:right w:val="nil"/>
            </w:tcBorders>
            <w:shd w:val="clear" w:color="auto" w:fill="auto"/>
            <w:noWrap/>
            <w:vAlign w:val="center"/>
            <w:hideMark/>
          </w:tcPr>
          <w:p w14:paraId="514677C8"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886,700.26 </w:t>
            </w:r>
          </w:p>
        </w:tc>
        <w:tc>
          <w:tcPr>
            <w:tcW w:w="207" w:type="pct"/>
            <w:tcBorders>
              <w:top w:val="single" w:sz="4" w:space="0" w:color="auto"/>
              <w:left w:val="nil"/>
              <w:bottom w:val="single" w:sz="4" w:space="0" w:color="auto"/>
              <w:right w:val="nil"/>
            </w:tcBorders>
            <w:shd w:val="clear" w:color="auto" w:fill="auto"/>
            <w:noWrap/>
            <w:vAlign w:val="center"/>
            <w:hideMark/>
          </w:tcPr>
          <w:p w14:paraId="176E12F8"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3%</w:t>
            </w:r>
          </w:p>
        </w:tc>
        <w:tc>
          <w:tcPr>
            <w:tcW w:w="602" w:type="pct"/>
            <w:tcBorders>
              <w:top w:val="single" w:sz="4" w:space="0" w:color="auto"/>
              <w:left w:val="nil"/>
              <w:bottom w:val="single" w:sz="4" w:space="0" w:color="auto"/>
              <w:right w:val="nil"/>
            </w:tcBorders>
            <w:shd w:val="clear" w:color="auto" w:fill="auto"/>
            <w:noWrap/>
            <w:vAlign w:val="center"/>
            <w:hideMark/>
          </w:tcPr>
          <w:p w14:paraId="74DA695D"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1,758,748.50 </w:t>
            </w:r>
          </w:p>
        </w:tc>
        <w:tc>
          <w:tcPr>
            <w:tcW w:w="207" w:type="pct"/>
            <w:tcBorders>
              <w:top w:val="single" w:sz="4" w:space="0" w:color="auto"/>
              <w:left w:val="nil"/>
              <w:bottom w:val="single" w:sz="4" w:space="0" w:color="auto"/>
              <w:right w:val="nil"/>
            </w:tcBorders>
            <w:shd w:val="clear" w:color="auto" w:fill="auto"/>
            <w:noWrap/>
            <w:vAlign w:val="center"/>
            <w:hideMark/>
          </w:tcPr>
          <w:p w14:paraId="7A091A9B"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8%</w:t>
            </w:r>
          </w:p>
        </w:tc>
        <w:tc>
          <w:tcPr>
            <w:tcW w:w="602" w:type="pct"/>
            <w:tcBorders>
              <w:top w:val="single" w:sz="4" w:space="0" w:color="auto"/>
              <w:left w:val="nil"/>
              <w:bottom w:val="single" w:sz="4" w:space="0" w:color="auto"/>
              <w:right w:val="nil"/>
            </w:tcBorders>
            <w:shd w:val="clear" w:color="auto" w:fill="auto"/>
            <w:noWrap/>
            <w:vAlign w:val="center"/>
            <w:hideMark/>
          </w:tcPr>
          <w:p w14:paraId="4A4E9608"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 xml:space="preserve"> L       1,894,061.91 </w:t>
            </w:r>
          </w:p>
        </w:tc>
        <w:tc>
          <w:tcPr>
            <w:tcW w:w="207" w:type="pct"/>
            <w:tcBorders>
              <w:top w:val="single" w:sz="4" w:space="0" w:color="auto"/>
              <w:left w:val="nil"/>
              <w:bottom w:val="single" w:sz="4" w:space="0" w:color="auto"/>
              <w:right w:val="nil"/>
            </w:tcBorders>
            <w:shd w:val="clear" w:color="auto" w:fill="auto"/>
            <w:noWrap/>
            <w:vAlign w:val="center"/>
            <w:hideMark/>
          </w:tcPr>
          <w:p w14:paraId="43DE9622" w14:textId="77777777" w:rsidR="00B0341F" w:rsidRPr="0076589C" w:rsidRDefault="1C8D6E3A" w:rsidP="1C8D6E3A">
            <w:pPr>
              <w:spacing w:after="0" w:line="240" w:lineRule="auto"/>
              <w:ind w:left="0"/>
              <w:jc w:val="center"/>
              <w:rPr>
                <w:rFonts w:asciiTheme="minorHAnsi" w:eastAsia="Times New Roman" w:hAnsiTheme="minorHAnsi"/>
                <w:b/>
                <w:bCs/>
                <w:color w:val="000000"/>
                <w:sz w:val="18"/>
                <w:szCs w:val="18"/>
                <w:lang w:eastAsia="es-HN"/>
              </w:rPr>
            </w:pPr>
            <w:r w:rsidRPr="0076589C">
              <w:rPr>
                <w:rFonts w:asciiTheme="minorHAnsi" w:eastAsia="Times New Roman" w:hAnsiTheme="minorHAnsi"/>
                <w:b/>
                <w:bCs/>
                <w:color w:val="000000" w:themeColor="text1"/>
                <w:sz w:val="18"/>
                <w:szCs w:val="18"/>
              </w:rPr>
              <w:t>6%</w:t>
            </w:r>
          </w:p>
        </w:tc>
      </w:tr>
    </w:tbl>
    <w:p w14:paraId="51AD8DA4" w14:textId="77777777" w:rsidR="00B0341F" w:rsidRPr="0076589C" w:rsidRDefault="00B0341F" w:rsidP="000F21B6">
      <w:pPr>
        <w:pStyle w:val="Fuentes"/>
        <w:rPr>
          <w:lang w:val="es-HN"/>
        </w:rPr>
      </w:pPr>
    </w:p>
    <w:p w14:paraId="5E16D020" w14:textId="44B793CA" w:rsidR="000F21B6" w:rsidRPr="0076589C" w:rsidRDefault="1C8D6E3A" w:rsidP="000F21B6">
      <w:pPr>
        <w:pStyle w:val="Fuentes"/>
        <w:rPr>
          <w:lang w:val="es-HN"/>
        </w:rPr>
      </w:pPr>
      <w:r w:rsidRPr="0076589C">
        <w:rPr>
          <w:lang w:val="es-HN"/>
        </w:rPr>
        <w:t xml:space="preserve">Fuente: Elaboración propia con datos de Industria Procesadora de Alimentos IPRA (2023). </w:t>
      </w:r>
    </w:p>
    <w:p w14:paraId="58B298A7" w14:textId="46E748D8" w:rsidR="00355E13" w:rsidRPr="0076589C" w:rsidRDefault="1C8D6E3A" w:rsidP="00355E13">
      <w:pPr>
        <w:pStyle w:val="TextoPrincipal"/>
        <w:rPr>
          <w:lang w:val="es-HN"/>
        </w:rPr>
      </w:pPr>
      <w:r w:rsidRPr="0076589C">
        <w:rPr>
          <w:lang w:val="es-HN"/>
        </w:rPr>
        <w:t>Para el análisis vertical del Estado de resultados, se hace una comparación de todas las cuentas con el total de las ventas netas, por lo tanto, una de las cuentas más relevantes es del costo de las ventas donde para el año 2020, el costo de ventas aumentó significativamente y representó el 74% de las ventas, lo que resultó en un margen bruto del 26% y su se observa para ese año hubo un incremento de ventas, por lo cual este resultado de un aumento en los costos de producción, esto se puede deber al factor externo covid-2019 donde ese año existió una demanda fuerte en materia prima e insumos, la exportación de estos insumos era más escasa. Este impacto en el margen bruto ya que fue el año que tuvo menor porcentaje.</w:t>
      </w:r>
    </w:p>
    <w:p w14:paraId="39F0E02E" w14:textId="77777777" w:rsidR="00DB2284" w:rsidRPr="0076589C" w:rsidRDefault="1C8D6E3A" w:rsidP="00DB2284">
      <w:pPr>
        <w:pStyle w:val="TextoPrincipal"/>
        <w:rPr>
          <w:lang w:val="es-HN"/>
        </w:rPr>
      </w:pPr>
      <w:r w:rsidRPr="0076589C">
        <w:rPr>
          <w:lang w:val="es-HN"/>
        </w:rPr>
        <w:t>Para los gastos de operación se mantuvo una línea de tendencia en los porcentuales alrededor de un 25% lo que sugiere que la empresa logró mantener un equilibrio entre los gastos y los ingresos, manteniendo una estructura de costos relativamente estable.</w:t>
      </w:r>
    </w:p>
    <w:p w14:paraId="68D51508" w14:textId="77777777" w:rsidR="00DB2284" w:rsidRPr="0076589C" w:rsidRDefault="1C8D6E3A" w:rsidP="00DB2284">
      <w:pPr>
        <w:pStyle w:val="TextoPrincipal"/>
        <w:rPr>
          <w:lang w:val="es-HN"/>
        </w:rPr>
      </w:pPr>
      <w:r w:rsidRPr="0076589C">
        <w:rPr>
          <w:lang w:val="es-HN"/>
        </w:rPr>
        <w:t xml:space="preserve">La utilidad neta se ha mantenido en un rango del 3% al 8% de las ventas netas a lo largo de los cuatro años. Esto significa que la empresa ha logrado mantener cierta estabilidad en su rentabilidad neta en relación con sus ingresos. En 2020, la utilidad neta experimentó una disminución significativa, cayendo al 3% de las ventas neta, esto puede deberse a varios factores, como la pandemia de COVID-19, que afectó a muchas empresas en ese año. La utilidad neta se recuperó en 2021 y 2022, aumentando al 8% y 6%, lo que podría indicar que la empresa pudo superar las dificultades experimentadas en 2020 y mejoro su rentabilidad en los años siguientes. </w:t>
      </w:r>
    </w:p>
    <w:p w14:paraId="5E8F55A4" w14:textId="77777777" w:rsidR="00DB2284" w:rsidRPr="0076589C" w:rsidRDefault="00DB2284" w:rsidP="00355E13">
      <w:pPr>
        <w:pStyle w:val="TextoPrincipal"/>
        <w:rPr>
          <w:lang w:val="es-HN"/>
        </w:rPr>
      </w:pPr>
    </w:p>
    <w:p w14:paraId="3E158443" w14:textId="77777777" w:rsidR="008160E1" w:rsidRPr="0076589C" w:rsidRDefault="008160E1" w:rsidP="00355E13">
      <w:pPr>
        <w:pStyle w:val="TextoPrincipal"/>
        <w:rPr>
          <w:lang w:val="es-HN"/>
        </w:rPr>
      </w:pPr>
    </w:p>
    <w:p w14:paraId="72F61F8A" w14:textId="77777777" w:rsidR="008160E1" w:rsidRPr="0076589C" w:rsidRDefault="008160E1" w:rsidP="00355E13">
      <w:pPr>
        <w:pStyle w:val="TextoPrincipal"/>
        <w:rPr>
          <w:lang w:val="es-HN"/>
        </w:rPr>
        <w:sectPr w:rsidR="008160E1" w:rsidRPr="0076589C" w:rsidSect="008C6BD1">
          <w:pgSz w:w="15840" w:h="12240" w:orient="landscape" w:code="1"/>
          <w:pgMar w:top="1440" w:right="1440" w:bottom="1440" w:left="1440" w:header="720" w:footer="720" w:gutter="0"/>
          <w:cols w:space="720"/>
          <w:docGrid w:linePitch="360"/>
        </w:sectPr>
      </w:pPr>
    </w:p>
    <w:p w14:paraId="19C78A9E" w14:textId="12EACC73" w:rsidR="00C859FD" w:rsidRPr="0076589C" w:rsidRDefault="1C8D6E3A" w:rsidP="00FC29A6">
      <w:pPr>
        <w:spacing w:after="0" w:line="360" w:lineRule="auto"/>
        <w:ind w:left="0" w:firstLine="720"/>
        <w:jc w:val="both"/>
      </w:pPr>
      <w:r w:rsidRPr="0076589C">
        <w:lastRenderedPageBreak/>
        <w:t xml:space="preserve">Con el objetivo de comprender a profundidad la evolución temporal de las finanzas, se </w:t>
      </w:r>
      <w:r w:rsidR="004E0C2B" w:rsidRPr="0076589C">
        <w:t>llevó</w:t>
      </w:r>
      <w:r w:rsidRPr="0076589C">
        <w:t xml:space="preserve"> a cabo un análisis horizontal. Esta metodología permitirá visualizar y evaluar las variaciones relativas en las partidas clave de ambos estados financieros a lo largo de un periodo específico. Este enfoque proporcion</w:t>
      </w:r>
      <w:r w:rsidR="00C433A7" w:rsidRPr="0076589C">
        <w:t>ó</w:t>
      </w:r>
      <w:r w:rsidRPr="0076589C">
        <w:t xml:space="preserve"> una visión panorámica de la dirección y magnitud de los cambios, ofreciendo así información valiosa para la toma de decisiones estratégicas y la evaluación del rendimiento financiero global de la entidad.</w:t>
      </w:r>
    </w:p>
    <w:p w14:paraId="3FF2AE4B" w14:textId="77777777" w:rsidR="00FC29A6" w:rsidRPr="0076589C" w:rsidRDefault="00FC29A6" w:rsidP="00FC29A6">
      <w:pPr>
        <w:spacing w:after="0" w:line="360" w:lineRule="auto"/>
        <w:ind w:left="0" w:firstLine="720"/>
        <w:jc w:val="both"/>
      </w:pPr>
    </w:p>
    <w:p w14:paraId="19AED0FA" w14:textId="77777777" w:rsidR="00DB2284" w:rsidRPr="0076589C" w:rsidRDefault="1C8D6E3A" w:rsidP="0053775F">
      <w:pPr>
        <w:pStyle w:val="Nivel5"/>
        <w:numPr>
          <w:ilvl w:val="0"/>
          <w:numId w:val="31"/>
        </w:numPr>
        <w:ind w:left="1797" w:hanging="357"/>
      </w:pPr>
      <w:r w:rsidRPr="0076589C">
        <w:t>BALANCE GENERAL ANÁLISIS HORIZONTAL</w:t>
      </w:r>
    </w:p>
    <w:p w14:paraId="6293CFCC" w14:textId="77777777" w:rsidR="00DB2284" w:rsidRPr="0076589C" w:rsidRDefault="1C8D6E3A" w:rsidP="00DB2284">
      <w:pPr>
        <w:pStyle w:val="TextoPrincipal"/>
        <w:rPr>
          <w:lang w:val="es-HN"/>
        </w:rPr>
      </w:pPr>
      <w:r w:rsidRPr="0076589C">
        <w:rPr>
          <w:lang w:val="es-HN"/>
        </w:rPr>
        <w:t>El análisis horizontal de los balances generales permite identificar cambios en las cifras financieras de una empresa a lo largo de varios períodos, lo que ayuda a evaluar la evolución de su situación financiera y a detectar tendencias positivas o negativas. Este análisis permite comparar el rendimiento y la gestión de la empresa a lo largo del tiempo, lo que es crucial para la toma de decisiones y la planificación financiera.</w:t>
      </w:r>
    </w:p>
    <w:p w14:paraId="5B97C22A" w14:textId="77777777" w:rsidR="00DB2284" w:rsidRPr="0076589C" w:rsidRDefault="1C8D6E3A" w:rsidP="00DB2284">
      <w:pPr>
        <w:pStyle w:val="TextoPrincipal"/>
        <w:rPr>
          <w:lang w:val="es-HN"/>
        </w:rPr>
      </w:pPr>
      <w:r w:rsidRPr="0076589C">
        <w:rPr>
          <w:lang w:val="es-HN"/>
        </w:rPr>
        <w:t xml:space="preserve">En la </w:t>
      </w:r>
      <w:r w:rsidRPr="0076589C">
        <w:rPr>
          <w:b/>
          <w:bCs/>
          <w:lang w:val="es-HN"/>
        </w:rPr>
        <w:t>Tabla 8</w:t>
      </w:r>
      <w:r w:rsidRPr="0076589C">
        <w:rPr>
          <w:lang w:val="es-HN"/>
        </w:rPr>
        <w:t>, se presenta los balances generales través de un análisis horizontal para el periodo del 2019 al 2022 en términos porcentuales para la empresa Industria Procesadora de Alimentos IPRA.</w:t>
      </w:r>
    </w:p>
    <w:p w14:paraId="48140E99" w14:textId="77777777" w:rsidR="00C45912" w:rsidRPr="0076589C" w:rsidRDefault="00C45912" w:rsidP="00C45912">
      <w:pPr>
        <w:pStyle w:val="TextoPrincipal"/>
        <w:ind w:firstLine="0"/>
        <w:rPr>
          <w:lang w:val="es-HN"/>
        </w:rPr>
      </w:pPr>
    </w:p>
    <w:p w14:paraId="4845B151" w14:textId="77777777" w:rsidR="00C45912" w:rsidRPr="0076589C" w:rsidRDefault="00C45912" w:rsidP="008D001C">
      <w:pPr>
        <w:pStyle w:val="TextoPrincipal"/>
        <w:rPr>
          <w:lang w:val="es-HN"/>
        </w:rPr>
      </w:pPr>
    </w:p>
    <w:p w14:paraId="71B88EC0" w14:textId="77777777" w:rsidR="00C45912" w:rsidRPr="0076589C" w:rsidRDefault="00C45912" w:rsidP="008D001C">
      <w:pPr>
        <w:pStyle w:val="TextoPrincipal"/>
        <w:rPr>
          <w:lang w:val="es-HN"/>
        </w:rPr>
      </w:pPr>
    </w:p>
    <w:p w14:paraId="37A5B91A" w14:textId="77777777" w:rsidR="00C45912" w:rsidRPr="0076589C" w:rsidRDefault="00C45912" w:rsidP="008D001C">
      <w:pPr>
        <w:pStyle w:val="TextoPrincipal"/>
        <w:rPr>
          <w:lang w:val="es-HN"/>
        </w:rPr>
      </w:pPr>
    </w:p>
    <w:p w14:paraId="1A580D24" w14:textId="77777777" w:rsidR="00C45912" w:rsidRPr="0076589C" w:rsidRDefault="00C45912" w:rsidP="008D001C">
      <w:pPr>
        <w:pStyle w:val="TextoPrincipal"/>
        <w:rPr>
          <w:lang w:val="es-HN"/>
        </w:rPr>
      </w:pPr>
    </w:p>
    <w:p w14:paraId="3EC16904" w14:textId="77777777" w:rsidR="00C45912" w:rsidRPr="0076589C" w:rsidRDefault="00C45912" w:rsidP="008160E1">
      <w:pPr>
        <w:pStyle w:val="TextoPrincipal"/>
        <w:ind w:firstLine="0"/>
        <w:rPr>
          <w:lang w:val="es-HN"/>
        </w:rPr>
      </w:pPr>
    </w:p>
    <w:p w14:paraId="671228D6" w14:textId="77777777" w:rsidR="00E65B25" w:rsidRPr="0076589C" w:rsidRDefault="00E65B25" w:rsidP="008160E1">
      <w:pPr>
        <w:pStyle w:val="TextoPrincipal"/>
        <w:ind w:firstLine="0"/>
        <w:rPr>
          <w:lang w:val="es-HN"/>
        </w:rPr>
        <w:sectPr w:rsidR="00E65B25" w:rsidRPr="0076589C" w:rsidSect="008C6BD1">
          <w:pgSz w:w="12240" w:h="15840" w:code="1"/>
          <w:pgMar w:top="1440" w:right="1440" w:bottom="1440" w:left="1440" w:header="720" w:footer="720" w:gutter="0"/>
          <w:cols w:space="720"/>
          <w:docGrid w:linePitch="360"/>
        </w:sectPr>
      </w:pPr>
    </w:p>
    <w:p w14:paraId="566F0553" w14:textId="587C8824" w:rsidR="009C2C5E" w:rsidRPr="0076589C" w:rsidRDefault="1C8D6E3A" w:rsidP="009C2C5E">
      <w:pPr>
        <w:pStyle w:val="ImagenyTabla"/>
        <w:rPr>
          <w:noProof w:val="0"/>
        </w:rPr>
      </w:pPr>
      <w:bookmarkStart w:id="232" w:name="_Toc158365556"/>
      <w:r w:rsidRPr="0076589C">
        <w:lastRenderedPageBreak/>
        <w:t xml:space="preserve">Tabla </w:t>
      </w:r>
      <w:r w:rsidR="009C2C5E" w:rsidRPr="0076589C">
        <w:rPr>
          <w:noProof w:val="0"/>
        </w:rPr>
        <w:fldChar w:fldCharType="begin"/>
      </w:r>
      <w:r w:rsidR="009C2C5E" w:rsidRPr="0076589C">
        <w:rPr>
          <w:noProof w:val="0"/>
        </w:rPr>
        <w:instrText xml:space="preserve"> SEQ Tabla \* ARABIC </w:instrText>
      </w:r>
      <w:r w:rsidR="009C2C5E" w:rsidRPr="0076589C">
        <w:rPr>
          <w:noProof w:val="0"/>
        </w:rPr>
        <w:fldChar w:fldCharType="separate"/>
      </w:r>
      <w:r w:rsidR="009F171A">
        <w:t>8</w:t>
      </w:r>
      <w:r w:rsidR="009C2C5E" w:rsidRPr="0076589C">
        <w:rPr>
          <w:noProof w:val="0"/>
        </w:rPr>
        <w:fldChar w:fldCharType="end"/>
      </w:r>
      <w:r w:rsidRPr="0076589C">
        <w:t>. Análisis Horizontal del Balance General Industria Procesadora de Alimentos IPRA 2019-2022</w:t>
      </w:r>
      <w:bookmarkEnd w:id="232"/>
    </w:p>
    <w:tbl>
      <w:tblPr>
        <w:tblW w:w="5000" w:type="pct"/>
        <w:tblLook w:val="04A0" w:firstRow="1" w:lastRow="0" w:firstColumn="1" w:lastColumn="0" w:noHBand="0" w:noVBand="1"/>
      </w:tblPr>
      <w:tblGrid>
        <w:gridCol w:w="3936"/>
        <w:gridCol w:w="1590"/>
        <w:gridCol w:w="621"/>
        <w:gridCol w:w="1590"/>
        <w:gridCol w:w="801"/>
        <w:gridCol w:w="1590"/>
        <w:gridCol w:w="621"/>
        <w:gridCol w:w="1590"/>
        <w:gridCol w:w="621"/>
      </w:tblGrid>
      <w:tr w:rsidR="00EF2570" w:rsidRPr="0076589C" w14:paraId="6DDF1739" w14:textId="77777777" w:rsidTr="1C8D6E3A">
        <w:trPr>
          <w:trHeight w:val="260"/>
        </w:trPr>
        <w:tc>
          <w:tcPr>
            <w:tcW w:w="5000" w:type="pct"/>
            <w:gridSpan w:val="9"/>
            <w:tcBorders>
              <w:top w:val="nil"/>
              <w:left w:val="nil"/>
              <w:bottom w:val="nil"/>
              <w:right w:val="nil"/>
            </w:tcBorders>
            <w:shd w:val="clear" w:color="auto" w:fill="auto"/>
            <w:noWrap/>
            <w:vAlign w:val="bottom"/>
            <w:hideMark/>
          </w:tcPr>
          <w:p w14:paraId="76712681" w14:textId="77777777" w:rsidR="00EF2570" w:rsidRPr="0076589C" w:rsidRDefault="1C8D6E3A" w:rsidP="1C8D6E3A">
            <w:pPr>
              <w:spacing w:after="0" w:line="240" w:lineRule="auto"/>
              <w:ind w:left="0"/>
              <w:jc w:val="center"/>
              <w:rPr>
                <w:rFonts w:asciiTheme="minorHAnsi" w:eastAsia="Times New Roman" w:hAnsiTheme="minorHAnsi"/>
                <w:b/>
                <w:bCs/>
                <w:color w:val="44546A"/>
                <w:sz w:val="18"/>
                <w:szCs w:val="18"/>
              </w:rPr>
            </w:pPr>
            <w:r w:rsidRPr="0076589C">
              <w:rPr>
                <w:rFonts w:asciiTheme="minorHAnsi" w:eastAsia="Times New Roman" w:hAnsiTheme="minorHAnsi"/>
                <w:b/>
                <w:bCs/>
                <w:color w:val="44546A" w:themeColor="text2"/>
                <w:sz w:val="18"/>
                <w:szCs w:val="18"/>
              </w:rPr>
              <w:t>Industria Procesadora de Alimentos (IPRA)</w:t>
            </w:r>
          </w:p>
        </w:tc>
      </w:tr>
      <w:tr w:rsidR="00EF2570" w:rsidRPr="0076589C" w14:paraId="46272771" w14:textId="77777777" w:rsidTr="1C8D6E3A">
        <w:trPr>
          <w:trHeight w:val="260"/>
        </w:trPr>
        <w:tc>
          <w:tcPr>
            <w:tcW w:w="5000" w:type="pct"/>
            <w:gridSpan w:val="9"/>
            <w:tcBorders>
              <w:top w:val="nil"/>
              <w:left w:val="nil"/>
              <w:bottom w:val="nil"/>
              <w:right w:val="nil"/>
            </w:tcBorders>
            <w:shd w:val="clear" w:color="auto" w:fill="auto"/>
            <w:noWrap/>
            <w:vAlign w:val="bottom"/>
            <w:hideMark/>
          </w:tcPr>
          <w:p w14:paraId="228AE95C"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Análisis Horizontal del Balance General periodos 2019-2022</w:t>
            </w:r>
          </w:p>
        </w:tc>
      </w:tr>
      <w:tr w:rsidR="00EF2570" w:rsidRPr="0076589C" w14:paraId="7789945E" w14:textId="77777777" w:rsidTr="1C8D6E3A">
        <w:trPr>
          <w:trHeight w:val="260"/>
        </w:trPr>
        <w:tc>
          <w:tcPr>
            <w:tcW w:w="5000" w:type="pct"/>
            <w:gridSpan w:val="9"/>
            <w:tcBorders>
              <w:top w:val="nil"/>
              <w:left w:val="nil"/>
              <w:bottom w:val="nil"/>
              <w:right w:val="nil"/>
            </w:tcBorders>
            <w:shd w:val="clear" w:color="auto" w:fill="auto"/>
            <w:noWrap/>
            <w:vAlign w:val="bottom"/>
            <w:hideMark/>
          </w:tcPr>
          <w:p w14:paraId="6720FCA8"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(Expresado en L)</w:t>
            </w:r>
          </w:p>
        </w:tc>
      </w:tr>
      <w:tr w:rsidR="00EF2570" w:rsidRPr="0076589C" w14:paraId="23AEA1F2" w14:textId="77777777" w:rsidTr="1C8D6E3A">
        <w:trPr>
          <w:trHeight w:val="260"/>
        </w:trPr>
        <w:tc>
          <w:tcPr>
            <w:tcW w:w="1519" w:type="pct"/>
            <w:tcBorders>
              <w:top w:val="nil"/>
              <w:left w:val="nil"/>
              <w:bottom w:val="nil"/>
              <w:right w:val="nil"/>
            </w:tcBorders>
            <w:shd w:val="clear" w:color="auto" w:fill="auto"/>
            <w:noWrap/>
            <w:vAlign w:val="bottom"/>
            <w:hideMark/>
          </w:tcPr>
          <w:p w14:paraId="740DC418" w14:textId="77777777" w:rsidR="00EF2570" w:rsidRPr="0076589C" w:rsidRDefault="00EF2570" w:rsidP="1C8D6E3A">
            <w:pPr>
              <w:spacing w:after="0" w:line="240" w:lineRule="auto"/>
              <w:ind w:left="0"/>
              <w:jc w:val="center"/>
              <w:rPr>
                <w:rFonts w:asciiTheme="minorHAnsi" w:eastAsia="Times New Roman" w:hAnsiTheme="minorHAnsi"/>
                <w:color w:val="000000"/>
                <w:sz w:val="18"/>
                <w:szCs w:val="18"/>
              </w:rPr>
            </w:pPr>
          </w:p>
        </w:tc>
        <w:tc>
          <w:tcPr>
            <w:tcW w:w="613" w:type="pct"/>
            <w:tcBorders>
              <w:top w:val="nil"/>
              <w:left w:val="nil"/>
              <w:bottom w:val="single" w:sz="4" w:space="0" w:color="auto"/>
              <w:right w:val="nil"/>
            </w:tcBorders>
            <w:shd w:val="clear" w:color="auto" w:fill="auto"/>
            <w:noWrap/>
            <w:vAlign w:val="bottom"/>
            <w:hideMark/>
          </w:tcPr>
          <w:p w14:paraId="4F28C6ED"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2019</w:t>
            </w:r>
          </w:p>
        </w:tc>
        <w:tc>
          <w:tcPr>
            <w:tcW w:w="240" w:type="pct"/>
            <w:tcBorders>
              <w:top w:val="nil"/>
              <w:left w:val="nil"/>
              <w:bottom w:val="single" w:sz="4" w:space="0" w:color="auto"/>
              <w:right w:val="nil"/>
            </w:tcBorders>
            <w:shd w:val="clear" w:color="auto" w:fill="auto"/>
            <w:noWrap/>
            <w:vAlign w:val="center"/>
            <w:hideMark/>
          </w:tcPr>
          <w:p w14:paraId="6A6455D3"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w:t>
            </w:r>
          </w:p>
        </w:tc>
        <w:tc>
          <w:tcPr>
            <w:tcW w:w="613" w:type="pct"/>
            <w:tcBorders>
              <w:top w:val="nil"/>
              <w:left w:val="nil"/>
              <w:bottom w:val="single" w:sz="4" w:space="0" w:color="auto"/>
              <w:right w:val="nil"/>
            </w:tcBorders>
            <w:shd w:val="clear" w:color="auto" w:fill="auto"/>
            <w:noWrap/>
            <w:vAlign w:val="bottom"/>
            <w:hideMark/>
          </w:tcPr>
          <w:p w14:paraId="263D76CA"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2020</w:t>
            </w:r>
          </w:p>
        </w:tc>
        <w:tc>
          <w:tcPr>
            <w:tcW w:w="309" w:type="pct"/>
            <w:tcBorders>
              <w:top w:val="nil"/>
              <w:left w:val="nil"/>
              <w:bottom w:val="single" w:sz="4" w:space="0" w:color="auto"/>
              <w:right w:val="nil"/>
            </w:tcBorders>
            <w:shd w:val="clear" w:color="auto" w:fill="auto"/>
            <w:noWrap/>
            <w:vAlign w:val="center"/>
            <w:hideMark/>
          </w:tcPr>
          <w:p w14:paraId="1F02F5E2"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w:t>
            </w:r>
          </w:p>
        </w:tc>
        <w:tc>
          <w:tcPr>
            <w:tcW w:w="613" w:type="pct"/>
            <w:tcBorders>
              <w:top w:val="nil"/>
              <w:left w:val="nil"/>
              <w:bottom w:val="single" w:sz="4" w:space="0" w:color="auto"/>
              <w:right w:val="nil"/>
            </w:tcBorders>
            <w:shd w:val="clear" w:color="auto" w:fill="auto"/>
            <w:noWrap/>
            <w:vAlign w:val="bottom"/>
            <w:hideMark/>
          </w:tcPr>
          <w:p w14:paraId="4F9F920D"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2021</w:t>
            </w:r>
          </w:p>
        </w:tc>
        <w:tc>
          <w:tcPr>
            <w:tcW w:w="240" w:type="pct"/>
            <w:tcBorders>
              <w:top w:val="nil"/>
              <w:left w:val="nil"/>
              <w:bottom w:val="single" w:sz="4" w:space="0" w:color="auto"/>
              <w:right w:val="nil"/>
            </w:tcBorders>
            <w:shd w:val="clear" w:color="auto" w:fill="auto"/>
            <w:noWrap/>
            <w:vAlign w:val="bottom"/>
            <w:hideMark/>
          </w:tcPr>
          <w:p w14:paraId="37B2EA58"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w:t>
            </w:r>
          </w:p>
        </w:tc>
        <w:tc>
          <w:tcPr>
            <w:tcW w:w="613" w:type="pct"/>
            <w:tcBorders>
              <w:top w:val="nil"/>
              <w:left w:val="nil"/>
              <w:bottom w:val="single" w:sz="4" w:space="0" w:color="auto"/>
              <w:right w:val="nil"/>
            </w:tcBorders>
            <w:shd w:val="clear" w:color="auto" w:fill="auto"/>
            <w:noWrap/>
            <w:vAlign w:val="bottom"/>
            <w:hideMark/>
          </w:tcPr>
          <w:p w14:paraId="65D501D7"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2022</w:t>
            </w:r>
          </w:p>
        </w:tc>
        <w:tc>
          <w:tcPr>
            <w:tcW w:w="240" w:type="pct"/>
            <w:tcBorders>
              <w:top w:val="nil"/>
              <w:left w:val="nil"/>
              <w:bottom w:val="single" w:sz="4" w:space="0" w:color="auto"/>
              <w:right w:val="nil"/>
            </w:tcBorders>
            <w:shd w:val="clear" w:color="auto" w:fill="auto"/>
            <w:noWrap/>
            <w:vAlign w:val="center"/>
            <w:hideMark/>
          </w:tcPr>
          <w:p w14:paraId="37B48712"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w:t>
            </w:r>
          </w:p>
        </w:tc>
      </w:tr>
      <w:tr w:rsidR="00EF2570" w:rsidRPr="0076589C" w14:paraId="1EEFD456" w14:textId="77777777" w:rsidTr="1C8D6E3A">
        <w:trPr>
          <w:trHeight w:val="260"/>
        </w:trPr>
        <w:tc>
          <w:tcPr>
            <w:tcW w:w="1519" w:type="pct"/>
            <w:tcBorders>
              <w:top w:val="nil"/>
              <w:left w:val="nil"/>
              <w:bottom w:val="nil"/>
              <w:right w:val="nil"/>
            </w:tcBorders>
            <w:shd w:val="clear" w:color="auto" w:fill="EDEDED" w:themeFill="accent3" w:themeFillTint="33"/>
            <w:noWrap/>
            <w:vAlign w:val="bottom"/>
            <w:hideMark/>
          </w:tcPr>
          <w:p w14:paraId="7D8783AC" w14:textId="77777777" w:rsidR="00EF2570" w:rsidRPr="0076589C" w:rsidRDefault="1C8D6E3A" w:rsidP="1C8D6E3A">
            <w:pPr>
              <w:spacing w:after="0" w:line="240" w:lineRule="auto"/>
              <w:ind w:left="0"/>
              <w:rPr>
                <w:rFonts w:asciiTheme="minorHAnsi" w:eastAsia="Times New Roman" w:hAnsiTheme="minorHAnsi"/>
                <w:b/>
                <w:bCs/>
                <w:color w:val="44546A"/>
                <w:sz w:val="18"/>
                <w:szCs w:val="18"/>
              </w:rPr>
            </w:pPr>
            <w:r w:rsidRPr="0076589C">
              <w:rPr>
                <w:rFonts w:asciiTheme="minorHAnsi" w:eastAsia="Times New Roman" w:hAnsiTheme="minorHAnsi"/>
                <w:b/>
                <w:bCs/>
                <w:color w:val="44546A" w:themeColor="text2"/>
                <w:sz w:val="18"/>
                <w:szCs w:val="18"/>
              </w:rPr>
              <w:t>Activos</w:t>
            </w:r>
          </w:p>
        </w:tc>
        <w:tc>
          <w:tcPr>
            <w:tcW w:w="613" w:type="pct"/>
            <w:tcBorders>
              <w:top w:val="nil"/>
              <w:left w:val="nil"/>
              <w:bottom w:val="nil"/>
              <w:right w:val="nil"/>
            </w:tcBorders>
            <w:shd w:val="clear" w:color="auto" w:fill="EDEDED" w:themeFill="accent3" w:themeFillTint="33"/>
            <w:noWrap/>
            <w:vAlign w:val="bottom"/>
            <w:hideMark/>
          </w:tcPr>
          <w:p w14:paraId="52D3579E"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c>
          <w:tcPr>
            <w:tcW w:w="240" w:type="pct"/>
            <w:tcBorders>
              <w:top w:val="nil"/>
              <w:left w:val="nil"/>
              <w:bottom w:val="nil"/>
              <w:right w:val="nil"/>
            </w:tcBorders>
            <w:shd w:val="clear" w:color="auto" w:fill="EDEDED" w:themeFill="accent3" w:themeFillTint="33"/>
            <w:noWrap/>
            <w:vAlign w:val="center"/>
            <w:hideMark/>
          </w:tcPr>
          <w:p w14:paraId="10D5253D"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c>
          <w:tcPr>
            <w:tcW w:w="613" w:type="pct"/>
            <w:tcBorders>
              <w:top w:val="nil"/>
              <w:left w:val="nil"/>
              <w:bottom w:val="nil"/>
              <w:right w:val="nil"/>
            </w:tcBorders>
            <w:shd w:val="clear" w:color="auto" w:fill="EDEDED" w:themeFill="accent3" w:themeFillTint="33"/>
            <w:noWrap/>
            <w:vAlign w:val="bottom"/>
            <w:hideMark/>
          </w:tcPr>
          <w:p w14:paraId="5C024AA8"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c>
          <w:tcPr>
            <w:tcW w:w="309" w:type="pct"/>
            <w:tcBorders>
              <w:top w:val="nil"/>
              <w:left w:val="nil"/>
              <w:bottom w:val="nil"/>
              <w:right w:val="nil"/>
            </w:tcBorders>
            <w:shd w:val="clear" w:color="auto" w:fill="EDEDED" w:themeFill="accent3" w:themeFillTint="33"/>
            <w:noWrap/>
            <w:vAlign w:val="center"/>
            <w:hideMark/>
          </w:tcPr>
          <w:p w14:paraId="5EF70365"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c>
          <w:tcPr>
            <w:tcW w:w="613" w:type="pct"/>
            <w:tcBorders>
              <w:top w:val="nil"/>
              <w:left w:val="nil"/>
              <w:bottom w:val="nil"/>
              <w:right w:val="nil"/>
            </w:tcBorders>
            <w:shd w:val="clear" w:color="auto" w:fill="EDEDED" w:themeFill="accent3" w:themeFillTint="33"/>
            <w:noWrap/>
            <w:vAlign w:val="bottom"/>
            <w:hideMark/>
          </w:tcPr>
          <w:p w14:paraId="454A16E7"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c>
          <w:tcPr>
            <w:tcW w:w="240" w:type="pct"/>
            <w:tcBorders>
              <w:top w:val="nil"/>
              <w:left w:val="nil"/>
              <w:bottom w:val="nil"/>
              <w:right w:val="nil"/>
            </w:tcBorders>
            <w:shd w:val="clear" w:color="auto" w:fill="EDEDED" w:themeFill="accent3" w:themeFillTint="33"/>
            <w:noWrap/>
            <w:vAlign w:val="bottom"/>
            <w:hideMark/>
          </w:tcPr>
          <w:p w14:paraId="465D7442"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c>
          <w:tcPr>
            <w:tcW w:w="613" w:type="pct"/>
            <w:tcBorders>
              <w:top w:val="nil"/>
              <w:left w:val="nil"/>
              <w:bottom w:val="nil"/>
              <w:right w:val="nil"/>
            </w:tcBorders>
            <w:shd w:val="clear" w:color="auto" w:fill="EDEDED" w:themeFill="accent3" w:themeFillTint="33"/>
            <w:noWrap/>
            <w:vAlign w:val="bottom"/>
            <w:hideMark/>
          </w:tcPr>
          <w:p w14:paraId="0A41E7BD"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c>
          <w:tcPr>
            <w:tcW w:w="240" w:type="pct"/>
            <w:tcBorders>
              <w:top w:val="nil"/>
              <w:left w:val="nil"/>
              <w:bottom w:val="nil"/>
              <w:right w:val="nil"/>
            </w:tcBorders>
            <w:shd w:val="clear" w:color="auto" w:fill="EDEDED" w:themeFill="accent3" w:themeFillTint="33"/>
            <w:noWrap/>
            <w:vAlign w:val="center"/>
            <w:hideMark/>
          </w:tcPr>
          <w:p w14:paraId="1D63F662"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r>
      <w:tr w:rsidR="00EF2570" w:rsidRPr="0076589C" w14:paraId="01CB2C78" w14:textId="77777777" w:rsidTr="1C8D6E3A">
        <w:trPr>
          <w:trHeight w:val="260"/>
        </w:trPr>
        <w:tc>
          <w:tcPr>
            <w:tcW w:w="1519" w:type="pct"/>
            <w:tcBorders>
              <w:top w:val="nil"/>
              <w:left w:val="nil"/>
              <w:bottom w:val="nil"/>
              <w:right w:val="nil"/>
            </w:tcBorders>
            <w:shd w:val="clear" w:color="auto" w:fill="auto"/>
            <w:noWrap/>
            <w:vAlign w:val="bottom"/>
            <w:hideMark/>
          </w:tcPr>
          <w:p w14:paraId="71B1ACB3" w14:textId="77777777" w:rsidR="00EF2570" w:rsidRPr="0076589C" w:rsidRDefault="1C8D6E3A" w:rsidP="1C8D6E3A">
            <w:pPr>
              <w:spacing w:after="0" w:line="240" w:lineRule="auto"/>
              <w:ind w:left="0" w:firstLineChars="100" w:firstLine="181"/>
              <w:rPr>
                <w:rFonts w:asciiTheme="minorHAnsi" w:eastAsia="Times New Roman" w:hAnsiTheme="minorHAnsi"/>
                <w:b/>
                <w:bCs/>
                <w:color w:val="000000"/>
                <w:sz w:val="18"/>
                <w:szCs w:val="18"/>
                <w:u w:val="single"/>
              </w:rPr>
            </w:pPr>
            <w:r w:rsidRPr="0076589C">
              <w:rPr>
                <w:rFonts w:asciiTheme="minorHAnsi" w:eastAsia="Times New Roman" w:hAnsiTheme="minorHAnsi"/>
                <w:b/>
                <w:bCs/>
                <w:color w:val="000000" w:themeColor="text1"/>
                <w:sz w:val="18"/>
                <w:szCs w:val="18"/>
                <w:u w:val="single"/>
              </w:rPr>
              <w:t>Activos Corrientes</w:t>
            </w:r>
          </w:p>
        </w:tc>
        <w:tc>
          <w:tcPr>
            <w:tcW w:w="613" w:type="pct"/>
            <w:tcBorders>
              <w:top w:val="nil"/>
              <w:left w:val="nil"/>
              <w:bottom w:val="nil"/>
              <w:right w:val="nil"/>
            </w:tcBorders>
            <w:shd w:val="clear" w:color="auto" w:fill="auto"/>
            <w:noWrap/>
            <w:vAlign w:val="bottom"/>
            <w:hideMark/>
          </w:tcPr>
          <w:p w14:paraId="483B377A" w14:textId="77777777" w:rsidR="00EF2570" w:rsidRPr="0076589C" w:rsidRDefault="00EF2570" w:rsidP="1C8D6E3A">
            <w:pPr>
              <w:spacing w:after="0" w:line="240" w:lineRule="auto"/>
              <w:ind w:left="0" w:firstLineChars="100" w:firstLine="181"/>
              <w:rPr>
                <w:rFonts w:asciiTheme="minorHAnsi" w:eastAsia="Times New Roman" w:hAnsiTheme="minorHAnsi"/>
                <w:b/>
                <w:bCs/>
                <w:color w:val="000000"/>
                <w:sz w:val="18"/>
                <w:szCs w:val="18"/>
                <w:u w:val="single"/>
              </w:rPr>
            </w:pPr>
          </w:p>
        </w:tc>
        <w:tc>
          <w:tcPr>
            <w:tcW w:w="240" w:type="pct"/>
            <w:tcBorders>
              <w:top w:val="nil"/>
              <w:left w:val="nil"/>
              <w:bottom w:val="nil"/>
              <w:right w:val="nil"/>
            </w:tcBorders>
            <w:shd w:val="clear" w:color="auto" w:fill="auto"/>
            <w:noWrap/>
            <w:vAlign w:val="center"/>
            <w:hideMark/>
          </w:tcPr>
          <w:p w14:paraId="22CC2541"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0CBDF19A"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309" w:type="pct"/>
            <w:tcBorders>
              <w:top w:val="nil"/>
              <w:left w:val="nil"/>
              <w:bottom w:val="nil"/>
              <w:right w:val="nil"/>
            </w:tcBorders>
            <w:shd w:val="clear" w:color="auto" w:fill="auto"/>
            <w:noWrap/>
            <w:vAlign w:val="center"/>
            <w:hideMark/>
          </w:tcPr>
          <w:p w14:paraId="6DEA6341"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53EEAB4C"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bottom"/>
            <w:hideMark/>
          </w:tcPr>
          <w:p w14:paraId="062E7807"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3FBF49DC"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center"/>
            <w:hideMark/>
          </w:tcPr>
          <w:p w14:paraId="288141EF" w14:textId="77777777" w:rsidR="00EF2570" w:rsidRPr="0076589C" w:rsidRDefault="00EF2570" w:rsidP="1C8D6E3A">
            <w:pPr>
              <w:spacing w:after="0" w:line="240" w:lineRule="auto"/>
              <w:ind w:left="0"/>
              <w:rPr>
                <w:rFonts w:asciiTheme="minorHAnsi" w:eastAsia="Times New Roman" w:hAnsiTheme="minorHAnsi"/>
                <w:sz w:val="18"/>
                <w:szCs w:val="18"/>
              </w:rPr>
            </w:pPr>
          </w:p>
        </w:tc>
      </w:tr>
      <w:tr w:rsidR="00EF2570" w:rsidRPr="0076589C" w14:paraId="0EF737BB" w14:textId="77777777" w:rsidTr="1C8D6E3A">
        <w:trPr>
          <w:trHeight w:val="260"/>
        </w:trPr>
        <w:tc>
          <w:tcPr>
            <w:tcW w:w="1519" w:type="pct"/>
            <w:tcBorders>
              <w:top w:val="nil"/>
              <w:left w:val="nil"/>
              <w:bottom w:val="nil"/>
              <w:right w:val="nil"/>
            </w:tcBorders>
            <w:shd w:val="clear" w:color="auto" w:fill="auto"/>
            <w:noWrap/>
            <w:vAlign w:val="bottom"/>
            <w:hideMark/>
          </w:tcPr>
          <w:p w14:paraId="6A75A55F" w14:textId="77777777" w:rsidR="00EF2570" w:rsidRPr="0076589C" w:rsidRDefault="1C8D6E3A" w:rsidP="1C8D6E3A">
            <w:pPr>
              <w:spacing w:after="0" w:line="240" w:lineRule="auto"/>
              <w:ind w:left="0" w:firstLineChars="200" w:firstLine="36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Caja y Bancos</w:t>
            </w:r>
          </w:p>
        </w:tc>
        <w:tc>
          <w:tcPr>
            <w:tcW w:w="613" w:type="pct"/>
            <w:tcBorders>
              <w:top w:val="nil"/>
              <w:left w:val="nil"/>
              <w:bottom w:val="nil"/>
              <w:right w:val="nil"/>
            </w:tcBorders>
            <w:shd w:val="clear" w:color="auto" w:fill="auto"/>
            <w:noWrap/>
            <w:vAlign w:val="bottom"/>
            <w:hideMark/>
          </w:tcPr>
          <w:p w14:paraId="3E562D0B"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1,841,088.54 </w:t>
            </w:r>
          </w:p>
        </w:tc>
        <w:tc>
          <w:tcPr>
            <w:tcW w:w="240" w:type="pct"/>
            <w:tcBorders>
              <w:top w:val="nil"/>
              <w:left w:val="nil"/>
              <w:bottom w:val="nil"/>
              <w:right w:val="nil"/>
            </w:tcBorders>
            <w:shd w:val="clear" w:color="auto" w:fill="auto"/>
            <w:noWrap/>
            <w:vAlign w:val="center"/>
            <w:hideMark/>
          </w:tcPr>
          <w:p w14:paraId="0B0ACF53"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38C04BD7"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1,706,277.38 </w:t>
            </w:r>
          </w:p>
        </w:tc>
        <w:tc>
          <w:tcPr>
            <w:tcW w:w="309" w:type="pct"/>
            <w:tcBorders>
              <w:top w:val="nil"/>
              <w:left w:val="nil"/>
              <w:bottom w:val="nil"/>
              <w:right w:val="nil"/>
            </w:tcBorders>
            <w:shd w:val="clear" w:color="auto" w:fill="auto"/>
            <w:noWrap/>
            <w:vAlign w:val="center"/>
            <w:hideMark/>
          </w:tcPr>
          <w:p w14:paraId="442A42C8"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93%</w:t>
            </w:r>
          </w:p>
        </w:tc>
        <w:tc>
          <w:tcPr>
            <w:tcW w:w="613" w:type="pct"/>
            <w:tcBorders>
              <w:top w:val="nil"/>
              <w:left w:val="nil"/>
              <w:bottom w:val="nil"/>
              <w:right w:val="nil"/>
            </w:tcBorders>
            <w:shd w:val="clear" w:color="auto" w:fill="auto"/>
            <w:noWrap/>
            <w:vAlign w:val="bottom"/>
            <w:hideMark/>
          </w:tcPr>
          <w:p w14:paraId="2450DE08"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2,193,695.65 </w:t>
            </w:r>
          </w:p>
        </w:tc>
        <w:tc>
          <w:tcPr>
            <w:tcW w:w="240" w:type="pct"/>
            <w:tcBorders>
              <w:top w:val="nil"/>
              <w:left w:val="nil"/>
              <w:bottom w:val="nil"/>
              <w:right w:val="nil"/>
            </w:tcBorders>
            <w:shd w:val="clear" w:color="auto" w:fill="auto"/>
            <w:noWrap/>
            <w:vAlign w:val="bottom"/>
            <w:hideMark/>
          </w:tcPr>
          <w:p w14:paraId="4D62978C"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129%</w:t>
            </w:r>
          </w:p>
        </w:tc>
        <w:tc>
          <w:tcPr>
            <w:tcW w:w="613" w:type="pct"/>
            <w:tcBorders>
              <w:top w:val="nil"/>
              <w:left w:val="nil"/>
              <w:bottom w:val="nil"/>
              <w:right w:val="nil"/>
            </w:tcBorders>
            <w:shd w:val="clear" w:color="auto" w:fill="auto"/>
            <w:noWrap/>
            <w:vAlign w:val="bottom"/>
            <w:hideMark/>
          </w:tcPr>
          <w:p w14:paraId="5A5CAA01"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4,326,956.16 </w:t>
            </w:r>
          </w:p>
        </w:tc>
        <w:tc>
          <w:tcPr>
            <w:tcW w:w="240" w:type="pct"/>
            <w:tcBorders>
              <w:top w:val="nil"/>
              <w:left w:val="nil"/>
              <w:bottom w:val="nil"/>
              <w:right w:val="nil"/>
            </w:tcBorders>
            <w:shd w:val="clear" w:color="auto" w:fill="auto"/>
            <w:noWrap/>
            <w:vAlign w:val="center"/>
            <w:hideMark/>
          </w:tcPr>
          <w:p w14:paraId="2FF2C187"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197%</w:t>
            </w:r>
          </w:p>
        </w:tc>
      </w:tr>
      <w:tr w:rsidR="00EF2570" w:rsidRPr="0076589C" w14:paraId="78E211CE" w14:textId="77777777" w:rsidTr="1C8D6E3A">
        <w:trPr>
          <w:trHeight w:val="260"/>
        </w:trPr>
        <w:tc>
          <w:tcPr>
            <w:tcW w:w="1519" w:type="pct"/>
            <w:tcBorders>
              <w:top w:val="nil"/>
              <w:left w:val="nil"/>
              <w:bottom w:val="nil"/>
              <w:right w:val="nil"/>
            </w:tcBorders>
            <w:shd w:val="clear" w:color="auto" w:fill="auto"/>
            <w:noWrap/>
            <w:vAlign w:val="bottom"/>
            <w:hideMark/>
          </w:tcPr>
          <w:p w14:paraId="3D21B2B0" w14:textId="77777777" w:rsidR="00EF2570" w:rsidRPr="0076589C" w:rsidRDefault="1C8D6E3A" w:rsidP="1C8D6E3A">
            <w:pPr>
              <w:spacing w:after="0" w:line="240" w:lineRule="auto"/>
              <w:ind w:left="0" w:firstLineChars="200" w:firstLine="36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Clientes</w:t>
            </w:r>
          </w:p>
        </w:tc>
        <w:tc>
          <w:tcPr>
            <w:tcW w:w="613" w:type="pct"/>
            <w:tcBorders>
              <w:top w:val="nil"/>
              <w:left w:val="nil"/>
              <w:bottom w:val="nil"/>
              <w:right w:val="nil"/>
            </w:tcBorders>
            <w:shd w:val="clear" w:color="auto" w:fill="auto"/>
            <w:noWrap/>
            <w:vAlign w:val="bottom"/>
            <w:hideMark/>
          </w:tcPr>
          <w:p w14:paraId="50D0D4CA"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11,548,799.61 </w:t>
            </w:r>
          </w:p>
        </w:tc>
        <w:tc>
          <w:tcPr>
            <w:tcW w:w="240" w:type="pct"/>
            <w:tcBorders>
              <w:top w:val="nil"/>
              <w:left w:val="nil"/>
              <w:bottom w:val="nil"/>
              <w:right w:val="nil"/>
            </w:tcBorders>
            <w:shd w:val="clear" w:color="auto" w:fill="auto"/>
            <w:noWrap/>
            <w:vAlign w:val="center"/>
            <w:hideMark/>
          </w:tcPr>
          <w:p w14:paraId="768034D4"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2F7794FD"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11,385,610.59 </w:t>
            </w:r>
          </w:p>
        </w:tc>
        <w:tc>
          <w:tcPr>
            <w:tcW w:w="309" w:type="pct"/>
            <w:tcBorders>
              <w:top w:val="nil"/>
              <w:left w:val="nil"/>
              <w:bottom w:val="nil"/>
              <w:right w:val="nil"/>
            </w:tcBorders>
            <w:shd w:val="clear" w:color="auto" w:fill="auto"/>
            <w:noWrap/>
            <w:vAlign w:val="center"/>
            <w:hideMark/>
          </w:tcPr>
          <w:p w14:paraId="199B7E03"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99%</w:t>
            </w:r>
          </w:p>
        </w:tc>
        <w:tc>
          <w:tcPr>
            <w:tcW w:w="613" w:type="pct"/>
            <w:tcBorders>
              <w:top w:val="nil"/>
              <w:left w:val="nil"/>
              <w:bottom w:val="nil"/>
              <w:right w:val="nil"/>
            </w:tcBorders>
            <w:shd w:val="clear" w:color="auto" w:fill="auto"/>
            <w:noWrap/>
            <w:vAlign w:val="bottom"/>
            <w:hideMark/>
          </w:tcPr>
          <w:p w14:paraId="7D3DF33B"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6,185,140.95 </w:t>
            </w:r>
          </w:p>
        </w:tc>
        <w:tc>
          <w:tcPr>
            <w:tcW w:w="240" w:type="pct"/>
            <w:tcBorders>
              <w:top w:val="nil"/>
              <w:left w:val="nil"/>
              <w:bottom w:val="nil"/>
              <w:right w:val="nil"/>
            </w:tcBorders>
            <w:shd w:val="clear" w:color="auto" w:fill="auto"/>
            <w:noWrap/>
            <w:vAlign w:val="bottom"/>
            <w:hideMark/>
          </w:tcPr>
          <w:p w14:paraId="4CA91CD6"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54%</w:t>
            </w:r>
          </w:p>
        </w:tc>
        <w:tc>
          <w:tcPr>
            <w:tcW w:w="613" w:type="pct"/>
            <w:tcBorders>
              <w:top w:val="nil"/>
              <w:left w:val="nil"/>
              <w:bottom w:val="nil"/>
              <w:right w:val="nil"/>
            </w:tcBorders>
            <w:shd w:val="clear" w:color="auto" w:fill="auto"/>
            <w:noWrap/>
            <w:vAlign w:val="bottom"/>
            <w:hideMark/>
          </w:tcPr>
          <w:p w14:paraId="0EC42812"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6,783,810.31 </w:t>
            </w:r>
          </w:p>
        </w:tc>
        <w:tc>
          <w:tcPr>
            <w:tcW w:w="240" w:type="pct"/>
            <w:tcBorders>
              <w:top w:val="nil"/>
              <w:left w:val="nil"/>
              <w:bottom w:val="nil"/>
              <w:right w:val="nil"/>
            </w:tcBorders>
            <w:shd w:val="clear" w:color="auto" w:fill="auto"/>
            <w:noWrap/>
            <w:vAlign w:val="center"/>
            <w:hideMark/>
          </w:tcPr>
          <w:p w14:paraId="1641E45A"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110%</w:t>
            </w:r>
          </w:p>
        </w:tc>
      </w:tr>
      <w:tr w:rsidR="00EF2570" w:rsidRPr="0076589C" w14:paraId="3E178C50" w14:textId="77777777" w:rsidTr="1C8D6E3A">
        <w:trPr>
          <w:trHeight w:val="260"/>
        </w:trPr>
        <w:tc>
          <w:tcPr>
            <w:tcW w:w="1519" w:type="pct"/>
            <w:tcBorders>
              <w:top w:val="nil"/>
              <w:left w:val="nil"/>
              <w:bottom w:val="nil"/>
              <w:right w:val="nil"/>
            </w:tcBorders>
            <w:shd w:val="clear" w:color="auto" w:fill="auto"/>
            <w:noWrap/>
            <w:vAlign w:val="bottom"/>
            <w:hideMark/>
          </w:tcPr>
          <w:p w14:paraId="13D2061F" w14:textId="77777777" w:rsidR="00EF2570" w:rsidRPr="0076589C" w:rsidRDefault="1C8D6E3A" w:rsidP="1C8D6E3A">
            <w:pPr>
              <w:spacing w:after="0" w:line="240" w:lineRule="auto"/>
              <w:ind w:left="0" w:firstLineChars="200" w:firstLine="36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Amortización Ctas. Incobrables</w:t>
            </w:r>
          </w:p>
        </w:tc>
        <w:tc>
          <w:tcPr>
            <w:tcW w:w="613" w:type="pct"/>
            <w:tcBorders>
              <w:top w:val="nil"/>
              <w:left w:val="nil"/>
              <w:bottom w:val="nil"/>
              <w:right w:val="nil"/>
            </w:tcBorders>
            <w:shd w:val="clear" w:color="auto" w:fill="auto"/>
            <w:noWrap/>
            <w:vAlign w:val="bottom"/>
            <w:hideMark/>
          </w:tcPr>
          <w:p w14:paraId="7B419785"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-L       1,154,879.96 </w:t>
            </w:r>
          </w:p>
        </w:tc>
        <w:tc>
          <w:tcPr>
            <w:tcW w:w="240" w:type="pct"/>
            <w:tcBorders>
              <w:top w:val="nil"/>
              <w:left w:val="nil"/>
              <w:bottom w:val="nil"/>
              <w:right w:val="nil"/>
            </w:tcBorders>
            <w:shd w:val="clear" w:color="auto" w:fill="auto"/>
            <w:noWrap/>
            <w:vAlign w:val="center"/>
            <w:hideMark/>
          </w:tcPr>
          <w:p w14:paraId="1E5EB55E"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326087EE"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-L       1,138,561.06 </w:t>
            </w:r>
          </w:p>
        </w:tc>
        <w:tc>
          <w:tcPr>
            <w:tcW w:w="309" w:type="pct"/>
            <w:tcBorders>
              <w:top w:val="nil"/>
              <w:left w:val="nil"/>
              <w:bottom w:val="nil"/>
              <w:right w:val="nil"/>
            </w:tcBorders>
            <w:shd w:val="clear" w:color="auto" w:fill="auto"/>
            <w:noWrap/>
            <w:vAlign w:val="center"/>
            <w:hideMark/>
          </w:tcPr>
          <w:p w14:paraId="3C4B7274"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99%</w:t>
            </w:r>
          </w:p>
        </w:tc>
        <w:tc>
          <w:tcPr>
            <w:tcW w:w="613" w:type="pct"/>
            <w:tcBorders>
              <w:top w:val="nil"/>
              <w:left w:val="nil"/>
              <w:bottom w:val="nil"/>
              <w:right w:val="nil"/>
            </w:tcBorders>
            <w:shd w:val="clear" w:color="auto" w:fill="auto"/>
            <w:noWrap/>
            <w:vAlign w:val="bottom"/>
            <w:hideMark/>
          </w:tcPr>
          <w:p w14:paraId="3572A070"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-L          618,514.09 </w:t>
            </w:r>
          </w:p>
        </w:tc>
        <w:tc>
          <w:tcPr>
            <w:tcW w:w="240" w:type="pct"/>
            <w:tcBorders>
              <w:top w:val="nil"/>
              <w:left w:val="nil"/>
              <w:bottom w:val="nil"/>
              <w:right w:val="nil"/>
            </w:tcBorders>
            <w:shd w:val="clear" w:color="auto" w:fill="auto"/>
            <w:noWrap/>
            <w:vAlign w:val="bottom"/>
            <w:hideMark/>
          </w:tcPr>
          <w:p w14:paraId="0981A96E"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54%</w:t>
            </w:r>
          </w:p>
        </w:tc>
        <w:tc>
          <w:tcPr>
            <w:tcW w:w="613" w:type="pct"/>
            <w:tcBorders>
              <w:top w:val="nil"/>
              <w:left w:val="nil"/>
              <w:bottom w:val="nil"/>
              <w:right w:val="nil"/>
            </w:tcBorders>
            <w:shd w:val="clear" w:color="auto" w:fill="auto"/>
            <w:noWrap/>
            <w:vAlign w:val="bottom"/>
            <w:hideMark/>
          </w:tcPr>
          <w:p w14:paraId="4E4D920A"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-L          678,381.03 </w:t>
            </w:r>
          </w:p>
        </w:tc>
        <w:tc>
          <w:tcPr>
            <w:tcW w:w="240" w:type="pct"/>
            <w:tcBorders>
              <w:top w:val="nil"/>
              <w:left w:val="nil"/>
              <w:bottom w:val="nil"/>
              <w:right w:val="nil"/>
            </w:tcBorders>
            <w:shd w:val="clear" w:color="auto" w:fill="auto"/>
            <w:noWrap/>
            <w:vAlign w:val="center"/>
            <w:hideMark/>
          </w:tcPr>
          <w:p w14:paraId="10E86280"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110%</w:t>
            </w:r>
          </w:p>
        </w:tc>
      </w:tr>
      <w:tr w:rsidR="00EF2570" w:rsidRPr="0076589C" w14:paraId="56698DEB" w14:textId="77777777" w:rsidTr="1C8D6E3A">
        <w:trPr>
          <w:trHeight w:val="260"/>
        </w:trPr>
        <w:tc>
          <w:tcPr>
            <w:tcW w:w="1519" w:type="pct"/>
            <w:tcBorders>
              <w:top w:val="nil"/>
              <w:left w:val="nil"/>
              <w:bottom w:val="nil"/>
              <w:right w:val="nil"/>
            </w:tcBorders>
            <w:shd w:val="clear" w:color="auto" w:fill="auto"/>
            <w:noWrap/>
            <w:vAlign w:val="bottom"/>
            <w:hideMark/>
          </w:tcPr>
          <w:p w14:paraId="286E9B4D" w14:textId="77777777" w:rsidR="00EF2570" w:rsidRPr="0076589C" w:rsidRDefault="1C8D6E3A" w:rsidP="1C8D6E3A">
            <w:pPr>
              <w:spacing w:after="0" w:line="240" w:lineRule="auto"/>
              <w:ind w:left="0" w:firstLineChars="200" w:firstLine="36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Inventarios</w:t>
            </w:r>
          </w:p>
        </w:tc>
        <w:tc>
          <w:tcPr>
            <w:tcW w:w="613" w:type="pct"/>
            <w:tcBorders>
              <w:top w:val="nil"/>
              <w:left w:val="nil"/>
              <w:bottom w:val="nil"/>
              <w:right w:val="nil"/>
            </w:tcBorders>
            <w:shd w:val="clear" w:color="auto" w:fill="auto"/>
            <w:noWrap/>
            <w:vAlign w:val="bottom"/>
            <w:hideMark/>
          </w:tcPr>
          <w:p w14:paraId="3648A254"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2,462,956.01 </w:t>
            </w:r>
          </w:p>
        </w:tc>
        <w:tc>
          <w:tcPr>
            <w:tcW w:w="240" w:type="pct"/>
            <w:tcBorders>
              <w:top w:val="nil"/>
              <w:left w:val="nil"/>
              <w:bottom w:val="nil"/>
              <w:right w:val="nil"/>
            </w:tcBorders>
            <w:shd w:val="clear" w:color="auto" w:fill="auto"/>
            <w:noWrap/>
            <w:vAlign w:val="center"/>
            <w:hideMark/>
          </w:tcPr>
          <w:p w14:paraId="1B8843B0"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5599823D"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2,485,473.87 </w:t>
            </w:r>
          </w:p>
        </w:tc>
        <w:tc>
          <w:tcPr>
            <w:tcW w:w="309" w:type="pct"/>
            <w:tcBorders>
              <w:top w:val="nil"/>
              <w:left w:val="nil"/>
              <w:bottom w:val="nil"/>
              <w:right w:val="nil"/>
            </w:tcBorders>
            <w:shd w:val="clear" w:color="auto" w:fill="auto"/>
            <w:noWrap/>
            <w:vAlign w:val="center"/>
            <w:hideMark/>
          </w:tcPr>
          <w:p w14:paraId="7D264D0D"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101%</w:t>
            </w:r>
          </w:p>
        </w:tc>
        <w:tc>
          <w:tcPr>
            <w:tcW w:w="613" w:type="pct"/>
            <w:tcBorders>
              <w:top w:val="nil"/>
              <w:left w:val="nil"/>
              <w:bottom w:val="nil"/>
              <w:right w:val="nil"/>
            </w:tcBorders>
            <w:shd w:val="clear" w:color="auto" w:fill="auto"/>
            <w:noWrap/>
            <w:vAlign w:val="bottom"/>
            <w:hideMark/>
          </w:tcPr>
          <w:p w14:paraId="4166E555"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9,161,218.79 </w:t>
            </w:r>
          </w:p>
        </w:tc>
        <w:tc>
          <w:tcPr>
            <w:tcW w:w="240" w:type="pct"/>
            <w:tcBorders>
              <w:top w:val="nil"/>
              <w:left w:val="nil"/>
              <w:bottom w:val="nil"/>
              <w:right w:val="nil"/>
            </w:tcBorders>
            <w:shd w:val="clear" w:color="auto" w:fill="auto"/>
            <w:noWrap/>
            <w:vAlign w:val="bottom"/>
            <w:hideMark/>
          </w:tcPr>
          <w:p w14:paraId="2378C03A"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369%</w:t>
            </w:r>
          </w:p>
        </w:tc>
        <w:tc>
          <w:tcPr>
            <w:tcW w:w="613" w:type="pct"/>
            <w:tcBorders>
              <w:top w:val="nil"/>
              <w:left w:val="nil"/>
              <w:bottom w:val="nil"/>
              <w:right w:val="nil"/>
            </w:tcBorders>
            <w:shd w:val="clear" w:color="auto" w:fill="auto"/>
            <w:noWrap/>
            <w:vAlign w:val="bottom"/>
            <w:hideMark/>
          </w:tcPr>
          <w:p w14:paraId="6A733C72"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9,802,693.83 </w:t>
            </w:r>
          </w:p>
        </w:tc>
        <w:tc>
          <w:tcPr>
            <w:tcW w:w="240" w:type="pct"/>
            <w:tcBorders>
              <w:top w:val="nil"/>
              <w:left w:val="nil"/>
              <w:bottom w:val="nil"/>
              <w:right w:val="nil"/>
            </w:tcBorders>
            <w:shd w:val="clear" w:color="auto" w:fill="auto"/>
            <w:noWrap/>
            <w:vAlign w:val="center"/>
            <w:hideMark/>
          </w:tcPr>
          <w:p w14:paraId="61E2D746"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107%</w:t>
            </w:r>
          </w:p>
        </w:tc>
      </w:tr>
      <w:tr w:rsidR="00EF2570" w:rsidRPr="0076589C" w14:paraId="1255F37B" w14:textId="77777777" w:rsidTr="1C8D6E3A">
        <w:trPr>
          <w:trHeight w:val="270"/>
        </w:trPr>
        <w:tc>
          <w:tcPr>
            <w:tcW w:w="1519" w:type="pct"/>
            <w:tcBorders>
              <w:top w:val="nil"/>
              <w:left w:val="nil"/>
              <w:bottom w:val="double" w:sz="6" w:space="0" w:color="auto"/>
              <w:right w:val="nil"/>
            </w:tcBorders>
            <w:shd w:val="clear" w:color="auto" w:fill="auto"/>
            <w:noWrap/>
            <w:vAlign w:val="bottom"/>
            <w:hideMark/>
          </w:tcPr>
          <w:p w14:paraId="2A764305" w14:textId="77777777" w:rsidR="00EF2570" w:rsidRPr="0076589C" w:rsidRDefault="1C8D6E3A" w:rsidP="1C8D6E3A">
            <w:pPr>
              <w:spacing w:after="0" w:line="240" w:lineRule="auto"/>
              <w:ind w:left="0" w:firstLineChars="200" w:firstLine="36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Impuestos pagados por anticipado</w:t>
            </w:r>
          </w:p>
        </w:tc>
        <w:tc>
          <w:tcPr>
            <w:tcW w:w="613" w:type="pct"/>
            <w:tcBorders>
              <w:top w:val="nil"/>
              <w:left w:val="nil"/>
              <w:bottom w:val="double" w:sz="6" w:space="0" w:color="auto"/>
              <w:right w:val="nil"/>
            </w:tcBorders>
            <w:shd w:val="clear" w:color="auto" w:fill="auto"/>
            <w:noWrap/>
            <w:vAlign w:val="bottom"/>
            <w:hideMark/>
          </w:tcPr>
          <w:p w14:paraId="15F5D7B5"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 </w:t>
            </w:r>
          </w:p>
        </w:tc>
        <w:tc>
          <w:tcPr>
            <w:tcW w:w="240" w:type="pct"/>
            <w:tcBorders>
              <w:top w:val="nil"/>
              <w:left w:val="nil"/>
              <w:bottom w:val="double" w:sz="6" w:space="0" w:color="auto"/>
              <w:right w:val="nil"/>
            </w:tcBorders>
            <w:shd w:val="clear" w:color="auto" w:fill="auto"/>
            <w:noWrap/>
            <w:vAlign w:val="center"/>
            <w:hideMark/>
          </w:tcPr>
          <w:p w14:paraId="1360F9C6"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double" w:sz="6" w:space="0" w:color="auto"/>
              <w:right w:val="nil"/>
            </w:tcBorders>
            <w:shd w:val="clear" w:color="auto" w:fill="auto"/>
            <w:noWrap/>
            <w:vAlign w:val="bottom"/>
            <w:hideMark/>
          </w:tcPr>
          <w:p w14:paraId="0A5ACB31"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116,572.86 </w:t>
            </w:r>
          </w:p>
        </w:tc>
        <w:tc>
          <w:tcPr>
            <w:tcW w:w="309" w:type="pct"/>
            <w:tcBorders>
              <w:top w:val="nil"/>
              <w:left w:val="nil"/>
              <w:bottom w:val="double" w:sz="6" w:space="0" w:color="auto"/>
              <w:right w:val="nil"/>
            </w:tcBorders>
            <w:shd w:val="clear" w:color="auto" w:fill="auto"/>
            <w:noWrap/>
            <w:vAlign w:val="center"/>
            <w:hideMark/>
          </w:tcPr>
          <w:p w14:paraId="5831DB5C"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0%</w:t>
            </w:r>
          </w:p>
        </w:tc>
        <w:tc>
          <w:tcPr>
            <w:tcW w:w="613" w:type="pct"/>
            <w:tcBorders>
              <w:top w:val="nil"/>
              <w:left w:val="nil"/>
              <w:bottom w:val="double" w:sz="6" w:space="0" w:color="auto"/>
              <w:right w:val="nil"/>
            </w:tcBorders>
            <w:shd w:val="clear" w:color="auto" w:fill="auto"/>
            <w:noWrap/>
            <w:vAlign w:val="bottom"/>
            <w:hideMark/>
          </w:tcPr>
          <w:p w14:paraId="0BB939FB"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   </w:t>
            </w:r>
          </w:p>
        </w:tc>
        <w:tc>
          <w:tcPr>
            <w:tcW w:w="240" w:type="pct"/>
            <w:tcBorders>
              <w:top w:val="nil"/>
              <w:left w:val="nil"/>
              <w:bottom w:val="double" w:sz="6" w:space="0" w:color="auto"/>
              <w:right w:val="nil"/>
            </w:tcBorders>
            <w:shd w:val="clear" w:color="auto" w:fill="auto"/>
            <w:noWrap/>
            <w:vAlign w:val="bottom"/>
            <w:hideMark/>
          </w:tcPr>
          <w:p w14:paraId="5BF218B1"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0%</w:t>
            </w:r>
          </w:p>
        </w:tc>
        <w:tc>
          <w:tcPr>
            <w:tcW w:w="613" w:type="pct"/>
            <w:tcBorders>
              <w:top w:val="nil"/>
              <w:left w:val="nil"/>
              <w:bottom w:val="double" w:sz="6" w:space="0" w:color="auto"/>
              <w:right w:val="nil"/>
            </w:tcBorders>
            <w:shd w:val="clear" w:color="auto" w:fill="auto"/>
            <w:noWrap/>
            <w:vAlign w:val="bottom"/>
            <w:hideMark/>
          </w:tcPr>
          <w:p w14:paraId="71AA1537"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   </w:t>
            </w:r>
          </w:p>
        </w:tc>
        <w:tc>
          <w:tcPr>
            <w:tcW w:w="240" w:type="pct"/>
            <w:tcBorders>
              <w:top w:val="nil"/>
              <w:left w:val="nil"/>
              <w:bottom w:val="double" w:sz="6" w:space="0" w:color="auto"/>
              <w:right w:val="nil"/>
            </w:tcBorders>
            <w:shd w:val="clear" w:color="auto" w:fill="auto"/>
            <w:noWrap/>
            <w:vAlign w:val="center"/>
            <w:hideMark/>
          </w:tcPr>
          <w:p w14:paraId="24FCD3CC"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0%</w:t>
            </w:r>
          </w:p>
        </w:tc>
      </w:tr>
      <w:tr w:rsidR="00EF2570" w:rsidRPr="0076589C" w14:paraId="24C63599" w14:textId="77777777" w:rsidTr="1C8D6E3A">
        <w:trPr>
          <w:trHeight w:val="270"/>
        </w:trPr>
        <w:tc>
          <w:tcPr>
            <w:tcW w:w="1519" w:type="pct"/>
            <w:tcBorders>
              <w:top w:val="nil"/>
              <w:left w:val="nil"/>
              <w:bottom w:val="single" w:sz="4" w:space="0" w:color="auto"/>
              <w:right w:val="nil"/>
            </w:tcBorders>
            <w:shd w:val="clear" w:color="auto" w:fill="auto"/>
            <w:noWrap/>
            <w:vAlign w:val="bottom"/>
            <w:hideMark/>
          </w:tcPr>
          <w:p w14:paraId="066A7C45" w14:textId="77777777" w:rsidR="00EF2570" w:rsidRPr="0076589C" w:rsidRDefault="1C8D6E3A" w:rsidP="1C8D6E3A">
            <w:pPr>
              <w:spacing w:after="0" w:line="240" w:lineRule="auto"/>
              <w:ind w:left="0" w:firstLineChars="100" w:firstLine="181"/>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Total Activos Corrientes</w:t>
            </w:r>
          </w:p>
        </w:tc>
        <w:tc>
          <w:tcPr>
            <w:tcW w:w="613" w:type="pct"/>
            <w:tcBorders>
              <w:top w:val="nil"/>
              <w:left w:val="nil"/>
              <w:bottom w:val="single" w:sz="4" w:space="0" w:color="auto"/>
              <w:right w:val="nil"/>
            </w:tcBorders>
            <w:shd w:val="clear" w:color="auto" w:fill="auto"/>
            <w:noWrap/>
            <w:vAlign w:val="bottom"/>
            <w:hideMark/>
          </w:tcPr>
          <w:p w14:paraId="3E2E1A97"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14,697,964.20 </w:t>
            </w:r>
          </w:p>
        </w:tc>
        <w:tc>
          <w:tcPr>
            <w:tcW w:w="240" w:type="pct"/>
            <w:tcBorders>
              <w:top w:val="nil"/>
              <w:left w:val="nil"/>
              <w:bottom w:val="single" w:sz="4" w:space="0" w:color="auto"/>
              <w:right w:val="nil"/>
            </w:tcBorders>
            <w:shd w:val="clear" w:color="auto" w:fill="auto"/>
            <w:noWrap/>
            <w:vAlign w:val="center"/>
            <w:hideMark/>
          </w:tcPr>
          <w:p w14:paraId="09BEDD30"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100%</w:t>
            </w:r>
          </w:p>
        </w:tc>
        <w:tc>
          <w:tcPr>
            <w:tcW w:w="613" w:type="pct"/>
            <w:tcBorders>
              <w:top w:val="nil"/>
              <w:left w:val="nil"/>
              <w:bottom w:val="single" w:sz="4" w:space="0" w:color="auto"/>
              <w:right w:val="nil"/>
            </w:tcBorders>
            <w:shd w:val="clear" w:color="auto" w:fill="auto"/>
            <w:noWrap/>
            <w:vAlign w:val="bottom"/>
            <w:hideMark/>
          </w:tcPr>
          <w:p w14:paraId="7A38351A"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14,555,373.64 </w:t>
            </w:r>
          </w:p>
        </w:tc>
        <w:tc>
          <w:tcPr>
            <w:tcW w:w="309" w:type="pct"/>
            <w:tcBorders>
              <w:top w:val="nil"/>
              <w:left w:val="nil"/>
              <w:bottom w:val="single" w:sz="4" w:space="0" w:color="auto"/>
              <w:right w:val="nil"/>
            </w:tcBorders>
            <w:shd w:val="clear" w:color="auto" w:fill="auto"/>
            <w:noWrap/>
            <w:vAlign w:val="center"/>
            <w:hideMark/>
          </w:tcPr>
          <w:p w14:paraId="595A2F43"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99%</w:t>
            </w:r>
          </w:p>
        </w:tc>
        <w:tc>
          <w:tcPr>
            <w:tcW w:w="613" w:type="pct"/>
            <w:tcBorders>
              <w:top w:val="nil"/>
              <w:left w:val="nil"/>
              <w:bottom w:val="single" w:sz="4" w:space="0" w:color="auto"/>
              <w:right w:val="nil"/>
            </w:tcBorders>
            <w:shd w:val="clear" w:color="auto" w:fill="auto"/>
            <w:noWrap/>
            <w:vAlign w:val="bottom"/>
            <w:hideMark/>
          </w:tcPr>
          <w:p w14:paraId="73D41140"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16,921,541.30 </w:t>
            </w:r>
          </w:p>
        </w:tc>
        <w:tc>
          <w:tcPr>
            <w:tcW w:w="240" w:type="pct"/>
            <w:tcBorders>
              <w:top w:val="nil"/>
              <w:left w:val="nil"/>
              <w:bottom w:val="single" w:sz="4" w:space="0" w:color="auto"/>
              <w:right w:val="nil"/>
            </w:tcBorders>
            <w:shd w:val="clear" w:color="auto" w:fill="auto"/>
            <w:noWrap/>
            <w:vAlign w:val="bottom"/>
            <w:hideMark/>
          </w:tcPr>
          <w:p w14:paraId="29A6C461"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116%</w:t>
            </w:r>
          </w:p>
        </w:tc>
        <w:tc>
          <w:tcPr>
            <w:tcW w:w="613" w:type="pct"/>
            <w:tcBorders>
              <w:top w:val="nil"/>
              <w:left w:val="nil"/>
              <w:bottom w:val="single" w:sz="4" w:space="0" w:color="auto"/>
              <w:right w:val="nil"/>
            </w:tcBorders>
            <w:shd w:val="clear" w:color="auto" w:fill="auto"/>
            <w:noWrap/>
            <w:vAlign w:val="bottom"/>
            <w:hideMark/>
          </w:tcPr>
          <w:p w14:paraId="7DC88817"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20,235,079.27 </w:t>
            </w:r>
          </w:p>
        </w:tc>
        <w:tc>
          <w:tcPr>
            <w:tcW w:w="240" w:type="pct"/>
            <w:tcBorders>
              <w:top w:val="nil"/>
              <w:left w:val="nil"/>
              <w:bottom w:val="single" w:sz="4" w:space="0" w:color="auto"/>
              <w:right w:val="nil"/>
            </w:tcBorders>
            <w:shd w:val="clear" w:color="auto" w:fill="auto"/>
            <w:noWrap/>
            <w:vAlign w:val="center"/>
            <w:hideMark/>
          </w:tcPr>
          <w:p w14:paraId="1119C5CE"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120%</w:t>
            </w:r>
          </w:p>
        </w:tc>
      </w:tr>
      <w:tr w:rsidR="00EF2570" w:rsidRPr="0076589C" w14:paraId="4EFB88D5" w14:textId="77777777" w:rsidTr="1C8D6E3A">
        <w:trPr>
          <w:trHeight w:val="260"/>
        </w:trPr>
        <w:tc>
          <w:tcPr>
            <w:tcW w:w="1519" w:type="pct"/>
            <w:tcBorders>
              <w:top w:val="nil"/>
              <w:left w:val="nil"/>
              <w:bottom w:val="nil"/>
              <w:right w:val="nil"/>
            </w:tcBorders>
            <w:shd w:val="clear" w:color="auto" w:fill="auto"/>
            <w:noWrap/>
            <w:vAlign w:val="bottom"/>
            <w:hideMark/>
          </w:tcPr>
          <w:p w14:paraId="6302E62D" w14:textId="77777777" w:rsidR="00EF2570" w:rsidRPr="0076589C" w:rsidRDefault="00EF2570" w:rsidP="1C8D6E3A">
            <w:pPr>
              <w:spacing w:after="0" w:line="240" w:lineRule="auto"/>
              <w:ind w:left="0"/>
              <w:jc w:val="center"/>
              <w:rPr>
                <w:rFonts w:asciiTheme="minorHAnsi" w:eastAsia="Times New Roman" w:hAnsiTheme="minorHAnsi"/>
                <w:b/>
                <w:bCs/>
                <w:color w:val="000000"/>
                <w:sz w:val="18"/>
                <w:szCs w:val="18"/>
              </w:rPr>
            </w:pPr>
          </w:p>
        </w:tc>
        <w:tc>
          <w:tcPr>
            <w:tcW w:w="613" w:type="pct"/>
            <w:tcBorders>
              <w:top w:val="nil"/>
              <w:left w:val="nil"/>
              <w:bottom w:val="nil"/>
              <w:right w:val="nil"/>
            </w:tcBorders>
            <w:shd w:val="clear" w:color="auto" w:fill="auto"/>
            <w:noWrap/>
            <w:vAlign w:val="bottom"/>
            <w:hideMark/>
          </w:tcPr>
          <w:p w14:paraId="01454403" w14:textId="77777777" w:rsidR="00EF2570" w:rsidRPr="0076589C" w:rsidRDefault="00EF2570" w:rsidP="1C8D6E3A">
            <w:pPr>
              <w:spacing w:after="0" w:line="240" w:lineRule="auto"/>
              <w:ind w:left="0" w:firstLineChars="200" w:firstLine="360"/>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center"/>
            <w:hideMark/>
          </w:tcPr>
          <w:p w14:paraId="594EDDA3"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4199990C"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309" w:type="pct"/>
            <w:tcBorders>
              <w:top w:val="nil"/>
              <w:left w:val="nil"/>
              <w:bottom w:val="nil"/>
              <w:right w:val="nil"/>
            </w:tcBorders>
            <w:shd w:val="clear" w:color="auto" w:fill="auto"/>
            <w:noWrap/>
            <w:vAlign w:val="center"/>
            <w:hideMark/>
          </w:tcPr>
          <w:p w14:paraId="3C9136B4"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29EC6CF6"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bottom"/>
            <w:hideMark/>
          </w:tcPr>
          <w:p w14:paraId="6E1CDD79"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64696F6E"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center"/>
            <w:hideMark/>
          </w:tcPr>
          <w:p w14:paraId="3BE4AE32" w14:textId="77777777" w:rsidR="00EF2570" w:rsidRPr="0076589C" w:rsidRDefault="00EF2570" w:rsidP="1C8D6E3A">
            <w:pPr>
              <w:spacing w:after="0" w:line="240" w:lineRule="auto"/>
              <w:ind w:left="0"/>
              <w:rPr>
                <w:rFonts w:asciiTheme="minorHAnsi" w:eastAsia="Times New Roman" w:hAnsiTheme="minorHAnsi"/>
                <w:sz w:val="18"/>
                <w:szCs w:val="18"/>
              </w:rPr>
            </w:pPr>
          </w:p>
        </w:tc>
      </w:tr>
      <w:tr w:rsidR="00EF2570" w:rsidRPr="0076589C" w14:paraId="005C7ED4" w14:textId="77777777" w:rsidTr="1C8D6E3A">
        <w:trPr>
          <w:trHeight w:val="260"/>
        </w:trPr>
        <w:tc>
          <w:tcPr>
            <w:tcW w:w="1519" w:type="pct"/>
            <w:tcBorders>
              <w:top w:val="nil"/>
              <w:left w:val="nil"/>
              <w:bottom w:val="nil"/>
              <w:right w:val="nil"/>
            </w:tcBorders>
            <w:shd w:val="clear" w:color="auto" w:fill="auto"/>
            <w:noWrap/>
            <w:vAlign w:val="bottom"/>
            <w:hideMark/>
          </w:tcPr>
          <w:p w14:paraId="22BD36F6" w14:textId="77777777" w:rsidR="00EF2570" w:rsidRPr="0076589C" w:rsidRDefault="1C8D6E3A" w:rsidP="1C8D6E3A">
            <w:pPr>
              <w:spacing w:after="0" w:line="240" w:lineRule="auto"/>
              <w:ind w:left="0" w:firstLineChars="100" w:firstLine="181"/>
              <w:rPr>
                <w:rFonts w:asciiTheme="minorHAnsi" w:eastAsia="Times New Roman" w:hAnsiTheme="minorHAnsi"/>
                <w:b/>
                <w:bCs/>
                <w:color w:val="000000"/>
                <w:sz w:val="18"/>
                <w:szCs w:val="18"/>
                <w:u w:val="single"/>
              </w:rPr>
            </w:pPr>
            <w:r w:rsidRPr="0076589C">
              <w:rPr>
                <w:rFonts w:asciiTheme="minorHAnsi" w:eastAsia="Times New Roman" w:hAnsiTheme="minorHAnsi"/>
                <w:b/>
                <w:bCs/>
                <w:color w:val="000000" w:themeColor="text1"/>
                <w:sz w:val="18"/>
                <w:szCs w:val="18"/>
                <w:u w:val="single"/>
              </w:rPr>
              <w:t>Activos No Corrientes</w:t>
            </w:r>
          </w:p>
        </w:tc>
        <w:tc>
          <w:tcPr>
            <w:tcW w:w="613" w:type="pct"/>
            <w:tcBorders>
              <w:top w:val="nil"/>
              <w:left w:val="nil"/>
              <w:bottom w:val="nil"/>
              <w:right w:val="nil"/>
            </w:tcBorders>
            <w:shd w:val="clear" w:color="auto" w:fill="auto"/>
            <w:noWrap/>
            <w:vAlign w:val="bottom"/>
            <w:hideMark/>
          </w:tcPr>
          <w:p w14:paraId="4FF23E34" w14:textId="77777777" w:rsidR="00EF2570" w:rsidRPr="0076589C" w:rsidRDefault="00EF2570" w:rsidP="1C8D6E3A">
            <w:pPr>
              <w:spacing w:after="0" w:line="240" w:lineRule="auto"/>
              <w:ind w:left="0" w:firstLineChars="100" w:firstLine="181"/>
              <w:rPr>
                <w:rFonts w:asciiTheme="minorHAnsi" w:eastAsia="Times New Roman" w:hAnsiTheme="minorHAnsi"/>
                <w:b/>
                <w:bCs/>
                <w:color w:val="000000"/>
                <w:sz w:val="18"/>
                <w:szCs w:val="18"/>
                <w:u w:val="single"/>
              </w:rPr>
            </w:pPr>
          </w:p>
        </w:tc>
        <w:tc>
          <w:tcPr>
            <w:tcW w:w="240" w:type="pct"/>
            <w:tcBorders>
              <w:top w:val="nil"/>
              <w:left w:val="nil"/>
              <w:bottom w:val="nil"/>
              <w:right w:val="nil"/>
            </w:tcBorders>
            <w:shd w:val="clear" w:color="auto" w:fill="auto"/>
            <w:noWrap/>
            <w:vAlign w:val="center"/>
            <w:hideMark/>
          </w:tcPr>
          <w:p w14:paraId="1B492BA2"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611B980D"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309" w:type="pct"/>
            <w:tcBorders>
              <w:top w:val="nil"/>
              <w:left w:val="nil"/>
              <w:bottom w:val="nil"/>
              <w:right w:val="nil"/>
            </w:tcBorders>
            <w:shd w:val="clear" w:color="auto" w:fill="auto"/>
            <w:noWrap/>
            <w:vAlign w:val="center"/>
            <w:hideMark/>
          </w:tcPr>
          <w:p w14:paraId="7AA51F62"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2BB1EBB0"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bottom"/>
            <w:hideMark/>
          </w:tcPr>
          <w:p w14:paraId="63AB86CB"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465EFB01"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center"/>
            <w:hideMark/>
          </w:tcPr>
          <w:p w14:paraId="44D0265C" w14:textId="77777777" w:rsidR="00EF2570" w:rsidRPr="0076589C" w:rsidRDefault="00EF2570" w:rsidP="1C8D6E3A">
            <w:pPr>
              <w:spacing w:after="0" w:line="240" w:lineRule="auto"/>
              <w:ind w:left="0"/>
              <w:rPr>
                <w:rFonts w:asciiTheme="minorHAnsi" w:eastAsia="Times New Roman" w:hAnsiTheme="minorHAnsi"/>
                <w:sz w:val="18"/>
                <w:szCs w:val="18"/>
              </w:rPr>
            </w:pPr>
          </w:p>
        </w:tc>
      </w:tr>
      <w:tr w:rsidR="00EF2570" w:rsidRPr="0076589C" w14:paraId="70809811" w14:textId="77777777" w:rsidTr="1C8D6E3A">
        <w:trPr>
          <w:trHeight w:val="260"/>
        </w:trPr>
        <w:tc>
          <w:tcPr>
            <w:tcW w:w="1519" w:type="pct"/>
            <w:tcBorders>
              <w:top w:val="nil"/>
              <w:left w:val="nil"/>
              <w:bottom w:val="nil"/>
              <w:right w:val="nil"/>
            </w:tcBorders>
            <w:shd w:val="clear" w:color="auto" w:fill="auto"/>
            <w:noWrap/>
            <w:vAlign w:val="bottom"/>
            <w:hideMark/>
          </w:tcPr>
          <w:p w14:paraId="777A319A" w14:textId="77777777" w:rsidR="00EF2570" w:rsidRPr="0076589C" w:rsidRDefault="1C8D6E3A" w:rsidP="1C8D6E3A">
            <w:pPr>
              <w:spacing w:after="0" w:line="240" w:lineRule="auto"/>
              <w:ind w:left="0" w:firstLineChars="100" w:firstLine="181"/>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Propiedad, Planta y Equipo</w:t>
            </w:r>
          </w:p>
        </w:tc>
        <w:tc>
          <w:tcPr>
            <w:tcW w:w="613" w:type="pct"/>
            <w:tcBorders>
              <w:top w:val="nil"/>
              <w:left w:val="nil"/>
              <w:bottom w:val="nil"/>
              <w:right w:val="nil"/>
            </w:tcBorders>
            <w:shd w:val="clear" w:color="auto" w:fill="auto"/>
            <w:noWrap/>
            <w:vAlign w:val="bottom"/>
            <w:hideMark/>
          </w:tcPr>
          <w:p w14:paraId="25CDCFB1" w14:textId="77777777" w:rsidR="00EF2570" w:rsidRPr="0076589C" w:rsidRDefault="00EF2570" w:rsidP="1C8D6E3A">
            <w:pPr>
              <w:spacing w:after="0" w:line="240" w:lineRule="auto"/>
              <w:ind w:left="0" w:firstLineChars="100" w:firstLine="181"/>
              <w:rPr>
                <w:rFonts w:asciiTheme="minorHAnsi" w:eastAsia="Times New Roman" w:hAnsiTheme="minorHAnsi"/>
                <w:b/>
                <w:bCs/>
                <w:color w:val="000000"/>
                <w:sz w:val="18"/>
                <w:szCs w:val="18"/>
              </w:rPr>
            </w:pPr>
          </w:p>
        </w:tc>
        <w:tc>
          <w:tcPr>
            <w:tcW w:w="240" w:type="pct"/>
            <w:tcBorders>
              <w:top w:val="nil"/>
              <w:left w:val="nil"/>
              <w:bottom w:val="nil"/>
              <w:right w:val="nil"/>
            </w:tcBorders>
            <w:shd w:val="clear" w:color="auto" w:fill="auto"/>
            <w:noWrap/>
            <w:vAlign w:val="center"/>
            <w:hideMark/>
          </w:tcPr>
          <w:p w14:paraId="63A58CFE"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611EE85A"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309" w:type="pct"/>
            <w:tcBorders>
              <w:top w:val="nil"/>
              <w:left w:val="nil"/>
              <w:bottom w:val="nil"/>
              <w:right w:val="nil"/>
            </w:tcBorders>
            <w:shd w:val="clear" w:color="auto" w:fill="auto"/>
            <w:noWrap/>
            <w:vAlign w:val="center"/>
            <w:hideMark/>
          </w:tcPr>
          <w:p w14:paraId="79C4BD1A"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0B978AAE"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bottom"/>
            <w:hideMark/>
          </w:tcPr>
          <w:p w14:paraId="4FAFEEFB"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2B6FEEBF"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center"/>
            <w:hideMark/>
          </w:tcPr>
          <w:p w14:paraId="0026EDE2" w14:textId="77777777" w:rsidR="00EF2570" w:rsidRPr="0076589C" w:rsidRDefault="00EF2570" w:rsidP="1C8D6E3A">
            <w:pPr>
              <w:spacing w:after="0" w:line="240" w:lineRule="auto"/>
              <w:ind w:left="0"/>
              <w:rPr>
                <w:rFonts w:asciiTheme="minorHAnsi" w:eastAsia="Times New Roman" w:hAnsiTheme="minorHAnsi"/>
                <w:sz w:val="18"/>
                <w:szCs w:val="18"/>
              </w:rPr>
            </w:pPr>
          </w:p>
        </w:tc>
      </w:tr>
      <w:tr w:rsidR="00EF2570" w:rsidRPr="0076589C" w14:paraId="46202AEC" w14:textId="77777777" w:rsidTr="1C8D6E3A">
        <w:trPr>
          <w:trHeight w:val="260"/>
        </w:trPr>
        <w:tc>
          <w:tcPr>
            <w:tcW w:w="1519" w:type="pct"/>
            <w:tcBorders>
              <w:top w:val="nil"/>
              <w:left w:val="nil"/>
              <w:bottom w:val="nil"/>
              <w:right w:val="nil"/>
            </w:tcBorders>
            <w:shd w:val="clear" w:color="auto" w:fill="auto"/>
            <w:noWrap/>
            <w:vAlign w:val="bottom"/>
            <w:hideMark/>
          </w:tcPr>
          <w:p w14:paraId="1056C163" w14:textId="77777777" w:rsidR="00EF2570" w:rsidRPr="0076589C" w:rsidRDefault="1C8D6E3A" w:rsidP="1C8D6E3A">
            <w:pPr>
              <w:spacing w:after="0" w:line="240" w:lineRule="auto"/>
              <w:ind w:left="0" w:firstLineChars="200" w:firstLine="36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Terrenos</w:t>
            </w:r>
          </w:p>
        </w:tc>
        <w:tc>
          <w:tcPr>
            <w:tcW w:w="613" w:type="pct"/>
            <w:tcBorders>
              <w:top w:val="nil"/>
              <w:left w:val="nil"/>
              <w:bottom w:val="nil"/>
              <w:right w:val="nil"/>
            </w:tcBorders>
            <w:shd w:val="clear" w:color="auto" w:fill="auto"/>
            <w:noWrap/>
            <w:vAlign w:val="bottom"/>
            <w:hideMark/>
          </w:tcPr>
          <w:p w14:paraId="6B45A28B"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50,000.00 </w:t>
            </w:r>
          </w:p>
        </w:tc>
        <w:tc>
          <w:tcPr>
            <w:tcW w:w="240" w:type="pct"/>
            <w:tcBorders>
              <w:top w:val="nil"/>
              <w:left w:val="nil"/>
              <w:bottom w:val="nil"/>
              <w:right w:val="nil"/>
            </w:tcBorders>
            <w:shd w:val="clear" w:color="auto" w:fill="auto"/>
            <w:noWrap/>
            <w:vAlign w:val="center"/>
            <w:hideMark/>
          </w:tcPr>
          <w:p w14:paraId="69799572"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7867266E"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50,000.00 </w:t>
            </w:r>
          </w:p>
        </w:tc>
        <w:tc>
          <w:tcPr>
            <w:tcW w:w="309" w:type="pct"/>
            <w:tcBorders>
              <w:top w:val="nil"/>
              <w:left w:val="nil"/>
              <w:bottom w:val="nil"/>
              <w:right w:val="nil"/>
            </w:tcBorders>
            <w:shd w:val="clear" w:color="auto" w:fill="auto"/>
            <w:noWrap/>
            <w:vAlign w:val="center"/>
            <w:hideMark/>
          </w:tcPr>
          <w:p w14:paraId="283A3902"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5CA9BCB2"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50,000.00 </w:t>
            </w:r>
          </w:p>
        </w:tc>
        <w:tc>
          <w:tcPr>
            <w:tcW w:w="240" w:type="pct"/>
            <w:tcBorders>
              <w:top w:val="nil"/>
              <w:left w:val="nil"/>
              <w:bottom w:val="nil"/>
              <w:right w:val="nil"/>
            </w:tcBorders>
            <w:shd w:val="clear" w:color="auto" w:fill="auto"/>
            <w:noWrap/>
            <w:vAlign w:val="bottom"/>
            <w:hideMark/>
          </w:tcPr>
          <w:p w14:paraId="76B8D0A0"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2B2893C5"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50,000.00 </w:t>
            </w:r>
          </w:p>
        </w:tc>
        <w:tc>
          <w:tcPr>
            <w:tcW w:w="240" w:type="pct"/>
            <w:tcBorders>
              <w:top w:val="nil"/>
              <w:left w:val="nil"/>
              <w:bottom w:val="nil"/>
              <w:right w:val="nil"/>
            </w:tcBorders>
            <w:shd w:val="clear" w:color="auto" w:fill="auto"/>
            <w:noWrap/>
            <w:vAlign w:val="center"/>
            <w:hideMark/>
          </w:tcPr>
          <w:p w14:paraId="4EB9B9F7"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r>
      <w:tr w:rsidR="00EF2570" w:rsidRPr="0076589C" w14:paraId="443E6507" w14:textId="77777777" w:rsidTr="1C8D6E3A">
        <w:trPr>
          <w:trHeight w:val="260"/>
        </w:trPr>
        <w:tc>
          <w:tcPr>
            <w:tcW w:w="1519" w:type="pct"/>
            <w:tcBorders>
              <w:top w:val="nil"/>
              <w:left w:val="nil"/>
              <w:bottom w:val="nil"/>
              <w:right w:val="nil"/>
            </w:tcBorders>
            <w:shd w:val="clear" w:color="auto" w:fill="auto"/>
            <w:noWrap/>
            <w:vAlign w:val="bottom"/>
            <w:hideMark/>
          </w:tcPr>
          <w:p w14:paraId="5B1B72AE" w14:textId="77777777" w:rsidR="00EF2570" w:rsidRPr="0076589C" w:rsidRDefault="1C8D6E3A" w:rsidP="1C8D6E3A">
            <w:pPr>
              <w:spacing w:after="0" w:line="240" w:lineRule="auto"/>
              <w:ind w:left="0" w:firstLineChars="200" w:firstLine="36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Edificios</w:t>
            </w:r>
          </w:p>
        </w:tc>
        <w:tc>
          <w:tcPr>
            <w:tcW w:w="613" w:type="pct"/>
            <w:tcBorders>
              <w:top w:val="nil"/>
              <w:left w:val="nil"/>
              <w:bottom w:val="nil"/>
              <w:right w:val="nil"/>
            </w:tcBorders>
            <w:shd w:val="clear" w:color="auto" w:fill="auto"/>
            <w:noWrap/>
            <w:vAlign w:val="bottom"/>
            <w:hideMark/>
          </w:tcPr>
          <w:p w14:paraId="470B59F9"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884,356.94 </w:t>
            </w:r>
          </w:p>
        </w:tc>
        <w:tc>
          <w:tcPr>
            <w:tcW w:w="240" w:type="pct"/>
            <w:tcBorders>
              <w:top w:val="nil"/>
              <w:left w:val="nil"/>
              <w:bottom w:val="nil"/>
              <w:right w:val="nil"/>
            </w:tcBorders>
            <w:shd w:val="clear" w:color="auto" w:fill="auto"/>
            <w:noWrap/>
            <w:vAlign w:val="center"/>
            <w:hideMark/>
          </w:tcPr>
          <w:p w14:paraId="19877A5A"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7D6DA0D0"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884,356.94 </w:t>
            </w:r>
          </w:p>
        </w:tc>
        <w:tc>
          <w:tcPr>
            <w:tcW w:w="309" w:type="pct"/>
            <w:tcBorders>
              <w:top w:val="nil"/>
              <w:left w:val="nil"/>
              <w:bottom w:val="nil"/>
              <w:right w:val="nil"/>
            </w:tcBorders>
            <w:shd w:val="clear" w:color="auto" w:fill="auto"/>
            <w:noWrap/>
            <w:vAlign w:val="center"/>
            <w:hideMark/>
          </w:tcPr>
          <w:p w14:paraId="71BF4EC2"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533D6AC7"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884,356.94 </w:t>
            </w:r>
          </w:p>
        </w:tc>
        <w:tc>
          <w:tcPr>
            <w:tcW w:w="240" w:type="pct"/>
            <w:tcBorders>
              <w:top w:val="nil"/>
              <w:left w:val="nil"/>
              <w:bottom w:val="nil"/>
              <w:right w:val="nil"/>
            </w:tcBorders>
            <w:shd w:val="clear" w:color="auto" w:fill="auto"/>
            <w:noWrap/>
            <w:vAlign w:val="bottom"/>
            <w:hideMark/>
          </w:tcPr>
          <w:p w14:paraId="76362955"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16DCA84E"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884,356.94 </w:t>
            </w:r>
          </w:p>
        </w:tc>
        <w:tc>
          <w:tcPr>
            <w:tcW w:w="240" w:type="pct"/>
            <w:tcBorders>
              <w:top w:val="nil"/>
              <w:left w:val="nil"/>
              <w:bottom w:val="nil"/>
              <w:right w:val="nil"/>
            </w:tcBorders>
            <w:shd w:val="clear" w:color="auto" w:fill="auto"/>
            <w:noWrap/>
            <w:vAlign w:val="center"/>
            <w:hideMark/>
          </w:tcPr>
          <w:p w14:paraId="2A3166B8"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r>
      <w:tr w:rsidR="00EF2570" w:rsidRPr="0076589C" w14:paraId="792251A9" w14:textId="77777777" w:rsidTr="1C8D6E3A">
        <w:trPr>
          <w:trHeight w:val="260"/>
        </w:trPr>
        <w:tc>
          <w:tcPr>
            <w:tcW w:w="1519" w:type="pct"/>
            <w:tcBorders>
              <w:top w:val="nil"/>
              <w:left w:val="nil"/>
              <w:bottom w:val="nil"/>
              <w:right w:val="nil"/>
            </w:tcBorders>
            <w:shd w:val="clear" w:color="auto" w:fill="auto"/>
            <w:noWrap/>
            <w:vAlign w:val="bottom"/>
            <w:hideMark/>
          </w:tcPr>
          <w:p w14:paraId="28B6A29F" w14:textId="77777777" w:rsidR="00EF2570" w:rsidRPr="0076589C" w:rsidRDefault="1C8D6E3A" w:rsidP="1C8D6E3A">
            <w:pPr>
              <w:spacing w:after="0" w:line="240" w:lineRule="auto"/>
              <w:ind w:left="0" w:firstLineChars="200" w:firstLine="36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Maquinaria y Equipo</w:t>
            </w:r>
          </w:p>
        </w:tc>
        <w:tc>
          <w:tcPr>
            <w:tcW w:w="613" w:type="pct"/>
            <w:tcBorders>
              <w:top w:val="nil"/>
              <w:left w:val="nil"/>
              <w:bottom w:val="nil"/>
              <w:right w:val="nil"/>
            </w:tcBorders>
            <w:shd w:val="clear" w:color="auto" w:fill="auto"/>
            <w:noWrap/>
            <w:vAlign w:val="bottom"/>
            <w:hideMark/>
          </w:tcPr>
          <w:p w14:paraId="018988E1"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2,795,134.12 </w:t>
            </w:r>
          </w:p>
        </w:tc>
        <w:tc>
          <w:tcPr>
            <w:tcW w:w="240" w:type="pct"/>
            <w:tcBorders>
              <w:top w:val="nil"/>
              <w:left w:val="nil"/>
              <w:bottom w:val="nil"/>
              <w:right w:val="nil"/>
            </w:tcBorders>
            <w:shd w:val="clear" w:color="auto" w:fill="auto"/>
            <w:noWrap/>
            <w:vAlign w:val="center"/>
            <w:hideMark/>
          </w:tcPr>
          <w:p w14:paraId="1454CE6C"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147FBEEF"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2,795,134.12 </w:t>
            </w:r>
          </w:p>
        </w:tc>
        <w:tc>
          <w:tcPr>
            <w:tcW w:w="309" w:type="pct"/>
            <w:tcBorders>
              <w:top w:val="nil"/>
              <w:left w:val="nil"/>
              <w:bottom w:val="nil"/>
              <w:right w:val="nil"/>
            </w:tcBorders>
            <w:shd w:val="clear" w:color="auto" w:fill="auto"/>
            <w:noWrap/>
            <w:vAlign w:val="center"/>
            <w:hideMark/>
          </w:tcPr>
          <w:p w14:paraId="03CC908F"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59D282D8"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2,795,134.12 </w:t>
            </w:r>
          </w:p>
        </w:tc>
        <w:tc>
          <w:tcPr>
            <w:tcW w:w="240" w:type="pct"/>
            <w:tcBorders>
              <w:top w:val="nil"/>
              <w:left w:val="nil"/>
              <w:bottom w:val="nil"/>
              <w:right w:val="nil"/>
            </w:tcBorders>
            <w:shd w:val="clear" w:color="auto" w:fill="auto"/>
            <w:noWrap/>
            <w:vAlign w:val="bottom"/>
            <w:hideMark/>
          </w:tcPr>
          <w:p w14:paraId="7BF28633"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22134013"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2,795,134.12 </w:t>
            </w:r>
          </w:p>
        </w:tc>
        <w:tc>
          <w:tcPr>
            <w:tcW w:w="240" w:type="pct"/>
            <w:tcBorders>
              <w:top w:val="nil"/>
              <w:left w:val="nil"/>
              <w:bottom w:val="nil"/>
              <w:right w:val="nil"/>
            </w:tcBorders>
            <w:shd w:val="clear" w:color="auto" w:fill="auto"/>
            <w:noWrap/>
            <w:vAlign w:val="center"/>
            <w:hideMark/>
          </w:tcPr>
          <w:p w14:paraId="578DE1F5"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r>
      <w:tr w:rsidR="00EF2570" w:rsidRPr="0076589C" w14:paraId="4F04CF99" w14:textId="77777777" w:rsidTr="1C8D6E3A">
        <w:trPr>
          <w:trHeight w:val="260"/>
        </w:trPr>
        <w:tc>
          <w:tcPr>
            <w:tcW w:w="1519" w:type="pct"/>
            <w:tcBorders>
              <w:top w:val="nil"/>
              <w:left w:val="nil"/>
              <w:bottom w:val="nil"/>
              <w:right w:val="nil"/>
            </w:tcBorders>
            <w:shd w:val="clear" w:color="auto" w:fill="auto"/>
            <w:noWrap/>
            <w:vAlign w:val="bottom"/>
            <w:hideMark/>
          </w:tcPr>
          <w:p w14:paraId="34A3C28C" w14:textId="77777777" w:rsidR="00EF2570" w:rsidRPr="0076589C" w:rsidRDefault="1C8D6E3A" w:rsidP="1C8D6E3A">
            <w:pPr>
              <w:spacing w:after="0" w:line="240" w:lineRule="auto"/>
              <w:ind w:left="0" w:firstLineChars="200" w:firstLine="36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Depreciación Acumulada de Maquinaria</w:t>
            </w:r>
          </w:p>
        </w:tc>
        <w:tc>
          <w:tcPr>
            <w:tcW w:w="613" w:type="pct"/>
            <w:tcBorders>
              <w:top w:val="nil"/>
              <w:left w:val="nil"/>
              <w:bottom w:val="nil"/>
              <w:right w:val="nil"/>
            </w:tcBorders>
            <w:shd w:val="clear" w:color="auto" w:fill="auto"/>
            <w:noWrap/>
            <w:vAlign w:val="bottom"/>
            <w:hideMark/>
          </w:tcPr>
          <w:p w14:paraId="096B3BF8"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-L          101,077.83 </w:t>
            </w:r>
          </w:p>
        </w:tc>
        <w:tc>
          <w:tcPr>
            <w:tcW w:w="240" w:type="pct"/>
            <w:tcBorders>
              <w:top w:val="nil"/>
              <w:left w:val="nil"/>
              <w:bottom w:val="nil"/>
              <w:right w:val="nil"/>
            </w:tcBorders>
            <w:shd w:val="clear" w:color="auto" w:fill="auto"/>
            <w:noWrap/>
            <w:vAlign w:val="center"/>
            <w:hideMark/>
          </w:tcPr>
          <w:p w14:paraId="71E85B07"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79F915BF"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-L          101,077.83 </w:t>
            </w:r>
          </w:p>
        </w:tc>
        <w:tc>
          <w:tcPr>
            <w:tcW w:w="309" w:type="pct"/>
            <w:tcBorders>
              <w:top w:val="nil"/>
              <w:left w:val="nil"/>
              <w:bottom w:val="nil"/>
              <w:right w:val="nil"/>
            </w:tcBorders>
            <w:shd w:val="clear" w:color="auto" w:fill="auto"/>
            <w:noWrap/>
            <w:vAlign w:val="center"/>
            <w:hideMark/>
          </w:tcPr>
          <w:p w14:paraId="63C44A7A"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7C6A2187"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-L          101,077.83 </w:t>
            </w:r>
          </w:p>
        </w:tc>
        <w:tc>
          <w:tcPr>
            <w:tcW w:w="240" w:type="pct"/>
            <w:tcBorders>
              <w:top w:val="nil"/>
              <w:left w:val="nil"/>
              <w:bottom w:val="nil"/>
              <w:right w:val="nil"/>
            </w:tcBorders>
            <w:shd w:val="clear" w:color="auto" w:fill="auto"/>
            <w:noWrap/>
            <w:vAlign w:val="bottom"/>
            <w:hideMark/>
          </w:tcPr>
          <w:p w14:paraId="0E9537E0"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0D8D3B5C"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-L          101,077.83 </w:t>
            </w:r>
          </w:p>
        </w:tc>
        <w:tc>
          <w:tcPr>
            <w:tcW w:w="240" w:type="pct"/>
            <w:tcBorders>
              <w:top w:val="nil"/>
              <w:left w:val="nil"/>
              <w:bottom w:val="nil"/>
              <w:right w:val="nil"/>
            </w:tcBorders>
            <w:shd w:val="clear" w:color="auto" w:fill="auto"/>
            <w:noWrap/>
            <w:vAlign w:val="center"/>
            <w:hideMark/>
          </w:tcPr>
          <w:p w14:paraId="7E2AE7A0"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r>
      <w:tr w:rsidR="00EF2570" w:rsidRPr="0076589C" w14:paraId="5CE50EFC" w14:textId="77777777" w:rsidTr="1C8D6E3A">
        <w:trPr>
          <w:trHeight w:val="260"/>
        </w:trPr>
        <w:tc>
          <w:tcPr>
            <w:tcW w:w="1519" w:type="pct"/>
            <w:tcBorders>
              <w:top w:val="nil"/>
              <w:left w:val="nil"/>
              <w:bottom w:val="nil"/>
              <w:right w:val="nil"/>
            </w:tcBorders>
            <w:shd w:val="clear" w:color="auto" w:fill="auto"/>
            <w:noWrap/>
            <w:vAlign w:val="bottom"/>
            <w:hideMark/>
          </w:tcPr>
          <w:p w14:paraId="069CFEC5" w14:textId="77777777" w:rsidR="00EF2570" w:rsidRPr="0076589C" w:rsidRDefault="1C8D6E3A" w:rsidP="1C8D6E3A">
            <w:pPr>
              <w:spacing w:after="0" w:line="240" w:lineRule="auto"/>
              <w:ind w:left="0" w:firstLineChars="200" w:firstLine="36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Mobiliario y Equipo</w:t>
            </w:r>
          </w:p>
        </w:tc>
        <w:tc>
          <w:tcPr>
            <w:tcW w:w="613" w:type="pct"/>
            <w:tcBorders>
              <w:top w:val="nil"/>
              <w:left w:val="nil"/>
              <w:bottom w:val="nil"/>
              <w:right w:val="nil"/>
            </w:tcBorders>
            <w:shd w:val="clear" w:color="auto" w:fill="auto"/>
            <w:noWrap/>
            <w:vAlign w:val="bottom"/>
            <w:hideMark/>
          </w:tcPr>
          <w:p w14:paraId="4FE68B68"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434,208.51 </w:t>
            </w:r>
          </w:p>
        </w:tc>
        <w:tc>
          <w:tcPr>
            <w:tcW w:w="240" w:type="pct"/>
            <w:tcBorders>
              <w:top w:val="nil"/>
              <w:left w:val="nil"/>
              <w:bottom w:val="nil"/>
              <w:right w:val="nil"/>
            </w:tcBorders>
            <w:shd w:val="clear" w:color="auto" w:fill="auto"/>
            <w:noWrap/>
            <w:vAlign w:val="center"/>
            <w:hideMark/>
          </w:tcPr>
          <w:p w14:paraId="5A7EE554"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5130AB78"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434,208.51 </w:t>
            </w:r>
          </w:p>
        </w:tc>
        <w:tc>
          <w:tcPr>
            <w:tcW w:w="309" w:type="pct"/>
            <w:tcBorders>
              <w:top w:val="nil"/>
              <w:left w:val="nil"/>
              <w:bottom w:val="nil"/>
              <w:right w:val="nil"/>
            </w:tcBorders>
            <w:shd w:val="clear" w:color="auto" w:fill="auto"/>
            <w:noWrap/>
            <w:vAlign w:val="center"/>
            <w:hideMark/>
          </w:tcPr>
          <w:p w14:paraId="532F0045"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4D2A4390"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434,208.51 </w:t>
            </w:r>
          </w:p>
        </w:tc>
        <w:tc>
          <w:tcPr>
            <w:tcW w:w="240" w:type="pct"/>
            <w:tcBorders>
              <w:top w:val="nil"/>
              <w:left w:val="nil"/>
              <w:bottom w:val="nil"/>
              <w:right w:val="nil"/>
            </w:tcBorders>
            <w:shd w:val="clear" w:color="auto" w:fill="auto"/>
            <w:noWrap/>
            <w:vAlign w:val="bottom"/>
            <w:hideMark/>
          </w:tcPr>
          <w:p w14:paraId="696EC5C0"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59A539CE"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434,208.51 </w:t>
            </w:r>
          </w:p>
        </w:tc>
        <w:tc>
          <w:tcPr>
            <w:tcW w:w="240" w:type="pct"/>
            <w:tcBorders>
              <w:top w:val="nil"/>
              <w:left w:val="nil"/>
              <w:bottom w:val="nil"/>
              <w:right w:val="nil"/>
            </w:tcBorders>
            <w:shd w:val="clear" w:color="auto" w:fill="auto"/>
            <w:noWrap/>
            <w:vAlign w:val="center"/>
            <w:hideMark/>
          </w:tcPr>
          <w:p w14:paraId="32A7729F"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r>
      <w:tr w:rsidR="00EF2570" w:rsidRPr="0076589C" w14:paraId="669FB27D" w14:textId="77777777" w:rsidTr="1C8D6E3A">
        <w:trPr>
          <w:trHeight w:val="260"/>
        </w:trPr>
        <w:tc>
          <w:tcPr>
            <w:tcW w:w="1519" w:type="pct"/>
            <w:tcBorders>
              <w:top w:val="nil"/>
              <w:left w:val="nil"/>
              <w:bottom w:val="nil"/>
              <w:right w:val="nil"/>
            </w:tcBorders>
            <w:shd w:val="clear" w:color="auto" w:fill="auto"/>
            <w:noWrap/>
            <w:vAlign w:val="bottom"/>
            <w:hideMark/>
          </w:tcPr>
          <w:p w14:paraId="5A7CAF7D" w14:textId="77777777" w:rsidR="00EF2570" w:rsidRPr="0076589C" w:rsidRDefault="1C8D6E3A" w:rsidP="1C8D6E3A">
            <w:pPr>
              <w:spacing w:after="0" w:line="240" w:lineRule="auto"/>
              <w:ind w:left="0" w:firstLineChars="200" w:firstLine="36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Depreciación Acumulada de Mobiliario</w:t>
            </w:r>
          </w:p>
        </w:tc>
        <w:tc>
          <w:tcPr>
            <w:tcW w:w="613" w:type="pct"/>
            <w:tcBorders>
              <w:top w:val="nil"/>
              <w:left w:val="nil"/>
              <w:bottom w:val="nil"/>
              <w:right w:val="nil"/>
            </w:tcBorders>
            <w:shd w:val="clear" w:color="auto" w:fill="auto"/>
            <w:noWrap/>
            <w:vAlign w:val="bottom"/>
            <w:hideMark/>
          </w:tcPr>
          <w:p w14:paraId="7C65355C"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-L          112,658.37 </w:t>
            </w:r>
          </w:p>
        </w:tc>
        <w:tc>
          <w:tcPr>
            <w:tcW w:w="240" w:type="pct"/>
            <w:tcBorders>
              <w:top w:val="nil"/>
              <w:left w:val="nil"/>
              <w:bottom w:val="nil"/>
              <w:right w:val="nil"/>
            </w:tcBorders>
            <w:shd w:val="clear" w:color="auto" w:fill="auto"/>
            <w:noWrap/>
            <w:vAlign w:val="center"/>
            <w:hideMark/>
          </w:tcPr>
          <w:p w14:paraId="51BCFA4A"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59DACA10"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-L          287,354.10 </w:t>
            </w:r>
          </w:p>
        </w:tc>
        <w:tc>
          <w:tcPr>
            <w:tcW w:w="309" w:type="pct"/>
            <w:tcBorders>
              <w:top w:val="nil"/>
              <w:left w:val="nil"/>
              <w:bottom w:val="nil"/>
              <w:right w:val="nil"/>
            </w:tcBorders>
            <w:shd w:val="clear" w:color="auto" w:fill="auto"/>
            <w:noWrap/>
            <w:vAlign w:val="center"/>
            <w:hideMark/>
          </w:tcPr>
          <w:p w14:paraId="3986B835"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255%</w:t>
            </w:r>
          </w:p>
        </w:tc>
        <w:tc>
          <w:tcPr>
            <w:tcW w:w="613" w:type="pct"/>
            <w:tcBorders>
              <w:top w:val="nil"/>
              <w:left w:val="nil"/>
              <w:bottom w:val="nil"/>
              <w:right w:val="nil"/>
            </w:tcBorders>
            <w:shd w:val="clear" w:color="auto" w:fill="auto"/>
            <w:noWrap/>
            <w:vAlign w:val="bottom"/>
            <w:hideMark/>
          </w:tcPr>
          <w:p w14:paraId="00558E6B"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-L          287,354.10 </w:t>
            </w:r>
          </w:p>
        </w:tc>
        <w:tc>
          <w:tcPr>
            <w:tcW w:w="240" w:type="pct"/>
            <w:tcBorders>
              <w:top w:val="nil"/>
              <w:left w:val="nil"/>
              <w:bottom w:val="nil"/>
              <w:right w:val="nil"/>
            </w:tcBorders>
            <w:shd w:val="clear" w:color="auto" w:fill="auto"/>
            <w:noWrap/>
            <w:vAlign w:val="bottom"/>
            <w:hideMark/>
          </w:tcPr>
          <w:p w14:paraId="6D454515"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157828E6"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-L          429,866.42 </w:t>
            </w:r>
          </w:p>
        </w:tc>
        <w:tc>
          <w:tcPr>
            <w:tcW w:w="240" w:type="pct"/>
            <w:tcBorders>
              <w:top w:val="nil"/>
              <w:left w:val="nil"/>
              <w:bottom w:val="nil"/>
              <w:right w:val="nil"/>
            </w:tcBorders>
            <w:shd w:val="clear" w:color="auto" w:fill="auto"/>
            <w:noWrap/>
            <w:vAlign w:val="center"/>
            <w:hideMark/>
          </w:tcPr>
          <w:p w14:paraId="3DC5C191"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150%</w:t>
            </w:r>
          </w:p>
        </w:tc>
      </w:tr>
      <w:tr w:rsidR="00EF2570" w:rsidRPr="0076589C" w14:paraId="47FFFB6A" w14:textId="77777777" w:rsidTr="1C8D6E3A">
        <w:trPr>
          <w:trHeight w:val="260"/>
        </w:trPr>
        <w:tc>
          <w:tcPr>
            <w:tcW w:w="1519" w:type="pct"/>
            <w:tcBorders>
              <w:top w:val="nil"/>
              <w:left w:val="nil"/>
              <w:bottom w:val="nil"/>
              <w:right w:val="nil"/>
            </w:tcBorders>
            <w:shd w:val="clear" w:color="auto" w:fill="auto"/>
            <w:noWrap/>
            <w:vAlign w:val="bottom"/>
            <w:hideMark/>
          </w:tcPr>
          <w:p w14:paraId="178F44F2" w14:textId="77777777" w:rsidR="00EF2570" w:rsidRPr="0076589C" w:rsidRDefault="1C8D6E3A" w:rsidP="1C8D6E3A">
            <w:pPr>
              <w:spacing w:after="0" w:line="240" w:lineRule="auto"/>
              <w:ind w:left="0" w:firstLineChars="200" w:firstLine="36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Mejoras e Instalaciones</w:t>
            </w:r>
          </w:p>
        </w:tc>
        <w:tc>
          <w:tcPr>
            <w:tcW w:w="613" w:type="pct"/>
            <w:tcBorders>
              <w:top w:val="nil"/>
              <w:left w:val="nil"/>
              <w:bottom w:val="nil"/>
              <w:right w:val="nil"/>
            </w:tcBorders>
            <w:shd w:val="clear" w:color="auto" w:fill="auto"/>
            <w:noWrap/>
            <w:vAlign w:val="bottom"/>
            <w:hideMark/>
          </w:tcPr>
          <w:p w14:paraId="6E54C217"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100,720.01 </w:t>
            </w:r>
          </w:p>
        </w:tc>
        <w:tc>
          <w:tcPr>
            <w:tcW w:w="240" w:type="pct"/>
            <w:tcBorders>
              <w:top w:val="nil"/>
              <w:left w:val="nil"/>
              <w:bottom w:val="nil"/>
              <w:right w:val="nil"/>
            </w:tcBorders>
            <w:shd w:val="clear" w:color="auto" w:fill="auto"/>
            <w:noWrap/>
            <w:vAlign w:val="center"/>
            <w:hideMark/>
          </w:tcPr>
          <w:p w14:paraId="44A6E5D0"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51CB4756"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100,720.01 </w:t>
            </w:r>
          </w:p>
        </w:tc>
        <w:tc>
          <w:tcPr>
            <w:tcW w:w="309" w:type="pct"/>
            <w:tcBorders>
              <w:top w:val="nil"/>
              <w:left w:val="nil"/>
              <w:bottom w:val="nil"/>
              <w:right w:val="nil"/>
            </w:tcBorders>
            <w:shd w:val="clear" w:color="auto" w:fill="auto"/>
            <w:noWrap/>
            <w:vAlign w:val="center"/>
            <w:hideMark/>
          </w:tcPr>
          <w:p w14:paraId="7E7C81DC"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098ECA0A"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100,720.01 </w:t>
            </w:r>
          </w:p>
        </w:tc>
        <w:tc>
          <w:tcPr>
            <w:tcW w:w="240" w:type="pct"/>
            <w:tcBorders>
              <w:top w:val="nil"/>
              <w:left w:val="nil"/>
              <w:bottom w:val="nil"/>
              <w:right w:val="nil"/>
            </w:tcBorders>
            <w:shd w:val="clear" w:color="auto" w:fill="auto"/>
            <w:noWrap/>
            <w:vAlign w:val="bottom"/>
            <w:hideMark/>
          </w:tcPr>
          <w:p w14:paraId="45E99183"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2C802B0E"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100,720.01 </w:t>
            </w:r>
          </w:p>
        </w:tc>
        <w:tc>
          <w:tcPr>
            <w:tcW w:w="240" w:type="pct"/>
            <w:tcBorders>
              <w:top w:val="nil"/>
              <w:left w:val="nil"/>
              <w:bottom w:val="nil"/>
              <w:right w:val="nil"/>
            </w:tcBorders>
            <w:shd w:val="clear" w:color="auto" w:fill="auto"/>
            <w:noWrap/>
            <w:vAlign w:val="center"/>
            <w:hideMark/>
          </w:tcPr>
          <w:p w14:paraId="4C00711B"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r>
      <w:tr w:rsidR="00EF2570" w:rsidRPr="0076589C" w14:paraId="1A018FD4" w14:textId="77777777" w:rsidTr="1C8D6E3A">
        <w:trPr>
          <w:trHeight w:val="270"/>
        </w:trPr>
        <w:tc>
          <w:tcPr>
            <w:tcW w:w="1519" w:type="pct"/>
            <w:tcBorders>
              <w:top w:val="nil"/>
              <w:left w:val="nil"/>
              <w:bottom w:val="double" w:sz="6" w:space="0" w:color="auto"/>
              <w:right w:val="nil"/>
            </w:tcBorders>
            <w:shd w:val="clear" w:color="auto" w:fill="auto"/>
            <w:noWrap/>
            <w:vAlign w:val="bottom"/>
            <w:hideMark/>
          </w:tcPr>
          <w:p w14:paraId="425CECD8" w14:textId="77777777" w:rsidR="00EF2570" w:rsidRPr="0076589C" w:rsidRDefault="1C8D6E3A" w:rsidP="1C8D6E3A">
            <w:pPr>
              <w:spacing w:after="0" w:line="240" w:lineRule="auto"/>
              <w:ind w:left="0" w:firstLineChars="200" w:firstLine="36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Amortización Acumulada de Instalaciones</w:t>
            </w:r>
          </w:p>
        </w:tc>
        <w:tc>
          <w:tcPr>
            <w:tcW w:w="613" w:type="pct"/>
            <w:tcBorders>
              <w:top w:val="nil"/>
              <w:left w:val="nil"/>
              <w:bottom w:val="double" w:sz="6" w:space="0" w:color="auto"/>
              <w:right w:val="nil"/>
            </w:tcBorders>
            <w:shd w:val="clear" w:color="auto" w:fill="auto"/>
            <w:noWrap/>
            <w:vAlign w:val="bottom"/>
            <w:hideMark/>
          </w:tcPr>
          <w:p w14:paraId="01F7046C"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-L            94,245.14 </w:t>
            </w:r>
          </w:p>
        </w:tc>
        <w:tc>
          <w:tcPr>
            <w:tcW w:w="240" w:type="pct"/>
            <w:tcBorders>
              <w:top w:val="nil"/>
              <w:left w:val="nil"/>
              <w:bottom w:val="double" w:sz="6" w:space="0" w:color="auto"/>
              <w:right w:val="nil"/>
            </w:tcBorders>
            <w:shd w:val="clear" w:color="auto" w:fill="auto"/>
            <w:noWrap/>
            <w:vAlign w:val="center"/>
            <w:hideMark/>
          </w:tcPr>
          <w:p w14:paraId="7C715090"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double" w:sz="6" w:space="0" w:color="auto"/>
              <w:right w:val="nil"/>
            </w:tcBorders>
            <w:shd w:val="clear" w:color="auto" w:fill="auto"/>
            <w:noWrap/>
            <w:vAlign w:val="bottom"/>
            <w:hideMark/>
          </w:tcPr>
          <w:p w14:paraId="222CA066"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-L            94,245.14 </w:t>
            </w:r>
          </w:p>
        </w:tc>
        <w:tc>
          <w:tcPr>
            <w:tcW w:w="309" w:type="pct"/>
            <w:tcBorders>
              <w:top w:val="nil"/>
              <w:left w:val="nil"/>
              <w:bottom w:val="double" w:sz="6" w:space="0" w:color="auto"/>
              <w:right w:val="nil"/>
            </w:tcBorders>
            <w:shd w:val="clear" w:color="auto" w:fill="auto"/>
            <w:noWrap/>
            <w:vAlign w:val="center"/>
            <w:hideMark/>
          </w:tcPr>
          <w:p w14:paraId="25122BD1"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double" w:sz="6" w:space="0" w:color="auto"/>
              <w:right w:val="nil"/>
            </w:tcBorders>
            <w:shd w:val="clear" w:color="auto" w:fill="auto"/>
            <w:noWrap/>
            <w:vAlign w:val="bottom"/>
            <w:hideMark/>
          </w:tcPr>
          <w:p w14:paraId="4527C4B2"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-L            94,245.14 </w:t>
            </w:r>
          </w:p>
        </w:tc>
        <w:tc>
          <w:tcPr>
            <w:tcW w:w="240" w:type="pct"/>
            <w:tcBorders>
              <w:top w:val="nil"/>
              <w:left w:val="nil"/>
              <w:bottom w:val="double" w:sz="6" w:space="0" w:color="auto"/>
              <w:right w:val="nil"/>
            </w:tcBorders>
            <w:shd w:val="clear" w:color="auto" w:fill="auto"/>
            <w:noWrap/>
            <w:vAlign w:val="bottom"/>
            <w:hideMark/>
          </w:tcPr>
          <w:p w14:paraId="21B1BD5A"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double" w:sz="6" w:space="0" w:color="auto"/>
              <w:right w:val="nil"/>
            </w:tcBorders>
            <w:shd w:val="clear" w:color="auto" w:fill="auto"/>
            <w:noWrap/>
            <w:vAlign w:val="bottom"/>
            <w:hideMark/>
          </w:tcPr>
          <w:p w14:paraId="3AB9F39F"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-L            94,245.14 </w:t>
            </w:r>
          </w:p>
        </w:tc>
        <w:tc>
          <w:tcPr>
            <w:tcW w:w="240" w:type="pct"/>
            <w:tcBorders>
              <w:top w:val="nil"/>
              <w:left w:val="nil"/>
              <w:bottom w:val="double" w:sz="6" w:space="0" w:color="auto"/>
              <w:right w:val="nil"/>
            </w:tcBorders>
            <w:shd w:val="clear" w:color="auto" w:fill="auto"/>
            <w:noWrap/>
            <w:vAlign w:val="center"/>
            <w:hideMark/>
          </w:tcPr>
          <w:p w14:paraId="0AC3F102"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r>
      <w:tr w:rsidR="00EF2570" w:rsidRPr="0076589C" w14:paraId="5F33BC61" w14:textId="77777777" w:rsidTr="1C8D6E3A">
        <w:trPr>
          <w:trHeight w:val="270"/>
        </w:trPr>
        <w:tc>
          <w:tcPr>
            <w:tcW w:w="1519" w:type="pct"/>
            <w:tcBorders>
              <w:top w:val="nil"/>
              <w:left w:val="nil"/>
              <w:bottom w:val="nil"/>
              <w:right w:val="nil"/>
            </w:tcBorders>
            <w:shd w:val="clear" w:color="auto" w:fill="auto"/>
            <w:noWrap/>
            <w:vAlign w:val="bottom"/>
            <w:hideMark/>
          </w:tcPr>
          <w:p w14:paraId="48F77109" w14:textId="77777777" w:rsidR="00EF2570" w:rsidRPr="0076589C" w:rsidRDefault="1C8D6E3A" w:rsidP="1C8D6E3A">
            <w:pPr>
              <w:spacing w:after="0" w:line="240" w:lineRule="auto"/>
              <w:ind w:left="0" w:firstLineChars="100" w:firstLine="181"/>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Total Activos Fijos</w:t>
            </w:r>
          </w:p>
        </w:tc>
        <w:tc>
          <w:tcPr>
            <w:tcW w:w="613" w:type="pct"/>
            <w:tcBorders>
              <w:top w:val="nil"/>
              <w:left w:val="nil"/>
              <w:bottom w:val="nil"/>
              <w:right w:val="nil"/>
            </w:tcBorders>
            <w:shd w:val="clear" w:color="auto" w:fill="auto"/>
            <w:noWrap/>
            <w:vAlign w:val="bottom"/>
            <w:hideMark/>
          </w:tcPr>
          <w:p w14:paraId="57B848E0"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3,956,438.24 </w:t>
            </w:r>
          </w:p>
        </w:tc>
        <w:tc>
          <w:tcPr>
            <w:tcW w:w="240" w:type="pct"/>
            <w:tcBorders>
              <w:top w:val="nil"/>
              <w:left w:val="nil"/>
              <w:bottom w:val="nil"/>
              <w:right w:val="nil"/>
            </w:tcBorders>
            <w:shd w:val="clear" w:color="auto" w:fill="auto"/>
            <w:noWrap/>
            <w:vAlign w:val="center"/>
            <w:hideMark/>
          </w:tcPr>
          <w:p w14:paraId="53D094B6"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03E5F412"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3,781,742.51 </w:t>
            </w:r>
          </w:p>
        </w:tc>
        <w:tc>
          <w:tcPr>
            <w:tcW w:w="309" w:type="pct"/>
            <w:tcBorders>
              <w:top w:val="nil"/>
              <w:left w:val="nil"/>
              <w:bottom w:val="nil"/>
              <w:right w:val="nil"/>
            </w:tcBorders>
            <w:shd w:val="clear" w:color="auto" w:fill="auto"/>
            <w:noWrap/>
            <w:vAlign w:val="center"/>
            <w:hideMark/>
          </w:tcPr>
          <w:p w14:paraId="27D103DF"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96%</w:t>
            </w:r>
          </w:p>
        </w:tc>
        <w:tc>
          <w:tcPr>
            <w:tcW w:w="613" w:type="pct"/>
            <w:tcBorders>
              <w:top w:val="nil"/>
              <w:left w:val="nil"/>
              <w:bottom w:val="nil"/>
              <w:right w:val="nil"/>
            </w:tcBorders>
            <w:shd w:val="clear" w:color="auto" w:fill="auto"/>
            <w:noWrap/>
            <w:vAlign w:val="bottom"/>
            <w:hideMark/>
          </w:tcPr>
          <w:p w14:paraId="188E57BB"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3,781,742.51 </w:t>
            </w:r>
          </w:p>
        </w:tc>
        <w:tc>
          <w:tcPr>
            <w:tcW w:w="240" w:type="pct"/>
            <w:tcBorders>
              <w:top w:val="nil"/>
              <w:left w:val="nil"/>
              <w:bottom w:val="nil"/>
              <w:right w:val="nil"/>
            </w:tcBorders>
            <w:shd w:val="clear" w:color="auto" w:fill="auto"/>
            <w:noWrap/>
            <w:vAlign w:val="bottom"/>
            <w:hideMark/>
          </w:tcPr>
          <w:p w14:paraId="27C872FB"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4FEFDD0D"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3,639,230.19 </w:t>
            </w:r>
          </w:p>
        </w:tc>
        <w:tc>
          <w:tcPr>
            <w:tcW w:w="240" w:type="pct"/>
            <w:tcBorders>
              <w:top w:val="nil"/>
              <w:left w:val="nil"/>
              <w:bottom w:val="nil"/>
              <w:right w:val="nil"/>
            </w:tcBorders>
            <w:shd w:val="clear" w:color="auto" w:fill="auto"/>
            <w:noWrap/>
            <w:vAlign w:val="center"/>
            <w:hideMark/>
          </w:tcPr>
          <w:p w14:paraId="40001BB5"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96%</w:t>
            </w:r>
          </w:p>
        </w:tc>
      </w:tr>
      <w:tr w:rsidR="00EF2570" w:rsidRPr="0076589C" w14:paraId="4FB97EED" w14:textId="77777777" w:rsidTr="1C8D6E3A">
        <w:trPr>
          <w:trHeight w:val="260"/>
        </w:trPr>
        <w:tc>
          <w:tcPr>
            <w:tcW w:w="1519" w:type="pct"/>
            <w:tcBorders>
              <w:top w:val="nil"/>
              <w:left w:val="nil"/>
              <w:bottom w:val="nil"/>
              <w:right w:val="nil"/>
            </w:tcBorders>
            <w:shd w:val="clear" w:color="auto" w:fill="auto"/>
            <w:noWrap/>
            <w:vAlign w:val="bottom"/>
            <w:hideMark/>
          </w:tcPr>
          <w:p w14:paraId="5ECEB5F8" w14:textId="77777777" w:rsidR="00EF2570" w:rsidRPr="0076589C" w:rsidRDefault="00EF2570" w:rsidP="1C8D6E3A">
            <w:pPr>
              <w:spacing w:after="0" w:line="240" w:lineRule="auto"/>
              <w:ind w:left="0"/>
              <w:jc w:val="center"/>
              <w:rPr>
                <w:rFonts w:asciiTheme="minorHAnsi" w:eastAsia="Times New Roman" w:hAnsiTheme="minorHAnsi"/>
                <w:b/>
                <w:bCs/>
                <w:color w:val="000000"/>
                <w:sz w:val="18"/>
                <w:szCs w:val="18"/>
              </w:rPr>
            </w:pPr>
          </w:p>
        </w:tc>
        <w:tc>
          <w:tcPr>
            <w:tcW w:w="613" w:type="pct"/>
            <w:tcBorders>
              <w:top w:val="nil"/>
              <w:left w:val="nil"/>
              <w:bottom w:val="nil"/>
              <w:right w:val="nil"/>
            </w:tcBorders>
            <w:shd w:val="clear" w:color="auto" w:fill="auto"/>
            <w:noWrap/>
            <w:vAlign w:val="bottom"/>
            <w:hideMark/>
          </w:tcPr>
          <w:p w14:paraId="3B27D80A"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center"/>
            <w:hideMark/>
          </w:tcPr>
          <w:p w14:paraId="0297D586"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15E719A6"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309" w:type="pct"/>
            <w:tcBorders>
              <w:top w:val="nil"/>
              <w:left w:val="nil"/>
              <w:bottom w:val="nil"/>
              <w:right w:val="nil"/>
            </w:tcBorders>
            <w:shd w:val="clear" w:color="auto" w:fill="auto"/>
            <w:noWrap/>
            <w:vAlign w:val="center"/>
            <w:hideMark/>
          </w:tcPr>
          <w:p w14:paraId="5DCFAFF9"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039EDCEB"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bottom"/>
            <w:hideMark/>
          </w:tcPr>
          <w:p w14:paraId="008DE7B6"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5EFED767"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center"/>
            <w:hideMark/>
          </w:tcPr>
          <w:p w14:paraId="719A83A7" w14:textId="77777777" w:rsidR="00EF2570" w:rsidRPr="0076589C" w:rsidRDefault="00EF2570" w:rsidP="1C8D6E3A">
            <w:pPr>
              <w:spacing w:after="0" w:line="240" w:lineRule="auto"/>
              <w:ind w:left="0"/>
              <w:rPr>
                <w:rFonts w:asciiTheme="minorHAnsi" w:eastAsia="Times New Roman" w:hAnsiTheme="minorHAnsi"/>
                <w:sz w:val="18"/>
                <w:szCs w:val="18"/>
              </w:rPr>
            </w:pPr>
          </w:p>
        </w:tc>
      </w:tr>
      <w:tr w:rsidR="00EF2570" w:rsidRPr="0076589C" w14:paraId="5E2F239B" w14:textId="77777777" w:rsidTr="1C8D6E3A">
        <w:trPr>
          <w:trHeight w:val="260"/>
        </w:trPr>
        <w:tc>
          <w:tcPr>
            <w:tcW w:w="1519" w:type="pct"/>
            <w:tcBorders>
              <w:top w:val="nil"/>
              <w:left w:val="nil"/>
              <w:bottom w:val="nil"/>
              <w:right w:val="nil"/>
            </w:tcBorders>
            <w:shd w:val="clear" w:color="auto" w:fill="auto"/>
            <w:noWrap/>
            <w:vAlign w:val="bottom"/>
            <w:hideMark/>
          </w:tcPr>
          <w:p w14:paraId="1A471B3F" w14:textId="77777777" w:rsidR="00EF2570" w:rsidRPr="0076589C" w:rsidRDefault="1C8D6E3A" w:rsidP="1C8D6E3A">
            <w:pPr>
              <w:spacing w:after="0" w:line="240" w:lineRule="auto"/>
              <w:ind w:left="0" w:firstLineChars="100" w:firstLine="181"/>
              <w:rPr>
                <w:rFonts w:asciiTheme="minorHAnsi" w:eastAsia="Times New Roman" w:hAnsiTheme="minorHAnsi"/>
                <w:b/>
                <w:bCs/>
                <w:color w:val="000000"/>
                <w:sz w:val="18"/>
                <w:szCs w:val="18"/>
                <w:u w:val="single"/>
              </w:rPr>
            </w:pPr>
            <w:r w:rsidRPr="0076589C">
              <w:rPr>
                <w:rFonts w:asciiTheme="minorHAnsi" w:eastAsia="Times New Roman" w:hAnsiTheme="minorHAnsi"/>
                <w:b/>
                <w:bCs/>
                <w:color w:val="000000" w:themeColor="text1"/>
                <w:sz w:val="18"/>
                <w:szCs w:val="18"/>
                <w:u w:val="single"/>
              </w:rPr>
              <w:t>Otros Activos no Corrientes</w:t>
            </w:r>
          </w:p>
        </w:tc>
        <w:tc>
          <w:tcPr>
            <w:tcW w:w="613" w:type="pct"/>
            <w:tcBorders>
              <w:top w:val="nil"/>
              <w:left w:val="nil"/>
              <w:bottom w:val="nil"/>
              <w:right w:val="nil"/>
            </w:tcBorders>
            <w:shd w:val="clear" w:color="auto" w:fill="auto"/>
            <w:noWrap/>
            <w:vAlign w:val="bottom"/>
            <w:hideMark/>
          </w:tcPr>
          <w:p w14:paraId="34ED0EDD" w14:textId="77777777" w:rsidR="00EF2570" w:rsidRPr="0076589C" w:rsidRDefault="00EF2570" w:rsidP="1C8D6E3A">
            <w:pPr>
              <w:spacing w:after="0" w:line="240" w:lineRule="auto"/>
              <w:ind w:left="0" w:firstLineChars="100" w:firstLine="181"/>
              <w:rPr>
                <w:rFonts w:asciiTheme="minorHAnsi" w:eastAsia="Times New Roman" w:hAnsiTheme="minorHAnsi"/>
                <w:b/>
                <w:bCs/>
                <w:color w:val="000000"/>
                <w:sz w:val="18"/>
                <w:szCs w:val="18"/>
                <w:u w:val="single"/>
              </w:rPr>
            </w:pPr>
          </w:p>
        </w:tc>
        <w:tc>
          <w:tcPr>
            <w:tcW w:w="240" w:type="pct"/>
            <w:tcBorders>
              <w:top w:val="nil"/>
              <w:left w:val="nil"/>
              <w:bottom w:val="nil"/>
              <w:right w:val="nil"/>
            </w:tcBorders>
            <w:shd w:val="clear" w:color="auto" w:fill="auto"/>
            <w:noWrap/>
            <w:vAlign w:val="center"/>
            <w:hideMark/>
          </w:tcPr>
          <w:p w14:paraId="055FF900"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4DE017C4"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309" w:type="pct"/>
            <w:tcBorders>
              <w:top w:val="nil"/>
              <w:left w:val="nil"/>
              <w:bottom w:val="nil"/>
              <w:right w:val="nil"/>
            </w:tcBorders>
            <w:shd w:val="clear" w:color="auto" w:fill="auto"/>
            <w:noWrap/>
            <w:vAlign w:val="center"/>
            <w:hideMark/>
          </w:tcPr>
          <w:p w14:paraId="28FC9ED5"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7E66290B"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bottom"/>
            <w:hideMark/>
          </w:tcPr>
          <w:p w14:paraId="304178C4"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5AC2D516"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center"/>
            <w:hideMark/>
          </w:tcPr>
          <w:p w14:paraId="7F759DAE" w14:textId="77777777" w:rsidR="00EF2570" w:rsidRPr="0076589C" w:rsidRDefault="00EF2570" w:rsidP="1C8D6E3A">
            <w:pPr>
              <w:spacing w:after="0" w:line="240" w:lineRule="auto"/>
              <w:ind w:left="0"/>
              <w:rPr>
                <w:rFonts w:asciiTheme="minorHAnsi" w:eastAsia="Times New Roman" w:hAnsiTheme="minorHAnsi"/>
                <w:sz w:val="18"/>
                <w:szCs w:val="18"/>
              </w:rPr>
            </w:pPr>
          </w:p>
        </w:tc>
      </w:tr>
      <w:tr w:rsidR="00EF2570" w:rsidRPr="0076589C" w14:paraId="31FBBD61" w14:textId="77777777" w:rsidTr="1C8D6E3A">
        <w:trPr>
          <w:trHeight w:val="270"/>
        </w:trPr>
        <w:tc>
          <w:tcPr>
            <w:tcW w:w="1519" w:type="pct"/>
            <w:tcBorders>
              <w:top w:val="nil"/>
              <w:left w:val="nil"/>
              <w:bottom w:val="double" w:sz="6" w:space="0" w:color="auto"/>
              <w:right w:val="nil"/>
            </w:tcBorders>
            <w:shd w:val="clear" w:color="auto" w:fill="auto"/>
            <w:noWrap/>
            <w:vAlign w:val="bottom"/>
            <w:hideMark/>
          </w:tcPr>
          <w:p w14:paraId="5175D3D7" w14:textId="77777777" w:rsidR="00EF2570" w:rsidRPr="0076589C" w:rsidRDefault="1C8D6E3A" w:rsidP="1C8D6E3A">
            <w:pPr>
              <w:spacing w:after="0" w:line="240" w:lineRule="auto"/>
              <w:ind w:left="0" w:firstLineChars="200" w:firstLine="36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Otras Cuentas por Cobrar</w:t>
            </w:r>
          </w:p>
        </w:tc>
        <w:tc>
          <w:tcPr>
            <w:tcW w:w="613" w:type="pct"/>
            <w:tcBorders>
              <w:top w:val="nil"/>
              <w:left w:val="nil"/>
              <w:bottom w:val="double" w:sz="6" w:space="0" w:color="auto"/>
              <w:right w:val="nil"/>
            </w:tcBorders>
            <w:shd w:val="clear" w:color="auto" w:fill="auto"/>
            <w:noWrap/>
            <w:vAlign w:val="bottom"/>
            <w:hideMark/>
          </w:tcPr>
          <w:p w14:paraId="304CB37A"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370,136.84 </w:t>
            </w:r>
          </w:p>
        </w:tc>
        <w:tc>
          <w:tcPr>
            <w:tcW w:w="240" w:type="pct"/>
            <w:tcBorders>
              <w:top w:val="nil"/>
              <w:left w:val="nil"/>
              <w:bottom w:val="double" w:sz="6" w:space="0" w:color="auto"/>
              <w:right w:val="nil"/>
            </w:tcBorders>
            <w:shd w:val="clear" w:color="auto" w:fill="auto"/>
            <w:noWrap/>
            <w:vAlign w:val="center"/>
            <w:hideMark/>
          </w:tcPr>
          <w:p w14:paraId="098E1708"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double" w:sz="6" w:space="0" w:color="auto"/>
              <w:right w:val="nil"/>
            </w:tcBorders>
            <w:shd w:val="clear" w:color="auto" w:fill="auto"/>
            <w:noWrap/>
            <w:vAlign w:val="bottom"/>
            <w:hideMark/>
          </w:tcPr>
          <w:p w14:paraId="2B163ADD"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765,997.04 </w:t>
            </w:r>
          </w:p>
        </w:tc>
        <w:tc>
          <w:tcPr>
            <w:tcW w:w="309" w:type="pct"/>
            <w:tcBorders>
              <w:top w:val="nil"/>
              <w:left w:val="nil"/>
              <w:bottom w:val="double" w:sz="6" w:space="0" w:color="auto"/>
              <w:right w:val="nil"/>
            </w:tcBorders>
            <w:shd w:val="clear" w:color="auto" w:fill="auto"/>
            <w:noWrap/>
            <w:vAlign w:val="center"/>
            <w:hideMark/>
          </w:tcPr>
          <w:p w14:paraId="0EDD0987"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207%</w:t>
            </w:r>
          </w:p>
        </w:tc>
        <w:tc>
          <w:tcPr>
            <w:tcW w:w="613" w:type="pct"/>
            <w:tcBorders>
              <w:top w:val="nil"/>
              <w:left w:val="nil"/>
              <w:bottom w:val="double" w:sz="6" w:space="0" w:color="auto"/>
              <w:right w:val="nil"/>
            </w:tcBorders>
            <w:shd w:val="clear" w:color="auto" w:fill="auto"/>
            <w:noWrap/>
            <w:vAlign w:val="bottom"/>
            <w:hideMark/>
          </w:tcPr>
          <w:p w14:paraId="50C34055"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690,525.41 </w:t>
            </w:r>
          </w:p>
        </w:tc>
        <w:tc>
          <w:tcPr>
            <w:tcW w:w="240" w:type="pct"/>
            <w:tcBorders>
              <w:top w:val="nil"/>
              <w:left w:val="nil"/>
              <w:bottom w:val="double" w:sz="6" w:space="0" w:color="auto"/>
              <w:right w:val="nil"/>
            </w:tcBorders>
            <w:shd w:val="clear" w:color="auto" w:fill="auto"/>
            <w:noWrap/>
            <w:vAlign w:val="bottom"/>
            <w:hideMark/>
          </w:tcPr>
          <w:p w14:paraId="6D87D0DF"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90%</w:t>
            </w:r>
          </w:p>
        </w:tc>
        <w:tc>
          <w:tcPr>
            <w:tcW w:w="613" w:type="pct"/>
            <w:tcBorders>
              <w:top w:val="nil"/>
              <w:left w:val="nil"/>
              <w:bottom w:val="double" w:sz="6" w:space="0" w:color="auto"/>
              <w:right w:val="nil"/>
            </w:tcBorders>
            <w:shd w:val="clear" w:color="auto" w:fill="auto"/>
            <w:noWrap/>
            <w:vAlign w:val="bottom"/>
            <w:hideMark/>
          </w:tcPr>
          <w:p w14:paraId="0E64EC9B"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549,004.96 </w:t>
            </w:r>
          </w:p>
        </w:tc>
        <w:tc>
          <w:tcPr>
            <w:tcW w:w="240" w:type="pct"/>
            <w:tcBorders>
              <w:top w:val="nil"/>
              <w:left w:val="nil"/>
              <w:bottom w:val="double" w:sz="6" w:space="0" w:color="auto"/>
              <w:right w:val="nil"/>
            </w:tcBorders>
            <w:shd w:val="clear" w:color="auto" w:fill="auto"/>
            <w:noWrap/>
            <w:vAlign w:val="center"/>
            <w:hideMark/>
          </w:tcPr>
          <w:p w14:paraId="50D5B7DF"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80%</w:t>
            </w:r>
          </w:p>
        </w:tc>
      </w:tr>
      <w:tr w:rsidR="00EF2570" w:rsidRPr="0076589C" w14:paraId="05D2700D" w14:textId="77777777" w:rsidTr="1C8D6E3A">
        <w:trPr>
          <w:trHeight w:val="270"/>
        </w:trPr>
        <w:tc>
          <w:tcPr>
            <w:tcW w:w="1519" w:type="pct"/>
            <w:tcBorders>
              <w:top w:val="nil"/>
              <w:left w:val="nil"/>
              <w:bottom w:val="nil"/>
              <w:right w:val="nil"/>
            </w:tcBorders>
            <w:shd w:val="clear" w:color="auto" w:fill="auto"/>
            <w:noWrap/>
            <w:vAlign w:val="bottom"/>
            <w:hideMark/>
          </w:tcPr>
          <w:p w14:paraId="219D0423" w14:textId="77777777" w:rsidR="00EF2570" w:rsidRPr="0076589C" w:rsidRDefault="1C8D6E3A" w:rsidP="1C8D6E3A">
            <w:pPr>
              <w:spacing w:after="0" w:line="240" w:lineRule="auto"/>
              <w:ind w:left="0" w:firstLineChars="100" w:firstLine="181"/>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Total Activos No Corrientes</w:t>
            </w:r>
          </w:p>
        </w:tc>
        <w:tc>
          <w:tcPr>
            <w:tcW w:w="613" w:type="pct"/>
            <w:tcBorders>
              <w:top w:val="nil"/>
              <w:left w:val="nil"/>
              <w:bottom w:val="nil"/>
              <w:right w:val="nil"/>
            </w:tcBorders>
            <w:shd w:val="clear" w:color="auto" w:fill="auto"/>
            <w:noWrap/>
            <w:vAlign w:val="bottom"/>
            <w:hideMark/>
          </w:tcPr>
          <w:p w14:paraId="1FB47AA6"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4,326,575.08 </w:t>
            </w:r>
          </w:p>
        </w:tc>
        <w:tc>
          <w:tcPr>
            <w:tcW w:w="240" w:type="pct"/>
            <w:tcBorders>
              <w:top w:val="nil"/>
              <w:left w:val="nil"/>
              <w:bottom w:val="nil"/>
              <w:right w:val="nil"/>
            </w:tcBorders>
            <w:shd w:val="clear" w:color="auto" w:fill="auto"/>
            <w:noWrap/>
            <w:vAlign w:val="center"/>
            <w:hideMark/>
          </w:tcPr>
          <w:p w14:paraId="69D1F42A"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3690E280"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4,547,739.55 </w:t>
            </w:r>
          </w:p>
        </w:tc>
        <w:tc>
          <w:tcPr>
            <w:tcW w:w="309" w:type="pct"/>
            <w:tcBorders>
              <w:top w:val="nil"/>
              <w:left w:val="nil"/>
              <w:bottom w:val="nil"/>
              <w:right w:val="nil"/>
            </w:tcBorders>
            <w:shd w:val="clear" w:color="auto" w:fill="auto"/>
            <w:noWrap/>
            <w:vAlign w:val="center"/>
            <w:hideMark/>
          </w:tcPr>
          <w:p w14:paraId="6F4E09E9"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105%</w:t>
            </w:r>
          </w:p>
        </w:tc>
        <w:tc>
          <w:tcPr>
            <w:tcW w:w="613" w:type="pct"/>
            <w:tcBorders>
              <w:top w:val="nil"/>
              <w:left w:val="nil"/>
              <w:bottom w:val="nil"/>
              <w:right w:val="nil"/>
            </w:tcBorders>
            <w:shd w:val="clear" w:color="auto" w:fill="auto"/>
            <w:noWrap/>
            <w:vAlign w:val="bottom"/>
            <w:hideMark/>
          </w:tcPr>
          <w:p w14:paraId="1FDF1F71"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4,472,267.92 </w:t>
            </w:r>
          </w:p>
        </w:tc>
        <w:tc>
          <w:tcPr>
            <w:tcW w:w="240" w:type="pct"/>
            <w:tcBorders>
              <w:top w:val="nil"/>
              <w:left w:val="nil"/>
              <w:bottom w:val="nil"/>
              <w:right w:val="nil"/>
            </w:tcBorders>
            <w:shd w:val="clear" w:color="auto" w:fill="auto"/>
            <w:noWrap/>
            <w:vAlign w:val="bottom"/>
            <w:hideMark/>
          </w:tcPr>
          <w:p w14:paraId="4DC5E5D3"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98%</w:t>
            </w:r>
          </w:p>
        </w:tc>
        <w:tc>
          <w:tcPr>
            <w:tcW w:w="613" w:type="pct"/>
            <w:tcBorders>
              <w:top w:val="nil"/>
              <w:left w:val="nil"/>
              <w:bottom w:val="nil"/>
              <w:right w:val="nil"/>
            </w:tcBorders>
            <w:shd w:val="clear" w:color="auto" w:fill="auto"/>
            <w:noWrap/>
            <w:vAlign w:val="bottom"/>
            <w:hideMark/>
          </w:tcPr>
          <w:p w14:paraId="3C0EBD33"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4,188,235.15 </w:t>
            </w:r>
          </w:p>
        </w:tc>
        <w:tc>
          <w:tcPr>
            <w:tcW w:w="240" w:type="pct"/>
            <w:tcBorders>
              <w:top w:val="nil"/>
              <w:left w:val="nil"/>
              <w:bottom w:val="nil"/>
              <w:right w:val="nil"/>
            </w:tcBorders>
            <w:shd w:val="clear" w:color="auto" w:fill="auto"/>
            <w:noWrap/>
            <w:vAlign w:val="center"/>
            <w:hideMark/>
          </w:tcPr>
          <w:p w14:paraId="1C7D166F"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94%</w:t>
            </w:r>
          </w:p>
        </w:tc>
      </w:tr>
      <w:tr w:rsidR="00EF2570" w:rsidRPr="0076589C" w14:paraId="02E8AE29" w14:textId="77777777" w:rsidTr="1C8D6E3A">
        <w:trPr>
          <w:trHeight w:val="260"/>
        </w:trPr>
        <w:tc>
          <w:tcPr>
            <w:tcW w:w="1519" w:type="pct"/>
            <w:tcBorders>
              <w:top w:val="nil"/>
              <w:left w:val="nil"/>
              <w:bottom w:val="nil"/>
              <w:right w:val="nil"/>
            </w:tcBorders>
            <w:shd w:val="clear" w:color="auto" w:fill="auto"/>
            <w:noWrap/>
            <w:vAlign w:val="bottom"/>
            <w:hideMark/>
          </w:tcPr>
          <w:p w14:paraId="75216063" w14:textId="77777777" w:rsidR="00EF2570" w:rsidRPr="0076589C" w:rsidRDefault="00EF2570" w:rsidP="1C8D6E3A">
            <w:pPr>
              <w:spacing w:after="0" w:line="240" w:lineRule="auto"/>
              <w:ind w:left="0"/>
              <w:jc w:val="center"/>
              <w:rPr>
                <w:rFonts w:asciiTheme="minorHAnsi" w:eastAsia="Times New Roman" w:hAnsiTheme="minorHAnsi"/>
                <w:b/>
                <w:bCs/>
                <w:color w:val="000000"/>
                <w:sz w:val="18"/>
                <w:szCs w:val="18"/>
              </w:rPr>
            </w:pPr>
          </w:p>
        </w:tc>
        <w:tc>
          <w:tcPr>
            <w:tcW w:w="613" w:type="pct"/>
            <w:tcBorders>
              <w:top w:val="nil"/>
              <w:left w:val="nil"/>
              <w:bottom w:val="nil"/>
              <w:right w:val="nil"/>
            </w:tcBorders>
            <w:shd w:val="clear" w:color="auto" w:fill="auto"/>
            <w:noWrap/>
            <w:vAlign w:val="bottom"/>
            <w:hideMark/>
          </w:tcPr>
          <w:p w14:paraId="1C7BA29D" w14:textId="77777777" w:rsidR="00EF2570" w:rsidRPr="0076589C" w:rsidRDefault="00EF2570" w:rsidP="1C8D6E3A">
            <w:pPr>
              <w:spacing w:after="0" w:line="240" w:lineRule="auto"/>
              <w:ind w:left="0" w:firstLineChars="100" w:firstLine="180"/>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center"/>
            <w:hideMark/>
          </w:tcPr>
          <w:p w14:paraId="4E1A2332"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5BC51DEA"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309" w:type="pct"/>
            <w:tcBorders>
              <w:top w:val="nil"/>
              <w:left w:val="nil"/>
              <w:bottom w:val="nil"/>
              <w:right w:val="nil"/>
            </w:tcBorders>
            <w:shd w:val="clear" w:color="auto" w:fill="auto"/>
            <w:noWrap/>
            <w:vAlign w:val="center"/>
            <w:hideMark/>
          </w:tcPr>
          <w:p w14:paraId="3419714D"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4F1C61E6"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bottom"/>
            <w:hideMark/>
          </w:tcPr>
          <w:p w14:paraId="0EE4A6F9"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74E65FF1"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center"/>
            <w:hideMark/>
          </w:tcPr>
          <w:p w14:paraId="44FB9750" w14:textId="77777777" w:rsidR="00EF2570" w:rsidRPr="0076589C" w:rsidRDefault="00EF2570" w:rsidP="1C8D6E3A">
            <w:pPr>
              <w:spacing w:after="0" w:line="240" w:lineRule="auto"/>
              <w:ind w:left="0"/>
              <w:rPr>
                <w:rFonts w:asciiTheme="minorHAnsi" w:eastAsia="Times New Roman" w:hAnsiTheme="minorHAnsi"/>
                <w:sz w:val="18"/>
                <w:szCs w:val="18"/>
              </w:rPr>
            </w:pPr>
          </w:p>
        </w:tc>
      </w:tr>
      <w:tr w:rsidR="00EF2570" w:rsidRPr="0076589C" w14:paraId="73C77567" w14:textId="77777777" w:rsidTr="1C8D6E3A">
        <w:trPr>
          <w:trHeight w:val="260"/>
        </w:trPr>
        <w:tc>
          <w:tcPr>
            <w:tcW w:w="1519" w:type="pct"/>
            <w:tcBorders>
              <w:top w:val="single" w:sz="4" w:space="0" w:color="auto"/>
              <w:left w:val="nil"/>
              <w:bottom w:val="single" w:sz="4" w:space="0" w:color="auto"/>
              <w:right w:val="nil"/>
            </w:tcBorders>
            <w:shd w:val="clear" w:color="auto" w:fill="auto"/>
            <w:noWrap/>
            <w:vAlign w:val="bottom"/>
            <w:hideMark/>
          </w:tcPr>
          <w:p w14:paraId="336E030F" w14:textId="77777777" w:rsidR="00EF2570" w:rsidRPr="0076589C" w:rsidRDefault="1C8D6E3A" w:rsidP="1C8D6E3A">
            <w:pPr>
              <w:spacing w:after="0" w:line="240" w:lineRule="auto"/>
              <w:ind w:left="0" w:firstLineChars="100" w:firstLine="181"/>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Total Activos</w:t>
            </w:r>
          </w:p>
        </w:tc>
        <w:tc>
          <w:tcPr>
            <w:tcW w:w="613" w:type="pct"/>
            <w:tcBorders>
              <w:top w:val="single" w:sz="4" w:space="0" w:color="auto"/>
              <w:left w:val="nil"/>
              <w:bottom w:val="single" w:sz="4" w:space="0" w:color="auto"/>
              <w:right w:val="nil"/>
            </w:tcBorders>
            <w:shd w:val="clear" w:color="auto" w:fill="auto"/>
            <w:noWrap/>
            <w:vAlign w:val="bottom"/>
            <w:hideMark/>
          </w:tcPr>
          <w:p w14:paraId="1E7817B7"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19,024,539.28 </w:t>
            </w:r>
          </w:p>
        </w:tc>
        <w:tc>
          <w:tcPr>
            <w:tcW w:w="240" w:type="pct"/>
            <w:tcBorders>
              <w:top w:val="single" w:sz="4" w:space="0" w:color="auto"/>
              <w:left w:val="nil"/>
              <w:bottom w:val="single" w:sz="4" w:space="0" w:color="auto"/>
              <w:right w:val="nil"/>
            </w:tcBorders>
            <w:shd w:val="clear" w:color="auto" w:fill="auto"/>
            <w:noWrap/>
            <w:vAlign w:val="center"/>
            <w:hideMark/>
          </w:tcPr>
          <w:p w14:paraId="003299FB"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100%</w:t>
            </w:r>
          </w:p>
        </w:tc>
        <w:tc>
          <w:tcPr>
            <w:tcW w:w="613" w:type="pct"/>
            <w:tcBorders>
              <w:top w:val="single" w:sz="4" w:space="0" w:color="auto"/>
              <w:left w:val="nil"/>
              <w:bottom w:val="single" w:sz="4" w:space="0" w:color="auto"/>
              <w:right w:val="nil"/>
            </w:tcBorders>
            <w:shd w:val="clear" w:color="auto" w:fill="auto"/>
            <w:noWrap/>
            <w:vAlign w:val="bottom"/>
            <w:hideMark/>
          </w:tcPr>
          <w:p w14:paraId="3049E523"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19,103,113.19 </w:t>
            </w:r>
          </w:p>
        </w:tc>
        <w:tc>
          <w:tcPr>
            <w:tcW w:w="309" w:type="pct"/>
            <w:tcBorders>
              <w:top w:val="single" w:sz="4" w:space="0" w:color="auto"/>
              <w:left w:val="nil"/>
              <w:bottom w:val="single" w:sz="4" w:space="0" w:color="auto"/>
              <w:right w:val="nil"/>
            </w:tcBorders>
            <w:shd w:val="clear" w:color="auto" w:fill="auto"/>
            <w:noWrap/>
            <w:vAlign w:val="center"/>
            <w:hideMark/>
          </w:tcPr>
          <w:p w14:paraId="1DE836FA"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100%</w:t>
            </w:r>
          </w:p>
        </w:tc>
        <w:tc>
          <w:tcPr>
            <w:tcW w:w="613" w:type="pct"/>
            <w:tcBorders>
              <w:top w:val="single" w:sz="4" w:space="0" w:color="auto"/>
              <w:left w:val="nil"/>
              <w:bottom w:val="single" w:sz="4" w:space="0" w:color="auto"/>
              <w:right w:val="nil"/>
            </w:tcBorders>
            <w:shd w:val="clear" w:color="auto" w:fill="auto"/>
            <w:noWrap/>
            <w:vAlign w:val="bottom"/>
            <w:hideMark/>
          </w:tcPr>
          <w:p w14:paraId="7091CCB7"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21,393,809.22 </w:t>
            </w:r>
          </w:p>
        </w:tc>
        <w:tc>
          <w:tcPr>
            <w:tcW w:w="240" w:type="pct"/>
            <w:tcBorders>
              <w:top w:val="single" w:sz="4" w:space="0" w:color="auto"/>
              <w:left w:val="nil"/>
              <w:bottom w:val="single" w:sz="4" w:space="0" w:color="auto"/>
              <w:right w:val="nil"/>
            </w:tcBorders>
            <w:shd w:val="clear" w:color="auto" w:fill="auto"/>
            <w:noWrap/>
            <w:vAlign w:val="bottom"/>
            <w:hideMark/>
          </w:tcPr>
          <w:p w14:paraId="246775A7"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112%</w:t>
            </w:r>
          </w:p>
        </w:tc>
        <w:tc>
          <w:tcPr>
            <w:tcW w:w="613" w:type="pct"/>
            <w:tcBorders>
              <w:top w:val="single" w:sz="4" w:space="0" w:color="auto"/>
              <w:left w:val="nil"/>
              <w:bottom w:val="single" w:sz="4" w:space="0" w:color="auto"/>
              <w:right w:val="nil"/>
            </w:tcBorders>
            <w:shd w:val="clear" w:color="auto" w:fill="auto"/>
            <w:noWrap/>
            <w:vAlign w:val="bottom"/>
            <w:hideMark/>
          </w:tcPr>
          <w:p w14:paraId="3019542C"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24,423,314.42 </w:t>
            </w:r>
          </w:p>
        </w:tc>
        <w:tc>
          <w:tcPr>
            <w:tcW w:w="240" w:type="pct"/>
            <w:tcBorders>
              <w:top w:val="single" w:sz="4" w:space="0" w:color="auto"/>
              <w:left w:val="nil"/>
              <w:bottom w:val="single" w:sz="4" w:space="0" w:color="auto"/>
              <w:right w:val="nil"/>
            </w:tcBorders>
            <w:shd w:val="clear" w:color="auto" w:fill="auto"/>
            <w:noWrap/>
            <w:vAlign w:val="center"/>
            <w:hideMark/>
          </w:tcPr>
          <w:p w14:paraId="56BEE0EB"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114%</w:t>
            </w:r>
          </w:p>
        </w:tc>
      </w:tr>
      <w:tr w:rsidR="00EF2570" w:rsidRPr="0076589C" w14:paraId="085282D6" w14:textId="77777777" w:rsidTr="1C8D6E3A">
        <w:trPr>
          <w:trHeight w:val="260"/>
        </w:trPr>
        <w:tc>
          <w:tcPr>
            <w:tcW w:w="1519" w:type="pct"/>
            <w:tcBorders>
              <w:top w:val="nil"/>
              <w:left w:val="nil"/>
              <w:bottom w:val="nil"/>
              <w:right w:val="nil"/>
            </w:tcBorders>
            <w:shd w:val="clear" w:color="auto" w:fill="auto"/>
            <w:noWrap/>
            <w:vAlign w:val="bottom"/>
            <w:hideMark/>
          </w:tcPr>
          <w:p w14:paraId="45EFEF0C" w14:textId="77777777" w:rsidR="00EF2570" w:rsidRPr="0076589C" w:rsidRDefault="00EF2570" w:rsidP="1C8D6E3A">
            <w:pPr>
              <w:spacing w:after="0" w:line="240" w:lineRule="auto"/>
              <w:ind w:left="0"/>
              <w:jc w:val="center"/>
              <w:rPr>
                <w:rFonts w:asciiTheme="minorHAnsi" w:eastAsia="Times New Roman" w:hAnsiTheme="minorHAnsi"/>
                <w:b/>
                <w:bCs/>
                <w:color w:val="000000"/>
                <w:sz w:val="18"/>
                <w:szCs w:val="18"/>
              </w:rPr>
            </w:pPr>
          </w:p>
        </w:tc>
        <w:tc>
          <w:tcPr>
            <w:tcW w:w="613" w:type="pct"/>
            <w:tcBorders>
              <w:top w:val="nil"/>
              <w:left w:val="nil"/>
              <w:bottom w:val="nil"/>
              <w:right w:val="nil"/>
            </w:tcBorders>
            <w:shd w:val="clear" w:color="auto" w:fill="auto"/>
            <w:noWrap/>
            <w:vAlign w:val="bottom"/>
            <w:hideMark/>
          </w:tcPr>
          <w:p w14:paraId="20B2784D" w14:textId="77777777" w:rsidR="00EF2570" w:rsidRPr="0076589C" w:rsidRDefault="00EF2570" w:rsidP="1C8D6E3A">
            <w:pPr>
              <w:spacing w:after="0" w:line="240" w:lineRule="auto"/>
              <w:ind w:left="0" w:firstLineChars="100" w:firstLine="180"/>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center"/>
            <w:hideMark/>
          </w:tcPr>
          <w:p w14:paraId="79BDECBF"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0630663C"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309" w:type="pct"/>
            <w:tcBorders>
              <w:top w:val="nil"/>
              <w:left w:val="nil"/>
              <w:bottom w:val="nil"/>
              <w:right w:val="nil"/>
            </w:tcBorders>
            <w:shd w:val="clear" w:color="auto" w:fill="auto"/>
            <w:noWrap/>
            <w:vAlign w:val="center"/>
            <w:hideMark/>
          </w:tcPr>
          <w:p w14:paraId="09CEAF3E"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59258DC7"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bottom"/>
            <w:hideMark/>
          </w:tcPr>
          <w:p w14:paraId="10BCE43C"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398C9C93"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center"/>
            <w:hideMark/>
          </w:tcPr>
          <w:p w14:paraId="625F97E1" w14:textId="77777777" w:rsidR="00EF2570" w:rsidRPr="0076589C" w:rsidRDefault="00EF2570" w:rsidP="1C8D6E3A">
            <w:pPr>
              <w:spacing w:after="0" w:line="240" w:lineRule="auto"/>
              <w:ind w:left="0"/>
              <w:rPr>
                <w:rFonts w:asciiTheme="minorHAnsi" w:eastAsia="Times New Roman" w:hAnsiTheme="minorHAnsi"/>
                <w:sz w:val="18"/>
                <w:szCs w:val="18"/>
              </w:rPr>
            </w:pPr>
          </w:p>
        </w:tc>
      </w:tr>
      <w:tr w:rsidR="00EF2570" w:rsidRPr="0076589C" w14:paraId="39C510D1" w14:textId="77777777" w:rsidTr="1C8D6E3A">
        <w:trPr>
          <w:trHeight w:val="260"/>
        </w:trPr>
        <w:tc>
          <w:tcPr>
            <w:tcW w:w="1519" w:type="pct"/>
            <w:tcBorders>
              <w:top w:val="nil"/>
              <w:left w:val="nil"/>
              <w:bottom w:val="nil"/>
              <w:right w:val="nil"/>
            </w:tcBorders>
            <w:shd w:val="clear" w:color="auto" w:fill="EDEDED" w:themeFill="accent3" w:themeFillTint="33"/>
            <w:noWrap/>
            <w:vAlign w:val="bottom"/>
            <w:hideMark/>
          </w:tcPr>
          <w:p w14:paraId="6071F507" w14:textId="77777777" w:rsidR="00EF2570" w:rsidRPr="0076589C" w:rsidRDefault="1C8D6E3A" w:rsidP="1C8D6E3A">
            <w:pPr>
              <w:spacing w:after="0" w:line="240" w:lineRule="auto"/>
              <w:ind w:left="0"/>
              <w:rPr>
                <w:rFonts w:asciiTheme="minorHAnsi" w:eastAsia="Times New Roman" w:hAnsiTheme="minorHAnsi"/>
                <w:b/>
                <w:bCs/>
                <w:color w:val="44546A"/>
                <w:sz w:val="18"/>
                <w:szCs w:val="18"/>
              </w:rPr>
            </w:pPr>
            <w:r w:rsidRPr="0076589C">
              <w:rPr>
                <w:rFonts w:asciiTheme="minorHAnsi" w:eastAsia="Times New Roman" w:hAnsiTheme="minorHAnsi"/>
                <w:b/>
                <w:bCs/>
                <w:color w:val="44546A" w:themeColor="text2"/>
                <w:sz w:val="18"/>
                <w:szCs w:val="18"/>
              </w:rPr>
              <w:t>Pasivos</w:t>
            </w:r>
          </w:p>
        </w:tc>
        <w:tc>
          <w:tcPr>
            <w:tcW w:w="613" w:type="pct"/>
            <w:tcBorders>
              <w:top w:val="nil"/>
              <w:left w:val="nil"/>
              <w:bottom w:val="nil"/>
              <w:right w:val="nil"/>
            </w:tcBorders>
            <w:shd w:val="clear" w:color="auto" w:fill="EDEDED" w:themeFill="accent3" w:themeFillTint="33"/>
            <w:noWrap/>
            <w:vAlign w:val="bottom"/>
            <w:hideMark/>
          </w:tcPr>
          <w:p w14:paraId="0ED1EA9B"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c>
          <w:tcPr>
            <w:tcW w:w="240" w:type="pct"/>
            <w:tcBorders>
              <w:top w:val="nil"/>
              <w:left w:val="nil"/>
              <w:bottom w:val="nil"/>
              <w:right w:val="nil"/>
            </w:tcBorders>
            <w:shd w:val="clear" w:color="auto" w:fill="EDEDED" w:themeFill="accent3" w:themeFillTint="33"/>
            <w:noWrap/>
            <w:vAlign w:val="center"/>
            <w:hideMark/>
          </w:tcPr>
          <w:p w14:paraId="262206B7"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c>
          <w:tcPr>
            <w:tcW w:w="613" w:type="pct"/>
            <w:tcBorders>
              <w:top w:val="nil"/>
              <w:left w:val="nil"/>
              <w:bottom w:val="nil"/>
              <w:right w:val="nil"/>
            </w:tcBorders>
            <w:shd w:val="clear" w:color="auto" w:fill="EDEDED" w:themeFill="accent3" w:themeFillTint="33"/>
            <w:noWrap/>
            <w:vAlign w:val="bottom"/>
            <w:hideMark/>
          </w:tcPr>
          <w:p w14:paraId="02685C1F"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c>
          <w:tcPr>
            <w:tcW w:w="309" w:type="pct"/>
            <w:tcBorders>
              <w:top w:val="nil"/>
              <w:left w:val="nil"/>
              <w:bottom w:val="nil"/>
              <w:right w:val="nil"/>
            </w:tcBorders>
            <w:shd w:val="clear" w:color="auto" w:fill="EDEDED" w:themeFill="accent3" w:themeFillTint="33"/>
            <w:noWrap/>
            <w:vAlign w:val="center"/>
            <w:hideMark/>
          </w:tcPr>
          <w:p w14:paraId="78A2C93B"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c>
          <w:tcPr>
            <w:tcW w:w="613" w:type="pct"/>
            <w:tcBorders>
              <w:top w:val="nil"/>
              <w:left w:val="nil"/>
              <w:bottom w:val="nil"/>
              <w:right w:val="nil"/>
            </w:tcBorders>
            <w:shd w:val="clear" w:color="auto" w:fill="EDEDED" w:themeFill="accent3" w:themeFillTint="33"/>
            <w:noWrap/>
            <w:vAlign w:val="bottom"/>
            <w:hideMark/>
          </w:tcPr>
          <w:p w14:paraId="180ED094"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c>
          <w:tcPr>
            <w:tcW w:w="240" w:type="pct"/>
            <w:tcBorders>
              <w:top w:val="nil"/>
              <w:left w:val="nil"/>
              <w:bottom w:val="nil"/>
              <w:right w:val="nil"/>
            </w:tcBorders>
            <w:shd w:val="clear" w:color="auto" w:fill="EDEDED" w:themeFill="accent3" w:themeFillTint="33"/>
            <w:noWrap/>
            <w:vAlign w:val="bottom"/>
            <w:hideMark/>
          </w:tcPr>
          <w:p w14:paraId="0B6476CA"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c>
          <w:tcPr>
            <w:tcW w:w="613" w:type="pct"/>
            <w:tcBorders>
              <w:top w:val="nil"/>
              <w:left w:val="nil"/>
              <w:bottom w:val="nil"/>
              <w:right w:val="nil"/>
            </w:tcBorders>
            <w:shd w:val="clear" w:color="auto" w:fill="EDEDED" w:themeFill="accent3" w:themeFillTint="33"/>
            <w:noWrap/>
            <w:vAlign w:val="bottom"/>
            <w:hideMark/>
          </w:tcPr>
          <w:p w14:paraId="282DDFA0"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c>
          <w:tcPr>
            <w:tcW w:w="240" w:type="pct"/>
            <w:tcBorders>
              <w:top w:val="nil"/>
              <w:left w:val="nil"/>
              <w:bottom w:val="nil"/>
              <w:right w:val="nil"/>
            </w:tcBorders>
            <w:shd w:val="clear" w:color="auto" w:fill="EDEDED" w:themeFill="accent3" w:themeFillTint="33"/>
            <w:noWrap/>
            <w:vAlign w:val="center"/>
            <w:hideMark/>
          </w:tcPr>
          <w:p w14:paraId="02E8D877"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r>
      <w:tr w:rsidR="00EF2570" w:rsidRPr="0076589C" w14:paraId="001BB855" w14:textId="77777777" w:rsidTr="1C8D6E3A">
        <w:trPr>
          <w:trHeight w:val="260"/>
        </w:trPr>
        <w:tc>
          <w:tcPr>
            <w:tcW w:w="1519" w:type="pct"/>
            <w:tcBorders>
              <w:top w:val="nil"/>
              <w:left w:val="nil"/>
              <w:bottom w:val="nil"/>
              <w:right w:val="nil"/>
            </w:tcBorders>
            <w:shd w:val="clear" w:color="auto" w:fill="auto"/>
            <w:noWrap/>
            <w:vAlign w:val="bottom"/>
            <w:hideMark/>
          </w:tcPr>
          <w:p w14:paraId="5822F59F" w14:textId="77777777" w:rsidR="00EF2570" w:rsidRPr="0076589C" w:rsidRDefault="1C8D6E3A" w:rsidP="1C8D6E3A">
            <w:pPr>
              <w:spacing w:after="0" w:line="240" w:lineRule="auto"/>
              <w:ind w:left="0" w:firstLineChars="100" w:firstLine="181"/>
              <w:rPr>
                <w:rFonts w:asciiTheme="minorHAnsi" w:eastAsia="Times New Roman" w:hAnsiTheme="minorHAnsi"/>
                <w:b/>
                <w:bCs/>
                <w:color w:val="000000"/>
                <w:sz w:val="18"/>
                <w:szCs w:val="18"/>
                <w:u w:val="single"/>
              </w:rPr>
            </w:pPr>
            <w:r w:rsidRPr="0076589C">
              <w:rPr>
                <w:rFonts w:asciiTheme="minorHAnsi" w:eastAsia="Times New Roman" w:hAnsiTheme="minorHAnsi"/>
                <w:b/>
                <w:bCs/>
                <w:color w:val="000000" w:themeColor="text1"/>
                <w:sz w:val="18"/>
                <w:szCs w:val="18"/>
                <w:u w:val="single"/>
              </w:rPr>
              <w:t>Pasivos Corrientes</w:t>
            </w:r>
          </w:p>
        </w:tc>
        <w:tc>
          <w:tcPr>
            <w:tcW w:w="613" w:type="pct"/>
            <w:tcBorders>
              <w:top w:val="nil"/>
              <w:left w:val="nil"/>
              <w:bottom w:val="nil"/>
              <w:right w:val="nil"/>
            </w:tcBorders>
            <w:shd w:val="clear" w:color="auto" w:fill="auto"/>
            <w:noWrap/>
            <w:vAlign w:val="bottom"/>
            <w:hideMark/>
          </w:tcPr>
          <w:p w14:paraId="5035C17B" w14:textId="77777777" w:rsidR="00EF2570" w:rsidRPr="0076589C" w:rsidRDefault="00EF2570" w:rsidP="1C8D6E3A">
            <w:pPr>
              <w:spacing w:after="0" w:line="240" w:lineRule="auto"/>
              <w:ind w:left="0" w:firstLineChars="100" w:firstLine="181"/>
              <w:rPr>
                <w:rFonts w:asciiTheme="minorHAnsi" w:eastAsia="Times New Roman" w:hAnsiTheme="minorHAnsi"/>
                <w:b/>
                <w:bCs/>
                <w:color w:val="000000"/>
                <w:sz w:val="18"/>
                <w:szCs w:val="18"/>
                <w:u w:val="single"/>
              </w:rPr>
            </w:pPr>
          </w:p>
        </w:tc>
        <w:tc>
          <w:tcPr>
            <w:tcW w:w="240" w:type="pct"/>
            <w:tcBorders>
              <w:top w:val="nil"/>
              <w:left w:val="nil"/>
              <w:bottom w:val="nil"/>
              <w:right w:val="nil"/>
            </w:tcBorders>
            <w:shd w:val="clear" w:color="auto" w:fill="auto"/>
            <w:noWrap/>
            <w:vAlign w:val="center"/>
            <w:hideMark/>
          </w:tcPr>
          <w:p w14:paraId="394C7B07"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4618923C"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309" w:type="pct"/>
            <w:tcBorders>
              <w:top w:val="nil"/>
              <w:left w:val="nil"/>
              <w:bottom w:val="nil"/>
              <w:right w:val="nil"/>
            </w:tcBorders>
            <w:shd w:val="clear" w:color="auto" w:fill="auto"/>
            <w:noWrap/>
            <w:vAlign w:val="center"/>
            <w:hideMark/>
          </w:tcPr>
          <w:p w14:paraId="37AEE7B5"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4BFBD169"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bottom"/>
            <w:hideMark/>
          </w:tcPr>
          <w:p w14:paraId="169D8E00"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355D5C35"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center"/>
            <w:hideMark/>
          </w:tcPr>
          <w:p w14:paraId="59A73EA9" w14:textId="77777777" w:rsidR="00EF2570" w:rsidRPr="0076589C" w:rsidRDefault="00EF2570" w:rsidP="1C8D6E3A">
            <w:pPr>
              <w:spacing w:after="0" w:line="240" w:lineRule="auto"/>
              <w:ind w:left="0"/>
              <w:rPr>
                <w:rFonts w:asciiTheme="minorHAnsi" w:eastAsia="Times New Roman" w:hAnsiTheme="minorHAnsi"/>
                <w:sz w:val="18"/>
                <w:szCs w:val="18"/>
              </w:rPr>
            </w:pPr>
          </w:p>
        </w:tc>
      </w:tr>
      <w:tr w:rsidR="00EF2570" w:rsidRPr="0076589C" w14:paraId="3827181A" w14:textId="77777777" w:rsidTr="1C8D6E3A">
        <w:trPr>
          <w:trHeight w:val="260"/>
        </w:trPr>
        <w:tc>
          <w:tcPr>
            <w:tcW w:w="1519" w:type="pct"/>
            <w:tcBorders>
              <w:top w:val="nil"/>
              <w:left w:val="nil"/>
              <w:bottom w:val="nil"/>
              <w:right w:val="nil"/>
            </w:tcBorders>
            <w:shd w:val="clear" w:color="auto" w:fill="auto"/>
            <w:noWrap/>
            <w:vAlign w:val="bottom"/>
            <w:hideMark/>
          </w:tcPr>
          <w:p w14:paraId="427B4DAD" w14:textId="77777777" w:rsidR="00EF2570" w:rsidRPr="0076589C" w:rsidRDefault="1C8D6E3A" w:rsidP="1C8D6E3A">
            <w:pPr>
              <w:spacing w:after="0" w:line="240" w:lineRule="auto"/>
              <w:ind w:left="0" w:firstLineChars="200" w:firstLine="36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lastRenderedPageBreak/>
              <w:t>Proveedores</w:t>
            </w:r>
          </w:p>
        </w:tc>
        <w:tc>
          <w:tcPr>
            <w:tcW w:w="613" w:type="pct"/>
            <w:tcBorders>
              <w:top w:val="nil"/>
              <w:left w:val="nil"/>
              <w:bottom w:val="nil"/>
              <w:right w:val="nil"/>
            </w:tcBorders>
            <w:shd w:val="clear" w:color="auto" w:fill="auto"/>
            <w:noWrap/>
            <w:vAlign w:val="bottom"/>
            <w:hideMark/>
          </w:tcPr>
          <w:p w14:paraId="0F5FB38E"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1,278,082.07 </w:t>
            </w:r>
          </w:p>
        </w:tc>
        <w:tc>
          <w:tcPr>
            <w:tcW w:w="240" w:type="pct"/>
            <w:tcBorders>
              <w:top w:val="nil"/>
              <w:left w:val="nil"/>
              <w:bottom w:val="nil"/>
              <w:right w:val="nil"/>
            </w:tcBorders>
            <w:shd w:val="clear" w:color="auto" w:fill="auto"/>
            <w:noWrap/>
            <w:vAlign w:val="center"/>
            <w:hideMark/>
          </w:tcPr>
          <w:p w14:paraId="6577F7F2"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466FE2F1"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708,642.39 </w:t>
            </w:r>
          </w:p>
        </w:tc>
        <w:tc>
          <w:tcPr>
            <w:tcW w:w="309" w:type="pct"/>
            <w:tcBorders>
              <w:top w:val="nil"/>
              <w:left w:val="nil"/>
              <w:bottom w:val="nil"/>
              <w:right w:val="nil"/>
            </w:tcBorders>
            <w:shd w:val="clear" w:color="auto" w:fill="auto"/>
            <w:noWrap/>
            <w:vAlign w:val="center"/>
            <w:hideMark/>
          </w:tcPr>
          <w:p w14:paraId="4D622432"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55%</w:t>
            </w:r>
          </w:p>
        </w:tc>
        <w:tc>
          <w:tcPr>
            <w:tcW w:w="613" w:type="pct"/>
            <w:tcBorders>
              <w:top w:val="nil"/>
              <w:left w:val="nil"/>
              <w:bottom w:val="nil"/>
              <w:right w:val="nil"/>
            </w:tcBorders>
            <w:shd w:val="clear" w:color="auto" w:fill="auto"/>
            <w:noWrap/>
            <w:vAlign w:val="bottom"/>
            <w:hideMark/>
          </w:tcPr>
          <w:p w14:paraId="49137A8A"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1,119,274.85 </w:t>
            </w:r>
          </w:p>
        </w:tc>
        <w:tc>
          <w:tcPr>
            <w:tcW w:w="240" w:type="pct"/>
            <w:tcBorders>
              <w:top w:val="nil"/>
              <w:left w:val="nil"/>
              <w:bottom w:val="nil"/>
              <w:right w:val="nil"/>
            </w:tcBorders>
            <w:shd w:val="clear" w:color="auto" w:fill="auto"/>
            <w:noWrap/>
            <w:vAlign w:val="bottom"/>
            <w:hideMark/>
          </w:tcPr>
          <w:p w14:paraId="0B50DAF3"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158%</w:t>
            </w:r>
          </w:p>
        </w:tc>
        <w:tc>
          <w:tcPr>
            <w:tcW w:w="613" w:type="pct"/>
            <w:tcBorders>
              <w:top w:val="nil"/>
              <w:left w:val="nil"/>
              <w:bottom w:val="nil"/>
              <w:right w:val="nil"/>
            </w:tcBorders>
            <w:shd w:val="clear" w:color="auto" w:fill="auto"/>
            <w:noWrap/>
            <w:vAlign w:val="bottom"/>
            <w:hideMark/>
          </w:tcPr>
          <w:p w14:paraId="37EC5573"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2,515,299.71 </w:t>
            </w:r>
          </w:p>
        </w:tc>
        <w:tc>
          <w:tcPr>
            <w:tcW w:w="240" w:type="pct"/>
            <w:tcBorders>
              <w:top w:val="nil"/>
              <w:left w:val="nil"/>
              <w:bottom w:val="nil"/>
              <w:right w:val="nil"/>
            </w:tcBorders>
            <w:shd w:val="clear" w:color="auto" w:fill="auto"/>
            <w:noWrap/>
            <w:vAlign w:val="center"/>
            <w:hideMark/>
          </w:tcPr>
          <w:p w14:paraId="0096E6F6"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225%</w:t>
            </w:r>
          </w:p>
        </w:tc>
      </w:tr>
      <w:tr w:rsidR="00EF2570" w:rsidRPr="0076589C" w14:paraId="06B3C5B1" w14:textId="77777777" w:rsidTr="1C8D6E3A">
        <w:trPr>
          <w:trHeight w:val="260"/>
        </w:trPr>
        <w:tc>
          <w:tcPr>
            <w:tcW w:w="1519" w:type="pct"/>
            <w:tcBorders>
              <w:top w:val="nil"/>
              <w:left w:val="nil"/>
              <w:bottom w:val="nil"/>
              <w:right w:val="nil"/>
            </w:tcBorders>
            <w:shd w:val="clear" w:color="auto" w:fill="auto"/>
            <w:noWrap/>
            <w:vAlign w:val="bottom"/>
            <w:hideMark/>
          </w:tcPr>
          <w:p w14:paraId="4ED461C8" w14:textId="77777777" w:rsidR="00EF2570" w:rsidRPr="0076589C" w:rsidRDefault="1C8D6E3A" w:rsidP="1C8D6E3A">
            <w:pPr>
              <w:spacing w:after="0" w:line="240" w:lineRule="auto"/>
              <w:ind w:left="0" w:firstLineChars="200" w:firstLine="36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Cuentas por Pagar</w:t>
            </w:r>
          </w:p>
        </w:tc>
        <w:tc>
          <w:tcPr>
            <w:tcW w:w="613" w:type="pct"/>
            <w:tcBorders>
              <w:top w:val="nil"/>
              <w:left w:val="nil"/>
              <w:bottom w:val="nil"/>
              <w:right w:val="nil"/>
            </w:tcBorders>
            <w:shd w:val="clear" w:color="auto" w:fill="auto"/>
            <w:noWrap/>
            <w:vAlign w:val="bottom"/>
            <w:hideMark/>
          </w:tcPr>
          <w:p w14:paraId="44B80DC6"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289,116.59 </w:t>
            </w:r>
          </w:p>
        </w:tc>
        <w:tc>
          <w:tcPr>
            <w:tcW w:w="240" w:type="pct"/>
            <w:tcBorders>
              <w:top w:val="nil"/>
              <w:left w:val="nil"/>
              <w:bottom w:val="nil"/>
              <w:right w:val="nil"/>
            </w:tcBorders>
            <w:shd w:val="clear" w:color="auto" w:fill="auto"/>
            <w:noWrap/>
            <w:vAlign w:val="center"/>
            <w:hideMark/>
          </w:tcPr>
          <w:p w14:paraId="63F52FC8"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5036F71A"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386,865.72 </w:t>
            </w:r>
          </w:p>
        </w:tc>
        <w:tc>
          <w:tcPr>
            <w:tcW w:w="309" w:type="pct"/>
            <w:tcBorders>
              <w:top w:val="nil"/>
              <w:left w:val="nil"/>
              <w:bottom w:val="nil"/>
              <w:right w:val="nil"/>
            </w:tcBorders>
            <w:shd w:val="clear" w:color="auto" w:fill="auto"/>
            <w:noWrap/>
            <w:vAlign w:val="center"/>
            <w:hideMark/>
          </w:tcPr>
          <w:p w14:paraId="67B28C6A"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134%</w:t>
            </w:r>
          </w:p>
        </w:tc>
        <w:tc>
          <w:tcPr>
            <w:tcW w:w="613" w:type="pct"/>
            <w:tcBorders>
              <w:top w:val="nil"/>
              <w:left w:val="nil"/>
              <w:bottom w:val="nil"/>
              <w:right w:val="nil"/>
            </w:tcBorders>
            <w:shd w:val="clear" w:color="auto" w:fill="auto"/>
            <w:noWrap/>
            <w:vAlign w:val="bottom"/>
            <w:hideMark/>
          </w:tcPr>
          <w:p w14:paraId="47C1B4E5"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238,445.34 </w:t>
            </w:r>
          </w:p>
        </w:tc>
        <w:tc>
          <w:tcPr>
            <w:tcW w:w="240" w:type="pct"/>
            <w:tcBorders>
              <w:top w:val="nil"/>
              <w:left w:val="nil"/>
              <w:bottom w:val="nil"/>
              <w:right w:val="nil"/>
            </w:tcBorders>
            <w:shd w:val="clear" w:color="auto" w:fill="auto"/>
            <w:noWrap/>
            <w:vAlign w:val="bottom"/>
            <w:hideMark/>
          </w:tcPr>
          <w:p w14:paraId="6D458EBA"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62%</w:t>
            </w:r>
          </w:p>
        </w:tc>
        <w:tc>
          <w:tcPr>
            <w:tcW w:w="613" w:type="pct"/>
            <w:tcBorders>
              <w:top w:val="nil"/>
              <w:left w:val="nil"/>
              <w:bottom w:val="nil"/>
              <w:right w:val="nil"/>
            </w:tcBorders>
            <w:shd w:val="clear" w:color="auto" w:fill="auto"/>
            <w:noWrap/>
            <w:vAlign w:val="bottom"/>
            <w:hideMark/>
          </w:tcPr>
          <w:p w14:paraId="20817819"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205,730.54 </w:t>
            </w:r>
          </w:p>
        </w:tc>
        <w:tc>
          <w:tcPr>
            <w:tcW w:w="240" w:type="pct"/>
            <w:tcBorders>
              <w:top w:val="nil"/>
              <w:left w:val="nil"/>
              <w:bottom w:val="nil"/>
              <w:right w:val="nil"/>
            </w:tcBorders>
            <w:shd w:val="clear" w:color="auto" w:fill="auto"/>
            <w:noWrap/>
            <w:vAlign w:val="center"/>
            <w:hideMark/>
          </w:tcPr>
          <w:p w14:paraId="21E91ABF"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86%</w:t>
            </w:r>
          </w:p>
        </w:tc>
      </w:tr>
      <w:tr w:rsidR="00EF2570" w:rsidRPr="0076589C" w14:paraId="544D5ACA" w14:textId="77777777" w:rsidTr="1C8D6E3A">
        <w:trPr>
          <w:trHeight w:val="270"/>
        </w:trPr>
        <w:tc>
          <w:tcPr>
            <w:tcW w:w="1519" w:type="pct"/>
            <w:tcBorders>
              <w:top w:val="nil"/>
              <w:left w:val="nil"/>
              <w:bottom w:val="double" w:sz="6" w:space="0" w:color="auto"/>
              <w:right w:val="nil"/>
            </w:tcBorders>
            <w:shd w:val="clear" w:color="auto" w:fill="auto"/>
            <w:noWrap/>
            <w:vAlign w:val="bottom"/>
            <w:hideMark/>
          </w:tcPr>
          <w:p w14:paraId="39B3C289" w14:textId="77777777" w:rsidR="00EF2570" w:rsidRPr="0076589C" w:rsidRDefault="1C8D6E3A" w:rsidP="1C8D6E3A">
            <w:pPr>
              <w:spacing w:after="0" w:line="240" w:lineRule="auto"/>
              <w:ind w:left="0" w:firstLineChars="200" w:firstLine="36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Impuesto Sobre la Renta por pagar</w:t>
            </w:r>
          </w:p>
        </w:tc>
        <w:tc>
          <w:tcPr>
            <w:tcW w:w="613" w:type="pct"/>
            <w:tcBorders>
              <w:top w:val="nil"/>
              <w:left w:val="nil"/>
              <w:bottom w:val="double" w:sz="6" w:space="0" w:color="auto"/>
              <w:right w:val="nil"/>
            </w:tcBorders>
            <w:shd w:val="clear" w:color="auto" w:fill="auto"/>
            <w:noWrap/>
            <w:vAlign w:val="bottom"/>
            <w:hideMark/>
          </w:tcPr>
          <w:p w14:paraId="403AD431"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336,435.80 </w:t>
            </w:r>
          </w:p>
        </w:tc>
        <w:tc>
          <w:tcPr>
            <w:tcW w:w="240" w:type="pct"/>
            <w:tcBorders>
              <w:top w:val="nil"/>
              <w:left w:val="nil"/>
              <w:bottom w:val="nil"/>
              <w:right w:val="nil"/>
            </w:tcBorders>
            <w:shd w:val="clear" w:color="auto" w:fill="auto"/>
            <w:noWrap/>
            <w:vAlign w:val="center"/>
            <w:hideMark/>
          </w:tcPr>
          <w:p w14:paraId="2BEB2E26"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double" w:sz="6" w:space="0" w:color="auto"/>
              <w:right w:val="nil"/>
            </w:tcBorders>
            <w:shd w:val="clear" w:color="auto" w:fill="auto"/>
            <w:noWrap/>
            <w:vAlign w:val="bottom"/>
            <w:hideMark/>
          </w:tcPr>
          <w:p w14:paraId="7856332E"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   </w:t>
            </w:r>
          </w:p>
        </w:tc>
        <w:tc>
          <w:tcPr>
            <w:tcW w:w="309" w:type="pct"/>
            <w:tcBorders>
              <w:top w:val="nil"/>
              <w:left w:val="nil"/>
              <w:bottom w:val="double" w:sz="6" w:space="0" w:color="auto"/>
              <w:right w:val="nil"/>
            </w:tcBorders>
            <w:shd w:val="clear" w:color="auto" w:fill="auto"/>
            <w:noWrap/>
            <w:vAlign w:val="center"/>
            <w:hideMark/>
          </w:tcPr>
          <w:p w14:paraId="1DF66193"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0%</w:t>
            </w:r>
          </w:p>
        </w:tc>
        <w:tc>
          <w:tcPr>
            <w:tcW w:w="613" w:type="pct"/>
            <w:tcBorders>
              <w:top w:val="nil"/>
              <w:left w:val="nil"/>
              <w:bottom w:val="double" w:sz="6" w:space="0" w:color="auto"/>
              <w:right w:val="nil"/>
            </w:tcBorders>
            <w:shd w:val="clear" w:color="auto" w:fill="auto"/>
            <w:noWrap/>
            <w:vAlign w:val="bottom"/>
            <w:hideMark/>
          </w:tcPr>
          <w:p w14:paraId="100A139B"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269,735.45 </w:t>
            </w:r>
          </w:p>
        </w:tc>
        <w:tc>
          <w:tcPr>
            <w:tcW w:w="240" w:type="pct"/>
            <w:tcBorders>
              <w:top w:val="nil"/>
              <w:left w:val="nil"/>
              <w:bottom w:val="double" w:sz="6" w:space="0" w:color="auto"/>
              <w:right w:val="nil"/>
            </w:tcBorders>
            <w:shd w:val="clear" w:color="auto" w:fill="auto"/>
            <w:noWrap/>
            <w:vAlign w:val="bottom"/>
            <w:hideMark/>
          </w:tcPr>
          <w:p w14:paraId="6D9ED48F"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0%</w:t>
            </w:r>
          </w:p>
        </w:tc>
        <w:tc>
          <w:tcPr>
            <w:tcW w:w="613" w:type="pct"/>
            <w:tcBorders>
              <w:top w:val="nil"/>
              <w:left w:val="nil"/>
              <w:bottom w:val="double" w:sz="6" w:space="0" w:color="auto"/>
              <w:right w:val="nil"/>
            </w:tcBorders>
            <w:shd w:val="clear" w:color="auto" w:fill="auto"/>
            <w:noWrap/>
            <w:vAlign w:val="bottom"/>
            <w:hideMark/>
          </w:tcPr>
          <w:p w14:paraId="014D5515"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249,879.60 </w:t>
            </w:r>
          </w:p>
        </w:tc>
        <w:tc>
          <w:tcPr>
            <w:tcW w:w="240" w:type="pct"/>
            <w:tcBorders>
              <w:top w:val="nil"/>
              <w:left w:val="nil"/>
              <w:bottom w:val="double" w:sz="6" w:space="0" w:color="auto"/>
              <w:right w:val="nil"/>
            </w:tcBorders>
            <w:shd w:val="clear" w:color="auto" w:fill="auto"/>
            <w:noWrap/>
            <w:vAlign w:val="center"/>
            <w:hideMark/>
          </w:tcPr>
          <w:p w14:paraId="0EC5C619"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93%</w:t>
            </w:r>
          </w:p>
        </w:tc>
      </w:tr>
      <w:tr w:rsidR="00EF2570" w:rsidRPr="0076589C" w14:paraId="72F76AE3" w14:textId="77777777" w:rsidTr="1C8D6E3A">
        <w:trPr>
          <w:trHeight w:val="270"/>
        </w:trPr>
        <w:tc>
          <w:tcPr>
            <w:tcW w:w="1519" w:type="pct"/>
            <w:tcBorders>
              <w:top w:val="nil"/>
              <w:left w:val="nil"/>
              <w:bottom w:val="nil"/>
              <w:right w:val="nil"/>
            </w:tcBorders>
            <w:shd w:val="clear" w:color="auto" w:fill="auto"/>
            <w:noWrap/>
            <w:vAlign w:val="bottom"/>
            <w:hideMark/>
          </w:tcPr>
          <w:p w14:paraId="36A0D515" w14:textId="77777777" w:rsidR="00EF2570" w:rsidRPr="0076589C" w:rsidRDefault="1C8D6E3A" w:rsidP="1C8D6E3A">
            <w:pPr>
              <w:spacing w:after="0" w:line="240" w:lineRule="auto"/>
              <w:ind w:left="0" w:firstLineChars="100" w:firstLine="181"/>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Total Pasivos Corrientes</w:t>
            </w:r>
          </w:p>
        </w:tc>
        <w:tc>
          <w:tcPr>
            <w:tcW w:w="613" w:type="pct"/>
            <w:tcBorders>
              <w:top w:val="nil"/>
              <w:left w:val="nil"/>
              <w:bottom w:val="nil"/>
              <w:right w:val="nil"/>
            </w:tcBorders>
            <w:shd w:val="clear" w:color="auto" w:fill="auto"/>
            <w:noWrap/>
            <w:vAlign w:val="bottom"/>
            <w:hideMark/>
          </w:tcPr>
          <w:p w14:paraId="531B52C1"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1,903,634.46 </w:t>
            </w:r>
          </w:p>
        </w:tc>
        <w:tc>
          <w:tcPr>
            <w:tcW w:w="240" w:type="pct"/>
            <w:tcBorders>
              <w:top w:val="double" w:sz="6" w:space="0" w:color="auto"/>
              <w:left w:val="nil"/>
              <w:bottom w:val="nil"/>
              <w:right w:val="nil"/>
            </w:tcBorders>
            <w:shd w:val="clear" w:color="auto" w:fill="auto"/>
            <w:noWrap/>
            <w:vAlign w:val="center"/>
            <w:hideMark/>
          </w:tcPr>
          <w:p w14:paraId="5A42A4EE"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49BE311A"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1,095,508.11 </w:t>
            </w:r>
          </w:p>
        </w:tc>
        <w:tc>
          <w:tcPr>
            <w:tcW w:w="309" w:type="pct"/>
            <w:tcBorders>
              <w:top w:val="nil"/>
              <w:left w:val="nil"/>
              <w:bottom w:val="nil"/>
              <w:right w:val="nil"/>
            </w:tcBorders>
            <w:shd w:val="clear" w:color="auto" w:fill="auto"/>
            <w:noWrap/>
            <w:vAlign w:val="center"/>
            <w:hideMark/>
          </w:tcPr>
          <w:p w14:paraId="206E88D7"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58%</w:t>
            </w:r>
          </w:p>
        </w:tc>
        <w:tc>
          <w:tcPr>
            <w:tcW w:w="613" w:type="pct"/>
            <w:tcBorders>
              <w:top w:val="nil"/>
              <w:left w:val="nil"/>
              <w:bottom w:val="nil"/>
              <w:right w:val="nil"/>
            </w:tcBorders>
            <w:shd w:val="clear" w:color="auto" w:fill="auto"/>
            <w:noWrap/>
            <w:vAlign w:val="bottom"/>
            <w:hideMark/>
          </w:tcPr>
          <w:p w14:paraId="4B846424"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1,627,455.64 </w:t>
            </w:r>
          </w:p>
        </w:tc>
        <w:tc>
          <w:tcPr>
            <w:tcW w:w="240" w:type="pct"/>
            <w:tcBorders>
              <w:top w:val="nil"/>
              <w:left w:val="nil"/>
              <w:bottom w:val="nil"/>
              <w:right w:val="nil"/>
            </w:tcBorders>
            <w:shd w:val="clear" w:color="auto" w:fill="auto"/>
            <w:noWrap/>
            <w:vAlign w:val="bottom"/>
            <w:hideMark/>
          </w:tcPr>
          <w:p w14:paraId="31029039"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149%</w:t>
            </w:r>
          </w:p>
        </w:tc>
        <w:tc>
          <w:tcPr>
            <w:tcW w:w="613" w:type="pct"/>
            <w:tcBorders>
              <w:top w:val="nil"/>
              <w:left w:val="nil"/>
              <w:bottom w:val="nil"/>
              <w:right w:val="nil"/>
            </w:tcBorders>
            <w:shd w:val="clear" w:color="auto" w:fill="auto"/>
            <w:noWrap/>
            <w:vAlign w:val="bottom"/>
            <w:hideMark/>
          </w:tcPr>
          <w:p w14:paraId="4A6397B3"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2,970,909.85 </w:t>
            </w:r>
          </w:p>
        </w:tc>
        <w:tc>
          <w:tcPr>
            <w:tcW w:w="240" w:type="pct"/>
            <w:tcBorders>
              <w:top w:val="nil"/>
              <w:left w:val="nil"/>
              <w:bottom w:val="nil"/>
              <w:right w:val="nil"/>
            </w:tcBorders>
            <w:shd w:val="clear" w:color="auto" w:fill="auto"/>
            <w:noWrap/>
            <w:vAlign w:val="center"/>
            <w:hideMark/>
          </w:tcPr>
          <w:p w14:paraId="69BF8252"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183%</w:t>
            </w:r>
          </w:p>
        </w:tc>
      </w:tr>
      <w:tr w:rsidR="00EF2570" w:rsidRPr="0076589C" w14:paraId="299A54F0" w14:textId="77777777" w:rsidTr="1C8D6E3A">
        <w:trPr>
          <w:trHeight w:val="260"/>
        </w:trPr>
        <w:tc>
          <w:tcPr>
            <w:tcW w:w="1519" w:type="pct"/>
            <w:tcBorders>
              <w:top w:val="nil"/>
              <w:left w:val="nil"/>
              <w:bottom w:val="nil"/>
              <w:right w:val="nil"/>
            </w:tcBorders>
            <w:shd w:val="clear" w:color="auto" w:fill="auto"/>
            <w:noWrap/>
            <w:vAlign w:val="bottom"/>
            <w:hideMark/>
          </w:tcPr>
          <w:p w14:paraId="18CC8446" w14:textId="77777777" w:rsidR="00EF2570" w:rsidRPr="0076589C" w:rsidRDefault="00EF2570" w:rsidP="1C8D6E3A">
            <w:pPr>
              <w:spacing w:after="0" w:line="240" w:lineRule="auto"/>
              <w:ind w:left="0"/>
              <w:jc w:val="center"/>
              <w:rPr>
                <w:rFonts w:asciiTheme="minorHAnsi" w:eastAsia="Times New Roman" w:hAnsiTheme="minorHAnsi"/>
                <w:b/>
                <w:bCs/>
                <w:color w:val="000000"/>
                <w:sz w:val="18"/>
                <w:szCs w:val="18"/>
              </w:rPr>
            </w:pPr>
          </w:p>
        </w:tc>
        <w:tc>
          <w:tcPr>
            <w:tcW w:w="613" w:type="pct"/>
            <w:tcBorders>
              <w:top w:val="nil"/>
              <w:left w:val="nil"/>
              <w:bottom w:val="nil"/>
              <w:right w:val="nil"/>
            </w:tcBorders>
            <w:shd w:val="clear" w:color="auto" w:fill="auto"/>
            <w:noWrap/>
            <w:vAlign w:val="bottom"/>
            <w:hideMark/>
          </w:tcPr>
          <w:p w14:paraId="78FB2401" w14:textId="77777777" w:rsidR="00EF2570" w:rsidRPr="0076589C" w:rsidRDefault="00EF2570" w:rsidP="1C8D6E3A">
            <w:pPr>
              <w:spacing w:after="0" w:line="240" w:lineRule="auto"/>
              <w:ind w:left="0" w:firstLineChars="200" w:firstLine="360"/>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center"/>
            <w:hideMark/>
          </w:tcPr>
          <w:p w14:paraId="55A12B81"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230ED87E"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309" w:type="pct"/>
            <w:tcBorders>
              <w:top w:val="nil"/>
              <w:left w:val="nil"/>
              <w:bottom w:val="nil"/>
              <w:right w:val="nil"/>
            </w:tcBorders>
            <w:shd w:val="clear" w:color="auto" w:fill="auto"/>
            <w:noWrap/>
            <w:vAlign w:val="center"/>
            <w:hideMark/>
          </w:tcPr>
          <w:p w14:paraId="0B943171"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4F398375"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bottom"/>
            <w:hideMark/>
          </w:tcPr>
          <w:p w14:paraId="6C74FD50"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5F26CFC9"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center"/>
            <w:hideMark/>
          </w:tcPr>
          <w:p w14:paraId="6EFE373F" w14:textId="77777777" w:rsidR="00EF2570" w:rsidRPr="0076589C" w:rsidRDefault="00EF2570" w:rsidP="1C8D6E3A">
            <w:pPr>
              <w:spacing w:after="0" w:line="240" w:lineRule="auto"/>
              <w:ind w:left="0"/>
              <w:rPr>
                <w:rFonts w:asciiTheme="minorHAnsi" w:eastAsia="Times New Roman" w:hAnsiTheme="minorHAnsi"/>
                <w:sz w:val="18"/>
                <w:szCs w:val="18"/>
              </w:rPr>
            </w:pPr>
          </w:p>
        </w:tc>
      </w:tr>
      <w:tr w:rsidR="00EF2570" w:rsidRPr="0076589C" w14:paraId="120D5F7B" w14:textId="77777777" w:rsidTr="1C8D6E3A">
        <w:trPr>
          <w:trHeight w:val="260"/>
        </w:trPr>
        <w:tc>
          <w:tcPr>
            <w:tcW w:w="1519" w:type="pct"/>
            <w:tcBorders>
              <w:top w:val="nil"/>
              <w:left w:val="nil"/>
              <w:bottom w:val="nil"/>
              <w:right w:val="nil"/>
            </w:tcBorders>
            <w:shd w:val="clear" w:color="auto" w:fill="auto"/>
            <w:noWrap/>
            <w:vAlign w:val="bottom"/>
            <w:hideMark/>
          </w:tcPr>
          <w:p w14:paraId="20B94824" w14:textId="77777777" w:rsidR="00EF2570" w:rsidRPr="0076589C" w:rsidRDefault="1C8D6E3A" w:rsidP="1C8D6E3A">
            <w:pPr>
              <w:spacing w:after="0" w:line="240" w:lineRule="auto"/>
              <w:ind w:left="0" w:firstLineChars="100" w:firstLine="181"/>
              <w:rPr>
                <w:rFonts w:asciiTheme="minorHAnsi" w:eastAsia="Times New Roman" w:hAnsiTheme="minorHAnsi"/>
                <w:b/>
                <w:bCs/>
                <w:color w:val="000000"/>
                <w:sz w:val="18"/>
                <w:szCs w:val="18"/>
                <w:u w:val="single"/>
              </w:rPr>
            </w:pPr>
            <w:r w:rsidRPr="0076589C">
              <w:rPr>
                <w:rFonts w:asciiTheme="minorHAnsi" w:eastAsia="Times New Roman" w:hAnsiTheme="minorHAnsi"/>
                <w:b/>
                <w:bCs/>
                <w:color w:val="000000" w:themeColor="text1"/>
                <w:sz w:val="18"/>
                <w:szCs w:val="18"/>
                <w:u w:val="single"/>
              </w:rPr>
              <w:t>Pasivos No Corrientes</w:t>
            </w:r>
          </w:p>
        </w:tc>
        <w:tc>
          <w:tcPr>
            <w:tcW w:w="613" w:type="pct"/>
            <w:tcBorders>
              <w:top w:val="nil"/>
              <w:left w:val="nil"/>
              <w:bottom w:val="nil"/>
              <w:right w:val="nil"/>
            </w:tcBorders>
            <w:shd w:val="clear" w:color="auto" w:fill="auto"/>
            <w:noWrap/>
            <w:vAlign w:val="bottom"/>
            <w:hideMark/>
          </w:tcPr>
          <w:p w14:paraId="7F115575" w14:textId="77777777" w:rsidR="00EF2570" w:rsidRPr="0076589C" w:rsidRDefault="00EF2570" w:rsidP="1C8D6E3A">
            <w:pPr>
              <w:spacing w:after="0" w:line="240" w:lineRule="auto"/>
              <w:ind w:left="0" w:firstLineChars="100" w:firstLine="181"/>
              <w:rPr>
                <w:rFonts w:asciiTheme="minorHAnsi" w:eastAsia="Times New Roman" w:hAnsiTheme="minorHAnsi"/>
                <w:b/>
                <w:bCs/>
                <w:color w:val="000000"/>
                <w:sz w:val="18"/>
                <w:szCs w:val="18"/>
                <w:u w:val="single"/>
              </w:rPr>
            </w:pPr>
          </w:p>
        </w:tc>
        <w:tc>
          <w:tcPr>
            <w:tcW w:w="240" w:type="pct"/>
            <w:tcBorders>
              <w:top w:val="nil"/>
              <w:left w:val="nil"/>
              <w:bottom w:val="nil"/>
              <w:right w:val="nil"/>
            </w:tcBorders>
            <w:shd w:val="clear" w:color="auto" w:fill="auto"/>
            <w:noWrap/>
            <w:vAlign w:val="center"/>
            <w:hideMark/>
          </w:tcPr>
          <w:p w14:paraId="5708552D"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75B879EF"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309" w:type="pct"/>
            <w:tcBorders>
              <w:top w:val="nil"/>
              <w:left w:val="nil"/>
              <w:bottom w:val="nil"/>
              <w:right w:val="nil"/>
            </w:tcBorders>
            <w:shd w:val="clear" w:color="auto" w:fill="auto"/>
            <w:noWrap/>
            <w:vAlign w:val="center"/>
            <w:hideMark/>
          </w:tcPr>
          <w:p w14:paraId="412AB6D1"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1EB44678"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bottom"/>
            <w:hideMark/>
          </w:tcPr>
          <w:p w14:paraId="05003B92"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74F9F893"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center"/>
            <w:hideMark/>
          </w:tcPr>
          <w:p w14:paraId="34C20382" w14:textId="77777777" w:rsidR="00EF2570" w:rsidRPr="0076589C" w:rsidRDefault="00EF2570" w:rsidP="1C8D6E3A">
            <w:pPr>
              <w:spacing w:after="0" w:line="240" w:lineRule="auto"/>
              <w:ind w:left="0"/>
              <w:rPr>
                <w:rFonts w:asciiTheme="minorHAnsi" w:eastAsia="Times New Roman" w:hAnsiTheme="minorHAnsi"/>
                <w:sz w:val="18"/>
                <w:szCs w:val="18"/>
              </w:rPr>
            </w:pPr>
          </w:p>
        </w:tc>
      </w:tr>
      <w:tr w:rsidR="00EF2570" w:rsidRPr="0076589C" w14:paraId="6BC0940D" w14:textId="77777777" w:rsidTr="1C8D6E3A">
        <w:trPr>
          <w:trHeight w:val="260"/>
        </w:trPr>
        <w:tc>
          <w:tcPr>
            <w:tcW w:w="1519" w:type="pct"/>
            <w:tcBorders>
              <w:top w:val="nil"/>
              <w:left w:val="nil"/>
              <w:bottom w:val="nil"/>
              <w:right w:val="nil"/>
            </w:tcBorders>
            <w:shd w:val="clear" w:color="auto" w:fill="auto"/>
            <w:noWrap/>
            <w:vAlign w:val="bottom"/>
            <w:hideMark/>
          </w:tcPr>
          <w:p w14:paraId="2614AF94" w14:textId="77777777" w:rsidR="00EF2570" w:rsidRPr="0076589C" w:rsidRDefault="1C8D6E3A" w:rsidP="1C8D6E3A">
            <w:pPr>
              <w:spacing w:after="0" w:line="240" w:lineRule="auto"/>
              <w:ind w:left="0" w:firstLineChars="200" w:firstLine="36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Cuentas por Pagar</w:t>
            </w:r>
          </w:p>
        </w:tc>
        <w:tc>
          <w:tcPr>
            <w:tcW w:w="613" w:type="pct"/>
            <w:tcBorders>
              <w:top w:val="nil"/>
              <w:left w:val="nil"/>
              <w:bottom w:val="nil"/>
              <w:right w:val="nil"/>
            </w:tcBorders>
            <w:shd w:val="clear" w:color="auto" w:fill="auto"/>
            <w:noWrap/>
            <w:vAlign w:val="bottom"/>
            <w:hideMark/>
          </w:tcPr>
          <w:p w14:paraId="02A07598"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5,766,726.36 </w:t>
            </w:r>
          </w:p>
        </w:tc>
        <w:tc>
          <w:tcPr>
            <w:tcW w:w="240" w:type="pct"/>
            <w:tcBorders>
              <w:top w:val="nil"/>
              <w:left w:val="nil"/>
              <w:bottom w:val="nil"/>
              <w:right w:val="nil"/>
            </w:tcBorders>
            <w:shd w:val="clear" w:color="auto" w:fill="auto"/>
            <w:noWrap/>
            <w:vAlign w:val="center"/>
            <w:hideMark/>
          </w:tcPr>
          <w:p w14:paraId="60CBFDDE"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0CD70997"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5,766,726.36 </w:t>
            </w:r>
          </w:p>
        </w:tc>
        <w:tc>
          <w:tcPr>
            <w:tcW w:w="309" w:type="pct"/>
            <w:tcBorders>
              <w:top w:val="nil"/>
              <w:left w:val="nil"/>
              <w:bottom w:val="nil"/>
              <w:right w:val="nil"/>
            </w:tcBorders>
            <w:shd w:val="clear" w:color="auto" w:fill="auto"/>
            <w:noWrap/>
            <w:vAlign w:val="center"/>
            <w:hideMark/>
          </w:tcPr>
          <w:p w14:paraId="3097AB77"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4599C441"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5,766,726.36 </w:t>
            </w:r>
          </w:p>
        </w:tc>
        <w:tc>
          <w:tcPr>
            <w:tcW w:w="240" w:type="pct"/>
            <w:tcBorders>
              <w:top w:val="nil"/>
              <w:left w:val="nil"/>
              <w:bottom w:val="nil"/>
              <w:right w:val="nil"/>
            </w:tcBorders>
            <w:shd w:val="clear" w:color="auto" w:fill="auto"/>
            <w:noWrap/>
            <w:vAlign w:val="bottom"/>
            <w:hideMark/>
          </w:tcPr>
          <w:p w14:paraId="370ACB27"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34207355"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5,766,726.36 </w:t>
            </w:r>
          </w:p>
        </w:tc>
        <w:tc>
          <w:tcPr>
            <w:tcW w:w="240" w:type="pct"/>
            <w:tcBorders>
              <w:top w:val="nil"/>
              <w:left w:val="nil"/>
              <w:bottom w:val="nil"/>
              <w:right w:val="nil"/>
            </w:tcBorders>
            <w:shd w:val="clear" w:color="auto" w:fill="auto"/>
            <w:noWrap/>
            <w:vAlign w:val="center"/>
            <w:hideMark/>
          </w:tcPr>
          <w:p w14:paraId="5BF54763"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100%</w:t>
            </w:r>
          </w:p>
        </w:tc>
      </w:tr>
      <w:tr w:rsidR="00EF2570" w:rsidRPr="0076589C" w14:paraId="226C4433" w14:textId="77777777" w:rsidTr="1C8D6E3A">
        <w:trPr>
          <w:trHeight w:val="260"/>
        </w:trPr>
        <w:tc>
          <w:tcPr>
            <w:tcW w:w="1519" w:type="pct"/>
            <w:tcBorders>
              <w:top w:val="nil"/>
              <w:left w:val="nil"/>
              <w:bottom w:val="nil"/>
              <w:right w:val="nil"/>
            </w:tcBorders>
            <w:shd w:val="clear" w:color="auto" w:fill="auto"/>
            <w:noWrap/>
            <w:vAlign w:val="bottom"/>
            <w:hideMark/>
          </w:tcPr>
          <w:p w14:paraId="55FCB6ED" w14:textId="77777777" w:rsidR="00EF2570" w:rsidRPr="0076589C" w:rsidRDefault="00EF2570" w:rsidP="1C8D6E3A">
            <w:pPr>
              <w:spacing w:after="0" w:line="240" w:lineRule="auto"/>
              <w:ind w:left="0"/>
              <w:jc w:val="center"/>
              <w:rPr>
                <w:rFonts w:asciiTheme="minorHAnsi" w:eastAsia="Times New Roman" w:hAnsiTheme="minorHAnsi"/>
                <w:b/>
                <w:bCs/>
                <w:color w:val="000000"/>
                <w:sz w:val="18"/>
                <w:szCs w:val="18"/>
              </w:rPr>
            </w:pPr>
          </w:p>
        </w:tc>
        <w:tc>
          <w:tcPr>
            <w:tcW w:w="613" w:type="pct"/>
            <w:tcBorders>
              <w:top w:val="nil"/>
              <w:left w:val="nil"/>
              <w:bottom w:val="nil"/>
              <w:right w:val="nil"/>
            </w:tcBorders>
            <w:shd w:val="clear" w:color="auto" w:fill="auto"/>
            <w:noWrap/>
            <w:vAlign w:val="bottom"/>
            <w:hideMark/>
          </w:tcPr>
          <w:p w14:paraId="5B0273D8" w14:textId="77777777" w:rsidR="00EF2570" w:rsidRPr="0076589C" w:rsidRDefault="00EF2570" w:rsidP="1C8D6E3A">
            <w:pPr>
              <w:spacing w:after="0" w:line="240" w:lineRule="auto"/>
              <w:ind w:left="0" w:firstLineChars="100" w:firstLine="180"/>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center"/>
            <w:hideMark/>
          </w:tcPr>
          <w:p w14:paraId="082305D5"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42A3601F"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309" w:type="pct"/>
            <w:tcBorders>
              <w:top w:val="nil"/>
              <w:left w:val="nil"/>
              <w:bottom w:val="nil"/>
              <w:right w:val="nil"/>
            </w:tcBorders>
            <w:shd w:val="clear" w:color="auto" w:fill="auto"/>
            <w:noWrap/>
            <w:vAlign w:val="center"/>
            <w:hideMark/>
          </w:tcPr>
          <w:p w14:paraId="10AB5164"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175E31C9"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bottom"/>
            <w:hideMark/>
          </w:tcPr>
          <w:p w14:paraId="13A8B84D"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4AB31200"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center"/>
            <w:hideMark/>
          </w:tcPr>
          <w:p w14:paraId="52C67466" w14:textId="77777777" w:rsidR="00EF2570" w:rsidRPr="0076589C" w:rsidRDefault="00EF2570" w:rsidP="1C8D6E3A">
            <w:pPr>
              <w:spacing w:after="0" w:line="240" w:lineRule="auto"/>
              <w:ind w:left="0"/>
              <w:rPr>
                <w:rFonts w:asciiTheme="minorHAnsi" w:eastAsia="Times New Roman" w:hAnsiTheme="minorHAnsi"/>
                <w:sz w:val="18"/>
                <w:szCs w:val="18"/>
              </w:rPr>
            </w:pPr>
          </w:p>
        </w:tc>
      </w:tr>
      <w:tr w:rsidR="00EF2570" w:rsidRPr="0076589C" w14:paraId="0A17398B" w14:textId="77777777" w:rsidTr="1C8D6E3A">
        <w:trPr>
          <w:trHeight w:val="260"/>
        </w:trPr>
        <w:tc>
          <w:tcPr>
            <w:tcW w:w="1519" w:type="pct"/>
            <w:tcBorders>
              <w:top w:val="single" w:sz="4" w:space="0" w:color="auto"/>
              <w:left w:val="nil"/>
              <w:bottom w:val="single" w:sz="4" w:space="0" w:color="auto"/>
              <w:right w:val="nil"/>
            </w:tcBorders>
            <w:shd w:val="clear" w:color="auto" w:fill="auto"/>
            <w:noWrap/>
            <w:vAlign w:val="bottom"/>
            <w:hideMark/>
          </w:tcPr>
          <w:p w14:paraId="2E811585" w14:textId="77777777" w:rsidR="00EF2570" w:rsidRPr="0076589C" w:rsidRDefault="1C8D6E3A" w:rsidP="1C8D6E3A">
            <w:pPr>
              <w:spacing w:after="0" w:line="240" w:lineRule="auto"/>
              <w:ind w:left="0" w:firstLineChars="100" w:firstLine="181"/>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Total Pasivos</w:t>
            </w:r>
          </w:p>
        </w:tc>
        <w:tc>
          <w:tcPr>
            <w:tcW w:w="613" w:type="pct"/>
            <w:tcBorders>
              <w:top w:val="single" w:sz="4" w:space="0" w:color="auto"/>
              <w:left w:val="nil"/>
              <w:bottom w:val="single" w:sz="4" w:space="0" w:color="auto"/>
              <w:right w:val="nil"/>
            </w:tcBorders>
            <w:shd w:val="clear" w:color="auto" w:fill="auto"/>
            <w:noWrap/>
            <w:vAlign w:val="bottom"/>
            <w:hideMark/>
          </w:tcPr>
          <w:p w14:paraId="2923639D"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7,670,360.82 </w:t>
            </w:r>
          </w:p>
        </w:tc>
        <w:tc>
          <w:tcPr>
            <w:tcW w:w="240" w:type="pct"/>
            <w:tcBorders>
              <w:top w:val="single" w:sz="4" w:space="0" w:color="auto"/>
              <w:left w:val="nil"/>
              <w:bottom w:val="single" w:sz="4" w:space="0" w:color="auto"/>
              <w:right w:val="nil"/>
            </w:tcBorders>
            <w:shd w:val="clear" w:color="auto" w:fill="auto"/>
            <w:noWrap/>
            <w:vAlign w:val="center"/>
            <w:hideMark/>
          </w:tcPr>
          <w:p w14:paraId="4DB13EC6"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100%</w:t>
            </w:r>
          </w:p>
        </w:tc>
        <w:tc>
          <w:tcPr>
            <w:tcW w:w="613" w:type="pct"/>
            <w:tcBorders>
              <w:top w:val="single" w:sz="4" w:space="0" w:color="auto"/>
              <w:left w:val="nil"/>
              <w:bottom w:val="single" w:sz="4" w:space="0" w:color="auto"/>
              <w:right w:val="nil"/>
            </w:tcBorders>
            <w:shd w:val="clear" w:color="auto" w:fill="auto"/>
            <w:noWrap/>
            <w:vAlign w:val="bottom"/>
            <w:hideMark/>
          </w:tcPr>
          <w:p w14:paraId="23C20960"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6,862,234.47 </w:t>
            </w:r>
          </w:p>
        </w:tc>
        <w:tc>
          <w:tcPr>
            <w:tcW w:w="309" w:type="pct"/>
            <w:tcBorders>
              <w:top w:val="single" w:sz="4" w:space="0" w:color="auto"/>
              <w:left w:val="nil"/>
              <w:bottom w:val="single" w:sz="4" w:space="0" w:color="auto"/>
              <w:right w:val="nil"/>
            </w:tcBorders>
            <w:shd w:val="clear" w:color="auto" w:fill="auto"/>
            <w:noWrap/>
            <w:vAlign w:val="center"/>
            <w:hideMark/>
          </w:tcPr>
          <w:p w14:paraId="65EE5A60"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89%</w:t>
            </w:r>
          </w:p>
        </w:tc>
        <w:tc>
          <w:tcPr>
            <w:tcW w:w="613" w:type="pct"/>
            <w:tcBorders>
              <w:top w:val="single" w:sz="4" w:space="0" w:color="auto"/>
              <w:left w:val="nil"/>
              <w:bottom w:val="single" w:sz="4" w:space="0" w:color="auto"/>
              <w:right w:val="nil"/>
            </w:tcBorders>
            <w:shd w:val="clear" w:color="auto" w:fill="auto"/>
            <w:noWrap/>
            <w:vAlign w:val="bottom"/>
            <w:hideMark/>
          </w:tcPr>
          <w:p w14:paraId="040DFF0D"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7,394,182.00 </w:t>
            </w:r>
          </w:p>
        </w:tc>
        <w:tc>
          <w:tcPr>
            <w:tcW w:w="240" w:type="pct"/>
            <w:tcBorders>
              <w:top w:val="single" w:sz="4" w:space="0" w:color="auto"/>
              <w:left w:val="nil"/>
              <w:bottom w:val="single" w:sz="4" w:space="0" w:color="auto"/>
              <w:right w:val="nil"/>
            </w:tcBorders>
            <w:shd w:val="clear" w:color="auto" w:fill="auto"/>
            <w:noWrap/>
            <w:vAlign w:val="bottom"/>
            <w:hideMark/>
          </w:tcPr>
          <w:p w14:paraId="27FE57F6"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108%</w:t>
            </w:r>
          </w:p>
        </w:tc>
        <w:tc>
          <w:tcPr>
            <w:tcW w:w="613" w:type="pct"/>
            <w:tcBorders>
              <w:top w:val="single" w:sz="4" w:space="0" w:color="auto"/>
              <w:left w:val="nil"/>
              <w:bottom w:val="single" w:sz="4" w:space="0" w:color="auto"/>
              <w:right w:val="nil"/>
            </w:tcBorders>
            <w:shd w:val="clear" w:color="auto" w:fill="auto"/>
            <w:noWrap/>
            <w:vAlign w:val="bottom"/>
            <w:hideMark/>
          </w:tcPr>
          <w:p w14:paraId="638141B8"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8,737,636.21 </w:t>
            </w:r>
          </w:p>
        </w:tc>
        <w:tc>
          <w:tcPr>
            <w:tcW w:w="240" w:type="pct"/>
            <w:tcBorders>
              <w:top w:val="single" w:sz="4" w:space="0" w:color="auto"/>
              <w:left w:val="nil"/>
              <w:bottom w:val="single" w:sz="4" w:space="0" w:color="auto"/>
              <w:right w:val="nil"/>
            </w:tcBorders>
            <w:shd w:val="clear" w:color="auto" w:fill="auto"/>
            <w:noWrap/>
            <w:vAlign w:val="center"/>
            <w:hideMark/>
          </w:tcPr>
          <w:p w14:paraId="70C32960"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118%</w:t>
            </w:r>
          </w:p>
        </w:tc>
      </w:tr>
      <w:tr w:rsidR="00EF2570" w:rsidRPr="0076589C" w14:paraId="1F802008" w14:textId="77777777" w:rsidTr="1C8D6E3A">
        <w:trPr>
          <w:trHeight w:val="260"/>
        </w:trPr>
        <w:tc>
          <w:tcPr>
            <w:tcW w:w="1519" w:type="pct"/>
            <w:tcBorders>
              <w:top w:val="nil"/>
              <w:left w:val="nil"/>
              <w:bottom w:val="nil"/>
              <w:right w:val="nil"/>
            </w:tcBorders>
            <w:shd w:val="clear" w:color="auto" w:fill="auto"/>
            <w:noWrap/>
            <w:vAlign w:val="bottom"/>
            <w:hideMark/>
          </w:tcPr>
          <w:p w14:paraId="3807521A" w14:textId="77777777" w:rsidR="00EF2570" w:rsidRPr="0076589C" w:rsidRDefault="00EF2570" w:rsidP="1C8D6E3A">
            <w:pPr>
              <w:spacing w:after="0" w:line="240" w:lineRule="auto"/>
              <w:ind w:left="0"/>
              <w:jc w:val="center"/>
              <w:rPr>
                <w:rFonts w:asciiTheme="minorHAnsi" w:eastAsia="Times New Roman" w:hAnsiTheme="minorHAnsi"/>
                <w:b/>
                <w:bCs/>
                <w:color w:val="000000"/>
                <w:sz w:val="18"/>
                <w:szCs w:val="18"/>
              </w:rPr>
            </w:pPr>
          </w:p>
        </w:tc>
        <w:tc>
          <w:tcPr>
            <w:tcW w:w="613" w:type="pct"/>
            <w:tcBorders>
              <w:top w:val="nil"/>
              <w:left w:val="nil"/>
              <w:bottom w:val="nil"/>
              <w:right w:val="nil"/>
            </w:tcBorders>
            <w:shd w:val="clear" w:color="auto" w:fill="auto"/>
            <w:noWrap/>
            <w:vAlign w:val="bottom"/>
            <w:hideMark/>
          </w:tcPr>
          <w:p w14:paraId="0BE589AA" w14:textId="77777777" w:rsidR="00EF2570" w:rsidRPr="0076589C" w:rsidRDefault="00EF2570" w:rsidP="1C8D6E3A">
            <w:pPr>
              <w:spacing w:after="0" w:line="240" w:lineRule="auto"/>
              <w:ind w:left="0" w:firstLineChars="100" w:firstLine="180"/>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center"/>
            <w:hideMark/>
          </w:tcPr>
          <w:p w14:paraId="7FDEE68B"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253F4DA5"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309" w:type="pct"/>
            <w:tcBorders>
              <w:top w:val="nil"/>
              <w:left w:val="nil"/>
              <w:bottom w:val="nil"/>
              <w:right w:val="nil"/>
            </w:tcBorders>
            <w:shd w:val="clear" w:color="auto" w:fill="auto"/>
            <w:noWrap/>
            <w:vAlign w:val="center"/>
            <w:hideMark/>
          </w:tcPr>
          <w:p w14:paraId="08928331"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77BFB6E1"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bottom"/>
            <w:hideMark/>
          </w:tcPr>
          <w:p w14:paraId="10D7CBE7"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41B621A1"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center"/>
            <w:hideMark/>
          </w:tcPr>
          <w:p w14:paraId="0334E69F" w14:textId="77777777" w:rsidR="00EF2570" w:rsidRPr="0076589C" w:rsidRDefault="00EF2570" w:rsidP="1C8D6E3A">
            <w:pPr>
              <w:spacing w:after="0" w:line="240" w:lineRule="auto"/>
              <w:ind w:left="0"/>
              <w:rPr>
                <w:rFonts w:asciiTheme="minorHAnsi" w:eastAsia="Times New Roman" w:hAnsiTheme="minorHAnsi"/>
                <w:sz w:val="18"/>
                <w:szCs w:val="18"/>
              </w:rPr>
            </w:pPr>
          </w:p>
        </w:tc>
      </w:tr>
      <w:tr w:rsidR="00EF2570" w:rsidRPr="0076589C" w14:paraId="57D68CAC" w14:textId="77777777" w:rsidTr="1C8D6E3A">
        <w:trPr>
          <w:trHeight w:val="260"/>
        </w:trPr>
        <w:tc>
          <w:tcPr>
            <w:tcW w:w="1519" w:type="pct"/>
            <w:tcBorders>
              <w:top w:val="nil"/>
              <w:left w:val="nil"/>
              <w:bottom w:val="nil"/>
              <w:right w:val="nil"/>
            </w:tcBorders>
            <w:shd w:val="clear" w:color="auto" w:fill="F2F2F2" w:themeFill="background1" w:themeFillShade="F2"/>
            <w:noWrap/>
            <w:vAlign w:val="bottom"/>
            <w:hideMark/>
          </w:tcPr>
          <w:p w14:paraId="11598437" w14:textId="77777777" w:rsidR="00EF2570" w:rsidRPr="0076589C" w:rsidRDefault="1C8D6E3A" w:rsidP="1C8D6E3A">
            <w:pPr>
              <w:spacing w:after="0" w:line="240" w:lineRule="auto"/>
              <w:ind w:left="0"/>
              <w:rPr>
                <w:rFonts w:asciiTheme="minorHAnsi" w:eastAsia="Times New Roman" w:hAnsiTheme="minorHAnsi"/>
                <w:b/>
                <w:bCs/>
                <w:color w:val="44546A"/>
                <w:sz w:val="18"/>
                <w:szCs w:val="18"/>
              </w:rPr>
            </w:pPr>
            <w:r w:rsidRPr="0076589C">
              <w:rPr>
                <w:rFonts w:asciiTheme="minorHAnsi" w:eastAsia="Times New Roman" w:hAnsiTheme="minorHAnsi"/>
                <w:b/>
                <w:bCs/>
                <w:color w:val="44546A" w:themeColor="text2"/>
                <w:sz w:val="18"/>
                <w:szCs w:val="18"/>
              </w:rPr>
              <w:t>Patrimonio Neto</w:t>
            </w:r>
          </w:p>
        </w:tc>
        <w:tc>
          <w:tcPr>
            <w:tcW w:w="613" w:type="pct"/>
            <w:tcBorders>
              <w:top w:val="nil"/>
              <w:left w:val="nil"/>
              <w:bottom w:val="nil"/>
              <w:right w:val="nil"/>
            </w:tcBorders>
            <w:shd w:val="clear" w:color="auto" w:fill="F2F2F2" w:themeFill="background1" w:themeFillShade="F2"/>
            <w:noWrap/>
            <w:vAlign w:val="bottom"/>
            <w:hideMark/>
          </w:tcPr>
          <w:p w14:paraId="3231EA07"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c>
          <w:tcPr>
            <w:tcW w:w="240" w:type="pct"/>
            <w:tcBorders>
              <w:top w:val="nil"/>
              <w:left w:val="nil"/>
              <w:bottom w:val="nil"/>
              <w:right w:val="nil"/>
            </w:tcBorders>
            <w:shd w:val="clear" w:color="auto" w:fill="F2F2F2" w:themeFill="background1" w:themeFillShade="F2"/>
            <w:noWrap/>
            <w:vAlign w:val="center"/>
            <w:hideMark/>
          </w:tcPr>
          <w:p w14:paraId="3FEBE34A"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c>
          <w:tcPr>
            <w:tcW w:w="613" w:type="pct"/>
            <w:tcBorders>
              <w:top w:val="nil"/>
              <w:left w:val="nil"/>
              <w:bottom w:val="nil"/>
              <w:right w:val="nil"/>
            </w:tcBorders>
            <w:shd w:val="clear" w:color="auto" w:fill="F2F2F2" w:themeFill="background1" w:themeFillShade="F2"/>
            <w:noWrap/>
            <w:vAlign w:val="bottom"/>
            <w:hideMark/>
          </w:tcPr>
          <w:p w14:paraId="577B5211"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c>
          <w:tcPr>
            <w:tcW w:w="309" w:type="pct"/>
            <w:tcBorders>
              <w:top w:val="nil"/>
              <w:left w:val="nil"/>
              <w:bottom w:val="nil"/>
              <w:right w:val="nil"/>
            </w:tcBorders>
            <w:shd w:val="clear" w:color="auto" w:fill="F2F2F2" w:themeFill="background1" w:themeFillShade="F2"/>
            <w:noWrap/>
            <w:vAlign w:val="center"/>
            <w:hideMark/>
          </w:tcPr>
          <w:p w14:paraId="31083B41"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c>
          <w:tcPr>
            <w:tcW w:w="613" w:type="pct"/>
            <w:tcBorders>
              <w:top w:val="nil"/>
              <w:left w:val="nil"/>
              <w:bottom w:val="nil"/>
              <w:right w:val="nil"/>
            </w:tcBorders>
            <w:shd w:val="clear" w:color="auto" w:fill="F2F2F2" w:themeFill="background1" w:themeFillShade="F2"/>
            <w:noWrap/>
            <w:vAlign w:val="bottom"/>
            <w:hideMark/>
          </w:tcPr>
          <w:p w14:paraId="23D607BA"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c>
          <w:tcPr>
            <w:tcW w:w="240" w:type="pct"/>
            <w:tcBorders>
              <w:top w:val="nil"/>
              <w:left w:val="nil"/>
              <w:bottom w:val="nil"/>
              <w:right w:val="nil"/>
            </w:tcBorders>
            <w:shd w:val="clear" w:color="auto" w:fill="F2F2F2" w:themeFill="background1" w:themeFillShade="F2"/>
            <w:noWrap/>
            <w:vAlign w:val="bottom"/>
            <w:hideMark/>
          </w:tcPr>
          <w:p w14:paraId="64F33F9D"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c>
          <w:tcPr>
            <w:tcW w:w="613" w:type="pct"/>
            <w:tcBorders>
              <w:top w:val="nil"/>
              <w:left w:val="nil"/>
              <w:bottom w:val="nil"/>
              <w:right w:val="nil"/>
            </w:tcBorders>
            <w:shd w:val="clear" w:color="auto" w:fill="F2F2F2" w:themeFill="background1" w:themeFillShade="F2"/>
            <w:noWrap/>
            <w:vAlign w:val="bottom"/>
            <w:hideMark/>
          </w:tcPr>
          <w:p w14:paraId="62DC4A17"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c>
          <w:tcPr>
            <w:tcW w:w="240" w:type="pct"/>
            <w:tcBorders>
              <w:top w:val="nil"/>
              <w:left w:val="nil"/>
              <w:bottom w:val="nil"/>
              <w:right w:val="nil"/>
            </w:tcBorders>
            <w:shd w:val="clear" w:color="auto" w:fill="F2F2F2" w:themeFill="background1" w:themeFillShade="F2"/>
            <w:noWrap/>
            <w:vAlign w:val="center"/>
            <w:hideMark/>
          </w:tcPr>
          <w:p w14:paraId="38134F50"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w:t>
            </w:r>
          </w:p>
        </w:tc>
      </w:tr>
      <w:tr w:rsidR="00EF2570" w:rsidRPr="0076589C" w14:paraId="3BBCD42E" w14:textId="77777777" w:rsidTr="1C8D6E3A">
        <w:trPr>
          <w:trHeight w:val="260"/>
        </w:trPr>
        <w:tc>
          <w:tcPr>
            <w:tcW w:w="1519" w:type="pct"/>
            <w:tcBorders>
              <w:top w:val="nil"/>
              <w:left w:val="nil"/>
              <w:bottom w:val="nil"/>
              <w:right w:val="nil"/>
            </w:tcBorders>
            <w:shd w:val="clear" w:color="auto" w:fill="auto"/>
            <w:noWrap/>
            <w:vAlign w:val="bottom"/>
            <w:hideMark/>
          </w:tcPr>
          <w:p w14:paraId="5CDF8FCE" w14:textId="77777777" w:rsidR="00EF2570" w:rsidRPr="0076589C" w:rsidRDefault="1C8D6E3A" w:rsidP="1C8D6E3A">
            <w:pPr>
              <w:spacing w:after="0" w:line="240" w:lineRule="auto"/>
              <w:ind w:left="0" w:firstLineChars="200" w:firstLine="36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Capital Social</w:t>
            </w:r>
          </w:p>
        </w:tc>
        <w:tc>
          <w:tcPr>
            <w:tcW w:w="613" w:type="pct"/>
            <w:tcBorders>
              <w:top w:val="nil"/>
              <w:left w:val="nil"/>
              <w:bottom w:val="nil"/>
              <w:right w:val="nil"/>
            </w:tcBorders>
            <w:shd w:val="clear" w:color="auto" w:fill="auto"/>
            <w:noWrap/>
            <w:vAlign w:val="bottom"/>
            <w:hideMark/>
          </w:tcPr>
          <w:p w14:paraId="079CAC34"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200,000.00 </w:t>
            </w:r>
          </w:p>
        </w:tc>
        <w:tc>
          <w:tcPr>
            <w:tcW w:w="240" w:type="pct"/>
            <w:tcBorders>
              <w:top w:val="nil"/>
              <w:left w:val="nil"/>
              <w:bottom w:val="nil"/>
              <w:right w:val="nil"/>
            </w:tcBorders>
            <w:shd w:val="clear" w:color="auto" w:fill="auto"/>
            <w:noWrap/>
            <w:vAlign w:val="center"/>
            <w:hideMark/>
          </w:tcPr>
          <w:p w14:paraId="2086FC9E"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7595F5F0"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200,000.00 </w:t>
            </w:r>
          </w:p>
        </w:tc>
        <w:tc>
          <w:tcPr>
            <w:tcW w:w="309" w:type="pct"/>
            <w:tcBorders>
              <w:top w:val="nil"/>
              <w:left w:val="nil"/>
              <w:bottom w:val="nil"/>
              <w:right w:val="nil"/>
            </w:tcBorders>
            <w:shd w:val="clear" w:color="auto" w:fill="auto"/>
            <w:noWrap/>
            <w:vAlign w:val="center"/>
            <w:hideMark/>
          </w:tcPr>
          <w:p w14:paraId="1508EF67"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12D4F599"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200,000.00 </w:t>
            </w:r>
          </w:p>
        </w:tc>
        <w:tc>
          <w:tcPr>
            <w:tcW w:w="240" w:type="pct"/>
            <w:tcBorders>
              <w:top w:val="nil"/>
              <w:left w:val="nil"/>
              <w:bottom w:val="nil"/>
              <w:right w:val="nil"/>
            </w:tcBorders>
            <w:shd w:val="clear" w:color="auto" w:fill="auto"/>
            <w:noWrap/>
            <w:vAlign w:val="bottom"/>
            <w:hideMark/>
          </w:tcPr>
          <w:p w14:paraId="0EDEA462"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0E55071E"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200,000.00 </w:t>
            </w:r>
          </w:p>
        </w:tc>
        <w:tc>
          <w:tcPr>
            <w:tcW w:w="240" w:type="pct"/>
            <w:tcBorders>
              <w:top w:val="nil"/>
              <w:left w:val="nil"/>
              <w:bottom w:val="nil"/>
              <w:right w:val="nil"/>
            </w:tcBorders>
            <w:shd w:val="clear" w:color="auto" w:fill="auto"/>
            <w:noWrap/>
            <w:vAlign w:val="center"/>
            <w:hideMark/>
          </w:tcPr>
          <w:p w14:paraId="6EFEB042"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r>
      <w:tr w:rsidR="00EF2570" w:rsidRPr="0076589C" w14:paraId="1BA9C842" w14:textId="77777777" w:rsidTr="1C8D6E3A">
        <w:trPr>
          <w:trHeight w:val="260"/>
        </w:trPr>
        <w:tc>
          <w:tcPr>
            <w:tcW w:w="1519" w:type="pct"/>
            <w:tcBorders>
              <w:top w:val="nil"/>
              <w:left w:val="nil"/>
              <w:bottom w:val="nil"/>
              <w:right w:val="nil"/>
            </w:tcBorders>
            <w:shd w:val="clear" w:color="auto" w:fill="auto"/>
            <w:noWrap/>
            <w:vAlign w:val="bottom"/>
            <w:hideMark/>
          </w:tcPr>
          <w:p w14:paraId="5624BA75" w14:textId="77777777" w:rsidR="00EF2570" w:rsidRPr="0076589C" w:rsidRDefault="1C8D6E3A" w:rsidP="1C8D6E3A">
            <w:pPr>
              <w:spacing w:after="0" w:line="240" w:lineRule="auto"/>
              <w:ind w:left="0" w:firstLineChars="200" w:firstLine="36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Utilidades Acumuladas</w:t>
            </w:r>
          </w:p>
        </w:tc>
        <w:tc>
          <w:tcPr>
            <w:tcW w:w="613" w:type="pct"/>
            <w:tcBorders>
              <w:top w:val="nil"/>
              <w:left w:val="nil"/>
              <w:bottom w:val="nil"/>
              <w:right w:val="nil"/>
            </w:tcBorders>
            <w:shd w:val="clear" w:color="auto" w:fill="auto"/>
            <w:noWrap/>
            <w:vAlign w:val="bottom"/>
            <w:hideMark/>
          </w:tcPr>
          <w:p w14:paraId="5A11FADC"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94,092.51 </w:t>
            </w:r>
          </w:p>
        </w:tc>
        <w:tc>
          <w:tcPr>
            <w:tcW w:w="240" w:type="pct"/>
            <w:tcBorders>
              <w:top w:val="nil"/>
              <w:left w:val="nil"/>
              <w:bottom w:val="nil"/>
              <w:right w:val="nil"/>
            </w:tcBorders>
            <w:shd w:val="clear" w:color="auto" w:fill="auto"/>
            <w:noWrap/>
            <w:vAlign w:val="center"/>
            <w:hideMark/>
          </w:tcPr>
          <w:p w14:paraId="7ED1BA63"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4EE85A74"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11,154,178.46 </w:t>
            </w:r>
          </w:p>
        </w:tc>
        <w:tc>
          <w:tcPr>
            <w:tcW w:w="309" w:type="pct"/>
            <w:tcBorders>
              <w:top w:val="nil"/>
              <w:left w:val="nil"/>
              <w:bottom w:val="nil"/>
              <w:right w:val="nil"/>
            </w:tcBorders>
            <w:shd w:val="clear" w:color="auto" w:fill="auto"/>
            <w:noWrap/>
            <w:vAlign w:val="center"/>
            <w:hideMark/>
          </w:tcPr>
          <w:p w14:paraId="42E302F6"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11854%</w:t>
            </w:r>
          </w:p>
        </w:tc>
        <w:tc>
          <w:tcPr>
            <w:tcW w:w="613" w:type="pct"/>
            <w:tcBorders>
              <w:top w:val="nil"/>
              <w:left w:val="nil"/>
              <w:bottom w:val="nil"/>
              <w:right w:val="nil"/>
            </w:tcBorders>
            <w:shd w:val="clear" w:color="auto" w:fill="auto"/>
            <w:noWrap/>
            <w:vAlign w:val="bottom"/>
            <w:hideMark/>
          </w:tcPr>
          <w:p w14:paraId="19F563A6"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12,040,878.72 </w:t>
            </w:r>
          </w:p>
        </w:tc>
        <w:tc>
          <w:tcPr>
            <w:tcW w:w="240" w:type="pct"/>
            <w:tcBorders>
              <w:top w:val="nil"/>
              <w:left w:val="nil"/>
              <w:bottom w:val="nil"/>
              <w:right w:val="nil"/>
            </w:tcBorders>
            <w:shd w:val="clear" w:color="auto" w:fill="auto"/>
            <w:noWrap/>
            <w:vAlign w:val="bottom"/>
            <w:hideMark/>
          </w:tcPr>
          <w:p w14:paraId="75FC8755"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108%</w:t>
            </w:r>
          </w:p>
        </w:tc>
        <w:tc>
          <w:tcPr>
            <w:tcW w:w="613" w:type="pct"/>
            <w:tcBorders>
              <w:top w:val="nil"/>
              <w:left w:val="nil"/>
              <w:bottom w:val="nil"/>
              <w:right w:val="nil"/>
            </w:tcBorders>
            <w:shd w:val="clear" w:color="auto" w:fill="auto"/>
            <w:noWrap/>
            <w:vAlign w:val="bottom"/>
            <w:hideMark/>
          </w:tcPr>
          <w:p w14:paraId="73E0B246"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13,591,616.30 </w:t>
            </w:r>
          </w:p>
        </w:tc>
        <w:tc>
          <w:tcPr>
            <w:tcW w:w="240" w:type="pct"/>
            <w:tcBorders>
              <w:top w:val="nil"/>
              <w:left w:val="nil"/>
              <w:bottom w:val="nil"/>
              <w:right w:val="nil"/>
            </w:tcBorders>
            <w:shd w:val="clear" w:color="auto" w:fill="auto"/>
            <w:noWrap/>
            <w:vAlign w:val="center"/>
            <w:hideMark/>
          </w:tcPr>
          <w:p w14:paraId="0E2424F0"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113%</w:t>
            </w:r>
          </w:p>
        </w:tc>
      </w:tr>
      <w:tr w:rsidR="00EF2570" w:rsidRPr="0076589C" w14:paraId="371C0C17" w14:textId="77777777" w:rsidTr="1C8D6E3A">
        <w:trPr>
          <w:trHeight w:val="260"/>
        </w:trPr>
        <w:tc>
          <w:tcPr>
            <w:tcW w:w="1519" w:type="pct"/>
            <w:tcBorders>
              <w:top w:val="nil"/>
              <w:left w:val="nil"/>
              <w:bottom w:val="nil"/>
              <w:right w:val="nil"/>
            </w:tcBorders>
            <w:shd w:val="clear" w:color="auto" w:fill="auto"/>
            <w:noWrap/>
            <w:vAlign w:val="bottom"/>
            <w:hideMark/>
          </w:tcPr>
          <w:p w14:paraId="5B7440E0" w14:textId="77777777" w:rsidR="00EF2570" w:rsidRPr="0076589C" w:rsidRDefault="1C8D6E3A" w:rsidP="1C8D6E3A">
            <w:pPr>
              <w:spacing w:after="0" w:line="240" w:lineRule="auto"/>
              <w:ind w:left="0" w:firstLineChars="200" w:firstLine="36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Utilidad del Período</w:t>
            </w:r>
          </w:p>
        </w:tc>
        <w:tc>
          <w:tcPr>
            <w:tcW w:w="613" w:type="pct"/>
            <w:tcBorders>
              <w:top w:val="nil"/>
              <w:left w:val="nil"/>
              <w:bottom w:val="nil"/>
              <w:right w:val="nil"/>
            </w:tcBorders>
            <w:shd w:val="clear" w:color="auto" w:fill="auto"/>
            <w:noWrap/>
            <w:vAlign w:val="bottom"/>
            <w:hideMark/>
          </w:tcPr>
          <w:p w14:paraId="15E9B45C"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9,129,798.10 </w:t>
            </w:r>
          </w:p>
        </w:tc>
        <w:tc>
          <w:tcPr>
            <w:tcW w:w="240" w:type="pct"/>
            <w:tcBorders>
              <w:top w:val="nil"/>
              <w:left w:val="nil"/>
              <w:bottom w:val="nil"/>
              <w:right w:val="nil"/>
            </w:tcBorders>
            <w:shd w:val="clear" w:color="auto" w:fill="auto"/>
            <w:noWrap/>
            <w:vAlign w:val="center"/>
            <w:hideMark/>
          </w:tcPr>
          <w:p w14:paraId="41B8DEE0"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6C4B0CB7"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886,700.26 </w:t>
            </w:r>
          </w:p>
        </w:tc>
        <w:tc>
          <w:tcPr>
            <w:tcW w:w="309" w:type="pct"/>
            <w:tcBorders>
              <w:top w:val="nil"/>
              <w:left w:val="nil"/>
              <w:bottom w:val="nil"/>
              <w:right w:val="nil"/>
            </w:tcBorders>
            <w:shd w:val="clear" w:color="auto" w:fill="auto"/>
            <w:noWrap/>
            <w:vAlign w:val="center"/>
            <w:hideMark/>
          </w:tcPr>
          <w:p w14:paraId="1633C46A"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w:t>
            </w:r>
          </w:p>
        </w:tc>
        <w:tc>
          <w:tcPr>
            <w:tcW w:w="613" w:type="pct"/>
            <w:tcBorders>
              <w:top w:val="nil"/>
              <w:left w:val="nil"/>
              <w:bottom w:val="nil"/>
              <w:right w:val="nil"/>
            </w:tcBorders>
            <w:shd w:val="clear" w:color="auto" w:fill="auto"/>
            <w:noWrap/>
            <w:vAlign w:val="bottom"/>
            <w:hideMark/>
          </w:tcPr>
          <w:p w14:paraId="5B02DAC4" w14:textId="77777777" w:rsidR="00EF2570" w:rsidRPr="0076589C" w:rsidRDefault="00EF2570" w:rsidP="1C8D6E3A">
            <w:pPr>
              <w:spacing w:after="0" w:line="240" w:lineRule="auto"/>
              <w:ind w:left="0"/>
              <w:jc w:val="center"/>
              <w:rPr>
                <w:rFonts w:asciiTheme="minorHAnsi" w:eastAsia="Times New Roman" w:hAnsiTheme="minorHAnsi"/>
                <w:color w:val="000000"/>
                <w:sz w:val="18"/>
                <w:szCs w:val="18"/>
              </w:rPr>
            </w:pPr>
          </w:p>
        </w:tc>
        <w:tc>
          <w:tcPr>
            <w:tcW w:w="240" w:type="pct"/>
            <w:tcBorders>
              <w:top w:val="nil"/>
              <w:left w:val="nil"/>
              <w:bottom w:val="nil"/>
              <w:right w:val="nil"/>
            </w:tcBorders>
            <w:shd w:val="clear" w:color="auto" w:fill="auto"/>
            <w:noWrap/>
            <w:vAlign w:val="bottom"/>
            <w:hideMark/>
          </w:tcPr>
          <w:p w14:paraId="178F7D41"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0%</w:t>
            </w:r>
          </w:p>
        </w:tc>
        <w:tc>
          <w:tcPr>
            <w:tcW w:w="613" w:type="pct"/>
            <w:tcBorders>
              <w:top w:val="nil"/>
              <w:left w:val="nil"/>
              <w:bottom w:val="nil"/>
              <w:right w:val="nil"/>
            </w:tcBorders>
            <w:shd w:val="clear" w:color="auto" w:fill="auto"/>
            <w:noWrap/>
            <w:vAlign w:val="bottom"/>
            <w:hideMark/>
          </w:tcPr>
          <w:p w14:paraId="76C4D73D" w14:textId="77777777" w:rsidR="00EF2570" w:rsidRPr="0076589C" w:rsidRDefault="00EF2570" w:rsidP="1C8D6E3A">
            <w:pPr>
              <w:spacing w:after="0" w:line="240" w:lineRule="auto"/>
              <w:ind w:left="0"/>
              <w:jc w:val="center"/>
              <w:rPr>
                <w:rFonts w:asciiTheme="minorHAnsi" w:eastAsia="Times New Roman" w:hAnsiTheme="minorHAnsi"/>
                <w:color w:val="000000"/>
                <w:sz w:val="18"/>
                <w:szCs w:val="18"/>
              </w:rPr>
            </w:pPr>
          </w:p>
        </w:tc>
        <w:tc>
          <w:tcPr>
            <w:tcW w:w="240" w:type="pct"/>
            <w:tcBorders>
              <w:top w:val="nil"/>
              <w:left w:val="nil"/>
              <w:bottom w:val="nil"/>
              <w:right w:val="nil"/>
            </w:tcBorders>
            <w:shd w:val="clear" w:color="auto" w:fill="auto"/>
            <w:noWrap/>
            <w:vAlign w:val="center"/>
            <w:hideMark/>
          </w:tcPr>
          <w:p w14:paraId="78823AF0"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0%</w:t>
            </w:r>
          </w:p>
        </w:tc>
      </w:tr>
      <w:tr w:rsidR="00EF2570" w:rsidRPr="0076589C" w14:paraId="3F606BD8" w14:textId="77777777" w:rsidTr="1C8D6E3A">
        <w:trPr>
          <w:trHeight w:val="270"/>
        </w:trPr>
        <w:tc>
          <w:tcPr>
            <w:tcW w:w="1519" w:type="pct"/>
            <w:tcBorders>
              <w:top w:val="nil"/>
              <w:left w:val="nil"/>
              <w:bottom w:val="double" w:sz="6" w:space="0" w:color="auto"/>
              <w:right w:val="nil"/>
            </w:tcBorders>
            <w:shd w:val="clear" w:color="auto" w:fill="auto"/>
            <w:noWrap/>
            <w:vAlign w:val="bottom"/>
            <w:hideMark/>
          </w:tcPr>
          <w:p w14:paraId="4A088E6B" w14:textId="77777777" w:rsidR="00EF2570" w:rsidRPr="0076589C" w:rsidRDefault="1C8D6E3A" w:rsidP="1C8D6E3A">
            <w:pPr>
              <w:spacing w:after="0" w:line="240" w:lineRule="auto"/>
              <w:ind w:left="0" w:firstLineChars="200" w:firstLine="36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Utilidad del Ejercicio</w:t>
            </w:r>
          </w:p>
        </w:tc>
        <w:tc>
          <w:tcPr>
            <w:tcW w:w="613" w:type="pct"/>
            <w:tcBorders>
              <w:top w:val="nil"/>
              <w:left w:val="nil"/>
              <w:bottom w:val="double" w:sz="6" w:space="0" w:color="auto"/>
              <w:right w:val="nil"/>
            </w:tcBorders>
            <w:shd w:val="clear" w:color="auto" w:fill="auto"/>
            <w:noWrap/>
            <w:vAlign w:val="bottom"/>
            <w:hideMark/>
          </w:tcPr>
          <w:p w14:paraId="454C8453"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1,930,287.85 </w:t>
            </w:r>
          </w:p>
        </w:tc>
        <w:tc>
          <w:tcPr>
            <w:tcW w:w="240" w:type="pct"/>
            <w:tcBorders>
              <w:top w:val="nil"/>
              <w:left w:val="nil"/>
              <w:bottom w:val="double" w:sz="6" w:space="0" w:color="auto"/>
              <w:right w:val="nil"/>
            </w:tcBorders>
            <w:shd w:val="clear" w:color="auto" w:fill="auto"/>
            <w:noWrap/>
            <w:vAlign w:val="center"/>
            <w:hideMark/>
          </w:tcPr>
          <w:p w14:paraId="237D3BBF"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100%</w:t>
            </w:r>
          </w:p>
        </w:tc>
        <w:tc>
          <w:tcPr>
            <w:tcW w:w="613" w:type="pct"/>
            <w:tcBorders>
              <w:top w:val="nil"/>
              <w:left w:val="nil"/>
              <w:bottom w:val="double" w:sz="6" w:space="0" w:color="auto"/>
              <w:right w:val="nil"/>
            </w:tcBorders>
            <w:shd w:val="clear" w:color="auto" w:fill="auto"/>
            <w:noWrap/>
            <w:vAlign w:val="bottom"/>
            <w:hideMark/>
          </w:tcPr>
          <w:p w14:paraId="1669CED4"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 </w:t>
            </w:r>
          </w:p>
        </w:tc>
        <w:tc>
          <w:tcPr>
            <w:tcW w:w="309" w:type="pct"/>
            <w:tcBorders>
              <w:top w:val="nil"/>
              <w:left w:val="nil"/>
              <w:bottom w:val="double" w:sz="6" w:space="0" w:color="auto"/>
              <w:right w:val="nil"/>
            </w:tcBorders>
            <w:shd w:val="clear" w:color="auto" w:fill="auto"/>
            <w:noWrap/>
            <w:vAlign w:val="center"/>
            <w:hideMark/>
          </w:tcPr>
          <w:p w14:paraId="74305695"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0%</w:t>
            </w:r>
          </w:p>
        </w:tc>
        <w:tc>
          <w:tcPr>
            <w:tcW w:w="613" w:type="pct"/>
            <w:tcBorders>
              <w:top w:val="nil"/>
              <w:left w:val="nil"/>
              <w:bottom w:val="double" w:sz="6" w:space="0" w:color="auto"/>
              <w:right w:val="nil"/>
            </w:tcBorders>
            <w:shd w:val="clear" w:color="auto" w:fill="auto"/>
            <w:noWrap/>
            <w:vAlign w:val="bottom"/>
            <w:hideMark/>
          </w:tcPr>
          <w:p w14:paraId="7D767B7A"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1,758,748.50 </w:t>
            </w:r>
          </w:p>
        </w:tc>
        <w:tc>
          <w:tcPr>
            <w:tcW w:w="240" w:type="pct"/>
            <w:tcBorders>
              <w:top w:val="nil"/>
              <w:left w:val="nil"/>
              <w:bottom w:val="double" w:sz="6" w:space="0" w:color="auto"/>
              <w:right w:val="nil"/>
            </w:tcBorders>
            <w:shd w:val="clear" w:color="auto" w:fill="auto"/>
            <w:noWrap/>
            <w:vAlign w:val="bottom"/>
            <w:hideMark/>
          </w:tcPr>
          <w:p w14:paraId="456BE025"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0%</w:t>
            </w:r>
          </w:p>
        </w:tc>
        <w:tc>
          <w:tcPr>
            <w:tcW w:w="613" w:type="pct"/>
            <w:tcBorders>
              <w:top w:val="nil"/>
              <w:left w:val="nil"/>
              <w:bottom w:val="double" w:sz="6" w:space="0" w:color="auto"/>
              <w:right w:val="nil"/>
            </w:tcBorders>
            <w:shd w:val="clear" w:color="auto" w:fill="auto"/>
            <w:noWrap/>
            <w:vAlign w:val="bottom"/>
            <w:hideMark/>
          </w:tcPr>
          <w:p w14:paraId="5682C9C6" w14:textId="77777777" w:rsidR="00EF2570" w:rsidRPr="0076589C" w:rsidRDefault="1C8D6E3A" w:rsidP="1C8D6E3A">
            <w:pPr>
              <w:spacing w:after="0" w:line="240" w:lineRule="auto"/>
              <w:ind w:left="0"/>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 xml:space="preserve"> L       1,894,061.91 </w:t>
            </w:r>
          </w:p>
        </w:tc>
        <w:tc>
          <w:tcPr>
            <w:tcW w:w="240" w:type="pct"/>
            <w:tcBorders>
              <w:top w:val="nil"/>
              <w:left w:val="nil"/>
              <w:bottom w:val="double" w:sz="6" w:space="0" w:color="auto"/>
              <w:right w:val="nil"/>
            </w:tcBorders>
            <w:shd w:val="clear" w:color="auto" w:fill="auto"/>
            <w:noWrap/>
            <w:vAlign w:val="center"/>
            <w:hideMark/>
          </w:tcPr>
          <w:p w14:paraId="7283A511"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108%</w:t>
            </w:r>
          </w:p>
        </w:tc>
      </w:tr>
      <w:tr w:rsidR="00EF2570" w:rsidRPr="0076589C" w14:paraId="04D5DBB0" w14:textId="77777777" w:rsidTr="1C8D6E3A">
        <w:trPr>
          <w:trHeight w:val="270"/>
        </w:trPr>
        <w:tc>
          <w:tcPr>
            <w:tcW w:w="1519" w:type="pct"/>
            <w:tcBorders>
              <w:top w:val="nil"/>
              <w:left w:val="nil"/>
              <w:bottom w:val="nil"/>
              <w:right w:val="nil"/>
            </w:tcBorders>
            <w:shd w:val="clear" w:color="auto" w:fill="auto"/>
            <w:noWrap/>
            <w:vAlign w:val="bottom"/>
            <w:hideMark/>
          </w:tcPr>
          <w:p w14:paraId="7116223F" w14:textId="77777777" w:rsidR="00EF2570" w:rsidRPr="0076589C" w:rsidRDefault="1C8D6E3A" w:rsidP="1C8D6E3A">
            <w:pPr>
              <w:spacing w:after="0" w:line="240" w:lineRule="auto"/>
              <w:ind w:left="0" w:firstLineChars="200" w:firstLine="361"/>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Total Patrimonio Neto</w:t>
            </w:r>
          </w:p>
        </w:tc>
        <w:tc>
          <w:tcPr>
            <w:tcW w:w="613" w:type="pct"/>
            <w:tcBorders>
              <w:top w:val="nil"/>
              <w:left w:val="nil"/>
              <w:bottom w:val="nil"/>
              <w:right w:val="nil"/>
            </w:tcBorders>
            <w:shd w:val="clear" w:color="auto" w:fill="auto"/>
            <w:noWrap/>
            <w:vAlign w:val="bottom"/>
            <w:hideMark/>
          </w:tcPr>
          <w:p w14:paraId="792CB07C"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11,354,178.46 </w:t>
            </w:r>
          </w:p>
        </w:tc>
        <w:tc>
          <w:tcPr>
            <w:tcW w:w="240" w:type="pct"/>
            <w:tcBorders>
              <w:top w:val="nil"/>
              <w:left w:val="nil"/>
              <w:bottom w:val="nil"/>
              <w:right w:val="nil"/>
            </w:tcBorders>
            <w:shd w:val="clear" w:color="auto" w:fill="auto"/>
            <w:noWrap/>
            <w:vAlign w:val="center"/>
            <w:hideMark/>
          </w:tcPr>
          <w:p w14:paraId="427B90F0"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100%</w:t>
            </w:r>
          </w:p>
        </w:tc>
        <w:tc>
          <w:tcPr>
            <w:tcW w:w="613" w:type="pct"/>
            <w:tcBorders>
              <w:top w:val="nil"/>
              <w:left w:val="nil"/>
              <w:bottom w:val="nil"/>
              <w:right w:val="nil"/>
            </w:tcBorders>
            <w:shd w:val="clear" w:color="auto" w:fill="auto"/>
            <w:noWrap/>
            <w:vAlign w:val="bottom"/>
            <w:hideMark/>
          </w:tcPr>
          <w:p w14:paraId="197425D3"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12,240,878.72 </w:t>
            </w:r>
          </w:p>
        </w:tc>
        <w:tc>
          <w:tcPr>
            <w:tcW w:w="309" w:type="pct"/>
            <w:tcBorders>
              <w:top w:val="nil"/>
              <w:left w:val="nil"/>
              <w:bottom w:val="nil"/>
              <w:right w:val="nil"/>
            </w:tcBorders>
            <w:shd w:val="clear" w:color="auto" w:fill="auto"/>
            <w:noWrap/>
            <w:vAlign w:val="center"/>
            <w:hideMark/>
          </w:tcPr>
          <w:p w14:paraId="17DBD2F1"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108%</w:t>
            </w:r>
          </w:p>
        </w:tc>
        <w:tc>
          <w:tcPr>
            <w:tcW w:w="613" w:type="pct"/>
            <w:tcBorders>
              <w:top w:val="nil"/>
              <w:left w:val="nil"/>
              <w:bottom w:val="nil"/>
              <w:right w:val="nil"/>
            </w:tcBorders>
            <w:shd w:val="clear" w:color="auto" w:fill="auto"/>
            <w:noWrap/>
            <w:vAlign w:val="bottom"/>
            <w:hideMark/>
          </w:tcPr>
          <w:p w14:paraId="67381F5F"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13,999,627.22 </w:t>
            </w:r>
          </w:p>
        </w:tc>
        <w:tc>
          <w:tcPr>
            <w:tcW w:w="240" w:type="pct"/>
            <w:tcBorders>
              <w:top w:val="nil"/>
              <w:left w:val="nil"/>
              <w:bottom w:val="nil"/>
              <w:right w:val="nil"/>
            </w:tcBorders>
            <w:shd w:val="clear" w:color="auto" w:fill="auto"/>
            <w:noWrap/>
            <w:vAlign w:val="bottom"/>
            <w:hideMark/>
          </w:tcPr>
          <w:p w14:paraId="6F1865B6"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114%</w:t>
            </w:r>
          </w:p>
        </w:tc>
        <w:tc>
          <w:tcPr>
            <w:tcW w:w="613" w:type="pct"/>
            <w:tcBorders>
              <w:top w:val="nil"/>
              <w:left w:val="nil"/>
              <w:bottom w:val="nil"/>
              <w:right w:val="nil"/>
            </w:tcBorders>
            <w:shd w:val="clear" w:color="auto" w:fill="auto"/>
            <w:noWrap/>
            <w:vAlign w:val="bottom"/>
            <w:hideMark/>
          </w:tcPr>
          <w:p w14:paraId="1602EE08"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15,685,678.21 </w:t>
            </w:r>
          </w:p>
        </w:tc>
        <w:tc>
          <w:tcPr>
            <w:tcW w:w="240" w:type="pct"/>
            <w:tcBorders>
              <w:top w:val="nil"/>
              <w:left w:val="nil"/>
              <w:bottom w:val="nil"/>
              <w:right w:val="nil"/>
            </w:tcBorders>
            <w:shd w:val="clear" w:color="auto" w:fill="auto"/>
            <w:noWrap/>
            <w:vAlign w:val="center"/>
            <w:hideMark/>
          </w:tcPr>
          <w:p w14:paraId="09726693"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112%</w:t>
            </w:r>
          </w:p>
        </w:tc>
      </w:tr>
      <w:tr w:rsidR="00EF2570" w:rsidRPr="0076589C" w14:paraId="51F086AA" w14:textId="77777777" w:rsidTr="1C8D6E3A">
        <w:trPr>
          <w:trHeight w:val="260"/>
        </w:trPr>
        <w:tc>
          <w:tcPr>
            <w:tcW w:w="1519" w:type="pct"/>
            <w:tcBorders>
              <w:top w:val="nil"/>
              <w:left w:val="nil"/>
              <w:bottom w:val="nil"/>
              <w:right w:val="nil"/>
            </w:tcBorders>
            <w:shd w:val="clear" w:color="auto" w:fill="auto"/>
            <w:noWrap/>
            <w:vAlign w:val="bottom"/>
            <w:hideMark/>
          </w:tcPr>
          <w:p w14:paraId="1B59B0F4" w14:textId="77777777" w:rsidR="00EF2570" w:rsidRPr="0076589C" w:rsidRDefault="00EF2570" w:rsidP="1C8D6E3A">
            <w:pPr>
              <w:spacing w:after="0" w:line="240" w:lineRule="auto"/>
              <w:ind w:left="0"/>
              <w:jc w:val="center"/>
              <w:rPr>
                <w:rFonts w:asciiTheme="minorHAnsi" w:eastAsia="Times New Roman" w:hAnsiTheme="minorHAnsi"/>
                <w:b/>
                <w:bCs/>
                <w:color w:val="000000"/>
                <w:sz w:val="18"/>
                <w:szCs w:val="18"/>
              </w:rPr>
            </w:pPr>
          </w:p>
        </w:tc>
        <w:tc>
          <w:tcPr>
            <w:tcW w:w="613" w:type="pct"/>
            <w:tcBorders>
              <w:top w:val="nil"/>
              <w:left w:val="nil"/>
              <w:bottom w:val="nil"/>
              <w:right w:val="nil"/>
            </w:tcBorders>
            <w:shd w:val="clear" w:color="auto" w:fill="auto"/>
            <w:noWrap/>
            <w:vAlign w:val="bottom"/>
            <w:hideMark/>
          </w:tcPr>
          <w:p w14:paraId="5AE63517" w14:textId="77777777" w:rsidR="00EF2570" w:rsidRPr="0076589C" w:rsidRDefault="00EF2570" w:rsidP="1C8D6E3A">
            <w:pPr>
              <w:spacing w:after="0" w:line="240" w:lineRule="auto"/>
              <w:ind w:left="0" w:firstLineChars="200" w:firstLine="360"/>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center"/>
            <w:hideMark/>
          </w:tcPr>
          <w:p w14:paraId="4C8F92E3"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3B02FF02"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309" w:type="pct"/>
            <w:tcBorders>
              <w:top w:val="nil"/>
              <w:left w:val="nil"/>
              <w:bottom w:val="nil"/>
              <w:right w:val="nil"/>
            </w:tcBorders>
            <w:shd w:val="clear" w:color="auto" w:fill="auto"/>
            <w:noWrap/>
            <w:vAlign w:val="center"/>
            <w:hideMark/>
          </w:tcPr>
          <w:p w14:paraId="7CFDC2D2"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2E27DCFD"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bottom"/>
            <w:hideMark/>
          </w:tcPr>
          <w:p w14:paraId="4A55A290" w14:textId="77777777" w:rsidR="00EF2570" w:rsidRPr="0076589C" w:rsidRDefault="00EF2570" w:rsidP="1C8D6E3A">
            <w:pPr>
              <w:spacing w:after="0" w:line="240" w:lineRule="auto"/>
              <w:ind w:left="0"/>
              <w:rPr>
                <w:rFonts w:asciiTheme="minorHAnsi" w:eastAsia="Times New Roman" w:hAnsiTheme="minorHAnsi"/>
                <w:sz w:val="18"/>
                <w:szCs w:val="18"/>
              </w:rPr>
            </w:pPr>
          </w:p>
        </w:tc>
        <w:tc>
          <w:tcPr>
            <w:tcW w:w="613" w:type="pct"/>
            <w:tcBorders>
              <w:top w:val="nil"/>
              <w:left w:val="nil"/>
              <w:bottom w:val="nil"/>
              <w:right w:val="nil"/>
            </w:tcBorders>
            <w:shd w:val="clear" w:color="auto" w:fill="auto"/>
            <w:noWrap/>
            <w:vAlign w:val="bottom"/>
            <w:hideMark/>
          </w:tcPr>
          <w:p w14:paraId="524A412F" w14:textId="77777777" w:rsidR="00EF2570" w:rsidRPr="0076589C" w:rsidRDefault="00EF2570" w:rsidP="1C8D6E3A">
            <w:pPr>
              <w:spacing w:after="0" w:line="240" w:lineRule="auto"/>
              <w:ind w:left="0"/>
              <w:jc w:val="center"/>
              <w:rPr>
                <w:rFonts w:asciiTheme="minorHAnsi" w:eastAsia="Times New Roman" w:hAnsiTheme="minorHAnsi"/>
                <w:sz w:val="18"/>
                <w:szCs w:val="18"/>
              </w:rPr>
            </w:pPr>
          </w:p>
        </w:tc>
        <w:tc>
          <w:tcPr>
            <w:tcW w:w="240" w:type="pct"/>
            <w:tcBorders>
              <w:top w:val="nil"/>
              <w:left w:val="nil"/>
              <w:bottom w:val="nil"/>
              <w:right w:val="nil"/>
            </w:tcBorders>
            <w:shd w:val="clear" w:color="auto" w:fill="auto"/>
            <w:noWrap/>
            <w:vAlign w:val="center"/>
            <w:hideMark/>
          </w:tcPr>
          <w:p w14:paraId="05B37DDF" w14:textId="77777777" w:rsidR="00EF2570" w:rsidRPr="0076589C" w:rsidRDefault="00EF2570" w:rsidP="1C8D6E3A">
            <w:pPr>
              <w:spacing w:after="0" w:line="240" w:lineRule="auto"/>
              <w:ind w:left="0"/>
              <w:rPr>
                <w:rFonts w:asciiTheme="minorHAnsi" w:eastAsia="Times New Roman" w:hAnsiTheme="minorHAnsi"/>
                <w:sz w:val="18"/>
                <w:szCs w:val="18"/>
              </w:rPr>
            </w:pPr>
          </w:p>
        </w:tc>
      </w:tr>
      <w:tr w:rsidR="00EF2570" w:rsidRPr="0076589C" w14:paraId="66E9B109" w14:textId="77777777" w:rsidTr="1C8D6E3A">
        <w:trPr>
          <w:trHeight w:val="260"/>
        </w:trPr>
        <w:tc>
          <w:tcPr>
            <w:tcW w:w="1519" w:type="pct"/>
            <w:tcBorders>
              <w:top w:val="single" w:sz="4" w:space="0" w:color="auto"/>
              <w:left w:val="nil"/>
              <w:bottom w:val="single" w:sz="4" w:space="0" w:color="auto"/>
              <w:right w:val="nil"/>
            </w:tcBorders>
            <w:shd w:val="clear" w:color="auto" w:fill="auto"/>
            <w:noWrap/>
            <w:vAlign w:val="bottom"/>
            <w:hideMark/>
          </w:tcPr>
          <w:p w14:paraId="136AF982" w14:textId="77777777" w:rsidR="00EF2570" w:rsidRPr="0076589C" w:rsidRDefault="1C8D6E3A" w:rsidP="1C8D6E3A">
            <w:pPr>
              <w:spacing w:after="0" w:line="240" w:lineRule="auto"/>
              <w:ind w:left="0" w:firstLineChars="100" w:firstLine="181"/>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Total Pasivo + Capital</w:t>
            </w:r>
          </w:p>
        </w:tc>
        <w:tc>
          <w:tcPr>
            <w:tcW w:w="613" w:type="pct"/>
            <w:tcBorders>
              <w:top w:val="single" w:sz="4" w:space="0" w:color="auto"/>
              <w:left w:val="nil"/>
              <w:bottom w:val="single" w:sz="4" w:space="0" w:color="auto"/>
              <w:right w:val="nil"/>
            </w:tcBorders>
            <w:shd w:val="clear" w:color="auto" w:fill="auto"/>
            <w:noWrap/>
            <w:vAlign w:val="bottom"/>
            <w:hideMark/>
          </w:tcPr>
          <w:p w14:paraId="09F2AA3A"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19,024,539.28 </w:t>
            </w:r>
          </w:p>
        </w:tc>
        <w:tc>
          <w:tcPr>
            <w:tcW w:w="240" w:type="pct"/>
            <w:tcBorders>
              <w:top w:val="single" w:sz="4" w:space="0" w:color="auto"/>
              <w:left w:val="nil"/>
              <w:bottom w:val="single" w:sz="4" w:space="0" w:color="auto"/>
              <w:right w:val="nil"/>
            </w:tcBorders>
            <w:shd w:val="clear" w:color="auto" w:fill="auto"/>
            <w:noWrap/>
            <w:vAlign w:val="center"/>
            <w:hideMark/>
          </w:tcPr>
          <w:p w14:paraId="3D7916D0"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100%</w:t>
            </w:r>
          </w:p>
        </w:tc>
        <w:tc>
          <w:tcPr>
            <w:tcW w:w="613" w:type="pct"/>
            <w:tcBorders>
              <w:top w:val="single" w:sz="4" w:space="0" w:color="auto"/>
              <w:left w:val="nil"/>
              <w:bottom w:val="single" w:sz="4" w:space="0" w:color="auto"/>
              <w:right w:val="nil"/>
            </w:tcBorders>
            <w:shd w:val="clear" w:color="auto" w:fill="auto"/>
            <w:noWrap/>
            <w:vAlign w:val="bottom"/>
            <w:hideMark/>
          </w:tcPr>
          <w:p w14:paraId="696CF5B0"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19,103,113.19 </w:t>
            </w:r>
          </w:p>
        </w:tc>
        <w:tc>
          <w:tcPr>
            <w:tcW w:w="309" w:type="pct"/>
            <w:tcBorders>
              <w:top w:val="single" w:sz="4" w:space="0" w:color="auto"/>
              <w:left w:val="nil"/>
              <w:bottom w:val="single" w:sz="4" w:space="0" w:color="auto"/>
              <w:right w:val="nil"/>
            </w:tcBorders>
            <w:shd w:val="clear" w:color="auto" w:fill="auto"/>
            <w:noWrap/>
            <w:vAlign w:val="center"/>
            <w:hideMark/>
          </w:tcPr>
          <w:p w14:paraId="141A4FC2"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100%</w:t>
            </w:r>
          </w:p>
        </w:tc>
        <w:tc>
          <w:tcPr>
            <w:tcW w:w="613" w:type="pct"/>
            <w:tcBorders>
              <w:top w:val="single" w:sz="4" w:space="0" w:color="auto"/>
              <w:left w:val="nil"/>
              <w:bottom w:val="single" w:sz="4" w:space="0" w:color="auto"/>
              <w:right w:val="nil"/>
            </w:tcBorders>
            <w:shd w:val="clear" w:color="auto" w:fill="auto"/>
            <w:noWrap/>
            <w:vAlign w:val="bottom"/>
            <w:hideMark/>
          </w:tcPr>
          <w:p w14:paraId="507291C1"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21,393,809.22 </w:t>
            </w:r>
          </w:p>
        </w:tc>
        <w:tc>
          <w:tcPr>
            <w:tcW w:w="240" w:type="pct"/>
            <w:tcBorders>
              <w:top w:val="single" w:sz="4" w:space="0" w:color="auto"/>
              <w:left w:val="nil"/>
              <w:bottom w:val="single" w:sz="4" w:space="0" w:color="auto"/>
              <w:right w:val="nil"/>
            </w:tcBorders>
            <w:shd w:val="clear" w:color="auto" w:fill="auto"/>
            <w:noWrap/>
            <w:vAlign w:val="bottom"/>
            <w:hideMark/>
          </w:tcPr>
          <w:p w14:paraId="564E6F81" w14:textId="77777777" w:rsidR="00EF2570" w:rsidRPr="0076589C" w:rsidRDefault="1C8D6E3A" w:rsidP="1C8D6E3A">
            <w:pPr>
              <w:spacing w:after="0" w:line="240" w:lineRule="auto"/>
              <w:ind w:left="0"/>
              <w:jc w:val="center"/>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112%</w:t>
            </w:r>
          </w:p>
        </w:tc>
        <w:tc>
          <w:tcPr>
            <w:tcW w:w="613" w:type="pct"/>
            <w:tcBorders>
              <w:top w:val="single" w:sz="4" w:space="0" w:color="auto"/>
              <w:left w:val="nil"/>
              <w:bottom w:val="single" w:sz="4" w:space="0" w:color="auto"/>
              <w:right w:val="nil"/>
            </w:tcBorders>
            <w:shd w:val="clear" w:color="auto" w:fill="auto"/>
            <w:noWrap/>
            <w:vAlign w:val="bottom"/>
            <w:hideMark/>
          </w:tcPr>
          <w:p w14:paraId="1A189244" w14:textId="77777777" w:rsidR="00EF2570" w:rsidRPr="0076589C" w:rsidRDefault="1C8D6E3A" w:rsidP="1C8D6E3A">
            <w:pPr>
              <w:spacing w:after="0" w:line="240" w:lineRule="auto"/>
              <w:ind w:left="0"/>
              <w:rPr>
                <w:rFonts w:asciiTheme="minorHAnsi" w:eastAsia="Times New Roman" w:hAnsiTheme="minorHAnsi"/>
                <w:b/>
                <w:bCs/>
                <w:color w:val="000000"/>
                <w:sz w:val="18"/>
                <w:szCs w:val="18"/>
              </w:rPr>
            </w:pPr>
            <w:r w:rsidRPr="0076589C">
              <w:rPr>
                <w:rFonts w:asciiTheme="minorHAnsi" w:eastAsia="Times New Roman" w:hAnsiTheme="minorHAnsi"/>
                <w:b/>
                <w:bCs/>
                <w:color w:val="000000" w:themeColor="text1"/>
                <w:sz w:val="18"/>
                <w:szCs w:val="18"/>
              </w:rPr>
              <w:t xml:space="preserve"> L     24,423,314.42 </w:t>
            </w:r>
          </w:p>
        </w:tc>
        <w:tc>
          <w:tcPr>
            <w:tcW w:w="240" w:type="pct"/>
            <w:tcBorders>
              <w:top w:val="single" w:sz="4" w:space="0" w:color="auto"/>
              <w:left w:val="nil"/>
              <w:bottom w:val="single" w:sz="4" w:space="0" w:color="auto"/>
              <w:right w:val="nil"/>
            </w:tcBorders>
            <w:shd w:val="clear" w:color="auto" w:fill="auto"/>
            <w:noWrap/>
            <w:vAlign w:val="center"/>
            <w:hideMark/>
          </w:tcPr>
          <w:p w14:paraId="3BAFEB7B" w14:textId="77777777" w:rsidR="00EF2570" w:rsidRPr="0076589C" w:rsidRDefault="1C8D6E3A" w:rsidP="1C8D6E3A">
            <w:pPr>
              <w:spacing w:after="0" w:line="240" w:lineRule="auto"/>
              <w:ind w:left="0"/>
              <w:jc w:val="center"/>
              <w:rPr>
                <w:rFonts w:asciiTheme="minorHAnsi" w:eastAsia="Times New Roman" w:hAnsiTheme="minorHAnsi"/>
                <w:color w:val="000000"/>
                <w:sz w:val="18"/>
                <w:szCs w:val="18"/>
              </w:rPr>
            </w:pPr>
            <w:r w:rsidRPr="0076589C">
              <w:rPr>
                <w:rFonts w:asciiTheme="minorHAnsi" w:eastAsia="Times New Roman" w:hAnsiTheme="minorHAnsi"/>
                <w:color w:val="000000" w:themeColor="text1"/>
                <w:sz w:val="18"/>
                <w:szCs w:val="18"/>
              </w:rPr>
              <w:t>114%</w:t>
            </w:r>
          </w:p>
        </w:tc>
      </w:tr>
    </w:tbl>
    <w:p w14:paraId="351F1299" w14:textId="34CC9822" w:rsidR="005D1F86" w:rsidRPr="0076589C" w:rsidRDefault="1C8D6E3A" w:rsidP="00932A26">
      <w:pPr>
        <w:pStyle w:val="Fuentes"/>
        <w:rPr>
          <w:lang w:val="es-HN"/>
        </w:rPr>
      </w:pPr>
      <w:r w:rsidRPr="0076589C">
        <w:rPr>
          <w:lang w:val="es-HN"/>
        </w:rPr>
        <w:t xml:space="preserve">Fuente: Elaboración propia con datos de Industria Procesadora de Alimentos IPRA. </w:t>
      </w:r>
    </w:p>
    <w:p w14:paraId="383A7F40" w14:textId="77777777" w:rsidR="00DB2284" w:rsidRPr="0076589C" w:rsidRDefault="1C8D6E3A" w:rsidP="00DB2284">
      <w:pPr>
        <w:pStyle w:val="TextoPrincipal"/>
        <w:rPr>
          <w:lang w:val="es-HN"/>
        </w:rPr>
      </w:pPr>
      <w:r w:rsidRPr="0076589C">
        <w:rPr>
          <w:lang w:val="es-HN"/>
        </w:rPr>
        <w:t>Se realiza el análisis horizontal evaluando desde las partidas de los activos, luego pasivos y por último el patrimonio neto.</w:t>
      </w:r>
    </w:p>
    <w:p w14:paraId="37308E05" w14:textId="77777777" w:rsidR="00DB2284" w:rsidRPr="0076589C" w:rsidRDefault="1C8D6E3A" w:rsidP="00DB2284">
      <w:pPr>
        <w:pStyle w:val="TextoPrincipal"/>
        <w:rPr>
          <w:lang w:val="es-HN"/>
        </w:rPr>
      </w:pPr>
      <w:r w:rsidRPr="0076589C">
        <w:rPr>
          <w:lang w:val="es-HN"/>
        </w:rPr>
        <w:t>Se analizó los activos corrientes donde se notó que la partida caja y bancos(efectivo) tiene una tendencia de crecimiento llegando a un 197% para el año 2022, que fue el año con mayor efectivo lo cual puede indicar hay una eficiente gestión por cobrar, también como puede ser las ganancias acumuladas las cuales pueden convertir en efectivo para aumentar los fondos de la empresa.</w:t>
      </w:r>
    </w:p>
    <w:p w14:paraId="20155121" w14:textId="795BAD09" w:rsidR="00DB2284" w:rsidRPr="0076589C" w:rsidRDefault="1C8D6E3A" w:rsidP="00DB2284">
      <w:pPr>
        <w:pStyle w:val="TextoPrincipal"/>
        <w:rPr>
          <w:lang w:val="es-HN"/>
        </w:rPr>
      </w:pPr>
      <w:r w:rsidRPr="0076589C">
        <w:rPr>
          <w:lang w:val="es-HN"/>
        </w:rPr>
        <w:t>Existe una notable disminución en las cuentas por cobrar (clientes) con respecto al año 2020, estas representan un 54%, esta disminución puede indicar que la empresa ha reducido sus cuentas por cobrar o que ha tenido problemas con cuentas incobrables durante este período.</w:t>
      </w:r>
      <w:r w:rsidR="00230855" w:rsidRPr="0076589C">
        <w:rPr>
          <w:lang w:val="es-HN"/>
        </w:rPr>
        <w:t xml:space="preserve"> S</w:t>
      </w:r>
      <w:r w:rsidR="001A2293" w:rsidRPr="0076589C">
        <w:rPr>
          <w:lang w:val="es-HN"/>
        </w:rPr>
        <w:t>e pudo</w:t>
      </w:r>
      <w:r w:rsidRPr="0076589C">
        <w:rPr>
          <w:lang w:val="es-HN"/>
        </w:rPr>
        <w:t xml:space="preserve"> observar que la amortización de las cuentas incobrables disminuyo el mismo porcentaje a comparación del año 2020</w:t>
      </w:r>
      <w:r w:rsidR="00DB2284" w:rsidRPr="0076589C">
        <w:rPr>
          <w:lang w:val="es-HN"/>
        </w:rPr>
        <w:tab/>
      </w:r>
    </w:p>
    <w:p w14:paraId="449FA7F6" w14:textId="6CD613F6" w:rsidR="00DB2284" w:rsidRPr="0076589C" w:rsidRDefault="00DB2284" w:rsidP="00DB2284">
      <w:pPr>
        <w:tabs>
          <w:tab w:val="left" w:pos="5674"/>
        </w:tabs>
        <w:sectPr w:rsidR="00DB2284" w:rsidRPr="0076589C" w:rsidSect="008C6BD1">
          <w:pgSz w:w="15840" w:h="12240" w:orient="landscape" w:code="1"/>
          <w:pgMar w:top="1440" w:right="1440" w:bottom="1440" w:left="1440" w:header="720" w:footer="720" w:gutter="0"/>
          <w:cols w:space="720"/>
          <w:docGrid w:linePitch="360"/>
        </w:sectPr>
      </w:pPr>
      <w:r w:rsidRPr="0076589C">
        <w:tab/>
      </w:r>
    </w:p>
    <w:p w14:paraId="28DB105D" w14:textId="06B71DDB" w:rsidR="007C7164" w:rsidRPr="0076589C" w:rsidRDefault="1C8D6E3A" w:rsidP="008E11E0">
      <w:pPr>
        <w:pStyle w:val="TextoPrincipal"/>
        <w:rPr>
          <w:lang w:val="es-HN"/>
        </w:rPr>
      </w:pPr>
      <w:r w:rsidRPr="0076589C">
        <w:rPr>
          <w:lang w:val="es-HN"/>
        </w:rPr>
        <w:lastRenderedPageBreak/>
        <w:t>Sin embargo, en el año 2022, ambas cuentas aumentaron al 110% del año anterior. Esto sugiere una recuperación en las ventas a crédito y una gestión más laxa de las cuentas por cobrar, pero también un aumento en las estimaciones de pérdidas por cuentas incobrables.</w:t>
      </w:r>
    </w:p>
    <w:p w14:paraId="7F08E3FE" w14:textId="77777777" w:rsidR="002E44DE" w:rsidRPr="0076589C" w:rsidRDefault="1C8D6E3A" w:rsidP="008E11E0">
      <w:pPr>
        <w:pStyle w:val="TextoPrincipal"/>
        <w:rPr>
          <w:lang w:val="es-HN"/>
        </w:rPr>
      </w:pPr>
      <w:r w:rsidRPr="0076589C">
        <w:rPr>
          <w:lang w:val="es-HN"/>
        </w:rPr>
        <w:t>Lo que revela una relación directa entre las cuentas por cobrar y la amortización de cuentas incobrables. Cuando las cuentas por cobrar disminuyen, la amortización también tiende a disminuir, lo que indica una mejora en la calidad de las cuentas por cobrar y una menor estimación de pérdidas por cuentas incobrables. Por otro lado, cuando las cuentas por cobrar aumentan, la amortización de cuentas incobrables tiende a aumentar, lo que sugiere un aumento en las pérdidas esperadas debido a cuentas incobrables.</w:t>
      </w:r>
    </w:p>
    <w:p w14:paraId="5A580D0E" w14:textId="34739589" w:rsidR="798ED8E3" w:rsidRPr="0076589C" w:rsidRDefault="1C8D6E3A" w:rsidP="008E11E0">
      <w:pPr>
        <w:pStyle w:val="TextoPrincipal"/>
        <w:rPr>
          <w:lang w:val="es-HN"/>
        </w:rPr>
      </w:pPr>
      <w:r w:rsidRPr="0076589C">
        <w:rPr>
          <w:lang w:val="es-HN"/>
        </w:rPr>
        <w:t>Se observó que el inventario tuve un aumento muy notable a comparación de cada año, teniendo incrementos de 99%, 369% y 110% esto puede indicar una acumulación de inventarios, lo que requerir una revisión de la estrategia de gestión de inventarios, para poder sugerir cambios en la gestión del capital de trabajo. Así mismo el incremento puede ser por el factor externo de Covid-2019 ya que los productos que maneja IPRA son productos maternos y suplementos alimenticios, que en su momento no eran de tanta urgencia como los productos de higiene personal (gel y alcohol) los cuales eran necesarios para la crisis sanitaria.</w:t>
      </w:r>
    </w:p>
    <w:p w14:paraId="00E76F8F" w14:textId="6AE05DE7" w:rsidR="798ED8E3" w:rsidRPr="0076589C" w:rsidRDefault="1C8D6E3A" w:rsidP="008E11E0">
      <w:pPr>
        <w:pStyle w:val="TextoPrincipal"/>
        <w:rPr>
          <w:lang w:val="es-HN"/>
        </w:rPr>
      </w:pPr>
      <w:r w:rsidRPr="0076589C">
        <w:rPr>
          <w:lang w:val="es-HN"/>
        </w:rPr>
        <w:t>Ahora si se analiza los pasivos de la empresa se identificó en la partida de proveedores se observó que ha aumentado significativamente en los últimos años 2021 y 2022, con aumentos de 134% y 225%, esto puede indicar una mayor dependencia de créditos de proveedores para financiar operaciones. La empresa debe monitorear de cerca esta cuenta y asegurarse de mantener una gestión equilibrada de sus obligaciones con proveedores para evitar problemas de liquidez y costos financieros adicionales.</w:t>
      </w:r>
    </w:p>
    <w:p w14:paraId="5BC3C418" w14:textId="3AF6E657" w:rsidR="00963418" w:rsidRPr="0076589C" w:rsidRDefault="00860D6A" w:rsidP="008E11E0">
      <w:pPr>
        <w:pStyle w:val="TextoPrincipal"/>
        <w:rPr>
          <w:lang w:val="es-HN"/>
        </w:rPr>
      </w:pPr>
      <w:r w:rsidRPr="0076589C">
        <w:rPr>
          <w:lang w:val="es-HN"/>
        </w:rPr>
        <w:t>Un d</w:t>
      </w:r>
      <w:r w:rsidR="0007329C" w:rsidRPr="0076589C">
        <w:rPr>
          <w:lang w:val="es-HN"/>
        </w:rPr>
        <w:t>ato relevante</w:t>
      </w:r>
      <w:r w:rsidR="1C8D6E3A" w:rsidRPr="0076589C">
        <w:rPr>
          <w:lang w:val="es-HN"/>
        </w:rPr>
        <w:t xml:space="preserve"> en el año 2020 y 2021 </w:t>
      </w:r>
      <w:r w:rsidR="0007329C" w:rsidRPr="0076589C">
        <w:rPr>
          <w:lang w:val="es-HN"/>
        </w:rPr>
        <w:t xml:space="preserve">fue que </w:t>
      </w:r>
      <w:r w:rsidR="1C8D6E3A" w:rsidRPr="0076589C">
        <w:rPr>
          <w:lang w:val="es-HN"/>
        </w:rPr>
        <w:t xml:space="preserve">no hubo aumento de impuesto por pagar, fue un 0% lo cual hace referencia a la pandemia ya que en esos años en Honduras se implementaron medidas de alivio con respecto a los impuestos por pagar. </w:t>
      </w:r>
    </w:p>
    <w:p w14:paraId="03B519EB" w14:textId="709F27FC" w:rsidR="327D0D87" w:rsidRPr="0076589C" w:rsidRDefault="1C8D6E3A" w:rsidP="008E11E0">
      <w:pPr>
        <w:pStyle w:val="TextoPrincipal"/>
        <w:rPr>
          <w:lang w:val="es-HN"/>
        </w:rPr>
      </w:pPr>
      <w:r w:rsidRPr="0076589C">
        <w:rPr>
          <w:lang w:val="es-HN"/>
        </w:rPr>
        <w:t>Durante estos años, las "Utilidades Acumuladas" experimentaron un crecimiento significativo de 11854%, lo que sugiere que la empresa generó ganancias y las retuvo.</w:t>
      </w:r>
    </w:p>
    <w:p w14:paraId="6E8D8E67" w14:textId="261F1CA0" w:rsidR="39DBD886" w:rsidRPr="0076589C" w:rsidRDefault="1C8D6E3A" w:rsidP="007B0B4B">
      <w:pPr>
        <w:pStyle w:val="TextoPrincipal"/>
        <w:spacing w:after="0"/>
        <w:rPr>
          <w:lang w:val="es-HN"/>
        </w:rPr>
      </w:pPr>
      <w:r w:rsidRPr="0076589C">
        <w:rPr>
          <w:lang w:val="es-HN"/>
        </w:rPr>
        <w:t xml:space="preserve">La disminución del 100% en "Utilidad del Período" de 2020 a 2022 es una tendencia preocupante, ya que indica que la empresa no generó ganancias. Esta es una señal de que la </w:t>
      </w:r>
      <w:r w:rsidRPr="0076589C">
        <w:rPr>
          <w:lang w:val="es-HN"/>
        </w:rPr>
        <w:lastRenderedPageBreak/>
        <w:t>rentabilidad ha disminuido significativamente. La empresa debe identificar formas de mejorar su rentabilidad y gestionar sus costos.</w:t>
      </w:r>
    </w:p>
    <w:p w14:paraId="71B60249" w14:textId="77777777" w:rsidR="007B0B4B" w:rsidRPr="0076589C" w:rsidRDefault="007B0B4B" w:rsidP="007B0B4B">
      <w:pPr>
        <w:pStyle w:val="TextoPrincipal"/>
        <w:spacing w:after="0"/>
        <w:rPr>
          <w:lang w:val="es-HN"/>
        </w:rPr>
      </w:pPr>
    </w:p>
    <w:p w14:paraId="06B3F31E" w14:textId="77777777" w:rsidR="00FD53BB" w:rsidRPr="0076589C" w:rsidRDefault="1C8D6E3A" w:rsidP="0053775F">
      <w:pPr>
        <w:pStyle w:val="Nivel5"/>
        <w:numPr>
          <w:ilvl w:val="0"/>
          <w:numId w:val="31"/>
        </w:numPr>
        <w:ind w:left="1440" w:firstLine="0"/>
      </w:pPr>
      <w:r w:rsidRPr="0076589C">
        <w:t>ESTADO DE RESULTADO ANÁLISIS HORIZONTAL</w:t>
      </w:r>
    </w:p>
    <w:p w14:paraId="40828669" w14:textId="77777777" w:rsidR="00FD53BB" w:rsidRPr="0076589C" w:rsidRDefault="1C8D6E3A" w:rsidP="00FD53BB">
      <w:pPr>
        <w:pStyle w:val="TextoPrincipal"/>
        <w:rPr>
          <w:lang w:val="es-HN"/>
        </w:rPr>
      </w:pPr>
      <w:r w:rsidRPr="0076589C">
        <w:rPr>
          <w:lang w:val="es-HN"/>
        </w:rPr>
        <w:t>El análisis horizontal del estado de resultados permite conocer la evolución de las cuentas que generan pérdidas o ganancias para la empresa Industria Procesadora de Alimentos IPRA a través de un periodo de tiempo.</w:t>
      </w:r>
    </w:p>
    <w:p w14:paraId="6A6B530B" w14:textId="77777777" w:rsidR="00FD53BB" w:rsidRPr="0076589C" w:rsidRDefault="1C8D6E3A" w:rsidP="00FD53BB">
      <w:pPr>
        <w:pStyle w:val="TextoPrincipal"/>
        <w:rPr>
          <w:lang w:val="es-HN"/>
        </w:rPr>
      </w:pPr>
      <w:r w:rsidRPr="0076589C">
        <w:rPr>
          <w:lang w:val="es-HN"/>
        </w:rPr>
        <w:t xml:space="preserve">En la </w:t>
      </w:r>
      <w:r w:rsidRPr="0076589C">
        <w:rPr>
          <w:b/>
          <w:bCs/>
          <w:lang w:val="es-HN"/>
        </w:rPr>
        <w:t>Tabla 9</w:t>
      </w:r>
      <w:r w:rsidRPr="0076589C">
        <w:rPr>
          <w:lang w:val="es-HN"/>
        </w:rPr>
        <w:t>, se presenta el estado de resultados junto al análisis horizontal del mismo para el periodo del 2019 al 2022 en términos de variación absoluta y relativa</w:t>
      </w:r>
    </w:p>
    <w:p w14:paraId="031F69A7" w14:textId="77777777" w:rsidR="00602058" w:rsidRPr="0076589C" w:rsidRDefault="00602058" w:rsidP="008E11E0">
      <w:pPr>
        <w:pStyle w:val="TextoPrincipal"/>
        <w:rPr>
          <w:lang w:val="es-HN"/>
        </w:rPr>
      </w:pPr>
    </w:p>
    <w:p w14:paraId="0EEFE4D5" w14:textId="77777777" w:rsidR="00602058" w:rsidRPr="0076589C" w:rsidRDefault="00602058" w:rsidP="008E11E0">
      <w:pPr>
        <w:pStyle w:val="TextoPrincipal"/>
        <w:rPr>
          <w:lang w:val="es-HN"/>
        </w:rPr>
      </w:pPr>
    </w:p>
    <w:p w14:paraId="5C8AAE00" w14:textId="16FA7110" w:rsidR="00A231EE" w:rsidRPr="0076589C" w:rsidRDefault="00A231EE" w:rsidP="008306DC">
      <w:pPr>
        <w:spacing w:line="360" w:lineRule="auto"/>
        <w:ind w:left="0" w:firstLine="720"/>
        <w:jc w:val="both"/>
      </w:pPr>
    </w:p>
    <w:p w14:paraId="6A63B942" w14:textId="77777777" w:rsidR="00E65B25" w:rsidRPr="0076589C" w:rsidRDefault="00E65B25">
      <w:pPr>
        <w:sectPr w:rsidR="00E65B25" w:rsidRPr="0076589C" w:rsidSect="008C6BD1">
          <w:pgSz w:w="12240" w:h="15840" w:code="1"/>
          <w:pgMar w:top="1440" w:right="1440" w:bottom="1440" w:left="1440" w:header="720" w:footer="720" w:gutter="0"/>
          <w:cols w:space="720"/>
          <w:docGrid w:linePitch="360"/>
        </w:sectPr>
      </w:pPr>
    </w:p>
    <w:p w14:paraId="77CB6DF1" w14:textId="4EEB05F8" w:rsidR="000F21B6" w:rsidRPr="0076589C" w:rsidRDefault="1C8D6E3A" w:rsidP="000F21B6">
      <w:pPr>
        <w:pStyle w:val="ImagenyTabla"/>
        <w:rPr>
          <w:noProof w:val="0"/>
        </w:rPr>
      </w:pPr>
      <w:bookmarkStart w:id="233" w:name="_Toc158365557"/>
      <w:r w:rsidRPr="0076589C">
        <w:lastRenderedPageBreak/>
        <w:t xml:space="preserve">Tabla </w:t>
      </w:r>
      <w:r w:rsidR="000F21B6" w:rsidRPr="0076589C">
        <w:rPr>
          <w:noProof w:val="0"/>
        </w:rPr>
        <w:fldChar w:fldCharType="begin"/>
      </w:r>
      <w:r w:rsidR="000F21B6" w:rsidRPr="0076589C">
        <w:rPr>
          <w:noProof w:val="0"/>
        </w:rPr>
        <w:instrText xml:space="preserve"> SEQ Tabla \* ARABIC </w:instrText>
      </w:r>
      <w:r w:rsidR="000F21B6" w:rsidRPr="0076589C">
        <w:rPr>
          <w:noProof w:val="0"/>
        </w:rPr>
        <w:fldChar w:fldCharType="separate"/>
      </w:r>
      <w:r w:rsidR="009F171A">
        <w:t>9</w:t>
      </w:r>
      <w:r w:rsidR="000F21B6" w:rsidRPr="0076589C">
        <w:rPr>
          <w:noProof w:val="0"/>
        </w:rPr>
        <w:fldChar w:fldCharType="end"/>
      </w:r>
      <w:r w:rsidRPr="0076589C">
        <w:t>. Análisis Horizontal del Estado de Resultados Industria Procesadora de Alimentos IPRA 2019-2022</w:t>
      </w:r>
      <w:bookmarkEnd w:id="233"/>
    </w:p>
    <w:tbl>
      <w:tblPr>
        <w:tblW w:w="0" w:type="auto"/>
        <w:tblCellMar>
          <w:left w:w="70" w:type="dxa"/>
          <w:right w:w="70" w:type="dxa"/>
        </w:tblCellMar>
        <w:tblLook w:val="04A0" w:firstRow="1" w:lastRow="0" w:firstColumn="1" w:lastColumn="0" w:noHBand="0" w:noVBand="1"/>
      </w:tblPr>
      <w:tblGrid>
        <w:gridCol w:w="3011"/>
        <w:gridCol w:w="1082"/>
        <w:gridCol w:w="1209"/>
        <w:gridCol w:w="1209"/>
        <w:gridCol w:w="1082"/>
        <w:gridCol w:w="1086"/>
        <w:gridCol w:w="612"/>
        <w:gridCol w:w="1089"/>
        <w:gridCol w:w="612"/>
        <w:gridCol w:w="1233"/>
        <w:gridCol w:w="612"/>
      </w:tblGrid>
      <w:tr w:rsidR="00186818" w:rsidRPr="0076589C" w14:paraId="139461EC" w14:textId="77777777" w:rsidTr="1C8D6E3A">
        <w:trPr>
          <w:trHeight w:val="260"/>
        </w:trPr>
        <w:tc>
          <w:tcPr>
            <w:tcW w:w="0" w:type="auto"/>
            <w:gridSpan w:val="11"/>
            <w:tcBorders>
              <w:top w:val="nil"/>
              <w:left w:val="nil"/>
              <w:bottom w:val="nil"/>
              <w:right w:val="nil"/>
            </w:tcBorders>
            <w:shd w:val="clear" w:color="auto" w:fill="auto"/>
            <w:noWrap/>
            <w:vAlign w:val="bottom"/>
            <w:hideMark/>
          </w:tcPr>
          <w:p w14:paraId="56A1ADC6" w14:textId="77777777" w:rsidR="00186818" w:rsidRPr="0076589C" w:rsidRDefault="1C8D6E3A" w:rsidP="00186818">
            <w:pPr>
              <w:spacing w:after="0" w:line="240" w:lineRule="auto"/>
              <w:ind w:left="0"/>
              <w:jc w:val="center"/>
              <w:rPr>
                <w:rFonts w:ascii="Calibri" w:eastAsia="Times New Roman" w:hAnsi="Calibri" w:cs="Calibri"/>
                <w:b/>
                <w:bCs/>
                <w:color w:val="44546A"/>
                <w:sz w:val="14"/>
                <w:szCs w:val="14"/>
                <w:lang w:eastAsia="es-HN"/>
              </w:rPr>
            </w:pPr>
            <w:r w:rsidRPr="0076589C">
              <w:rPr>
                <w:rFonts w:ascii="Calibri" w:eastAsia="Times New Roman" w:hAnsi="Calibri" w:cs="Calibri"/>
                <w:b/>
                <w:bCs/>
                <w:color w:val="44546A" w:themeColor="text2"/>
                <w:sz w:val="14"/>
                <w:szCs w:val="14"/>
              </w:rPr>
              <w:t>Industria Procesadora de Alimentos (IPRA)</w:t>
            </w:r>
          </w:p>
        </w:tc>
      </w:tr>
      <w:tr w:rsidR="00186818" w:rsidRPr="0076589C" w14:paraId="66FAAD20" w14:textId="77777777" w:rsidTr="1C8D6E3A">
        <w:trPr>
          <w:trHeight w:val="260"/>
        </w:trPr>
        <w:tc>
          <w:tcPr>
            <w:tcW w:w="0" w:type="auto"/>
            <w:gridSpan w:val="11"/>
            <w:tcBorders>
              <w:top w:val="nil"/>
              <w:left w:val="nil"/>
              <w:bottom w:val="nil"/>
              <w:right w:val="nil"/>
            </w:tcBorders>
            <w:shd w:val="clear" w:color="auto" w:fill="auto"/>
            <w:noWrap/>
            <w:vAlign w:val="bottom"/>
            <w:hideMark/>
          </w:tcPr>
          <w:p w14:paraId="3E7D4631"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Análisis Horizontal del Estado de Resultados periodos 2019-2022</w:t>
            </w:r>
          </w:p>
        </w:tc>
      </w:tr>
      <w:tr w:rsidR="00186818" w:rsidRPr="0076589C" w14:paraId="11566CF6" w14:textId="77777777" w:rsidTr="1C8D6E3A">
        <w:trPr>
          <w:trHeight w:val="260"/>
        </w:trPr>
        <w:tc>
          <w:tcPr>
            <w:tcW w:w="0" w:type="auto"/>
            <w:gridSpan w:val="11"/>
            <w:tcBorders>
              <w:top w:val="nil"/>
              <w:left w:val="nil"/>
              <w:bottom w:val="nil"/>
              <w:right w:val="nil"/>
            </w:tcBorders>
            <w:shd w:val="clear" w:color="auto" w:fill="auto"/>
            <w:noWrap/>
            <w:vAlign w:val="bottom"/>
            <w:hideMark/>
          </w:tcPr>
          <w:p w14:paraId="39D090F9" w14:textId="77777777" w:rsidR="00186818" w:rsidRPr="0076589C" w:rsidRDefault="1C8D6E3A" w:rsidP="00186818">
            <w:pPr>
              <w:spacing w:after="0" w:line="240" w:lineRule="auto"/>
              <w:ind w:left="0"/>
              <w:jc w:val="center"/>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(Expresado en L)</w:t>
            </w:r>
          </w:p>
        </w:tc>
      </w:tr>
      <w:tr w:rsidR="00186818" w:rsidRPr="0076589C" w14:paraId="771E3B4F" w14:textId="77777777" w:rsidTr="1C8D6E3A">
        <w:trPr>
          <w:trHeight w:val="260"/>
        </w:trPr>
        <w:tc>
          <w:tcPr>
            <w:tcW w:w="0" w:type="auto"/>
            <w:tcBorders>
              <w:top w:val="nil"/>
              <w:left w:val="nil"/>
              <w:bottom w:val="nil"/>
              <w:right w:val="nil"/>
            </w:tcBorders>
            <w:shd w:val="clear" w:color="auto" w:fill="auto"/>
            <w:noWrap/>
            <w:vAlign w:val="bottom"/>
            <w:hideMark/>
          </w:tcPr>
          <w:p w14:paraId="3B9EDE4D" w14:textId="77777777" w:rsidR="00186818" w:rsidRPr="0076589C" w:rsidRDefault="00186818" w:rsidP="00186818">
            <w:pPr>
              <w:spacing w:after="0" w:line="240" w:lineRule="auto"/>
              <w:ind w:left="0"/>
              <w:jc w:val="center"/>
              <w:rPr>
                <w:rFonts w:ascii="Calibri" w:eastAsia="Times New Roman" w:hAnsi="Calibri" w:cs="Calibri"/>
                <w:color w:val="000000"/>
                <w:sz w:val="14"/>
                <w:szCs w:val="14"/>
                <w:lang w:eastAsia="es-HN"/>
              </w:rPr>
            </w:pPr>
          </w:p>
        </w:tc>
        <w:tc>
          <w:tcPr>
            <w:tcW w:w="0" w:type="auto"/>
            <w:tcBorders>
              <w:top w:val="nil"/>
              <w:left w:val="nil"/>
              <w:bottom w:val="nil"/>
              <w:right w:val="nil"/>
            </w:tcBorders>
            <w:shd w:val="clear" w:color="auto" w:fill="auto"/>
            <w:noWrap/>
            <w:vAlign w:val="bottom"/>
            <w:hideMark/>
          </w:tcPr>
          <w:p w14:paraId="58C30E02"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4DFD3AFE"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06CCFB11"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center"/>
            <w:hideMark/>
          </w:tcPr>
          <w:p w14:paraId="00C87806"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gridSpan w:val="2"/>
            <w:tcBorders>
              <w:top w:val="nil"/>
              <w:left w:val="nil"/>
              <w:bottom w:val="nil"/>
              <w:right w:val="nil"/>
            </w:tcBorders>
            <w:shd w:val="clear" w:color="auto" w:fill="auto"/>
            <w:noWrap/>
            <w:vAlign w:val="bottom"/>
            <w:hideMark/>
          </w:tcPr>
          <w:p w14:paraId="25B11E2D"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2019 - 2020</w:t>
            </w:r>
          </w:p>
        </w:tc>
        <w:tc>
          <w:tcPr>
            <w:tcW w:w="0" w:type="auto"/>
            <w:gridSpan w:val="2"/>
            <w:tcBorders>
              <w:top w:val="nil"/>
              <w:left w:val="nil"/>
              <w:bottom w:val="nil"/>
              <w:right w:val="nil"/>
            </w:tcBorders>
            <w:shd w:val="clear" w:color="auto" w:fill="auto"/>
            <w:noWrap/>
            <w:vAlign w:val="bottom"/>
            <w:hideMark/>
          </w:tcPr>
          <w:p w14:paraId="16DF6D55"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2020 - 2021</w:t>
            </w:r>
          </w:p>
        </w:tc>
        <w:tc>
          <w:tcPr>
            <w:tcW w:w="0" w:type="auto"/>
            <w:gridSpan w:val="2"/>
            <w:tcBorders>
              <w:top w:val="nil"/>
              <w:left w:val="nil"/>
              <w:bottom w:val="nil"/>
              <w:right w:val="nil"/>
            </w:tcBorders>
            <w:shd w:val="clear" w:color="auto" w:fill="auto"/>
            <w:noWrap/>
            <w:vAlign w:val="bottom"/>
            <w:hideMark/>
          </w:tcPr>
          <w:p w14:paraId="147211B6"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2021 - 2022</w:t>
            </w:r>
          </w:p>
        </w:tc>
      </w:tr>
      <w:tr w:rsidR="00186818" w:rsidRPr="0076589C" w14:paraId="7434A6E9" w14:textId="77777777" w:rsidTr="1C8D6E3A">
        <w:trPr>
          <w:trHeight w:val="260"/>
        </w:trPr>
        <w:tc>
          <w:tcPr>
            <w:tcW w:w="0" w:type="auto"/>
            <w:tcBorders>
              <w:top w:val="nil"/>
              <w:left w:val="nil"/>
              <w:bottom w:val="nil"/>
              <w:right w:val="nil"/>
            </w:tcBorders>
            <w:shd w:val="clear" w:color="auto" w:fill="auto"/>
            <w:noWrap/>
            <w:vAlign w:val="bottom"/>
            <w:hideMark/>
          </w:tcPr>
          <w:p w14:paraId="5DD63321" w14:textId="77777777" w:rsidR="00186818" w:rsidRPr="0076589C" w:rsidRDefault="00186818" w:rsidP="00186818">
            <w:pPr>
              <w:spacing w:after="0" w:line="240" w:lineRule="auto"/>
              <w:ind w:left="0"/>
              <w:jc w:val="center"/>
              <w:rPr>
                <w:rFonts w:ascii="Calibri" w:eastAsia="Times New Roman" w:hAnsi="Calibri" w:cs="Calibri"/>
                <w:b/>
                <w:bCs/>
                <w:color w:val="000000"/>
                <w:sz w:val="14"/>
                <w:szCs w:val="14"/>
                <w:lang w:eastAsia="es-HN"/>
              </w:rPr>
            </w:pPr>
          </w:p>
        </w:tc>
        <w:tc>
          <w:tcPr>
            <w:tcW w:w="0" w:type="auto"/>
            <w:tcBorders>
              <w:top w:val="nil"/>
              <w:left w:val="nil"/>
              <w:bottom w:val="nil"/>
              <w:right w:val="nil"/>
            </w:tcBorders>
            <w:shd w:val="clear" w:color="auto" w:fill="auto"/>
            <w:noWrap/>
            <w:vAlign w:val="bottom"/>
            <w:hideMark/>
          </w:tcPr>
          <w:p w14:paraId="7D747118"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7723AC70"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2E9B354E"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center"/>
            <w:hideMark/>
          </w:tcPr>
          <w:p w14:paraId="1358CB7A"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gridSpan w:val="2"/>
            <w:tcBorders>
              <w:top w:val="nil"/>
              <w:left w:val="nil"/>
              <w:bottom w:val="nil"/>
              <w:right w:val="nil"/>
            </w:tcBorders>
            <w:shd w:val="clear" w:color="auto" w:fill="auto"/>
            <w:noWrap/>
            <w:vAlign w:val="bottom"/>
            <w:hideMark/>
          </w:tcPr>
          <w:p w14:paraId="5082CE80" w14:textId="77777777" w:rsidR="00186818" w:rsidRPr="0076589C" w:rsidRDefault="1C8D6E3A" w:rsidP="00186818">
            <w:pPr>
              <w:spacing w:after="0" w:line="240" w:lineRule="auto"/>
              <w:ind w:left="0"/>
              <w:jc w:val="center"/>
              <w:rPr>
                <w:rFonts w:ascii="Calibri" w:eastAsia="Times New Roman" w:hAnsi="Calibri" w:cs="Calibri"/>
                <w:b/>
                <w:bCs/>
                <w:color w:val="44546A"/>
                <w:sz w:val="14"/>
                <w:szCs w:val="14"/>
                <w:lang w:eastAsia="es-HN"/>
              </w:rPr>
            </w:pPr>
            <w:r w:rsidRPr="0076589C">
              <w:rPr>
                <w:rFonts w:ascii="Calibri" w:eastAsia="Times New Roman" w:hAnsi="Calibri" w:cs="Calibri"/>
                <w:b/>
                <w:bCs/>
                <w:color w:val="44546A" w:themeColor="text2"/>
                <w:sz w:val="14"/>
                <w:szCs w:val="14"/>
              </w:rPr>
              <w:t>Variación</w:t>
            </w:r>
          </w:p>
        </w:tc>
        <w:tc>
          <w:tcPr>
            <w:tcW w:w="0" w:type="auto"/>
            <w:gridSpan w:val="2"/>
            <w:tcBorders>
              <w:top w:val="nil"/>
              <w:left w:val="nil"/>
              <w:bottom w:val="nil"/>
              <w:right w:val="nil"/>
            </w:tcBorders>
            <w:shd w:val="clear" w:color="auto" w:fill="auto"/>
            <w:noWrap/>
            <w:vAlign w:val="bottom"/>
            <w:hideMark/>
          </w:tcPr>
          <w:p w14:paraId="4538F3C5" w14:textId="77777777" w:rsidR="00186818" w:rsidRPr="0076589C" w:rsidRDefault="1C8D6E3A" w:rsidP="00186818">
            <w:pPr>
              <w:spacing w:after="0" w:line="240" w:lineRule="auto"/>
              <w:ind w:left="0"/>
              <w:jc w:val="center"/>
              <w:rPr>
                <w:rFonts w:ascii="Calibri" w:eastAsia="Times New Roman" w:hAnsi="Calibri" w:cs="Calibri"/>
                <w:b/>
                <w:bCs/>
                <w:color w:val="44546A"/>
                <w:sz w:val="14"/>
                <w:szCs w:val="14"/>
                <w:lang w:eastAsia="es-HN"/>
              </w:rPr>
            </w:pPr>
            <w:r w:rsidRPr="0076589C">
              <w:rPr>
                <w:rFonts w:ascii="Calibri" w:eastAsia="Times New Roman" w:hAnsi="Calibri" w:cs="Calibri"/>
                <w:b/>
                <w:bCs/>
                <w:color w:val="44546A" w:themeColor="text2"/>
                <w:sz w:val="14"/>
                <w:szCs w:val="14"/>
              </w:rPr>
              <w:t>Variación</w:t>
            </w:r>
          </w:p>
        </w:tc>
        <w:tc>
          <w:tcPr>
            <w:tcW w:w="0" w:type="auto"/>
            <w:gridSpan w:val="2"/>
            <w:tcBorders>
              <w:top w:val="nil"/>
              <w:left w:val="nil"/>
              <w:bottom w:val="nil"/>
              <w:right w:val="nil"/>
            </w:tcBorders>
            <w:shd w:val="clear" w:color="auto" w:fill="auto"/>
            <w:noWrap/>
            <w:vAlign w:val="bottom"/>
            <w:hideMark/>
          </w:tcPr>
          <w:p w14:paraId="34EC9C4B" w14:textId="77777777" w:rsidR="00186818" w:rsidRPr="0076589C" w:rsidRDefault="1C8D6E3A" w:rsidP="00186818">
            <w:pPr>
              <w:spacing w:after="0" w:line="240" w:lineRule="auto"/>
              <w:ind w:left="0"/>
              <w:jc w:val="center"/>
              <w:rPr>
                <w:rFonts w:ascii="Calibri" w:eastAsia="Times New Roman" w:hAnsi="Calibri" w:cs="Calibri"/>
                <w:b/>
                <w:bCs/>
                <w:color w:val="44546A"/>
                <w:sz w:val="14"/>
                <w:szCs w:val="14"/>
                <w:lang w:eastAsia="es-HN"/>
              </w:rPr>
            </w:pPr>
            <w:r w:rsidRPr="0076589C">
              <w:rPr>
                <w:rFonts w:ascii="Calibri" w:eastAsia="Times New Roman" w:hAnsi="Calibri" w:cs="Calibri"/>
                <w:b/>
                <w:bCs/>
                <w:color w:val="44546A" w:themeColor="text2"/>
                <w:sz w:val="14"/>
                <w:szCs w:val="14"/>
              </w:rPr>
              <w:t>Variación</w:t>
            </w:r>
          </w:p>
        </w:tc>
      </w:tr>
      <w:tr w:rsidR="00186818" w:rsidRPr="0076589C" w14:paraId="06D51FEC" w14:textId="77777777" w:rsidTr="1C8D6E3A">
        <w:trPr>
          <w:trHeight w:val="260"/>
        </w:trPr>
        <w:tc>
          <w:tcPr>
            <w:tcW w:w="0" w:type="auto"/>
            <w:tcBorders>
              <w:top w:val="nil"/>
              <w:left w:val="nil"/>
              <w:bottom w:val="nil"/>
              <w:right w:val="nil"/>
            </w:tcBorders>
            <w:shd w:val="clear" w:color="auto" w:fill="auto"/>
            <w:noWrap/>
            <w:vAlign w:val="bottom"/>
            <w:hideMark/>
          </w:tcPr>
          <w:p w14:paraId="22F4254B" w14:textId="77777777" w:rsidR="00186818" w:rsidRPr="0076589C" w:rsidRDefault="00186818" w:rsidP="00186818">
            <w:pPr>
              <w:spacing w:after="0" w:line="240" w:lineRule="auto"/>
              <w:ind w:left="0"/>
              <w:jc w:val="center"/>
              <w:rPr>
                <w:rFonts w:ascii="Calibri" w:eastAsia="Times New Roman" w:hAnsi="Calibri" w:cs="Calibri"/>
                <w:b/>
                <w:bCs/>
                <w:color w:val="44546A"/>
                <w:sz w:val="14"/>
                <w:szCs w:val="14"/>
                <w:lang w:eastAsia="es-HN"/>
              </w:rPr>
            </w:pPr>
          </w:p>
        </w:tc>
        <w:tc>
          <w:tcPr>
            <w:tcW w:w="0" w:type="auto"/>
            <w:tcBorders>
              <w:top w:val="nil"/>
              <w:left w:val="nil"/>
              <w:bottom w:val="nil"/>
              <w:right w:val="nil"/>
            </w:tcBorders>
            <w:shd w:val="clear" w:color="auto" w:fill="auto"/>
            <w:noWrap/>
            <w:vAlign w:val="bottom"/>
            <w:hideMark/>
          </w:tcPr>
          <w:p w14:paraId="0B477069"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u w:val="single"/>
                <w:lang w:eastAsia="es-HN"/>
              </w:rPr>
            </w:pPr>
            <w:r w:rsidRPr="0076589C">
              <w:rPr>
                <w:rFonts w:ascii="Calibri" w:eastAsia="Times New Roman" w:hAnsi="Calibri" w:cs="Calibri"/>
                <w:b/>
                <w:bCs/>
                <w:color w:val="000000" w:themeColor="text1"/>
                <w:sz w:val="14"/>
                <w:szCs w:val="14"/>
                <w:u w:val="single"/>
              </w:rPr>
              <w:t>2019</w:t>
            </w:r>
          </w:p>
        </w:tc>
        <w:tc>
          <w:tcPr>
            <w:tcW w:w="0" w:type="auto"/>
            <w:tcBorders>
              <w:top w:val="nil"/>
              <w:left w:val="nil"/>
              <w:bottom w:val="nil"/>
              <w:right w:val="nil"/>
            </w:tcBorders>
            <w:shd w:val="clear" w:color="auto" w:fill="auto"/>
            <w:noWrap/>
            <w:vAlign w:val="bottom"/>
            <w:hideMark/>
          </w:tcPr>
          <w:p w14:paraId="4EB02E88"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u w:val="single"/>
                <w:lang w:eastAsia="es-HN"/>
              </w:rPr>
            </w:pPr>
            <w:r w:rsidRPr="0076589C">
              <w:rPr>
                <w:rFonts w:ascii="Calibri" w:eastAsia="Times New Roman" w:hAnsi="Calibri" w:cs="Calibri"/>
                <w:b/>
                <w:bCs/>
                <w:color w:val="000000" w:themeColor="text1"/>
                <w:sz w:val="14"/>
                <w:szCs w:val="14"/>
                <w:u w:val="single"/>
              </w:rPr>
              <w:t>2020</w:t>
            </w:r>
          </w:p>
        </w:tc>
        <w:tc>
          <w:tcPr>
            <w:tcW w:w="0" w:type="auto"/>
            <w:tcBorders>
              <w:top w:val="nil"/>
              <w:left w:val="nil"/>
              <w:bottom w:val="nil"/>
              <w:right w:val="nil"/>
            </w:tcBorders>
            <w:shd w:val="clear" w:color="auto" w:fill="auto"/>
            <w:noWrap/>
            <w:vAlign w:val="bottom"/>
            <w:hideMark/>
          </w:tcPr>
          <w:p w14:paraId="57F5EEB2"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u w:val="single"/>
                <w:lang w:eastAsia="es-HN"/>
              </w:rPr>
            </w:pPr>
            <w:r w:rsidRPr="0076589C">
              <w:rPr>
                <w:rFonts w:ascii="Calibri" w:eastAsia="Times New Roman" w:hAnsi="Calibri" w:cs="Calibri"/>
                <w:b/>
                <w:bCs/>
                <w:color w:val="000000" w:themeColor="text1"/>
                <w:sz w:val="14"/>
                <w:szCs w:val="14"/>
                <w:u w:val="single"/>
              </w:rPr>
              <w:t>2021</w:t>
            </w:r>
          </w:p>
        </w:tc>
        <w:tc>
          <w:tcPr>
            <w:tcW w:w="0" w:type="auto"/>
            <w:tcBorders>
              <w:top w:val="nil"/>
              <w:left w:val="nil"/>
              <w:bottom w:val="nil"/>
              <w:right w:val="nil"/>
            </w:tcBorders>
            <w:shd w:val="clear" w:color="auto" w:fill="auto"/>
            <w:noWrap/>
            <w:vAlign w:val="center"/>
            <w:hideMark/>
          </w:tcPr>
          <w:p w14:paraId="10D313F5"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u w:val="single"/>
                <w:lang w:eastAsia="es-HN"/>
              </w:rPr>
            </w:pPr>
            <w:r w:rsidRPr="0076589C">
              <w:rPr>
                <w:rFonts w:ascii="Calibri" w:eastAsia="Times New Roman" w:hAnsi="Calibri" w:cs="Calibri"/>
                <w:b/>
                <w:bCs/>
                <w:color w:val="000000" w:themeColor="text1"/>
                <w:sz w:val="14"/>
                <w:szCs w:val="14"/>
                <w:u w:val="single"/>
              </w:rPr>
              <w:t>2022</w:t>
            </w:r>
          </w:p>
        </w:tc>
        <w:tc>
          <w:tcPr>
            <w:tcW w:w="0" w:type="auto"/>
            <w:tcBorders>
              <w:top w:val="nil"/>
              <w:left w:val="nil"/>
              <w:bottom w:val="nil"/>
              <w:right w:val="nil"/>
            </w:tcBorders>
            <w:shd w:val="clear" w:color="auto" w:fill="auto"/>
            <w:noWrap/>
            <w:vAlign w:val="bottom"/>
            <w:hideMark/>
          </w:tcPr>
          <w:p w14:paraId="0CB16A0F"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u w:val="single"/>
                <w:lang w:eastAsia="es-HN"/>
              </w:rPr>
            </w:pPr>
            <w:r w:rsidRPr="0076589C">
              <w:rPr>
                <w:rFonts w:ascii="Calibri" w:eastAsia="Times New Roman" w:hAnsi="Calibri" w:cs="Calibri"/>
                <w:b/>
                <w:bCs/>
                <w:color w:val="000000" w:themeColor="text1"/>
                <w:sz w:val="14"/>
                <w:szCs w:val="14"/>
                <w:u w:val="single"/>
              </w:rPr>
              <w:t>Absoluta</w:t>
            </w:r>
          </w:p>
        </w:tc>
        <w:tc>
          <w:tcPr>
            <w:tcW w:w="0" w:type="auto"/>
            <w:tcBorders>
              <w:top w:val="nil"/>
              <w:left w:val="nil"/>
              <w:bottom w:val="nil"/>
              <w:right w:val="nil"/>
            </w:tcBorders>
            <w:shd w:val="clear" w:color="auto" w:fill="auto"/>
            <w:noWrap/>
            <w:vAlign w:val="center"/>
            <w:hideMark/>
          </w:tcPr>
          <w:p w14:paraId="0D3E82F1"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u w:val="single"/>
                <w:lang w:eastAsia="es-HN"/>
              </w:rPr>
            </w:pPr>
            <w:r w:rsidRPr="0076589C">
              <w:rPr>
                <w:rFonts w:ascii="Calibri" w:eastAsia="Times New Roman" w:hAnsi="Calibri" w:cs="Calibri"/>
                <w:b/>
                <w:bCs/>
                <w:color w:val="000000" w:themeColor="text1"/>
                <w:sz w:val="14"/>
                <w:szCs w:val="14"/>
                <w:u w:val="single"/>
              </w:rPr>
              <w:t>Relativa</w:t>
            </w:r>
          </w:p>
        </w:tc>
        <w:tc>
          <w:tcPr>
            <w:tcW w:w="0" w:type="auto"/>
            <w:tcBorders>
              <w:top w:val="nil"/>
              <w:left w:val="nil"/>
              <w:bottom w:val="nil"/>
              <w:right w:val="nil"/>
            </w:tcBorders>
            <w:shd w:val="clear" w:color="auto" w:fill="auto"/>
            <w:noWrap/>
            <w:vAlign w:val="bottom"/>
            <w:hideMark/>
          </w:tcPr>
          <w:p w14:paraId="32320196"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u w:val="single"/>
                <w:lang w:eastAsia="es-HN"/>
              </w:rPr>
            </w:pPr>
            <w:r w:rsidRPr="0076589C">
              <w:rPr>
                <w:rFonts w:ascii="Calibri" w:eastAsia="Times New Roman" w:hAnsi="Calibri" w:cs="Calibri"/>
                <w:b/>
                <w:bCs/>
                <w:color w:val="000000" w:themeColor="text1"/>
                <w:sz w:val="14"/>
                <w:szCs w:val="14"/>
                <w:u w:val="single"/>
              </w:rPr>
              <w:t>Absoluta</w:t>
            </w:r>
          </w:p>
        </w:tc>
        <w:tc>
          <w:tcPr>
            <w:tcW w:w="0" w:type="auto"/>
            <w:tcBorders>
              <w:top w:val="nil"/>
              <w:left w:val="nil"/>
              <w:bottom w:val="nil"/>
              <w:right w:val="nil"/>
            </w:tcBorders>
            <w:shd w:val="clear" w:color="auto" w:fill="auto"/>
            <w:noWrap/>
            <w:vAlign w:val="center"/>
            <w:hideMark/>
          </w:tcPr>
          <w:p w14:paraId="4373AD83"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u w:val="single"/>
                <w:lang w:eastAsia="es-HN"/>
              </w:rPr>
            </w:pPr>
            <w:r w:rsidRPr="0076589C">
              <w:rPr>
                <w:rFonts w:ascii="Calibri" w:eastAsia="Times New Roman" w:hAnsi="Calibri" w:cs="Calibri"/>
                <w:b/>
                <w:bCs/>
                <w:color w:val="000000" w:themeColor="text1"/>
                <w:sz w:val="14"/>
                <w:szCs w:val="14"/>
                <w:u w:val="single"/>
              </w:rPr>
              <w:t>Relativa</w:t>
            </w:r>
          </w:p>
        </w:tc>
        <w:tc>
          <w:tcPr>
            <w:tcW w:w="0" w:type="auto"/>
            <w:tcBorders>
              <w:top w:val="nil"/>
              <w:left w:val="nil"/>
              <w:bottom w:val="nil"/>
              <w:right w:val="nil"/>
            </w:tcBorders>
            <w:shd w:val="clear" w:color="auto" w:fill="auto"/>
            <w:noWrap/>
            <w:vAlign w:val="bottom"/>
            <w:hideMark/>
          </w:tcPr>
          <w:p w14:paraId="47D44225"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u w:val="single"/>
                <w:lang w:eastAsia="es-HN"/>
              </w:rPr>
            </w:pPr>
            <w:r w:rsidRPr="0076589C">
              <w:rPr>
                <w:rFonts w:ascii="Calibri" w:eastAsia="Times New Roman" w:hAnsi="Calibri" w:cs="Calibri"/>
                <w:b/>
                <w:bCs/>
                <w:color w:val="000000" w:themeColor="text1"/>
                <w:sz w:val="14"/>
                <w:szCs w:val="14"/>
                <w:u w:val="single"/>
              </w:rPr>
              <w:t>Absoluta</w:t>
            </w:r>
          </w:p>
        </w:tc>
        <w:tc>
          <w:tcPr>
            <w:tcW w:w="0" w:type="auto"/>
            <w:tcBorders>
              <w:top w:val="nil"/>
              <w:left w:val="nil"/>
              <w:bottom w:val="nil"/>
              <w:right w:val="nil"/>
            </w:tcBorders>
            <w:shd w:val="clear" w:color="auto" w:fill="auto"/>
            <w:noWrap/>
            <w:vAlign w:val="center"/>
            <w:hideMark/>
          </w:tcPr>
          <w:p w14:paraId="34FA7130"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u w:val="single"/>
                <w:lang w:eastAsia="es-HN"/>
              </w:rPr>
            </w:pPr>
            <w:r w:rsidRPr="0076589C">
              <w:rPr>
                <w:rFonts w:ascii="Calibri" w:eastAsia="Times New Roman" w:hAnsi="Calibri" w:cs="Calibri"/>
                <w:b/>
                <w:bCs/>
                <w:color w:val="000000" w:themeColor="text1"/>
                <w:sz w:val="14"/>
                <w:szCs w:val="14"/>
                <w:u w:val="single"/>
              </w:rPr>
              <w:t>Relativa</w:t>
            </w:r>
          </w:p>
        </w:tc>
      </w:tr>
      <w:tr w:rsidR="00186818" w:rsidRPr="0076589C" w14:paraId="10F2B0B5" w14:textId="77777777" w:rsidTr="1C8D6E3A">
        <w:trPr>
          <w:trHeight w:val="260"/>
        </w:trPr>
        <w:tc>
          <w:tcPr>
            <w:tcW w:w="0" w:type="auto"/>
            <w:tcBorders>
              <w:top w:val="nil"/>
              <w:left w:val="nil"/>
              <w:bottom w:val="nil"/>
              <w:right w:val="nil"/>
            </w:tcBorders>
            <w:shd w:val="clear" w:color="auto" w:fill="auto"/>
            <w:noWrap/>
            <w:vAlign w:val="bottom"/>
            <w:hideMark/>
          </w:tcPr>
          <w:p w14:paraId="39366046" w14:textId="77777777" w:rsidR="00186818" w:rsidRPr="0076589C" w:rsidRDefault="1C8D6E3A" w:rsidP="00186818">
            <w:pPr>
              <w:spacing w:after="0" w:line="240" w:lineRule="auto"/>
              <w:ind w:left="0" w:firstLineChars="100" w:firstLine="141"/>
              <w:rPr>
                <w:rFonts w:ascii="Calibri" w:eastAsia="Times New Roman" w:hAnsi="Calibri" w:cs="Calibri"/>
                <w:b/>
                <w:bCs/>
                <w:color w:val="000000"/>
                <w:sz w:val="14"/>
                <w:szCs w:val="14"/>
                <w:u w:val="single"/>
                <w:lang w:eastAsia="es-HN"/>
              </w:rPr>
            </w:pPr>
            <w:r w:rsidRPr="0076589C">
              <w:rPr>
                <w:rFonts w:ascii="Calibri" w:eastAsia="Times New Roman" w:hAnsi="Calibri" w:cs="Calibri"/>
                <w:b/>
                <w:bCs/>
                <w:color w:val="000000" w:themeColor="text1"/>
                <w:sz w:val="14"/>
                <w:szCs w:val="14"/>
                <w:u w:val="single"/>
              </w:rPr>
              <w:t>Ventas Netas</w:t>
            </w:r>
          </w:p>
        </w:tc>
        <w:tc>
          <w:tcPr>
            <w:tcW w:w="0" w:type="auto"/>
            <w:tcBorders>
              <w:top w:val="nil"/>
              <w:left w:val="nil"/>
              <w:bottom w:val="nil"/>
              <w:right w:val="nil"/>
            </w:tcBorders>
            <w:shd w:val="clear" w:color="auto" w:fill="auto"/>
            <w:noWrap/>
            <w:vAlign w:val="bottom"/>
            <w:hideMark/>
          </w:tcPr>
          <w:p w14:paraId="76183877" w14:textId="77777777" w:rsidR="00186818" w:rsidRPr="0076589C" w:rsidRDefault="00186818" w:rsidP="00186818">
            <w:pPr>
              <w:spacing w:after="0" w:line="240" w:lineRule="auto"/>
              <w:ind w:left="0" w:firstLineChars="100" w:firstLine="141"/>
              <w:rPr>
                <w:rFonts w:ascii="Calibri" w:eastAsia="Times New Roman" w:hAnsi="Calibri" w:cs="Calibri"/>
                <w:b/>
                <w:bCs/>
                <w:color w:val="000000"/>
                <w:sz w:val="14"/>
                <w:szCs w:val="14"/>
                <w:u w:val="single"/>
                <w:lang w:eastAsia="es-HN"/>
              </w:rPr>
            </w:pPr>
          </w:p>
        </w:tc>
        <w:tc>
          <w:tcPr>
            <w:tcW w:w="0" w:type="auto"/>
            <w:tcBorders>
              <w:top w:val="nil"/>
              <w:left w:val="nil"/>
              <w:bottom w:val="nil"/>
              <w:right w:val="nil"/>
            </w:tcBorders>
            <w:shd w:val="clear" w:color="auto" w:fill="auto"/>
            <w:noWrap/>
            <w:vAlign w:val="bottom"/>
            <w:hideMark/>
          </w:tcPr>
          <w:p w14:paraId="1A3B21AC"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69878173"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center"/>
            <w:hideMark/>
          </w:tcPr>
          <w:p w14:paraId="0E7DFAF0"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12107AB8"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1D409ACB"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527F2F31"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744255A5"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2FDC9BE5"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3D556AE5" w14:textId="77777777" w:rsidR="00186818" w:rsidRPr="0076589C" w:rsidRDefault="00186818" w:rsidP="00186818">
            <w:pPr>
              <w:spacing w:after="0" w:line="240" w:lineRule="auto"/>
              <w:ind w:left="0"/>
              <w:rPr>
                <w:rFonts w:eastAsia="Times New Roman" w:cs="Times New Roman"/>
                <w:sz w:val="14"/>
                <w:szCs w:val="14"/>
                <w:lang w:eastAsia="es-HN"/>
              </w:rPr>
            </w:pPr>
          </w:p>
        </w:tc>
      </w:tr>
      <w:tr w:rsidR="00186818" w:rsidRPr="0076589C" w14:paraId="28C0E91E" w14:textId="77777777" w:rsidTr="1C8D6E3A">
        <w:trPr>
          <w:trHeight w:val="260"/>
        </w:trPr>
        <w:tc>
          <w:tcPr>
            <w:tcW w:w="0" w:type="auto"/>
            <w:tcBorders>
              <w:top w:val="nil"/>
              <w:left w:val="nil"/>
              <w:bottom w:val="nil"/>
              <w:right w:val="nil"/>
            </w:tcBorders>
            <w:shd w:val="clear" w:color="auto" w:fill="auto"/>
            <w:noWrap/>
            <w:vAlign w:val="bottom"/>
            <w:hideMark/>
          </w:tcPr>
          <w:p w14:paraId="4971B73E" w14:textId="77777777" w:rsidR="00186818" w:rsidRPr="0076589C" w:rsidRDefault="1C8D6E3A" w:rsidP="00186818">
            <w:pPr>
              <w:spacing w:after="0" w:line="240" w:lineRule="auto"/>
              <w:ind w:left="0" w:firstLineChars="200" w:firstLine="28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Ventas Totales</w:t>
            </w:r>
          </w:p>
        </w:tc>
        <w:tc>
          <w:tcPr>
            <w:tcW w:w="0" w:type="auto"/>
            <w:tcBorders>
              <w:top w:val="nil"/>
              <w:left w:val="nil"/>
              <w:bottom w:val="nil"/>
              <w:right w:val="nil"/>
            </w:tcBorders>
            <w:shd w:val="clear" w:color="auto" w:fill="auto"/>
            <w:noWrap/>
            <w:vAlign w:val="bottom"/>
            <w:hideMark/>
          </w:tcPr>
          <w:p w14:paraId="2A8F94CD"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28,019,893.73 </w:t>
            </w:r>
          </w:p>
        </w:tc>
        <w:tc>
          <w:tcPr>
            <w:tcW w:w="0" w:type="auto"/>
            <w:tcBorders>
              <w:top w:val="nil"/>
              <w:left w:val="nil"/>
              <w:bottom w:val="nil"/>
              <w:right w:val="nil"/>
            </w:tcBorders>
            <w:shd w:val="clear" w:color="auto" w:fill="auto"/>
            <w:noWrap/>
            <w:vAlign w:val="bottom"/>
            <w:hideMark/>
          </w:tcPr>
          <w:p w14:paraId="614C36B1"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40,047,807.55 </w:t>
            </w:r>
          </w:p>
        </w:tc>
        <w:tc>
          <w:tcPr>
            <w:tcW w:w="0" w:type="auto"/>
            <w:tcBorders>
              <w:top w:val="nil"/>
              <w:left w:val="nil"/>
              <w:bottom w:val="nil"/>
              <w:right w:val="nil"/>
            </w:tcBorders>
            <w:shd w:val="clear" w:color="auto" w:fill="auto"/>
            <w:noWrap/>
            <w:vAlign w:val="bottom"/>
            <w:hideMark/>
          </w:tcPr>
          <w:p w14:paraId="43DB034F"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24,056,130.53 </w:t>
            </w:r>
          </w:p>
        </w:tc>
        <w:tc>
          <w:tcPr>
            <w:tcW w:w="0" w:type="auto"/>
            <w:tcBorders>
              <w:top w:val="nil"/>
              <w:left w:val="nil"/>
              <w:bottom w:val="nil"/>
              <w:right w:val="nil"/>
            </w:tcBorders>
            <w:shd w:val="clear" w:color="auto" w:fill="auto"/>
            <w:noWrap/>
            <w:vAlign w:val="bottom"/>
            <w:hideMark/>
          </w:tcPr>
          <w:p w14:paraId="441AD3D4"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32,472,504.39 </w:t>
            </w:r>
          </w:p>
        </w:tc>
        <w:tc>
          <w:tcPr>
            <w:tcW w:w="0" w:type="auto"/>
            <w:tcBorders>
              <w:top w:val="nil"/>
              <w:left w:val="nil"/>
              <w:bottom w:val="nil"/>
              <w:right w:val="nil"/>
            </w:tcBorders>
            <w:shd w:val="clear" w:color="auto" w:fill="auto"/>
            <w:noWrap/>
            <w:vAlign w:val="bottom"/>
            <w:hideMark/>
          </w:tcPr>
          <w:p w14:paraId="543D3598"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12,027,913.82 </w:t>
            </w:r>
          </w:p>
        </w:tc>
        <w:tc>
          <w:tcPr>
            <w:tcW w:w="0" w:type="auto"/>
            <w:tcBorders>
              <w:top w:val="nil"/>
              <w:left w:val="nil"/>
              <w:bottom w:val="nil"/>
              <w:right w:val="nil"/>
            </w:tcBorders>
            <w:shd w:val="clear" w:color="auto" w:fill="auto"/>
            <w:noWrap/>
            <w:vAlign w:val="bottom"/>
            <w:hideMark/>
          </w:tcPr>
          <w:p w14:paraId="4B3DF04B" w14:textId="77777777" w:rsidR="00186818" w:rsidRPr="0076589C" w:rsidRDefault="1C8D6E3A" w:rsidP="00186818">
            <w:pPr>
              <w:spacing w:after="0" w:line="240" w:lineRule="auto"/>
              <w:ind w:left="0"/>
              <w:jc w:val="center"/>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43%</w:t>
            </w:r>
          </w:p>
        </w:tc>
        <w:tc>
          <w:tcPr>
            <w:tcW w:w="0" w:type="auto"/>
            <w:tcBorders>
              <w:top w:val="nil"/>
              <w:left w:val="nil"/>
              <w:bottom w:val="nil"/>
              <w:right w:val="nil"/>
            </w:tcBorders>
            <w:shd w:val="clear" w:color="auto" w:fill="auto"/>
            <w:noWrap/>
            <w:vAlign w:val="bottom"/>
            <w:hideMark/>
          </w:tcPr>
          <w:p w14:paraId="2238528D"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-L 15,991,677.02 </w:t>
            </w:r>
          </w:p>
        </w:tc>
        <w:tc>
          <w:tcPr>
            <w:tcW w:w="0" w:type="auto"/>
            <w:tcBorders>
              <w:top w:val="nil"/>
              <w:left w:val="nil"/>
              <w:bottom w:val="nil"/>
              <w:right w:val="nil"/>
            </w:tcBorders>
            <w:shd w:val="clear" w:color="auto" w:fill="auto"/>
            <w:noWrap/>
            <w:vAlign w:val="bottom"/>
            <w:hideMark/>
          </w:tcPr>
          <w:p w14:paraId="65C3B4E0" w14:textId="77777777" w:rsidR="00186818" w:rsidRPr="0076589C" w:rsidRDefault="1C8D6E3A" w:rsidP="00186818">
            <w:pPr>
              <w:spacing w:after="0" w:line="240" w:lineRule="auto"/>
              <w:ind w:left="0"/>
              <w:jc w:val="center"/>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-40%</w:t>
            </w:r>
          </w:p>
        </w:tc>
        <w:tc>
          <w:tcPr>
            <w:tcW w:w="0" w:type="auto"/>
            <w:tcBorders>
              <w:top w:val="nil"/>
              <w:left w:val="nil"/>
              <w:bottom w:val="nil"/>
              <w:right w:val="nil"/>
            </w:tcBorders>
            <w:shd w:val="clear" w:color="auto" w:fill="auto"/>
            <w:noWrap/>
            <w:vAlign w:val="bottom"/>
            <w:hideMark/>
          </w:tcPr>
          <w:p w14:paraId="1FFEE46C"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8,416,373.86 </w:t>
            </w:r>
          </w:p>
        </w:tc>
        <w:tc>
          <w:tcPr>
            <w:tcW w:w="0" w:type="auto"/>
            <w:tcBorders>
              <w:top w:val="nil"/>
              <w:left w:val="nil"/>
              <w:bottom w:val="nil"/>
              <w:right w:val="nil"/>
            </w:tcBorders>
            <w:shd w:val="clear" w:color="auto" w:fill="auto"/>
            <w:noWrap/>
            <w:vAlign w:val="bottom"/>
            <w:hideMark/>
          </w:tcPr>
          <w:p w14:paraId="108DBE0E" w14:textId="77777777" w:rsidR="00186818" w:rsidRPr="0076589C" w:rsidRDefault="1C8D6E3A" w:rsidP="00186818">
            <w:pPr>
              <w:spacing w:after="0" w:line="240" w:lineRule="auto"/>
              <w:ind w:left="0"/>
              <w:jc w:val="center"/>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35%</w:t>
            </w:r>
          </w:p>
        </w:tc>
      </w:tr>
      <w:tr w:rsidR="00186818" w:rsidRPr="0076589C" w14:paraId="39F40624" w14:textId="77777777" w:rsidTr="1C8D6E3A">
        <w:trPr>
          <w:trHeight w:val="270"/>
        </w:trPr>
        <w:tc>
          <w:tcPr>
            <w:tcW w:w="0" w:type="auto"/>
            <w:tcBorders>
              <w:top w:val="nil"/>
              <w:left w:val="nil"/>
              <w:bottom w:val="double" w:sz="6" w:space="0" w:color="auto"/>
              <w:right w:val="nil"/>
            </w:tcBorders>
            <w:shd w:val="clear" w:color="auto" w:fill="auto"/>
            <w:noWrap/>
            <w:vAlign w:val="bottom"/>
            <w:hideMark/>
          </w:tcPr>
          <w:p w14:paraId="0BBBE910" w14:textId="77777777" w:rsidR="00186818" w:rsidRPr="0076589C" w:rsidRDefault="1C8D6E3A" w:rsidP="00186818">
            <w:pPr>
              <w:spacing w:after="0" w:line="240" w:lineRule="auto"/>
              <w:ind w:left="0" w:firstLineChars="200" w:firstLine="28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Devoluciones, Rebajas y Descuentos s/Ventas</w:t>
            </w:r>
          </w:p>
        </w:tc>
        <w:tc>
          <w:tcPr>
            <w:tcW w:w="0" w:type="auto"/>
            <w:tcBorders>
              <w:top w:val="nil"/>
              <w:left w:val="nil"/>
              <w:bottom w:val="double" w:sz="6" w:space="0" w:color="auto"/>
              <w:right w:val="nil"/>
            </w:tcBorders>
            <w:shd w:val="clear" w:color="auto" w:fill="auto"/>
            <w:noWrap/>
            <w:vAlign w:val="bottom"/>
            <w:hideMark/>
          </w:tcPr>
          <w:p w14:paraId="42E8B107"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1,914,469.09 </w:t>
            </w:r>
          </w:p>
        </w:tc>
        <w:tc>
          <w:tcPr>
            <w:tcW w:w="0" w:type="auto"/>
            <w:tcBorders>
              <w:top w:val="nil"/>
              <w:left w:val="nil"/>
              <w:bottom w:val="double" w:sz="6" w:space="0" w:color="auto"/>
              <w:right w:val="nil"/>
            </w:tcBorders>
            <w:shd w:val="clear" w:color="auto" w:fill="auto"/>
            <w:noWrap/>
            <w:vAlign w:val="bottom"/>
            <w:hideMark/>
          </w:tcPr>
          <w:p w14:paraId="73DC2571"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8,156,774.63 </w:t>
            </w:r>
          </w:p>
        </w:tc>
        <w:tc>
          <w:tcPr>
            <w:tcW w:w="0" w:type="auto"/>
            <w:tcBorders>
              <w:top w:val="nil"/>
              <w:left w:val="nil"/>
              <w:bottom w:val="double" w:sz="6" w:space="0" w:color="auto"/>
              <w:right w:val="nil"/>
            </w:tcBorders>
            <w:shd w:val="clear" w:color="auto" w:fill="auto"/>
            <w:noWrap/>
            <w:vAlign w:val="bottom"/>
            <w:hideMark/>
          </w:tcPr>
          <w:p w14:paraId="5F956054"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1,734,375.45 </w:t>
            </w:r>
          </w:p>
        </w:tc>
        <w:tc>
          <w:tcPr>
            <w:tcW w:w="0" w:type="auto"/>
            <w:tcBorders>
              <w:top w:val="nil"/>
              <w:left w:val="nil"/>
              <w:bottom w:val="double" w:sz="6" w:space="0" w:color="auto"/>
              <w:right w:val="nil"/>
            </w:tcBorders>
            <w:shd w:val="clear" w:color="auto" w:fill="auto"/>
            <w:noWrap/>
            <w:vAlign w:val="bottom"/>
            <w:hideMark/>
          </w:tcPr>
          <w:p w14:paraId="009D4F29"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2,867,493.73 </w:t>
            </w:r>
          </w:p>
        </w:tc>
        <w:tc>
          <w:tcPr>
            <w:tcW w:w="0" w:type="auto"/>
            <w:tcBorders>
              <w:top w:val="nil"/>
              <w:left w:val="nil"/>
              <w:bottom w:val="double" w:sz="6" w:space="0" w:color="auto"/>
              <w:right w:val="nil"/>
            </w:tcBorders>
            <w:shd w:val="clear" w:color="auto" w:fill="auto"/>
            <w:noWrap/>
            <w:vAlign w:val="bottom"/>
            <w:hideMark/>
          </w:tcPr>
          <w:p w14:paraId="2DF286CD"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6,242,305.54 </w:t>
            </w:r>
          </w:p>
        </w:tc>
        <w:tc>
          <w:tcPr>
            <w:tcW w:w="0" w:type="auto"/>
            <w:tcBorders>
              <w:top w:val="nil"/>
              <w:left w:val="nil"/>
              <w:bottom w:val="double" w:sz="6" w:space="0" w:color="auto"/>
              <w:right w:val="nil"/>
            </w:tcBorders>
            <w:shd w:val="clear" w:color="auto" w:fill="auto"/>
            <w:noWrap/>
            <w:vAlign w:val="bottom"/>
            <w:hideMark/>
          </w:tcPr>
          <w:p w14:paraId="4C2A3513" w14:textId="77777777" w:rsidR="00186818" w:rsidRPr="0076589C" w:rsidRDefault="1C8D6E3A" w:rsidP="00186818">
            <w:pPr>
              <w:spacing w:after="0" w:line="240" w:lineRule="auto"/>
              <w:ind w:left="0"/>
              <w:jc w:val="center"/>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326%</w:t>
            </w:r>
          </w:p>
        </w:tc>
        <w:tc>
          <w:tcPr>
            <w:tcW w:w="0" w:type="auto"/>
            <w:tcBorders>
              <w:top w:val="nil"/>
              <w:left w:val="nil"/>
              <w:bottom w:val="double" w:sz="6" w:space="0" w:color="auto"/>
              <w:right w:val="nil"/>
            </w:tcBorders>
            <w:shd w:val="clear" w:color="auto" w:fill="auto"/>
            <w:noWrap/>
            <w:vAlign w:val="bottom"/>
            <w:hideMark/>
          </w:tcPr>
          <w:p w14:paraId="0A42EDA3"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-L   6,422,399.18 </w:t>
            </w:r>
          </w:p>
        </w:tc>
        <w:tc>
          <w:tcPr>
            <w:tcW w:w="0" w:type="auto"/>
            <w:tcBorders>
              <w:top w:val="nil"/>
              <w:left w:val="nil"/>
              <w:bottom w:val="double" w:sz="6" w:space="0" w:color="auto"/>
              <w:right w:val="nil"/>
            </w:tcBorders>
            <w:shd w:val="clear" w:color="auto" w:fill="auto"/>
            <w:noWrap/>
            <w:vAlign w:val="bottom"/>
            <w:hideMark/>
          </w:tcPr>
          <w:p w14:paraId="44A34C33" w14:textId="77777777" w:rsidR="00186818" w:rsidRPr="0076589C" w:rsidRDefault="1C8D6E3A" w:rsidP="00186818">
            <w:pPr>
              <w:spacing w:after="0" w:line="240" w:lineRule="auto"/>
              <w:ind w:left="0"/>
              <w:jc w:val="center"/>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-79%</w:t>
            </w:r>
          </w:p>
        </w:tc>
        <w:tc>
          <w:tcPr>
            <w:tcW w:w="0" w:type="auto"/>
            <w:tcBorders>
              <w:top w:val="nil"/>
              <w:left w:val="nil"/>
              <w:bottom w:val="double" w:sz="6" w:space="0" w:color="auto"/>
              <w:right w:val="nil"/>
            </w:tcBorders>
            <w:shd w:val="clear" w:color="auto" w:fill="auto"/>
            <w:noWrap/>
            <w:vAlign w:val="bottom"/>
            <w:hideMark/>
          </w:tcPr>
          <w:p w14:paraId="47AF0D07"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1,133,118.28 </w:t>
            </w:r>
          </w:p>
        </w:tc>
        <w:tc>
          <w:tcPr>
            <w:tcW w:w="0" w:type="auto"/>
            <w:tcBorders>
              <w:top w:val="nil"/>
              <w:left w:val="nil"/>
              <w:bottom w:val="double" w:sz="6" w:space="0" w:color="auto"/>
              <w:right w:val="nil"/>
            </w:tcBorders>
            <w:shd w:val="clear" w:color="auto" w:fill="auto"/>
            <w:noWrap/>
            <w:vAlign w:val="bottom"/>
            <w:hideMark/>
          </w:tcPr>
          <w:p w14:paraId="2193B0D8" w14:textId="77777777" w:rsidR="00186818" w:rsidRPr="0076589C" w:rsidRDefault="1C8D6E3A" w:rsidP="00186818">
            <w:pPr>
              <w:spacing w:after="0" w:line="240" w:lineRule="auto"/>
              <w:ind w:left="0"/>
              <w:jc w:val="center"/>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65%</w:t>
            </w:r>
          </w:p>
        </w:tc>
      </w:tr>
      <w:tr w:rsidR="00186818" w:rsidRPr="0076589C" w14:paraId="25BFE6F7" w14:textId="77777777" w:rsidTr="1C8D6E3A">
        <w:trPr>
          <w:trHeight w:val="270"/>
        </w:trPr>
        <w:tc>
          <w:tcPr>
            <w:tcW w:w="0" w:type="auto"/>
            <w:tcBorders>
              <w:top w:val="nil"/>
              <w:left w:val="nil"/>
              <w:bottom w:val="nil"/>
              <w:right w:val="nil"/>
            </w:tcBorders>
            <w:shd w:val="clear" w:color="auto" w:fill="auto"/>
            <w:noWrap/>
            <w:vAlign w:val="bottom"/>
            <w:hideMark/>
          </w:tcPr>
          <w:p w14:paraId="619C6B58" w14:textId="77777777" w:rsidR="00186818" w:rsidRPr="0076589C" w:rsidRDefault="1C8D6E3A" w:rsidP="00186818">
            <w:pPr>
              <w:spacing w:after="0" w:line="240" w:lineRule="auto"/>
              <w:ind w:left="0" w:firstLineChars="100" w:firstLine="141"/>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Total Ventas Netas</w:t>
            </w:r>
          </w:p>
        </w:tc>
        <w:tc>
          <w:tcPr>
            <w:tcW w:w="0" w:type="auto"/>
            <w:tcBorders>
              <w:top w:val="nil"/>
              <w:left w:val="nil"/>
              <w:bottom w:val="nil"/>
              <w:right w:val="nil"/>
            </w:tcBorders>
            <w:shd w:val="clear" w:color="auto" w:fill="auto"/>
            <w:noWrap/>
            <w:vAlign w:val="bottom"/>
            <w:hideMark/>
          </w:tcPr>
          <w:p w14:paraId="48CEE7C2"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26,105,424.64 </w:t>
            </w:r>
          </w:p>
        </w:tc>
        <w:tc>
          <w:tcPr>
            <w:tcW w:w="0" w:type="auto"/>
            <w:tcBorders>
              <w:top w:val="nil"/>
              <w:left w:val="nil"/>
              <w:bottom w:val="nil"/>
              <w:right w:val="nil"/>
            </w:tcBorders>
            <w:shd w:val="clear" w:color="auto" w:fill="auto"/>
            <w:noWrap/>
            <w:vAlign w:val="bottom"/>
            <w:hideMark/>
          </w:tcPr>
          <w:p w14:paraId="449DE0AF"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31,891,032.92 </w:t>
            </w:r>
          </w:p>
        </w:tc>
        <w:tc>
          <w:tcPr>
            <w:tcW w:w="0" w:type="auto"/>
            <w:tcBorders>
              <w:top w:val="nil"/>
              <w:left w:val="nil"/>
              <w:bottom w:val="nil"/>
              <w:right w:val="nil"/>
            </w:tcBorders>
            <w:shd w:val="clear" w:color="auto" w:fill="auto"/>
            <w:noWrap/>
            <w:vAlign w:val="bottom"/>
            <w:hideMark/>
          </w:tcPr>
          <w:p w14:paraId="77C15FEE"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22,321,755.08 </w:t>
            </w:r>
          </w:p>
        </w:tc>
        <w:tc>
          <w:tcPr>
            <w:tcW w:w="0" w:type="auto"/>
            <w:tcBorders>
              <w:top w:val="nil"/>
              <w:left w:val="nil"/>
              <w:bottom w:val="nil"/>
              <w:right w:val="nil"/>
            </w:tcBorders>
            <w:shd w:val="clear" w:color="auto" w:fill="auto"/>
            <w:noWrap/>
            <w:vAlign w:val="bottom"/>
            <w:hideMark/>
          </w:tcPr>
          <w:p w14:paraId="508A1CCE"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29,605,010.66 </w:t>
            </w:r>
          </w:p>
        </w:tc>
        <w:tc>
          <w:tcPr>
            <w:tcW w:w="0" w:type="auto"/>
            <w:tcBorders>
              <w:top w:val="nil"/>
              <w:left w:val="nil"/>
              <w:bottom w:val="nil"/>
              <w:right w:val="nil"/>
            </w:tcBorders>
            <w:shd w:val="clear" w:color="auto" w:fill="auto"/>
            <w:noWrap/>
            <w:vAlign w:val="bottom"/>
            <w:hideMark/>
          </w:tcPr>
          <w:p w14:paraId="5D7FE1AD"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5,785,608.28 </w:t>
            </w:r>
          </w:p>
        </w:tc>
        <w:tc>
          <w:tcPr>
            <w:tcW w:w="0" w:type="auto"/>
            <w:tcBorders>
              <w:top w:val="nil"/>
              <w:left w:val="nil"/>
              <w:bottom w:val="nil"/>
              <w:right w:val="nil"/>
            </w:tcBorders>
            <w:shd w:val="clear" w:color="auto" w:fill="C9E1EF"/>
            <w:noWrap/>
            <w:vAlign w:val="center"/>
            <w:hideMark/>
          </w:tcPr>
          <w:p w14:paraId="0E0197B2"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22%</w:t>
            </w:r>
          </w:p>
        </w:tc>
        <w:tc>
          <w:tcPr>
            <w:tcW w:w="0" w:type="auto"/>
            <w:tcBorders>
              <w:top w:val="nil"/>
              <w:left w:val="nil"/>
              <w:bottom w:val="nil"/>
              <w:right w:val="nil"/>
            </w:tcBorders>
            <w:shd w:val="clear" w:color="auto" w:fill="auto"/>
            <w:noWrap/>
            <w:vAlign w:val="bottom"/>
            <w:hideMark/>
          </w:tcPr>
          <w:p w14:paraId="6E254614"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-L   9,569,277.84 </w:t>
            </w:r>
          </w:p>
        </w:tc>
        <w:tc>
          <w:tcPr>
            <w:tcW w:w="0" w:type="auto"/>
            <w:tcBorders>
              <w:top w:val="nil"/>
              <w:left w:val="nil"/>
              <w:bottom w:val="nil"/>
              <w:right w:val="nil"/>
            </w:tcBorders>
            <w:shd w:val="clear" w:color="auto" w:fill="C9E1EF"/>
            <w:noWrap/>
            <w:vAlign w:val="center"/>
            <w:hideMark/>
          </w:tcPr>
          <w:p w14:paraId="26FE52DF"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-30%</w:t>
            </w:r>
          </w:p>
        </w:tc>
        <w:tc>
          <w:tcPr>
            <w:tcW w:w="0" w:type="auto"/>
            <w:tcBorders>
              <w:top w:val="nil"/>
              <w:left w:val="nil"/>
              <w:bottom w:val="nil"/>
              <w:right w:val="nil"/>
            </w:tcBorders>
            <w:shd w:val="clear" w:color="auto" w:fill="auto"/>
            <w:noWrap/>
            <w:vAlign w:val="bottom"/>
            <w:hideMark/>
          </w:tcPr>
          <w:p w14:paraId="05BDF42E"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7,283,255.58 </w:t>
            </w:r>
          </w:p>
        </w:tc>
        <w:tc>
          <w:tcPr>
            <w:tcW w:w="0" w:type="auto"/>
            <w:tcBorders>
              <w:top w:val="nil"/>
              <w:left w:val="nil"/>
              <w:bottom w:val="nil"/>
              <w:right w:val="nil"/>
            </w:tcBorders>
            <w:shd w:val="clear" w:color="auto" w:fill="C9E1EF"/>
            <w:noWrap/>
            <w:vAlign w:val="bottom"/>
            <w:hideMark/>
          </w:tcPr>
          <w:p w14:paraId="634D40E8"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33%</w:t>
            </w:r>
          </w:p>
        </w:tc>
      </w:tr>
      <w:tr w:rsidR="00186818" w:rsidRPr="0076589C" w14:paraId="6F1DDAC4" w14:textId="77777777" w:rsidTr="1C8D6E3A">
        <w:trPr>
          <w:trHeight w:val="260"/>
        </w:trPr>
        <w:tc>
          <w:tcPr>
            <w:tcW w:w="0" w:type="auto"/>
            <w:tcBorders>
              <w:top w:val="nil"/>
              <w:left w:val="nil"/>
              <w:bottom w:val="nil"/>
              <w:right w:val="nil"/>
            </w:tcBorders>
            <w:shd w:val="clear" w:color="auto" w:fill="auto"/>
            <w:noWrap/>
            <w:vAlign w:val="bottom"/>
            <w:hideMark/>
          </w:tcPr>
          <w:p w14:paraId="4E0C4DAC" w14:textId="77777777" w:rsidR="00186818" w:rsidRPr="0076589C" w:rsidRDefault="00186818" w:rsidP="00186818">
            <w:pPr>
              <w:spacing w:after="0" w:line="240" w:lineRule="auto"/>
              <w:ind w:left="0"/>
              <w:jc w:val="center"/>
              <w:rPr>
                <w:rFonts w:ascii="Calibri" w:eastAsia="Times New Roman" w:hAnsi="Calibri" w:cs="Calibri"/>
                <w:b/>
                <w:bCs/>
                <w:color w:val="000000"/>
                <w:sz w:val="14"/>
                <w:szCs w:val="14"/>
                <w:lang w:eastAsia="es-HN"/>
              </w:rPr>
            </w:pPr>
          </w:p>
        </w:tc>
        <w:tc>
          <w:tcPr>
            <w:tcW w:w="0" w:type="auto"/>
            <w:tcBorders>
              <w:top w:val="nil"/>
              <w:left w:val="nil"/>
              <w:bottom w:val="nil"/>
              <w:right w:val="nil"/>
            </w:tcBorders>
            <w:shd w:val="clear" w:color="auto" w:fill="auto"/>
            <w:noWrap/>
            <w:vAlign w:val="bottom"/>
            <w:hideMark/>
          </w:tcPr>
          <w:p w14:paraId="490CA550" w14:textId="77777777" w:rsidR="00186818" w:rsidRPr="0076589C" w:rsidRDefault="00186818" w:rsidP="00186818">
            <w:pPr>
              <w:spacing w:after="0" w:line="240" w:lineRule="auto"/>
              <w:ind w:left="0" w:firstLineChars="100" w:firstLine="14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052EC223"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6DDA648C"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center"/>
            <w:hideMark/>
          </w:tcPr>
          <w:p w14:paraId="6E5032A9"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15B47B80"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47F2ABF3"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43BB69EF"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07DBDBCE"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188C297B"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54201DA3" w14:textId="77777777" w:rsidR="00186818" w:rsidRPr="0076589C" w:rsidRDefault="00186818" w:rsidP="00186818">
            <w:pPr>
              <w:spacing w:after="0" w:line="240" w:lineRule="auto"/>
              <w:ind w:left="0"/>
              <w:rPr>
                <w:rFonts w:eastAsia="Times New Roman" w:cs="Times New Roman"/>
                <w:sz w:val="14"/>
                <w:szCs w:val="14"/>
                <w:lang w:eastAsia="es-HN"/>
              </w:rPr>
            </w:pPr>
          </w:p>
        </w:tc>
      </w:tr>
      <w:tr w:rsidR="00186818" w:rsidRPr="0076589C" w14:paraId="7BC627AE" w14:textId="77777777" w:rsidTr="1C8D6E3A">
        <w:trPr>
          <w:trHeight w:val="260"/>
        </w:trPr>
        <w:tc>
          <w:tcPr>
            <w:tcW w:w="0" w:type="auto"/>
            <w:tcBorders>
              <w:top w:val="nil"/>
              <w:left w:val="nil"/>
              <w:bottom w:val="nil"/>
              <w:right w:val="nil"/>
            </w:tcBorders>
            <w:shd w:val="clear" w:color="auto" w:fill="auto"/>
            <w:noWrap/>
            <w:vAlign w:val="bottom"/>
            <w:hideMark/>
          </w:tcPr>
          <w:p w14:paraId="675E8843" w14:textId="77777777" w:rsidR="00186818" w:rsidRPr="0076589C" w:rsidRDefault="1C8D6E3A" w:rsidP="00186818">
            <w:pPr>
              <w:spacing w:after="0" w:line="240" w:lineRule="auto"/>
              <w:ind w:left="0" w:firstLineChars="100" w:firstLine="141"/>
              <w:rPr>
                <w:rFonts w:ascii="Calibri" w:eastAsia="Times New Roman" w:hAnsi="Calibri" w:cs="Calibri"/>
                <w:b/>
                <w:bCs/>
                <w:color w:val="000000"/>
                <w:sz w:val="14"/>
                <w:szCs w:val="14"/>
                <w:u w:val="single"/>
                <w:lang w:eastAsia="es-HN"/>
              </w:rPr>
            </w:pPr>
            <w:r w:rsidRPr="0076589C">
              <w:rPr>
                <w:rFonts w:ascii="Calibri" w:eastAsia="Times New Roman" w:hAnsi="Calibri" w:cs="Calibri"/>
                <w:b/>
                <w:bCs/>
                <w:color w:val="000000" w:themeColor="text1"/>
                <w:sz w:val="14"/>
                <w:szCs w:val="14"/>
                <w:u w:val="single"/>
              </w:rPr>
              <w:t>Menos: Costo de Ventas</w:t>
            </w:r>
          </w:p>
        </w:tc>
        <w:tc>
          <w:tcPr>
            <w:tcW w:w="0" w:type="auto"/>
            <w:tcBorders>
              <w:top w:val="nil"/>
              <w:left w:val="nil"/>
              <w:bottom w:val="nil"/>
              <w:right w:val="nil"/>
            </w:tcBorders>
            <w:shd w:val="clear" w:color="auto" w:fill="auto"/>
            <w:noWrap/>
            <w:vAlign w:val="bottom"/>
            <w:hideMark/>
          </w:tcPr>
          <w:p w14:paraId="309E644F" w14:textId="77777777" w:rsidR="00186818" w:rsidRPr="0076589C" w:rsidRDefault="00186818" w:rsidP="00186818">
            <w:pPr>
              <w:spacing w:after="0" w:line="240" w:lineRule="auto"/>
              <w:ind w:left="0" w:firstLineChars="100" w:firstLine="141"/>
              <w:rPr>
                <w:rFonts w:ascii="Calibri" w:eastAsia="Times New Roman" w:hAnsi="Calibri" w:cs="Calibri"/>
                <w:b/>
                <w:bCs/>
                <w:color w:val="000000"/>
                <w:sz w:val="14"/>
                <w:szCs w:val="14"/>
                <w:u w:val="single"/>
                <w:lang w:eastAsia="es-HN"/>
              </w:rPr>
            </w:pPr>
          </w:p>
        </w:tc>
        <w:tc>
          <w:tcPr>
            <w:tcW w:w="0" w:type="auto"/>
            <w:tcBorders>
              <w:top w:val="nil"/>
              <w:left w:val="nil"/>
              <w:bottom w:val="nil"/>
              <w:right w:val="nil"/>
            </w:tcBorders>
            <w:shd w:val="clear" w:color="auto" w:fill="auto"/>
            <w:noWrap/>
            <w:vAlign w:val="bottom"/>
            <w:hideMark/>
          </w:tcPr>
          <w:p w14:paraId="477AE8BD"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513F83C9"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center"/>
            <w:hideMark/>
          </w:tcPr>
          <w:p w14:paraId="0CAF89CB"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4545E712"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25BE6B77"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152D8A7A"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0F26206C"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44B68841"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29960838" w14:textId="77777777" w:rsidR="00186818" w:rsidRPr="0076589C" w:rsidRDefault="00186818" w:rsidP="00186818">
            <w:pPr>
              <w:spacing w:after="0" w:line="240" w:lineRule="auto"/>
              <w:ind w:left="0"/>
              <w:rPr>
                <w:rFonts w:eastAsia="Times New Roman" w:cs="Times New Roman"/>
                <w:sz w:val="14"/>
                <w:szCs w:val="14"/>
                <w:lang w:eastAsia="es-HN"/>
              </w:rPr>
            </w:pPr>
          </w:p>
        </w:tc>
      </w:tr>
      <w:tr w:rsidR="00186818" w:rsidRPr="0076589C" w14:paraId="2E54DD97" w14:textId="77777777" w:rsidTr="1C8D6E3A">
        <w:trPr>
          <w:trHeight w:val="260"/>
        </w:trPr>
        <w:tc>
          <w:tcPr>
            <w:tcW w:w="0" w:type="auto"/>
            <w:tcBorders>
              <w:top w:val="nil"/>
              <w:left w:val="nil"/>
              <w:bottom w:val="single" w:sz="4" w:space="0" w:color="auto"/>
              <w:right w:val="nil"/>
            </w:tcBorders>
            <w:shd w:val="clear" w:color="auto" w:fill="auto"/>
            <w:noWrap/>
            <w:vAlign w:val="bottom"/>
            <w:hideMark/>
          </w:tcPr>
          <w:p w14:paraId="7BED2828" w14:textId="77777777" w:rsidR="00186818" w:rsidRPr="0076589C" w:rsidRDefault="1C8D6E3A" w:rsidP="00186818">
            <w:pPr>
              <w:spacing w:after="0" w:line="240" w:lineRule="auto"/>
              <w:ind w:left="0" w:firstLineChars="200" w:firstLine="28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Costo de Ventas</w:t>
            </w:r>
          </w:p>
        </w:tc>
        <w:tc>
          <w:tcPr>
            <w:tcW w:w="0" w:type="auto"/>
            <w:tcBorders>
              <w:top w:val="nil"/>
              <w:left w:val="nil"/>
              <w:bottom w:val="single" w:sz="4" w:space="0" w:color="auto"/>
              <w:right w:val="nil"/>
            </w:tcBorders>
            <w:shd w:val="clear" w:color="auto" w:fill="auto"/>
            <w:noWrap/>
            <w:vAlign w:val="bottom"/>
            <w:hideMark/>
          </w:tcPr>
          <w:p w14:paraId="542A80BD"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16,697,146.61 </w:t>
            </w:r>
          </w:p>
        </w:tc>
        <w:tc>
          <w:tcPr>
            <w:tcW w:w="0" w:type="auto"/>
            <w:tcBorders>
              <w:top w:val="nil"/>
              <w:left w:val="nil"/>
              <w:bottom w:val="single" w:sz="4" w:space="0" w:color="auto"/>
              <w:right w:val="nil"/>
            </w:tcBorders>
            <w:shd w:val="clear" w:color="auto" w:fill="auto"/>
            <w:noWrap/>
            <w:vAlign w:val="bottom"/>
            <w:hideMark/>
          </w:tcPr>
          <w:p w14:paraId="7D99B663"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23,447,506.21 </w:t>
            </w:r>
          </w:p>
        </w:tc>
        <w:tc>
          <w:tcPr>
            <w:tcW w:w="0" w:type="auto"/>
            <w:tcBorders>
              <w:top w:val="nil"/>
              <w:left w:val="nil"/>
              <w:bottom w:val="single" w:sz="4" w:space="0" w:color="auto"/>
              <w:right w:val="nil"/>
            </w:tcBorders>
            <w:shd w:val="clear" w:color="auto" w:fill="auto"/>
            <w:noWrap/>
            <w:vAlign w:val="bottom"/>
            <w:hideMark/>
          </w:tcPr>
          <w:p w14:paraId="0CF6EB1B"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14,311,460.95 </w:t>
            </w:r>
          </w:p>
        </w:tc>
        <w:tc>
          <w:tcPr>
            <w:tcW w:w="0" w:type="auto"/>
            <w:tcBorders>
              <w:top w:val="nil"/>
              <w:left w:val="nil"/>
              <w:bottom w:val="single" w:sz="4" w:space="0" w:color="auto"/>
              <w:right w:val="nil"/>
            </w:tcBorders>
            <w:shd w:val="clear" w:color="auto" w:fill="auto"/>
            <w:noWrap/>
            <w:vAlign w:val="bottom"/>
            <w:hideMark/>
          </w:tcPr>
          <w:p w14:paraId="77A61717"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19,595,712.44 </w:t>
            </w:r>
          </w:p>
        </w:tc>
        <w:tc>
          <w:tcPr>
            <w:tcW w:w="0" w:type="auto"/>
            <w:tcBorders>
              <w:top w:val="nil"/>
              <w:left w:val="nil"/>
              <w:bottom w:val="single" w:sz="4" w:space="0" w:color="auto"/>
              <w:right w:val="nil"/>
            </w:tcBorders>
            <w:shd w:val="clear" w:color="auto" w:fill="auto"/>
            <w:noWrap/>
            <w:vAlign w:val="bottom"/>
            <w:hideMark/>
          </w:tcPr>
          <w:p w14:paraId="39D0B49B"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6,750,359.60 </w:t>
            </w:r>
          </w:p>
        </w:tc>
        <w:tc>
          <w:tcPr>
            <w:tcW w:w="0" w:type="auto"/>
            <w:tcBorders>
              <w:top w:val="nil"/>
              <w:left w:val="nil"/>
              <w:bottom w:val="single" w:sz="4" w:space="0" w:color="auto"/>
              <w:right w:val="nil"/>
            </w:tcBorders>
            <w:shd w:val="clear" w:color="auto" w:fill="auto"/>
            <w:noWrap/>
            <w:vAlign w:val="bottom"/>
            <w:hideMark/>
          </w:tcPr>
          <w:p w14:paraId="16AD83D7" w14:textId="77777777" w:rsidR="00186818" w:rsidRPr="0076589C" w:rsidRDefault="1C8D6E3A" w:rsidP="00186818">
            <w:pPr>
              <w:spacing w:after="0" w:line="240" w:lineRule="auto"/>
              <w:ind w:left="0"/>
              <w:jc w:val="center"/>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40%</w:t>
            </w:r>
          </w:p>
        </w:tc>
        <w:tc>
          <w:tcPr>
            <w:tcW w:w="0" w:type="auto"/>
            <w:tcBorders>
              <w:top w:val="nil"/>
              <w:left w:val="nil"/>
              <w:bottom w:val="single" w:sz="4" w:space="0" w:color="auto"/>
              <w:right w:val="nil"/>
            </w:tcBorders>
            <w:shd w:val="clear" w:color="auto" w:fill="auto"/>
            <w:noWrap/>
            <w:vAlign w:val="bottom"/>
            <w:hideMark/>
          </w:tcPr>
          <w:p w14:paraId="19A7874E"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-L   9,136,045.26 </w:t>
            </w:r>
          </w:p>
        </w:tc>
        <w:tc>
          <w:tcPr>
            <w:tcW w:w="0" w:type="auto"/>
            <w:tcBorders>
              <w:top w:val="nil"/>
              <w:left w:val="nil"/>
              <w:bottom w:val="single" w:sz="4" w:space="0" w:color="auto"/>
              <w:right w:val="nil"/>
            </w:tcBorders>
            <w:shd w:val="clear" w:color="auto" w:fill="auto"/>
            <w:noWrap/>
            <w:vAlign w:val="bottom"/>
            <w:hideMark/>
          </w:tcPr>
          <w:p w14:paraId="4AFE77A7" w14:textId="77777777" w:rsidR="00186818" w:rsidRPr="0076589C" w:rsidRDefault="1C8D6E3A" w:rsidP="00186818">
            <w:pPr>
              <w:spacing w:after="0" w:line="240" w:lineRule="auto"/>
              <w:ind w:left="0"/>
              <w:jc w:val="center"/>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-39%</w:t>
            </w:r>
          </w:p>
        </w:tc>
        <w:tc>
          <w:tcPr>
            <w:tcW w:w="0" w:type="auto"/>
            <w:tcBorders>
              <w:top w:val="nil"/>
              <w:left w:val="nil"/>
              <w:bottom w:val="single" w:sz="4" w:space="0" w:color="auto"/>
              <w:right w:val="nil"/>
            </w:tcBorders>
            <w:shd w:val="clear" w:color="auto" w:fill="auto"/>
            <w:noWrap/>
            <w:vAlign w:val="bottom"/>
            <w:hideMark/>
          </w:tcPr>
          <w:p w14:paraId="1F4123FA"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5,284,251.49 </w:t>
            </w:r>
          </w:p>
        </w:tc>
        <w:tc>
          <w:tcPr>
            <w:tcW w:w="0" w:type="auto"/>
            <w:tcBorders>
              <w:top w:val="nil"/>
              <w:left w:val="nil"/>
              <w:bottom w:val="single" w:sz="4" w:space="0" w:color="auto"/>
              <w:right w:val="nil"/>
            </w:tcBorders>
            <w:shd w:val="clear" w:color="auto" w:fill="auto"/>
            <w:noWrap/>
            <w:vAlign w:val="bottom"/>
            <w:hideMark/>
          </w:tcPr>
          <w:p w14:paraId="210DED49" w14:textId="77777777" w:rsidR="00186818" w:rsidRPr="0076589C" w:rsidRDefault="1C8D6E3A" w:rsidP="00186818">
            <w:pPr>
              <w:spacing w:after="0" w:line="240" w:lineRule="auto"/>
              <w:ind w:left="0"/>
              <w:jc w:val="center"/>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37%</w:t>
            </w:r>
          </w:p>
        </w:tc>
      </w:tr>
      <w:tr w:rsidR="00186818" w:rsidRPr="0076589C" w14:paraId="12D74BB8" w14:textId="77777777" w:rsidTr="1C8D6E3A">
        <w:trPr>
          <w:trHeight w:val="260"/>
        </w:trPr>
        <w:tc>
          <w:tcPr>
            <w:tcW w:w="0" w:type="auto"/>
            <w:tcBorders>
              <w:top w:val="nil"/>
              <w:left w:val="nil"/>
              <w:bottom w:val="nil"/>
              <w:right w:val="nil"/>
            </w:tcBorders>
            <w:shd w:val="clear" w:color="auto" w:fill="auto"/>
            <w:noWrap/>
            <w:vAlign w:val="bottom"/>
            <w:hideMark/>
          </w:tcPr>
          <w:p w14:paraId="08C5BC0E" w14:textId="77777777" w:rsidR="00186818" w:rsidRPr="0076589C" w:rsidRDefault="1C8D6E3A" w:rsidP="00186818">
            <w:pPr>
              <w:spacing w:after="0" w:line="240" w:lineRule="auto"/>
              <w:ind w:left="0" w:firstLineChars="100" w:firstLine="141"/>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Costo de la Producción Vendida</w:t>
            </w:r>
          </w:p>
        </w:tc>
        <w:tc>
          <w:tcPr>
            <w:tcW w:w="0" w:type="auto"/>
            <w:tcBorders>
              <w:top w:val="nil"/>
              <w:left w:val="nil"/>
              <w:bottom w:val="nil"/>
              <w:right w:val="nil"/>
            </w:tcBorders>
            <w:shd w:val="clear" w:color="auto" w:fill="auto"/>
            <w:noWrap/>
            <w:vAlign w:val="bottom"/>
            <w:hideMark/>
          </w:tcPr>
          <w:p w14:paraId="24CC2287"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16,697,146.61 </w:t>
            </w:r>
          </w:p>
        </w:tc>
        <w:tc>
          <w:tcPr>
            <w:tcW w:w="0" w:type="auto"/>
            <w:tcBorders>
              <w:top w:val="nil"/>
              <w:left w:val="nil"/>
              <w:bottom w:val="nil"/>
              <w:right w:val="nil"/>
            </w:tcBorders>
            <w:shd w:val="clear" w:color="auto" w:fill="auto"/>
            <w:noWrap/>
            <w:vAlign w:val="bottom"/>
            <w:hideMark/>
          </w:tcPr>
          <w:p w14:paraId="46556CC9"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23,447,506.21 </w:t>
            </w:r>
          </w:p>
        </w:tc>
        <w:tc>
          <w:tcPr>
            <w:tcW w:w="0" w:type="auto"/>
            <w:tcBorders>
              <w:top w:val="nil"/>
              <w:left w:val="nil"/>
              <w:bottom w:val="nil"/>
              <w:right w:val="nil"/>
            </w:tcBorders>
            <w:shd w:val="clear" w:color="auto" w:fill="auto"/>
            <w:noWrap/>
            <w:vAlign w:val="bottom"/>
            <w:hideMark/>
          </w:tcPr>
          <w:p w14:paraId="563B2965"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14,311,460.95 </w:t>
            </w:r>
          </w:p>
        </w:tc>
        <w:tc>
          <w:tcPr>
            <w:tcW w:w="0" w:type="auto"/>
            <w:tcBorders>
              <w:top w:val="nil"/>
              <w:left w:val="nil"/>
              <w:bottom w:val="nil"/>
              <w:right w:val="nil"/>
            </w:tcBorders>
            <w:shd w:val="clear" w:color="auto" w:fill="auto"/>
            <w:noWrap/>
            <w:vAlign w:val="bottom"/>
            <w:hideMark/>
          </w:tcPr>
          <w:p w14:paraId="36AFE162"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19,595,712.44 </w:t>
            </w:r>
          </w:p>
        </w:tc>
        <w:tc>
          <w:tcPr>
            <w:tcW w:w="0" w:type="auto"/>
            <w:tcBorders>
              <w:top w:val="nil"/>
              <w:left w:val="nil"/>
              <w:bottom w:val="nil"/>
              <w:right w:val="nil"/>
            </w:tcBorders>
            <w:shd w:val="clear" w:color="auto" w:fill="auto"/>
            <w:noWrap/>
            <w:vAlign w:val="bottom"/>
            <w:hideMark/>
          </w:tcPr>
          <w:p w14:paraId="14663057"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6,750,359.60 </w:t>
            </w:r>
          </w:p>
        </w:tc>
        <w:tc>
          <w:tcPr>
            <w:tcW w:w="0" w:type="auto"/>
            <w:tcBorders>
              <w:top w:val="nil"/>
              <w:left w:val="nil"/>
              <w:bottom w:val="nil"/>
              <w:right w:val="nil"/>
            </w:tcBorders>
            <w:shd w:val="clear" w:color="auto" w:fill="C9E1EF"/>
            <w:noWrap/>
            <w:vAlign w:val="bottom"/>
            <w:hideMark/>
          </w:tcPr>
          <w:p w14:paraId="2F5934E0" w14:textId="77777777" w:rsidR="00186818" w:rsidRPr="0076589C" w:rsidRDefault="1C8D6E3A" w:rsidP="00186818">
            <w:pPr>
              <w:spacing w:after="0" w:line="240" w:lineRule="auto"/>
              <w:ind w:left="0"/>
              <w:jc w:val="center"/>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40%</w:t>
            </w:r>
          </w:p>
        </w:tc>
        <w:tc>
          <w:tcPr>
            <w:tcW w:w="0" w:type="auto"/>
            <w:tcBorders>
              <w:top w:val="nil"/>
              <w:left w:val="nil"/>
              <w:bottom w:val="nil"/>
              <w:right w:val="nil"/>
            </w:tcBorders>
            <w:shd w:val="clear" w:color="auto" w:fill="auto"/>
            <w:noWrap/>
            <w:vAlign w:val="bottom"/>
            <w:hideMark/>
          </w:tcPr>
          <w:p w14:paraId="0C4E42DB"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-L   9,136,045.26 </w:t>
            </w:r>
          </w:p>
        </w:tc>
        <w:tc>
          <w:tcPr>
            <w:tcW w:w="0" w:type="auto"/>
            <w:tcBorders>
              <w:top w:val="nil"/>
              <w:left w:val="nil"/>
              <w:bottom w:val="nil"/>
              <w:right w:val="nil"/>
            </w:tcBorders>
            <w:shd w:val="clear" w:color="auto" w:fill="C9E1EF"/>
            <w:noWrap/>
            <w:vAlign w:val="bottom"/>
            <w:hideMark/>
          </w:tcPr>
          <w:p w14:paraId="316777FE"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-39%</w:t>
            </w:r>
          </w:p>
        </w:tc>
        <w:tc>
          <w:tcPr>
            <w:tcW w:w="0" w:type="auto"/>
            <w:tcBorders>
              <w:top w:val="nil"/>
              <w:left w:val="nil"/>
              <w:bottom w:val="nil"/>
              <w:right w:val="nil"/>
            </w:tcBorders>
            <w:shd w:val="clear" w:color="auto" w:fill="auto"/>
            <w:noWrap/>
            <w:vAlign w:val="bottom"/>
            <w:hideMark/>
          </w:tcPr>
          <w:p w14:paraId="69731A19"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5,284,251.49 </w:t>
            </w:r>
          </w:p>
        </w:tc>
        <w:tc>
          <w:tcPr>
            <w:tcW w:w="0" w:type="auto"/>
            <w:tcBorders>
              <w:top w:val="nil"/>
              <w:left w:val="nil"/>
              <w:bottom w:val="nil"/>
              <w:right w:val="nil"/>
            </w:tcBorders>
            <w:shd w:val="clear" w:color="auto" w:fill="C9E1EF"/>
            <w:noWrap/>
            <w:vAlign w:val="bottom"/>
            <w:hideMark/>
          </w:tcPr>
          <w:p w14:paraId="7FBD0E37" w14:textId="77777777" w:rsidR="00186818" w:rsidRPr="0076589C" w:rsidRDefault="1C8D6E3A" w:rsidP="00186818">
            <w:pPr>
              <w:spacing w:after="0" w:line="240" w:lineRule="auto"/>
              <w:ind w:left="0"/>
              <w:jc w:val="center"/>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37%</w:t>
            </w:r>
          </w:p>
        </w:tc>
      </w:tr>
      <w:tr w:rsidR="00186818" w:rsidRPr="0076589C" w14:paraId="5057415A" w14:textId="77777777" w:rsidTr="1C8D6E3A">
        <w:trPr>
          <w:trHeight w:val="260"/>
        </w:trPr>
        <w:tc>
          <w:tcPr>
            <w:tcW w:w="0" w:type="auto"/>
            <w:tcBorders>
              <w:top w:val="nil"/>
              <w:left w:val="nil"/>
              <w:bottom w:val="nil"/>
              <w:right w:val="nil"/>
            </w:tcBorders>
            <w:shd w:val="clear" w:color="auto" w:fill="auto"/>
            <w:noWrap/>
            <w:vAlign w:val="bottom"/>
            <w:hideMark/>
          </w:tcPr>
          <w:p w14:paraId="68808F82" w14:textId="77777777" w:rsidR="00186818" w:rsidRPr="0076589C" w:rsidRDefault="00186818" w:rsidP="00186818">
            <w:pPr>
              <w:spacing w:after="0" w:line="240" w:lineRule="auto"/>
              <w:ind w:left="0"/>
              <w:jc w:val="center"/>
              <w:rPr>
                <w:rFonts w:ascii="Calibri" w:eastAsia="Times New Roman" w:hAnsi="Calibri" w:cs="Calibri"/>
                <w:color w:val="000000"/>
                <w:sz w:val="14"/>
                <w:szCs w:val="14"/>
                <w:lang w:eastAsia="es-HN"/>
              </w:rPr>
            </w:pPr>
          </w:p>
        </w:tc>
        <w:tc>
          <w:tcPr>
            <w:tcW w:w="0" w:type="auto"/>
            <w:tcBorders>
              <w:top w:val="nil"/>
              <w:left w:val="nil"/>
              <w:bottom w:val="nil"/>
              <w:right w:val="nil"/>
            </w:tcBorders>
            <w:shd w:val="clear" w:color="auto" w:fill="auto"/>
            <w:noWrap/>
            <w:vAlign w:val="bottom"/>
            <w:hideMark/>
          </w:tcPr>
          <w:p w14:paraId="270E5AE0" w14:textId="77777777" w:rsidR="00186818" w:rsidRPr="0076589C" w:rsidRDefault="00186818" w:rsidP="00186818">
            <w:pPr>
              <w:spacing w:after="0" w:line="240" w:lineRule="auto"/>
              <w:ind w:left="0" w:firstLineChars="100" w:firstLine="14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6CC10562"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43F881C7"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2F978ED4"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644F2531"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4B52C242"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40F348AD"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5037E180"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0AD2BE60"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51DE184E" w14:textId="77777777" w:rsidR="00186818" w:rsidRPr="0076589C" w:rsidRDefault="00186818" w:rsidP="00186818">
            <w:pPr>
              <w:spacing w:after="0" w:line="240" w:lineRule="auto"/>
              <w:ind w:left="0"/>
              <w:rPr>
                <w:rFonts w:eastAsia="Times New Roman" w:cs="Times New Roman"/>
                <w:sz w:val="14"/>
                <w:szCs w:val="14"/>
                <w:lang w:eastAsia="es-HN"/>
              </w:rPr>
            </w:pPr>
          </w:p>
        </w:tc>
      </w:tr>
      <w:tr w:rsidR="00186818" w:rsidRPr="0076589C" w14:paraId="0B01BCC8" w14:textId="77777777" w:rsidTr="1C8D6E3A">
        <w:trPr>
          <w:trHeight w:val="260"/>
        </w:trPr>
        <w:tc>
          <w:tcPr>
            <w:tcW w:w="0" w:type="auto"/>
            <w:tcBorders>
              <w:top w:val="single" w:sz="4" w:space="0" w:color="auto"/>
              <w:left w:val="nil"/>
              <w:bottom w:val="single" w:sz="4" w:space="0" w:color="auto"/>
              <w:right w:val="nil"/>
            </w:tcBorders>
            <w:shd w:val="clear" w:color="auto" w:fill="auto"/>
            <w:noWrap/>
            <w:vAlign w:val="bottom"/>
            <w:hideMark/>
          </w:tcPr>
          <w:p w14:paraId="3E72EB71" w14:textId="77777777" w:rsidR="00186818" w:rsidRPr="0076589C" w:rsidRDefault="1C8D6E3A" w:rsidP="00186818">
            <w:pPr>
              <w:spacing w:after="0" w:line="240" w:lineRule="auto"/>
              <w:ind w:left="0" w:firstLineChars="100" w:firstLine="141"/>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Utilidad Bruta en Ventas</w:t>
            </w:r>
          </w:p>
        </w:tc>
        <w:tc>
          <w:tcPr>
            <w:tcW w:w="0" w:type="auto"/>
            <w:tcBorders>
              <w:top w:val="single" w:sz="4" w:space="0" w:color="auto"/>
              <w:left w:val="nil"/>
              <w:bottom w:val="single" w:sz="4" w:space="0" w:color="auto"/>
              <w:right w:val="nil"/>
            </w:tcBorders>
            <w:shd w:val="clear" w:color="auto" w:fill="auto"/>
            <w:noWrap/>
            <w:vAlign w:val="bottom"/>
            <w:hideMark/>
          </w:tcPr>
          <w:p w14:paraId="59BF2E68"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9,408,278.03 </w:t>
            </w:r>
          </w:p>
        </w:tc>
        <w:tc>
          <w:tcPr>
            <w:tcW w:w="0" w:type="auto"/>
            <w:tcBorders>
              <w:top w:val="single" w:sz="4" w:space="0" w:color="auto"/>
              <w:left w:val="nil"/>
              <w:bottom w:val="single" w:sz="4" w:space="0" w:color="auto"/>
              <w:right w:val="nil"/>
            </w:tcBorders>
            <w:shd w:val="clear" w:color="auto" w:fill="auto"/>
            <w:noWrap/>
            <w:vAlign w:val="bottom"/>
            <w:hideMark/>
          </w:tcPr>
          <w:p w14:paraId="16643C40"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8,443,526.71 </w:t>
            </w:r>
          </w:p>
        </w:tc>
        <w:tc>
          <w:tcPr>
            <w:tcW w:w="0" w:type="auto"/>
            <w:tcBorders>
              <w:top w:val="single" w:sz="4" w:space="0" w:color="auto"/>
              <w:left w:val="nil"/>
              <w:bottom w:val="single" w:sz="4" w:space="0" w:color="auto"/>
              <w:right w:val="nil"/>
            </w:tcBorders>
            <w:shd w:val="clear" w:color="auto" w:fill="auto"/>
            <w:noWrap/>
            <w:vAlign w:val="bottom"/>
            <w:hideMark/>
          </w:tcPr>
          <w:p w14:paraId="1E682F61"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8,010,294.13 </w:t>
            </w:r>
          </w:p>
        </w:tc>
        <w:tc>
          <w:tcPr>
            <w:tcW w:w="0" w:type="auto"/>
            <w:tcBorders>
              <w:top w:val="single" w:sz="4" w:space="0" w:color="auto"/>
              <w:left w:val="nil"/>
              <w:bottom w:val="single" w:sz="4" w:space="0" w:color="auto"/>
              <w:right w:val="nil"/>
            </w:tcBorders>
            <w:shd w:val="clear" w:color="auto" w:fill="auto"/>
            <w:noWrap/>
            <w:vAlign w:val="bottom"/>
            <w:hideMark/>
          </w:tcPr>
          <w:p w14:paraId="1DEE64B2"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10,009,298.22 </w:t>
            </w:r>
          </w:p>
        </w:tc>
        <w:tc>
          <w:tcPr>
            <w:tcW w:w="0" w:type="auto"/>
            <w:tcBorders>
              <w:top w:val="single" w:sz="4" w:space="0" w:color="auto"/>
              <w:left w:val="nil"/>
              <w:bottom w:val="single" w:sz="4" w:space="0" w:color="auto"/>
              <w:right w:val="nil"/>
            </w:tcBorders>
            <w:shd w:val="clear" w:color="auto" w:fill="auto"/>
            <w:noWrap/>
            <w:vAlign w:val="bottom"/>
            <w:hideMark/>
          </w:tcPr>
          <w:p w14:paraId="5D99CCF1"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-L      964,751.32 </w:t>
            </w:r>
          </w:p>
        </w:tc>
        <w:tc>
          <w:tcPr>
            <w:tcW w:w="0" w:type="auto"/>
            <w:tcBorders>
              <w:top w:val="single" w:sz="4" w:space="0" w:color="auto"/>
              <w:left w:val="nil"/>
              <w:bottom w:val="single" w:sz="4" w:space="0" w:color="auto"/>
              <w:right w:val="nil"/>
            </w:tcBorders>
            <w:shd w:val="clear" w:color="auto" w:fill="C9E1EF"/>
            <w:noWrap/>
            <w:vAlign w:val="bottom"/>
            <w:hideMark/>
          </w:tcPr>
          <w:p w14:paraId="70580FF1"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-10%</w:t>
            </w:r>
          </w:p>
        </w:tc>
        <w:tc>
          <w:tcPr>
            <w:tcW w:w="0" w:type="auto"/>
            <w:tcBorders>
              <w:top w:val="single" w:sz="4" w:space="0" w:color="auto"/>
              <w:left w:val="nil"/>
              <w:bottom w:val="single" w:sz="4" w:space="0" w:color="auto"/>
              <w:right w:val="nil"/>
            </w:tcBorders>
            <w:shd w:val="clear" w:color="auto" w:fill="auto"/>
            <w:noWrap/>
            <w:vAlign w:val="bottom"/>
            <w:hideMark/>
          </w:tcPr>
          <w:p w14:paraId="7D687AF2"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-L      433,232.58 </w:t>
            </w:r>
          </w:p>
        </w:tc>
        <w:tc>
          <w:tcPr>
            <w:tcW w:w="0" w:type="auto"/>
            <w:tcBorders>
              <w:top w:val="single" w:sz="4" w:space="0" w:color="auto"/>
              <w:left w:val="nil"/>
              <w:bottom w:val="single" w:sz="4" w:space="0" w:color="auto"/>
              <w:right w:val="nil"/>
            </w:tcBorders>
            <w:shd w:val="clear" w:color="auto" w:fill="C9E1EF"/>
            <w:noWrap/>
            <w:vAlign w:val="bottom"/>
            <w:hideMark/>
          </w:tcPr>
          <w:p w14:paraId="2C41936C"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-5%</w:t>
            </w:r>
          </w:p>
        </w:tc>
        <w:tc>
          <w:tcPr>
            <w:tcW w:w="0" w:type="auto"/>
            <w:tcBorders>
              <w:top w:val="single" w:sz="4" w:space="0" w:color="auto"/>
              <w:left w:val="nil"/>
              <w:bottom w:val="single" w:sz="4" w:space="0" w:color="auto"/>
              <w:right w:val="nil"/>
            </w:tcBorders>
            <w:shd w:val="clear" w:color="auto" w:fill="auto"/>
            <w:noWrap/>
            <w:vAlign w:val="bottom"/>
            <w:hideMark/>
          </w:tcPr>
          <w:p w14:paraId="6AC1534C"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1,999,004.09 </w:t>
            </w:r>
          </w:p>
        </w:tc>
        <w:tc>
          <w:tcPr>
            <w:tcW w:w="0" w:type="auto"/>
            <w:tcBorders>
              <w:top w:val="single" w:sz="4" w:space="0" w:color="auto"/>
              <w:left w:val="nil"/>
              <w:bottom w:val="single" w:sz="4" w:space="0" w:color="auto"/>
              <w:right w:val="nil"/>
            </w:tcBorders>
            <w:shd w:val="clear" w:color="auto" w:fill="C9E1EF"/>
            <w:noWrap/>
            <w:vAlign w:val="bottom"/>
            <w:hideMark/>
          </w:tcPr>
          <w:p w14:paraId="15A58C3D"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25%</w:t>
            </w:r>
          </w:p>
        </w:tc>
      </w:tr>
      <w:tr w:rsidR="00186818" w:rsidRPr="0076589C" w14:paraId="331712AC" w14:textId="77777777" w:rsidTr="1C8D6E3A">
        <w:trPr>
          <w:trHeight w:val="260"/>
        </w:trPr>
        <w:tc>
          <w:tcPr>
            <w:tcW w:w="0" w:type="auto"/>
            <w:tcBorders>
              <w:top w:val="nil"/>
              <w:left w:val="nil"/>
              <w:bottom w:val="nil"/>
              <w:right w:val="nil"/>
            </w:tcBorders>
            <w:shd w:val="clear" w:color="auto" w:fill="auto"/>
            <w:noWrap/>
            <w:vAlign w:val="bottom"/>
            <w:hideMark/>
          </w:tcPr>
          <w:p w14:paraId="5CB3F61C" w14:textId="77777777" w:rsidR="00186818" w:rsidRPr="0076589C" w:rsidRDefault="00186818" w:rsidP="00186818">
            <w:pPr>
              <w:spacing w:after="0" w:line="240" w:lineRule="auto"/>
              <w:ind w:left="0"/>
              <w:jc w:val="center"/>
              <w:rPr>
                <w:rFonts w:ascii="Calibri" w:eastAsia="Times New Roman" w:hAnsi="Calibri" w:cs="Calibri"/>
                <w:b/>
                <w:bCs/>
                <w:color w:val="000000"/>
                <w:sz w:val="14"/>
                <w:szCs w:val="14"/>
                <w:lang w:eastAsia="es-HN"/>
              </w:rPr>
            </w:pPr>
          </w:p>
        </w:tc>
        <w:tc>
          <w:tcPr>
            <w:tcW w:w="0" w:type="auto"/>
            <w:tcBorders>
              <w:top w:val="nil"/>
              <w:left w:val="nil"/>
              <w:bottom w:val="nil"/>
              <w:right w:val="nil"/>
            </w:tcBorders>
            <w:shd w:val="clear" w:color="auto" w:fill="auto"/>
            <w:noWrap/>
            <w:vAlign w:val="bottom"/>
            <w:hideMark/>
          </w:tcPr>
          <w:p w14:paraId="7EF56583" w14:textId="77777777" w:rsidR="00186818" w:rsidRPr="0076589C" w:rsidRDefault="00186818" w:rsidP="00186818">
            <w:pPr>
              <w:spacing w:after="0" w:line="240" w:lineRule="auto"/>
              <w:ind w:left="0" w:firstLineChars="100" w:firstLine="14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27444E86"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02852EF2"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4A66993C"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5D1169CA"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001456CF"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2752F04F"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33D9C784"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44C7D8A3"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41CEBC35" w14:textId="77777777" w:rsidR="00186818" w:rsidRPr="0076589C" w:rsidRDefault="00186818" w:rsidP="00186818">
            <w:pPr>
              <w:spacing w:after="0" w:line="240" w:lineRule="auto"/>
              <w:ind w:left="0"/>
              <w:rPr>
                <w:rFonts w:eastAsia="Times New Roman" w:cs="Times New Roman"/>
                <w:sz w:val="14"/>
                <w:szCs w:val="14"/>
                <w:lang w:eastAsia="es-HN"/>
              </w:rPr>
            </w:pPr>
          </w:p>
        </w:tc>
      </w:tr>
      <w:tr w:rsidR="00186818" w:rsidRPr="0076589C" w14:paraId="056259C6" w14:textId="77777777" w:rsidTr="1C8D6E3A">
        <w:trPr>
          <w:trHeight w:val="260"/>
        </w:trPr>
        <w:tc>
          <w:tcPr>
            <w:tcW w:w="0" w:type="auto"/>
            <w:tcBorders>
              <w:top w:val="nil"/>
              <w:left w:val="nil"/>
              <w:bottom w:val="nil"/>
              <w:right w:val="nil"/>
            </w:tcBorders>
            <w:shd w:val="clear" w:color="auto" w:fill="auto"/>
            <w:noWrap/>
            <w:vAlign w:val="bottom"/>
            <w:hideMark/>
          </w:tcPr>
          <w:p w14:paraId="17342D06" w14:textId="77777777" w:rsidR="00186818" w:rsidRPr="0076589C" w:rsidRDefault="1C8D6E3A" w:rsidP="00186818">
            <w:pPr>
              <w:spacing w:after="0" w:line="240" w:lineRule="auto"/>
              <w:ind w:left="0" w:firstLineChars="100" w:firstLine="141"/>
              <w:rPr>
                <w:rFonts w:ascii="Calibri" w:eastAsia="Times New Roman" w:hAnsi="Calibri" w:cs="Calibri"/>
                <w:b/>
                <w:bCs/>
                <w:color w:val="000000"/>
                <w:sz w:val="14"/>
                <w:szCs w:val="14"/>
                <w:u w:val="single"/>
                <w:lang w:eastAsia="es-HN"/>
              </w:rPr>
            </w:pPr>
            <w:r w:rsidRPr="0076589C">
              <w:rPr>
                <w:rFonts w:ascii="Calibri" w:eastAsia="Times New Roman" w:hAnsi="Calibri" w:cs="Calibri"/>
                <w:b/>
                <w:bCs/>
                <w:color w:val="000000" w:themeColor="text1"/>
                <w:sz w:val="14"/>
                <w:szCs w:val="14"/>
                <w:u w:val="single"/>
              </w:rPr>
              <w:t>Menos: Gastos de Operación</w:t>
            </w:r>
          </w:p>
        </w:tc>
        <w:tc>
          <w:tcPr>
            <w:tcW w:w="0" w:type="auto"/>
            <w:tcBorders>
              <w:top w:val="nil"/>
              <w:left w:val="nil"/>
              <w:bottom w:val="nil"/>
              <w:right w:val="nil"/>
            </w:tcBorders>
            <w:shd w:val="clear" w:color="auto" w:fill="auto"/>
            <w:noWrap/>
            <w:vAlign w:val="bottom"/>
            <w:hideMark/>
          </w:tcPr>
          <w:p w14:paraId="47AFFF2B" w14:textId="77777777" w:rsidR="00186818" w:rsidRPr="0076589C" w:rsidRDefault="00186818" w:rsidP="00186818">
            <w:pPr>
              <w:spacing w:after="0" w:line="240" w:lineRule="auto"/>
              <w:ind w:left="0" w:firstLineChars="100" w:firstLine="141"/>
              <w:rPr>
                <w:rFonts w:ascii="Calibri" w:eastAsia="Times New Roman" w:hAnsi="Calibri" w:cs="Calibri"/>
                <w:b/>
                <w:bCs/>
                <w:color w:val="000000"/>
                <w:sz w:val="14"/>
                <w:szCs w:val="14"/>
                <w:u w:val="single"/>
                <w:lang w:eastAsia="es-HN"/>
              </w:rPr>
            </w:pPr>
          </w:p>
        </w:tc>
        <w:tc>
          <w:tcPr>
            <w:tcW w:w="0" w:type="auto"/>
            <w:tcBorders>
              <w:top w:val="nil"/>
              <w:left w:val="nil"/>
              <w:bottom w:val="nil"/>
              <w:right w:val="nil"/>
            </w:tcBorders>
            <w:shd w:val="clear" w:color="auto" w:fill="auto"/>
            <w:noWrap/>
            <w:vAlign w:val="bottom"/>
            <w:hideMark/>
          </w:tcPr>
          <w:p w14:paraId="45DCF31B"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48672E85"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39708ABE"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2D87807A"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42589FE9"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5CFB9472"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3A7ABB59"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11720852"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5EB5F419" w14:textId="77777777" w:rsidR="00186818" w:rsidRPr="0076589C" w:rsidRDefault="00186818" w:rsidP="00186818">
            <w:pPr>
              <w:spacing w:after="0" w:line="240" w:lineRule="auto"/>
              <w:ind w:left="0"/>
              <w:rPr>
                <w:rFonts w:eastAsia="Times New Roman" w:cs="Times New Roman"/>
                <w:sz w:val="14"/>
                <w:szCs w:val="14"/>
                <w:lang w:eastAsia="es-HN"/>
              </w:rPr>
            </w:pPr>
          </w:p>
        </w:tc>
      </w:tr>
      <w:tr w:rsidR="00186818" w:rsidRPr="0076589C" w14:paraId="478EF36B" w14:textId="77777777" w:rsidTr="1C8D6E3A">
        <w:trPr>
          <w:trHeight w:val="260"/>
        </w:trPr>
        <w:tc>
          <w:tcPr>
            <w:tcW w:w="0" w:type="auto"/>
            <w:tcBorders>
              <w:top w:val="nil"/>
              <w:left w:val="nil"/>
              <w:bottom w:val="nil"/>
              <w:right w:val="nil"/>
            </w:tcBorders>
            <w:shd w:val="clear" w:color="auto" w:fill="auto"/>
            <w:noWrap/>
            <w:vAlign w:val="bottom"/>
            <w:hideMark/>
          </w:tcPr>
          <w:p w14:paraId="291AA99E" w14:textId="77777777" w:rsidR="00186818" w:rsidRPr="0076589C" w:rsidRDefault="1C8D6E3A" w:rsidP="00186818">
            <w:pPr>
              <w:spacing w:after="0" w:line="240" w:lineRule="auto"/>
              <w:ind w:left="0" w:firstLineChars="200" w:firstLine="28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Gastos de Administración</w:t>
            </w:r>
          </w:p>
        </w:tc>
        <w:tc>
          <w:tcPr>
            <w:tcW w:w="0" w:type="auto"/>
            <w:tcBorders>
              <w:top w:val="nil"/>
              <w:left w:val="nil"/>
              <w:bottom w:val="nil"/>
              <w:right w:val="nil"/>
            </w:tcBorders>
            <w:shd w:val="clear" w:color="auto" w:fill="auto"/>
            <w:noWrap/>
            <w:vAlign w:val="bottom"/>
            <w:hideMark/>
          </w:tcPr>
          <w:p w14:paraId="7EE9DE13"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282,731.30 </w:t>
            </w:r>
          </w:p>
        </w:tc>
        <w:tc>
          <w:tcPr>
            <w:tcW w:w="0" w:type="auto"/>
            <w:tcBorders>
              <w:top w:val="nil"/>
              <w:left w:val="nil"/>
              <w:bottom w:val="nil"/>
              <w:right w:val="nil"/>
            </w:tcBorders>
            <w:shd w:val="clear" w:color="auto" w:fill="auto"/>
            <w:noWrap/>
            <w:vAlign w:val="bottom"/>
            <w:hideMark/>
          </w:tcPr>
          <w:p w14:paraId="6CF96A46"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420,145.61 </w:t>
            </w:r>
          </w:p>
        </w:tc>
        <w:tc>
          <w:tcPr>
            <w:tcW w:w="0" w:type="auto"/>
            <w:tcBorders>
              <w:top w:val="nil"/>
              <w:left w:val="nil"/>
              <w:bottom w:val="nil"/>
              <w:right w:val="nil"/>
            </w:tcBorders>
            <w:shd w:val="clear" w:color="auto" w:fill="auto"/>
            <w:noWrap/>
            <w:vAlign w:val="bottom"/>
            <w:hideMark/>
          </w:tcPr>
          <w:p w14:paraId="376EE482"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210,575.69 </w:t>
            </w:r>
          </w:p>
        </w:tc>
        <w:tc>
          <w:tcPr>
            <w:tcW w:w="0" w:type="auto"/>
            <w:tcBorders>
              <w:top w:val="nil"/>
              <w:left w:val="nil"/>
              <w:bottom w:val="nil"/>
              <w:right w:val="nil"/>
            </w:tcBorders>
            <w:shd w:val="clear" w:color="auto" w:fill="auto"/>
            <w:noWrap/>
            <w:vAlign w:val="bottom"/>
            <w:hideMark/>
          </w:tcPr>
          <w:p w14:paraId="34412A6A"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359,452.81 </w:t>
            </w:r>
          </w:p>
        </w:tc>
        <w:tc>
          <w:tcPr>
            <w:tcW w:w="0" w:type="auto"/>
            <w:tcBorders>
              <w:top w:val="nil"/>
              <w:left w:val="nil"/>
              <w:bottom w:val="nil"/>
              <w:right w:val="nil"/>
            </w:tcBorders>
            <w:shd w:val="clear" w:color="auto" w:fill="auto"/>
            <w:noWrap/>
            <w:vAlign w:val="bottom"/>
            <w:hideMark/>
          </w:tcPr>
          <w:p w14:paraId="43050085"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137,414.31 </w:t>
            </w:r>
          </w:p>
        </w:tc>
        <w:tc>
          <w:tcPr>
            <w:tcW w:w="0" w:type="auto"/>
            <w:tcBorders>
              <w:top w:val="nil"/>
              <w:left w:val="nil"/>
              <w:bottom w:val="nil"/>
              <w:right w:val="nil"/>
            </w:tcBorders>
            <w:shd w:val="clear" w:color="auto" w:fill="auto"/>
            <w:noWrap/>
            <w:vAlign w:val="bottom"/>
            <w:hideMark/>
          </w:tcPr>
          <w:p w14:paraId="31F1CA41" w14:textId="77777777" w:rsidR="00186818" w:rsidRPr="0076589C" w:rsidRDefault="1C8D6E3A" w:rsidP="00186818">
            <w:pPr>
              <w:spacing w:after="0" w:line="240" w:lineRule="auto"/>
              <w:ind w:left="0"/>
              <w:jc w:val="center"/>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49%</w:t>
            </w:r>
          </w:p>
        </w:tc>
        <w:tc>
          <w:tcPr>
            <w:tcW w:w="0" w:type="auto"/>
            <w:tcBorders>
              <w:top w:val="nil"/>
              <w:left w:val="nil"/>
              <w:bottom w:val="nil"/>
              <w:right w:val="nil"/>
            </w:tcBorders>
            <w:shd w:val="clear" w:color="auto" w:fill="auto"/>
            <w:noWrap/>
            <w:vAlign w:val="bottom"/>
            <w:hideMark/>
          </w:tcPr>
          <w:p w14:paraId="23E8F496"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-L      209,569.92 </w:t>
            </w:r>
          </w:p>
        </w:tc>
        <w:tc>
          <w:tcPr>
            <w:tcW w:w="0" w:type="auto"/>
            <w:tcBorders>
              <w:top w:val="nil"/>
              <w:left w:val="nil"/>
              <w:bottom w:val="nil"/>
              <w:right w:val="nil"/>
            </w:tcBorders>
            <w:shd w:val="clear" w:color="auto" w:fill="auto"/>
            <w:noWrap/>
            <w:vAlign w:val="bottom"/>
            <w:hideMark/>
          </w:tcPr>
          <w:p w14:paraId="3AFBD138" w14:textId="77777777" w:rsidR="00186818" w:rsidRPr="0076589C" w:rsidRDefault="1C8D6E3A" w:rsidP="00186818">
            <w:pPr>
              <w:spacing w:after="0" w:line="240" w:lineRule="auto"/>
              <w:ind w:left="0"/>
              <w:jc w:val="center"/>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-50%</w:t>
            </w:r>
          </w:p>
        </w:tc>
        <w:tc>
          <w:tcPr>
            <w:tcW w:w="0" w:type="auto"/>
            <w:tcBorders>
              <w:top w:val="nil"/>
              <w:left w:val="nil"/>
              <w:bottom w:val="nil"/>
              <w:right w:val="nil"/>
            </w:tcBorders>
            <w:shd w:val="clear" w:color="auto" w:fill="auto"/>
            <w:noWrap/>
            <w:vAlign w:val="bottom"/>
            <w:hideMark/>
          </w:tcPr>
          <w:p w14:paraId="69962A0E"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148,877.12 </w:t>
            </w:r>
          </w:p>
        </w:tc>
        <w:tc>
          <w:tcPr>
            <w:tcW w:w="0" w:type="auto"/>
            <w:tcBorders>
              <w:top w:val="nil"/>
              <w:left w:val="nil"/>
              <w:bottom w:val="nil"/>
              <w:right w:val="nil"/>
            </w:tcBorders>
            <w:shd w:val="clear" w:color="auto" w:fill="auto"/>
            <w:noWrap/>
            <w:vAlign w:val="bottom"/>
            <w:hideMark/>
          </w:tcPr>
          <w:p w14:paraId="40D85DB0" w14:textId="77777777" w:rsidR="00186818" w:rsidRPr="0076589C" w:rsidRDefault="1C8D6E3A" w:rsidP="00186818">
            <w:pPr>
              <w:spacing w:after="0" w:line="240" w:lineRule="auto"/>
              <w:ind w:left="0"/>
              <w:jc w:val="center"/>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71%</w:t>
            </w:r>
          </w:p>
        </w:tc>
      </w:tr>
      <w:tr w:rsidR="00186818" w:rsidRPr="0076589C" w14:paraId="60C9C787" w14:textId="77777777" w:rsidTr="1C8D6E3A">
        <w:trPr>
          <w:trHeight w:val="270"/>
        </w:trPr>
        <w:tc>
          <w:tcPr>
            <w:tcW w:w="0" w:type="auto"/>
            <w:tcBorders>
              <w:top w:val="nil"/>
              <w:left w:val="nil"/>
              <w:bottom w:val="double" w:sz="6" w:space="0" w:color="auto"/>
              <w:right w:val="nil"/>
            </w:tcBorders>
            <w:shd w:val="clear" w:color="auto" w:fill="auto"/>
            <w:noWrap/>
            <w:vAlign w:val="bottom"/>
            <w:hideMark/>
          </w:tcPr>
          <w:p w14:paraId="521D187A" w14:textId="77777777" w:rsidR="00186818" w:rsidRPr="0076589C" w:rsidRDefault="1C8D6E3A" w:rsidP="00186818">
            <w:pPr>
              <w:spacing w:after="0" w:line="240" w:lineRule="auto"/>
              <w:ind w:left="0" w:firstLineChars="200" w:firstLine="28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Gastos de Distribución</w:t>
            </w:r>
          </w:p>
        </w:tc>
        <w:tc>
          <w:tcPr>
            <w:tcW w:w="0" w:type="auto"/>
            <w:tcBorders>
              <w:top w:val="nil"/>
              <w:left w:val="nil"/>
              <w:bottom w:val="double" w:sz="6" w:space="0" w:color="auto"/>
              <w:right w:val="nil"/>
            </w:tcBorders>
            <w:shd w:val="clear" w:color="auto" w:fill="auto"/>
            <w:noWrap/>
            <w:vAlign w:val="bottom"/>
            <w:hideMark/>
          </w:tcPr>
          <w:p w14:paraId="4140DA89"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6,439,421.23 </w:t>
            </w:r>
          </w:p>
        </w:tc>
        <w:tc>
          <w:tcPr>
            <w:tcW w:w="0" w:type="auto"/>
            <w:tcBorders>
              <w:top w:val="nil"/>
              <w:left w:val="nil"/>
              <w:bottom w:val="double" w:sz="6" w:space="0" w:color="auto"/>
              <w:right w:val="nil"/>
            </w:tcBorders>
            <w:shd w:val="clear" w:color="auto" w:fill="auto"/>
            <w:noWrap/>
            <w:vAlign w:val="bottom"/>
            <w:hideMark/>
          </w:tcPr>
          <w:p w14:paraId="700C87EB"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6,828,095.02 </w:t>
            </w:r>
          </w:p>
        </w:tc>
        <w:tc>
          <w:tcPr>
            <w:tcW w:w="0" w:type="auto"/>
            <w:tcBorders>
              <w:top w:val="nil"/>
              <w:left w:val="nil"/>
              <w:bottom w:val="double" w:sz="6" w:space="0" w:color="auto"/>
              <w:right w:val="nil"/>
            </w:tcBorders>
            <w:shd w:val="clear" w:color="auto" w:fill="auto"/>
            <w:noWrap/>
            <w:vAlign w:val="bottom"/>
            <w:hideMark/>
          </w:tcPr>
          <w:p w14:paraId="2BC72D85"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5,358,649.15 </w:t>
            </w:r>
          </w:p>
        </w:tc>
        <w:tc>
          <w:tcPr>
            <w:tcW w:w="0" w:type="auto"/>
            <w:tcBorders>
              <w:top w:val="nil"/>
              <w:left w:val="nil"/>
              <w:bottom w:val="double" w:sz="6" w:space="0" w:color="auto"/>
              <w:right w:val="nil"/>
            </w:tcBorders>
            <w:shd w:val="clear" w:color="auto" w:fill="auto"/>
            <w:noWrap/>
            <w:vAlign w:val="bottom"/>
            <w:hideMark/>
          </w:tcPr>
          <w:p w14:paraId="132A1791"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7,015,471.25 </w:t>
            </w:r>
          </w:p>
        </w:tc>
        <w:tc>
          <w:tcPr>
            <w:tcW w:w="0" w:type="auto"/>
            <w:tcBorders>
              <w:top w:val="nil"/>
              <w:left w:val="nil"/>
              <w:bottom w:val="double" w:sz="6" w:space="0" w:color="auto"/>
              <w:right w:val="nil"/>
            </w:tcBorders>
            <w:shd w:val="clear" w:color="auto" w:fill="auto"/>
            <w:noWrap/>
            <w:vAlign w:val="bottom"/>
            <w:hideMark/>
          </w:tcPr>
          <w:p w14:paraId="50D6DDC2"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388,673.79 </w:t>
            </w:r>
          </w:p>
        </w:tc>
        <w:tc>
          <w:tcPr>
            <w:tcW w:w="0" w:type="auto"/>
            <w:tcBorders>
              <w:top w:val="nil"/>
              <w:left w:val="nil"/>
              <w:bottom w:val="double" w:sz="6" w:space="0" w:color="auto"/>
              <w:right w:val="nil"/>
            </w:tcBorders>
            <w:shd w:val="clear" w:color="auto" w:fill="auto"/>
            <w:noWrap/>
            <w:vAlign w:val="bottom"/>
            <w:hideMark/>
          </w:tcPr>
          <w:p w14:paraId="5E062B46" w14:textId="77777777" w:rsidR="00186818" w:rsidRPr="0076589C" w:rsidRDefault="1C8D6E3A" w:rsidP="00186818">
            <w:pPr>
              <w:spacing w:after="0" w:line="240" w:lineRule="auto"/>
              <w:ind w:left="0"/>
              <w:jc w:val="center"/>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6%</w:t>
            </w:r>
          </w:p>
        </w:tc>
        <w:tc>
          <w:tcPr>
            <w:tcW w:w="0" w:type="auto"/>
            <w:tcBorders>
              <w:top w:val="nil"/>
              <w:left w:val="nil"/>
              <w:bottom w:val="double" w:sz="6" w:space="0" w:color="auto"/>
              <w:right w:val="nil"/>
            </w:tcBorders>
            <w:shd w:val="clear" w:color="auto" w:fill="auto"/>
            <w:noWrap/>
            <w:vAlign w:val="bottom"/>
            <w:hideMark/>
          </w:tcPr>
          <w:p w14:paraId="2DB7076E"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-L   1,469,445.87 </w:t>
            </w:r>
          </w:p>
        </w:tc>
        <w:tc>
          <w:tcPr>
            <w:tcW w:w="0" w:type="auto"/>
            <w:tcBorders>
              <w:top w:val="nil"/>
              <w:left w:val="nil"/>
              <w:bottom w:val="double" w:sz="6" w:space="0" w:color="auto"/>
              <w:right w:val="nil"/>
            </w:tcBorders>
            <w:shd w:val="clear" w:color="auto" w:fill="auto"/>
            <w:noWrap/>
            <w:vAlign w:val="bottom"/>
            <w:hideMark/>
          </w:tcPr>
          <w:p w14:paraId="61A4C91F" w14:textId="77777777" w:rsidR="00186818" w:rsidRPr="0076589C" w:rsidRDefault="1C8D6E3A" w:rsidP="00186818">
            <w:pPr>
              <w:spacing w:after="0" w:line="240" w:lineRule="auto"/>
              <w:ind w:left="0"/>
              <w:jc w:val="center"/>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-22%</w:t>
            </w:r>
          </w:p>
        </w:tc>
        <w:tc>
          <w:tcPr>
            <w:tcW w:w="0" w:type="auto"/>
            <w:tcBorders>
              <w:top w:val="nil"/>
              <w:left w:val="nil"/>
              <w:bottom w:val="double" w:sz="6" w:space="0" w:color="auto"/>
              <w:right w:val="nil"/>
            </w:tcBorders>
            <w:shd w:val="clear" w:color="auto" w:fill="auto"/>
            <w:noWrap/>
            <w:vAlign w:val="bottom"/>
            <w:hideMark/>
          </w:tcPr>
          <w:p w14:paraId="09C49304"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1,656,822.10 </w:t>
            </w:r>
          </w:p>
        </w:tc>
        <w:tc>
          <w:tcPr>
            <w:tcW w:w="0" w:type="auto"/>
            <w:tcBorders>
              <w:top w:val="nil"/>
              <w:left w:val="nil"/>
              <w:bottom w:val="double" w:sz="6" w:space="0" w:color="auto"/>
              <w:right w:val="nil"/>
            </w:tcBorders>
            <w:shd w:val="clear" w:color="auto" w:fill="auto"/>
            <w:noWrap/>
            <w:vAlign w:val="bottom"/>
            <w:hideMark/>
          </w:tcPr>
          <w:p w14:paraId="5548B161" w14:textId="77777777" w:rsidR="00186818" w:rsidRPr="0076589C" w:rsidRDefault="1C8D6E3A" w:rsidP="00186818">
            <w:pPr>
              <w:spacing w:after="0" w:line="240" w:lineRule="auto"/>
              <w:ind w:left="0"/>
              <w:jc w:val="center"/>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31%</w:t>
            </w:r>
          </w:p>
        </w:tc>
      </w:tr>
      <w:tr w:rsidR="00186818" w:rsidRPr="0076589C" w14:paraId="32868514" w14:textId="77777777" w:rsidTr="1C8D6E3A">
        <w:trPr>
          <w:trHeight w:val="270"/>
        </w:trPr>
        <w:tc>
          <w:tcPr>
            <w:tcW w:w="0" w:type="auto"/>
            <w:tcBorders>
              <w:top w:val="nil"/>
              <w:left w:val="nil"/>
              <w:bottom w:val="nil"/>
              <w:right w:val="nil"/>
            </w:tcBorders>
            <w:shd w:val="clear" w:color="auto" w:fill="auto"/>
            <w:noWrap/>
            <w:vAlign w:val="bottom"/>
            <w:hideMark/>
          </w:tcPr>
          <w:p w14:paraId="37F87876" w14:textId="77777777" w:rsidR="00186818" w:rsidRPr="0076589C" w:rsidRDefault="1C8D6E3A" w:rsidP="00186818">
            <w:pPr>
              <w:spacing w:after="0" w:line="240" w:lineRule="auto"/>
              <w:ind w:left="0" w:firstLineChars="100" w:firstLine="141"/>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Total Gastos de Operación</w:t>
            </w:r>
          </w:p>
        </w:tc>
        <w:tc>
          <w:tcPr>
            <w:tcW w:w="0" w:type="auto"/>
            <w:tcBorders>
              <w:top w:val="nil"/>
              <w:left w:val="nil"/>
              <w:bottom w:val="nil"/>
              <w:right w:val="nil"/>
            </w:tcBorders>
            <w:shd w:val="clear" w:color="auto" w:fill="auto"/>
            <w:noWrap/>
            <w:vAlign w:val="bottom"/>
            <w:hideMark/>
          </w:tcPr>
          <w:p w14:paraId="5232085B"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6,722,152.53 </w:t>
            </w:r>
          </w:p>
        </w:tc>
        <w:tc>
          <w:tcPr>
            <w:tcW w:w="0" w:type="auto"/>
            <w:tcBorders>
              <w:top w:val="nil"/>
              <w:left w:val="nil"/>
              <w:bottom w:val="nil"/>
              <w:right w:val="nil"/>
            </w:tcBorders>
            <w:shd w:val="clear" w:color="auto" w:fill="auto"/>
            <w:noWrap/>
            <w:vAlign w:val="bottom"/>
            <w:hideMark/>
          </w:tcPr>
          <w:p w14:paraId="64775B74"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7,248,240.63 </w:t>
            </w:r>
          </w:p>
        </w:tc>
        <w:tc>
          <w:tcPr>
            <w:tcW w:w="0" w:type="auto"/>
            <w:tcBorders>
              <w:top w:val="nil"/>
              <w:left w:val="nil"/>
              <w:bottom w:val="nil"/>
              <w:right w:val="nil"/>
            </w:tcBorders>
            <w:shd w:val="clear" w:color="auto" w:fill="auto"/>
            <w:noWrap/>
            <w:vAlign w:val="bottom"/>
            <w:hideMark/>
          </w:tcPr>
          <w:p w14:paraId="51FC6D85"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5,569,224.84 </w:t>
            </w:r>
          </w:p>
        </w:tc>
        <w:tc>
          <w:tcPr>
            <w:tcW w:w="0" w:type="auto"/>
            <w:tcBorders>
              <w:top w:val="nil"/>
              <w:left w:val="nil"/>
              <w:bottom w:val="nil"/>
              <w:right w:val="nil"/>
            </w:tcBorders>
            <w:shd w:val="clear" w:color="auto" w:fill="auto"/>
            <w:noWrap/>
            <w:vAlign w:val="bottom"/>
            <w:hideMark/>
          </w:tcPr>
          <w:p w14:paraId="5C02753C"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7,374,924.06 </w:t>
            </w:r>
          </w:p>
        </w:tc>
        <w:tc>
          <w:tcPr>
            <w:tcW w:w="0" w:type="auto"/>
            <w:tcBorders>
              <w:top w:val="nil"/>
              <w:left w:val="nil"/>
              <w:bottom w:val="nil"/>
              <w:right w:val="nil"/>
            </w:tcBorders>
            <w:shd w:val="clear" w:color="auto" w:fill="auto"/>
            <w:noWrap/>
            <w:vAlign w:val="bottom"/>
            <w:hideMark/>
          </w:tcPr>
          <w:p w14:paraId="65586A8B"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526,088.10 </w:t>
            </w:r>
          </w:p>
        </w:tc>
        <w:tc>
          <w:tcPr>
            <w:tcW w:w="0" w:type="auto"/>
            <w:tcBorders>
              <w:top w:val="nil"/>
              <w:left w:val="nil"/>
              <w:bottom w:val="nil"/>
              <w:right w:val="nil"/>
            </w:tcBorders>
            <w:shd w:val="clear" w:color="auto" w:fill="C9E1EF"/>
            <w:noWrap/>
            <w:vAlign w:val="bottom"/>
            <w:hideMark/>
          </w:tcPr>
          <w:p w14:paraId="0BFC37FB"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8%</w:t>
            </w:r>
          </w:p>
        </w:tc>
        <w:tc>
          <w:tcPr>
            <w:tcW w:w="0" w:type="auto"/>
            <w:tcBorders>
              <w:top w:val="nil"/>
              <w:left w:val="nil"/>
              <w:bottom w:val="nil"/>
              <w:right w:val="nil"/>
            </w:tcBorders>
            <w:shd w:val="clear" w:color="auto" w:fill="auto"/>
            <w:noWrap/>
            <w:vAlign w:val="bottom"/>
            <w:hideMark/>
          </w:tcPr>
          <w:p w14:paraId="65FC57B9"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-L   1,679,015.79 </w:t>
            </w:r>
          </w:p>
        </w:tc>
        <w:tc>
          <w:tcPr>
            <w:tcW w:w="0" w:type="auto"/>
            <w:tcBorders>
              <w:top w:val="nil"/>
              <w:left w:val="nil"/>
              <w:bottom w:val="nil"/>
              <w:right w:val="nil"/>
            </w:tcBorders>
            <w:shd w:val="clear" w:color="auto" w:fill="C9E1EF"/>
            <w:noWrap/>
            <w:vAlign w:val="bottom"/>
            <w:hideMark/>
          </w:tcPr>
          <w:p w14:paraId="1CBE2F3F"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-23%</w:t>
            </w:r>
          </w:p>
        </w:tc>
        <w:tc>
          <w:tcPr>
            <w:tcW w:w="0" w:type="auto"/>
            <w:tcBorders>
              <w:top w:val="nil"/>
              <w:left w:val="nil"/>
              <w:bottom w:val="nil"/>
              <w:right w:val="nil"/>
            </w:tcBorders>
            <w:shd w:val="clear" w:color="auto" w:fill="auto"/>
            <w:noWrap/>
            <w:vAlign w:val="bottom"/>
            <w:hideMark/>
          </w:tcPr>
          <w:p w14:paraId="472751F6"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1,805,699.22 </w:t>
            </w:r>
          </w:p>
        </w:tc>
        <w:tc>
          <w:tcPr>
            <w:tcW w:w="0" w:type="auto"/>
            <w:tcBorders>
              <w:top w:val="nil"/>
              <w:left w:val="nil"/>
              <w:bottom w:val="nil"/>
              <w:right w:val="nil"/>
            </w:tcBorders>
            <w:shd w:val="clear" w:color="auto" w:fill="C9E1EF"/>
            <w:noWrap/>
            <w:vAlign w:val="bottom"/>
            <w:hideMark/>
          </w:tcPr>
          <w:p w14:paraId="4A802E8C"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32%</w:t>
            </w:r>
          </w:p>
        </w:tc>
      </w:tr>
      <w:tr w:rsidR="00186818" w:rsidRPr="0076589C" w14:paraId="2C966D34" w14:textId="77777777" w:rsidTr="1C8D6E3A">
        <w:trPr>
          <w:trHeight w:val="260"/>
        </w:trPr>
        <w:tc>
          <w:tcPr>
            <w:tcW w:w="0" w:type="auto"/>
            <w:tcBorders>
              <w:top w:val="nil"/>
              <w:left w:val="nil"/>
              <w:bottom w:val="nil"/>
              <w:right w:val="nil"/>
            </w:tcBorders>
            <w:shd w:val="clear" w:color="auto" w:fill="auto"/>
            <w:noWrap/>
            <w:vAlign w:val="bottom"/>
            <w:hideMark/>
          </w:tcPr>
          <w:p w14:paraId="6DAC3065" w14:textId="77777777" w:rsidR="00186818" w:rsidRPr="0076589C" w:rsidRDefault="00186818" w:rsidP="00186818">
            <w:pPr>
              <w:spacing w:after="0" w:line="240" w:lineRule="auto"/>
              <w:ind w:left="0"/>
              <w:jc w:val="center"/>
              <w:rPr>
                <w:rFonts w:ascii="Calibri" w:eastAsia="Times New Roman" w:hAnsi="Calibri" w:cs="Calibri"/>
                <w:b/>
                <w:bCs/>
                <w:color w:val="000000"/>
                <w:sz w:val="14"/>
                <w:szCs w:val="14"/>
                <w:lang w:eastAsia="es-HN"/>
              </w:rPr>
            </w:pPr>
          </w:p>
        </w:tc>
        <w:tc>
          <w:tcPr>
            <w:tcW w:w="0" w:type="auto"/>
            <w:tcBorders>
              <w:top w:val="nil"/>
              <w:left w:val="nil"/>
              <w:bottom w:val="nil"/>
              <w:right w:val="nil"/>
            </w:tcBorders>
            <w:shd w:val="clear" w:color="auto" w:fill="auto"/>
            <w:noWrap/>
            <w:vAlign w:val="bottom"/>
            <w:hideMark/>
          </w:tcPr>
          <w:p w14:paraId="01C9949F" w14:textId="77777777" w:rsidR="00186818" w:rsidRPr="0076589C" w:rsidRDefault="00186818" w:rsidP="00186818">
            <w:pPr>
              <w:spacing w:after="0" w:line="240" w:lineRule="auto"/>
              <w:ind w:left="0" w:firstLineChars="100" w:firstLine="14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2D574A0A"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08C036E8"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51072185"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199DD0D9"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5661CD07"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0103683A"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7AC23502"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077899EC"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38B5AC0E" w14:textId="77777777" w:rsidR="00186818" w:rsidRPr="0076589C" w:rsidRDefault="00186818" w:rsidP="00186818">
            <w:pPr>
              <w:spacing w:after="0" w:line="240" w:lineRule="auto"/>
              <w:ind w:left="0"/>
              <w:rPr>
                <w:rFonts w:eastAsia="Times New Roman" w:cs="Times New Roman"/>
                <w:sz w:val="14"/>
                <w:szCs w:val="14"/>
                <w:lang w:eastAsia="es-HN"/>
              </w:rPr>
            </w:pPr>
          </w:p>
        </w:tc>
      </w:tr>
      <w:tr w:rsidR="00186818" w:rsidRPr="0076589C" w14:paraId="0E6C260D" w14:textId="77777777" w:rsidTr="1C8D6E3A">
        <w:trPr>
          <w:trHeight w:val="260"/>
        </w:trPr>
        <w:tc>
          <w:tcPr>
            <w:tcW w:w="0" w:type="auto"/>
            <w:tcBorders>
              <w:top w:val="single" w:sz="4" w:space="0" w:color="auto"/>
              <w:left w:val="nil"/>
              <w:bottom w:val="single" w:sz="4" w:space="0" w:color="auto"/>
              <w:right w:val="nil"/>
            </w:tcBorders>
            <w:shd w:val="clear" w:color="auto" w:fill="auto"/>
            <w:noWrap/>
            <w:vAlign w:val="bottom"/>
            <w:hideMark/>
          </w:tcPr>
          <w:p w14:paraId="21E82EBF" w14:textId="77777777" w:rsidR="00186818" w:rsidRPr="0076589C" w:rsidRDefault="1C8D6E3A" w:rsidP="00186818">
            <w:pPr>
              <w:spacing w:after="0" w:line="240" w:lineRule="auto"/>
              <w:ind w:left="0" w:firstLineChars="100" w:firstLine="141"/>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Utilidad Antes del Impuesto S.L/R.</w:t>
            </w:r>
          </w:p>
        </w:tc>
        <w:tc>
          <w:tcPr>
            <w:tcW w:w="0" w:type="auto"/>
            <w:tcBorders>
              <w:top w:val="single" w:sz="4" w:space="0" w:color="auto"/>
              <w:left w:val="nil"/>
              <w:bottom w:val="single" w:sz="4" w:space="0" w:color="auto"/>
              <w:right w:val="nil"/>
            </w:tcBorders>
            <w:shd w:val="clear" w:color="auto" w:fill="auto"/>
            <w:noWrap/>
            <w:vAlign w:val="bottom"/>
            <w:hideMark/>
          </w:tcPr>
          <w:p w14:paraId="63561A78"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2,686,125.50 </w:t>
            </w:r>
          </w:p>
        </w:tc>
        <w:tc>
          <w:tcPr>
            <w:tcW w:w="0" w:type="auto"/>
            <w:tcBorders>
              <w:top w:val="single" w:sz="4" w:space="0" w:color="auto"/>
              <w:left w:val="nil"/>
              <w:bottom w:val="single" w:sz="4" w:space="0" w:color="auto"/>
              <w:right w:val="nil"/>
            </w:tcBorders>
            <w:shd w:val="clear" w:color="auto" w:fill="auto"/>
            <w:noWrap/>
            <w:vAlign w:val="bottom"/>
            <w:hideMark/>
          </w:tcPr>
          <w:p w14:paraId="79425990"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1,195,286.08 </w:t>
            </w:r>
          </w:p>
        </w:tc>
        <w:tc>
          <w:tcPr>
            <w:tcW w:w="0" w:type="auto"/>
            <w:tcBorders>
              <w:top w:val="single" w:sz="4" w:space="0" w:color="auto"/>
              <w:left w:val="nil"/>
              <w:bottom w:val="single" w:sz="4" w:space="0" w:color="auto"/>
              <w:right w:val="nil"/>
            </w:tcBorders>
            <w:shd w:val="clear" w:color="auto" w:fill="auto"/>
            <w:noWrap/>
            <w:vAlign w:val="bottom"/>
            <w:hideMark/>
          </w:tcPr>
          <w:p w14:paraId="0172DFB4"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2,441,069.29 </w:t>
            </w:r>
          </w:p>
        </w:tc>
        <w:tc>
          <w:tcPr>
            <w:tcW w:w="0" w:type="auto"/>
            <w:tcBorders>
              <w:top w:val="single" w:sz="4" w:space="0" w:color="auto"/>
              <w:left w:val="nil"/>
              <w:bottom w:val="single" w:sz="4" w:space="0" w:color="auto"/>
              <w:right w:val="nil"/>
            </w:tcBorders>
            <w:shd w:val="clear" w:color="auto" w:fill="auto"/>
            <w:noWrap/>
            <w:vAlign w:val="bottom"/>
            <w:hideMark/>
          </w:tcPr>
          <w:p w14:paraId="2EFCAF91"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2,634,374.16 </w:t>
            </w:r>
          </w:p>
        </w:tc>
        <w:tc>
          <w:tcPr>
            <w:tcW w:w="0" w:type="auto"/>
            <w:tcBorders>
              <w:top w:val="single" w:sz="4" w:space="0" w:color="auto"/>
              <w:left w:val="nil"/>
              <w:bottom w:val="single" w:sz="4" w:space="0" w:color="auto"/>
              <w:right w:val="nil"/>
            </w:tcBorders>
            <w:shd w:val="clear" w:color="auto" w:fill="auto"/>
            <w:noWrap/>
            <w:vAlign w:val="bottom"/>
            <w:hideMark/>
          </w:tcPr>
          <w:p w14:paraId="2EE829D7"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-L   1,490,839.42 </w:t>
            </w:r>
          </w:p>
        </w:tc>
        <w:tc>
          <w:tcPr>
            <w:tcW w:w="0" w:type="auto"/>
            <w:tcBorders>
              <w:top w:val="single" w:sz="4" w:space="0" w:color="auto"/>
              <w:left w:val="nil"/>
              <w:bottom w:val="single" w:sz="4" w:space="0" w:color="auto"/>
              <w:right w:val="nil"/>
            </w:tcBorders>
            <w:shd w:val="clear" w:color="auto" w:fill="C9E1EF"/>
            <w:noWrap/>
            <w:vAlign w:val="bottom"/>
            <w:hideMark/>
          </w:tcPr>
          <w:p w14:paraId="1B99EC1F"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-56%</w:t>
            </w:r>
          </w:p>
        </w:tc>
        <w:tc>
          <w:tcPr>
            <w:tcW w:w="0" w:type="auto"/>
            <w:tcBorders>
              <w:top w:val="single" w:sz="4" w:space="0" w:color="auto"/>
              <w:left w:val="nil"/>
              <w:bottom w:val="single" w:sz="4" w:space="0" w:color="auto"/>
              <w:right w:val="nil"/>
            </w:tcBorders>
            <w:shd w:val="clear" w:color="auto" w:fill="auto"/>
            <w:noWrap/>
            <w:vAlign w:val="bottom"/>
            <w:hideMark/>
          </w:tcPr>
          <w:p w14:paraId="7B041645"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1,245,783.21 </w:t>
            </w:r>
          </w:p>
        </w:tc>
        <w:tc>
          <w:tcPr>
            <w:tcW w:w="0" w:type="auto"/>
            <w:tcBorders>
              <w:top w:val="single" w:sz="4" w:space="0" w:color="auto"/>
              <w:left w:val="nil"/>
              <w:bottom w:val="single" w:sz="4" w:space="0" w:color="auto"/>
              <w:right w:val="nil"/>
            </w:tcBorders>
            <w:shd w:val="clear" w:color="auto" w:fill="C9E1EF"/>
            <w:noWrap/>
            <w:vAlign w:val="bottom"/>
            <w:hideMark/>
          </w:tcPr>
          <w:p w14:paraId="66D755AE"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104%</w:t>
            </w:r>
          </w:p>
        </w:tc>
        <w:tc>
          <w:tcPr>
            <w:tcW w:w="0" w:type="auto"/>
            <w:tcBorders>
              <w:top w:val="single" w:sz="4" w:space="0" w:color="auto"/>
              <w:left w:val="nil"/>
              <w:bottom w:val="single" w:sz="4" w:space="0" w:color="auto"/>
              <w:right w:val="nil"/>
            </w:tcBorders>
            <w:shd w:val="clear" w:color="auto" w:fill="auto"/>
            <w:noWrap/>
            <w:vAlign w:val="bottom"/>
            <w:hideMark/>
          </w:tcPr>
          <w:p w14:paraId="6DFED923"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193,304.87 </w:t>
            </w:r>
          </w:p>
        </w:tc>
        <w:tc>
          <w:tcPr>
            <w:tcW w:w="0" w:type="auto"/>
            <w:tcBorders>
              <w:top w:val="single" w:sz="4" w:space="0" w:color="auto"/>
              <w:left w:val="nil"/>
              <w:bottom w:val="single" w:sz="4" w:space="0" w:color="auto"/>
              <w:right w:val="nil"/>
            </w:tcBorders>
            <w:shd w:val="clear" w:color="auto" w:fill="C9E1EF"/>
            <w:noWrap/>
            <w:vAlign w:val="bottom"/>
            <w:hideMark/>
          </w:tcPr>
          <w:p w14:paraId="64DD0741"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8%</w:t>
            </w:r>
          </w:p>
        </w:tc>
      </w:tr>
      <w:tr w:rsidR="00186818" w:rsidRPr="0076589C" w14:paraId="43F43CE5" w14:textId="77777777" w:rsidTr="1C8D6E3A">
        <w:trPr>
          <w:trHeight w:val="260"/>
        </w:trPr>
        <w:tc>
          <w:tcPr>
            <w:tcW w:w="0" w:type="auto"/>
            <w:tcBorders>
              <w:top w:val="nil"/>
              <w:left w:val="nil"/>
              <w:bottom w:val="nil"/>
              <w:right w:val="nil"/>
            </w:tcBorders>
            <w:shd w:val="clear" w:color="auto" w:fill="auto"/>
            <w:noWrap/>
            <w:vAlign w:val="bottom"/>
            <w:hideMark/>
          </w:tcPr>
          <w:p w14:paraId="65FC879A" w14:textId="77777777" w:rsidR="00186818" w:rsidRPr="0076589C" w:rsidRDefault="00186818" w:rsidP="00186818">
            <w:pPr>
              <w:spacing w:after="0" w:line="240" w:lineRule="auto"/>
              <w:ind w:left="0"/>
              <w:jc w:val="center"/>
              <w:rPr>
                <w:rFonts w:ascii="Calibri" w:eastAsia="Times New Roman" w:hAnsi="Calibri" w:cs="Calibri"/>
                <w:b/>
                <w:bCs/>
                <w:color w:val="000000"/>
                <w:sz w:val="14"/>
                <w:szCs w:val="14"/>
                <w:lang w:eastAsia="es-HN"/>
              </w:rPr>
            </w:pPr>
          </w:p>
        </w:tc>
        <w:tc>
          <w:tcPr>
            <w:tcW w:w="0" w:type="auto"/>
            <w:tcBorders>
              <w:top w:val="nil"/>
              <w:left w:val="nil"/>
              <w:bottom w:val="nil"/>
              <w:right w:val="nil"/>
            </w:tcBorders>
            <w:shd w:val="clear" w:color="auto" w:fill="auto"/>
            <w:noWrap/>
            <w:vAlign w:val="bottom"/>
            <w:hideMark/>
          </w:tcPr>
          <w:p w14:paraId="23EB18B5" w14:textId="77777777" w:rsidR="00186818" w:rsidRPr="0076589C" w:rsidRDefault="00186818" w:rsidP="00186818">
            <w:pPr>
              <w:spacing w:after="0" w:line="240" w:lineRule="auto"/>
              <w:ind w:left="0" w:firstLineChars="100" w:firstLine="14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0D1F919A"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0F217D1E"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12C995E8"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5A88ACFD"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4861393B"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54DD65AC"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4C925E23"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263238B6"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6FB66958" w14:textId="77777777" w:rsidR="00186818" w:rsidRPr="0076589C" w:rsidRDefault="00186818" w:rsidP="00186818">
            <w:pPr>
              <w:spacing w:after="0" w:line="240" w:lineRule="auto"/>
              <w:ind w:left="0"/>
              <w:rPr>
                <w:rFonts w:eastAsia="Times New Roman" w:cs="Times New Roman"/>
                <w:sz w:val="14"/>
                <w:szCs w:val="14"/>
                <w:lang w:eastAsia="es-HN"/>
              </w:rPr>
            </w:pPr>
          </w:p>
        </w:tc>
      </w:tr>
      <w:tr w:rsidR="00186818" w:rsidRPr="0076589C" w14:paraId="7F773518" w14:textId="77777777" w:rsidTr="1C8D6E3A">
        <w:trPr>
          <w:trHeight w:val="260"/>
        </w:trPr>
        <w:tc>
          <w:tcPr>
            <w:tcW w:w="0" w:type="auto"/>
            <w:tcBorders>
              <w:top w:val="nil"/>
              <w:left w:val="nil"/>
              <w:bottom w:val="nil"/>
              <w:right w:val="nil"/>
            </w:tcBorders>
            <w:shd w:val="clear" w:color="auto" w:fill="auto"/>
            <w:noWrap/>
            <w:vAlign w:val="bottom"/>
            <w:hideMark/>
          </w:tcPr>
          <w:p w14:paraId="0BD0F4A3" w14:textId="77777777" w:rsidR="00186818" w:rsidRPr="0076589C" w:rsidRDefault="1C8D6E3A" w:rsidP="00186818">
            <w:pPr>
              <w:spacing w:after="0" w:line="240" w:lineRule="auto"/>
              <w:ind w:left="0" w:firstLineChars="100" w:firstLine="14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Menos: Impuesto Sobre La Renta      </w:t>
            </w:r>
          </w:p>
        </w:tc>
        <w:tc>
          <w:tcPr>
            <w:tcW w:w="0" w:type="auto"/>
            <w:tcBorders>
              <w:top w:val="nil"/>
              <w:left w:val="nil"/>
              <w:bottom w:val="nil"/>
              <w:right w:val="nil"/>
            </w:tcBorders>
            <w:shd w:val="clear" w:color="auto" w:fill="auto"/>
            <w:noWrap/>
            <w:vAlign w:val="bottom"/>
            <w:hideMark/>
          </w:tcPr>
          <w:p w14:paraId="6A45C3B7"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755,837.65 </w:t>
            </w:r>
          </w:p>
        </w:tc>
        <w:tc>
          <w:tcPr>
            <w:tcW w:w="0" w:type="auto"/>
            <w:tcBorders>
              <w:top w:val="nil"/>
              <w:left w:val="nil"/>
              <w:bottom w:val="nil"/>
              <w:right w:val="nil"/>
            </w:tcBorders>
            <w:shd w:val="clear" w:color="auto" w:fill="auto"/>
            <w:noWrap/>
            <w:vAlign w:val="bottom"/>
            <w:hideMark/>
          </w:tcPr>
          <w:p w14:paraId="11722DA8"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308,585.82 </w:t>
            </w:r>
          </w:p>
        </w:tc>
        <w:tc>
          <w:tcPr>
            <w:tcW w:w="0" w:type="auto"/>
            <w:tcBorders>
              <w:top w:val="nil"/>
              <w:left w:val="nil"/>
              <w:bottom w:val="nil"/>
              <w:right w:val="nil"/>
            </w:tcBorders>
            <w:shd w:val="clear" w:color="auto" w:fill="auto"/>
            <w:noWrap/>
            <w:vAlign w:val="bottom"/>
            <w:hideMark/>
          </w:tcPr>
          <w:p w14:paraId="644E4844"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682,320.79 </w:t>
            </w:r>
          </w:p>
        </w:tc>
        <w:tc>
          <w:tcPr>
            <w:tcW w:w="0" w:type="auto"/>
            <w:tcBorders>
              <w:top w:val="nil"/>
              <w:left w:val="nil"/>
              <w:bottom w:val="nil"/>
              <w:right w:val="nil"/>
            </w:tcBorders>
            <w:shd w:val="clear" w:color="auto" w:fill="auto"/>
            <w:noWrap/>
            <w:vAlign w:val="bottom"/>
            <w:hideMark/>
          </w:tcPr>
          <w:p w14:paraId="2A37486C"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740,312.25 </w:t>
            </w:r>
          </w:p>
        </w:tc>
        <w:tc>
          <w:tcPr>
            <w:tcW w:w="0" w:type="auto"/>
            <w:tcBorders>
              <w:top w:val="nil"/>
              <w:left w:val="nil"/>
              <w:bottom w:val="nil"/>
              <w:right w:val="nil"/>
            </w:tcBorders>
            <w:shd w:val="clear" w:color="auto" w:fill="auto"/>
            <w:noWrap/>
            <w:vAlign w:val="bottom"/>
            <w:hideMark/>
          </w:tcPr>
          <w:p w14:paraId="25E22A68"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-L      447,251.83 </w:t>
            </w:r>
          </w:p>
        </w:tc>
        <w:tc>
          <w:tcPr>
            <w:tcW w:w="0" w:type="auto"/>
            <w:tcBorders>
              <w:top w:val="nil"/>
              <w:left w:val="nil"/>
              <w:bottom w:val="nil"/>
              <w:right w:val="nil"/>
            </w:tcBorders>
            <w:shd w:val="clear" w:color="auto" w:fill="auto"/>
            <w:noWrap/>
            <w:vAlign w:val="bottom"/>
            <w:hideMark/>
          </w:tcPr>
          <w:p w14:paraId="7081A315" w14:textId="77777777" w:rsidR="00186818" w:rsidRPr="0076589C" w:rsidRDefault="1C8D6E3A" w:rsidP="00186818">
            <w:pPr>
              <w:spacing w:after="0" w:line="240" w:lineRule="auto"/>
              <w:ind w:left="0"/>
              <w:jc w:val="center"/>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-59%</w:t>
            </w:r>
          </w:p>
        </w:tc>
        <w:tc>
          <w:tcPr>
            <w:tcW w:w="0" w:type="auto"/>
            <w:tcBorders>
              <w:top w:val="nil"/>
              <w:left w:val="nil"/>
              <w:bottom w:val="nil"/>
              <w:right w:val="nil"/>
            </w:tcBorders>
            <w:shd w:val="clear" w:color="auto" w:fill="auto"/>
            <w:noWrap/>
            <w:vAlign w:val="bottom"/>
            <w:hideMark/>
          </w:tcPr>
          <w:p w14:paraId="385A4B86"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373,734.97 </w:t>
            </w:r>
          </w:p>
        </w:tc>
        <w:tc>
          <w:tcPr>
            <w:tcW w:w="0" w:type="auto"/>
            <w:tcBorders>
              <w:top w:val="nil"/>
              <w:left w:val="nil"/>
              <w:bottom w:val="nil"/>
              <w:right w:val="nil"/>
            </w:tcBorders>
            <w:shd w:val="clear" w:color="auto" w:fill="auto"/>
            <w:noWrap/>
            <w:vAlign w:val="bottom"/>
            <w:hideMark/>
          </w:tcPr>
          <w:p w14:paraId="7B1026EC" w14:textId="77777777" w:rsidR="00186818" w:rsidRPr="0076589C" w:rsidRDefault="1C8D6E3A" w:rsidP="00186818">
            <w:pPr>
              <w:spacing w:after="0" w:line="240" w:lineRule="auto"/>
              <w:ind w:left="0"/>
              <w:jc w:val="center"/>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121%</w:t>
            </w:r>
          </w:p>
        </w:tc>
        <w:tc>
          <w:tcPr>
            <w:tcW w:w="0" w:type="auto"/>
            <w:tcBorders>
              <w:top w:val="nil"/>
              <w:left w:val="nil"/>
              <w:bottom w:val="nil"/>
              <w:right w:val="nil"/>
            </w:tcBorders>
            <w:shd w:val="clear" w:color="auto" w:fill="auto"/>
            <w:noWrap/>
            <w:vAlign w:val="bottom"/>
            <w:hideMark/>
          </w:tcPr>
          <w:p w14:paraId="35B2245F" w14:textId="77777777" w:rsidR="00186818" w:rsidRPr="0076589C" w:rsidRDefault="1C8D6E3A" w:rsidP="00186818">
            <w:pPr>
              <w:spacing w:after="0" w:line="240" w:lineRule="auto"/>
              <w:ind w:left="0"/>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 xml:space="preserve"> L             57,991.46 </w:t>
            </w:r>
          </w:p>
        </w:tc>
        <w:tc>
          <w:tcPr>
            <w:tcW w:w="0" w:type="auto"/>
            <w:tcBorders>
              <w:top w:val="nil"/>
              <w:left w:val="nil"/>
              <w:bottom w:val="nil"/>
              <w:right w:val="nil"/>
            </w:tcBorders>
            <w:shd w:val="clear" w:color="auto" w:fill="auto"/>
            <w:noWrap/>
            <w:vAlign w:val="bottom"/>
            <w:hideMark/>
          </w:tcPr>
          <w:p w14:paraId="0E2A1513" w14:textId="77777777" w:rsidR="00186818" w:rsidRPr="0076589C" w:rsidRDefault="1C8D6E3A" w:rsidP="00186818">
            <w:pPr>
              <w:spacing w:after="0" w:line="240" w:lineRule="auto"/>
              <w:ind w:left="0"/>
              <w:jc w:val="center"/>
              <w:rPr>
                <w:rFonts w:ascii="Calibri" w:eastAsia="Times New Roman" w:hAnsi="Calibri" w:cs="Calibri"/>
                <w:color w:val="000000"/>
                <w:sz w:val="14"/>
                <w:szCs w:val="14"/>
                <w:lang w:eastAsia="es-HN"/>
              </w:rPr>
            </w:pPr>
            <w:r w:rsidRPr="0076589C">
              <w:rPr>
                <w:rFonts w:ascii="Calibri" w:eastAsia="Times New Roman" w:hAnsi="Calibri" w:cs="Calibri"/>
                <w:color w:val="000000" w:themeColor="text1"/>
                <w:sz w:val="14"/>
                <w:szCs w:val="14"/>
              </w:rPr>
              <w:t>8%</w:t>
            </w:r>
          </w:p>
        </w:tc>
      </w:tr>
      <w:tr w:rsidR="00186818" w:rsidRPr="0076589C" w14:paraId="283CFCD5" w14:textId="77777777" w:rsidTr="1C8D6E3A">
        <w:trPr>
          <w:trHeight w:val="260"/>
        </w:trPr>
        <w:tc>
          <w:tcPr>
            <w:tcW w:w="0" w:type="auto"/>
            <w:tcBorders>
              <w:top w:val="nil"/>
              <w:left w:val="nil"/>
              <w:bottom w:val="nil"/>
              <w:right w:val="nil"/>
            </w:tcBorders>
            <w:shd w:val="clear" w:color="auto" w:fill="auto"/>
            <w:noWrap/>
            <w:vAlign w:val="bottom"/>
            <w:hideMark/>
          </w:tcPr>
          <w:p w14:paraId="1B3CC698" w14:textId="77777777" w:rsidR="00186818" w:rsidRPr="0076589C" w:rsidRDefault="00186818" w:rsidP="00186818">
            <w:pPr>
              <w:spacing w:after="0" w:line="240" w:lineRule="auto"/>
              <w:ind w:left="0"/>
              <w:jc w:val="center"/>
              <w:rPr>
                <w:rFonts w:ascii="Calibri" w:eastAsia="Times New Roman" w:hAnsi="Calibri" w:cs="Calibri"/>
                <w:color w:val="000000"/>
                <w:sz w:val="14"/>
                <w:szCs w:val="14"/>
                <w:lang w:eastAsia="es-HN"/>
              </w:rPr>
            </w:pPr>
          </w:p>
        </w:tc>
        <w:tc>
          <w:tcPr>
            <w:tcW w:w="0" w:type="auto"/>
            <w:tcBorders>
              <w:top w:val="nil"/>
              <w:left w:val="nil"/>
              <w:bottom w:val="nil"/>
              <w:right w:val="nil"/>
            </w:tcBorders>
            <w:shd w:val="clear" w:color="auto" w:fill="auto"/>
            <w:noWrap/>
            <w:vAlign w:val="bottom"/>
            <w:hideMark/>
          </w:tcPr>
          <w:p w14:paraId="059B65DA" w14:textId="77777777" w:rsidR="00186818" w:rsidRPr="0076589C" w:rsidRDefault="00186818" w:rsidP="00186818">
            <w:pPr>
              <w:spacing w:after="0" w:line="240" w:lineRule="auto"/>
              <w:ind w:left="0" w:firstLineChars="100" w:firstLine="14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359F0B40"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317F72CA"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01636F60"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5EB46DFF"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4AECAB5A"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74766738"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7D62D324"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534AF966"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7E4E987D" w14:textId="77777777" w:rsidR="00186818" w:rsidRPr="0076589C" w:rsidRDefault="00186818" w:rsidP="00186818">
            <w:pPr>
              <w:spacing w:after="0" w:line="240" w:lineRule="auto"/>
              <w:ind w:left="0"/>
              <w:rPr>
                <w:rFonts w:eastAsia="Times New Roman" w:cs="Times New Roman"/>
                <w:sz w:val="14"/>
                <w:szCs w:val="14"/>
                <w:lang w:eastAsia="es-HN"/>
              </w:rPr>
            </w:pPr>
          </w:p>
        </w:tc>
      </w:tr>
      <w:tr w:rsidR="00186818" w:rsidRPr="0076589C" w14:paraId="0527D4E4" w14:textId="77777777" w:rsidTr="1C8D6E3A">
        <w:trPr>
          <w:trHeight w:val="260"/>
        </w:trPr>
        <w:tc>
          <w:tcPr>
            <w:tcW w:w="0" w:type="auto"/>
            <w:tcBorders>
              <w:top w:val="single" w:sz="4" w:space="0" w:color="auto"/>
              <w:left w:val="nil"/>
              <w:bottom w:val="single" w:sz="4" w:space="0" w:color="auto"/>
              <w:right w:val="nil"/>
            </w:tcBorders>
            <w:shd w:val="clear" w:color="auto" w:fill="auto"/>
            <w:noWrap/>
            <w:vAlign w:val="bottom"/>
            <w:hideMark/>
          </w:tcPr>
          <w:p w14:paraId="46BC2FF3" w14:textId="77777777" w:rsidR="00186818" w:rsidRPr="0076589C" w:rsidRDefault="1C8D6E3A" w:rsidP="00186818">
            <w:pPr>
              <w:spacing w:after="0" w:line="240" w:lineRule="auto"/>
              <w:ind w:left="0" w:firstLineChars="100" w:firstLine="141"/>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Utilidad Neta</w:t>
            </w:r>
          </w:p>
        </w:tc>
        <w:tc>
          <w:tcPr>
            <w:tcW w:w="0" w:type="auto"/>
            <w:tcBorders>
              <w:top w:val="single" w:sz="4" w:space="0" w:color="auto"/>
              <w:left w:val="nil"/>
              <w:bottom w:val="single" w:sz="4" w:space="0" w:color="auto"/>
              <w:right w:val="nil"/>
            </w:tcBorders>
            <w:shd w:val="clear" w:color="auto" w:fill="auto"/>
            <w:noWrap/>
            <w:vAlign w:val="bottom"/>
            <w:hideMark/>
          </w:tcPr>
          <w:p w14:paraId="3C885C70"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1,930,287.85 </w:t>
            </w:r>
          </w:p>
        </w:tc>
        <w:tc>
          <w:tcPr>
            <w:tcW w:w="0" w:type="auto"/>
            <w:tcBorders>
              <w:top w:val="single" w:sz="4" w:space="0" w:color="auto"/>
              <w:left w:val="nil"/>
              <w:bottom w:val="single" w:sz="4" w:space="0" w:color="auto"/>
              <w:right w:val="nil"/>
            </w:tcBorders>
            <w:shd w:val="clear" w:color="auto" w:fill="auto"/>
            <w:noWrap/>
            <w:vAlign w:val="bottom"/>
            <w:hideMark/>
          </w:tcPr>
          <w:p w14:paraId="564F0263"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886,700.26 </w:t>
            </w:r>
          </w:p>
        </w:tc>
        <w:tc>
          <w:tcPr>
            <w:tcW w:w="0" w:type="auto"/>
            <w:tcBorders>
              <w:top w:val="single" w:sz="4" w:space="0" w:color="auto"/>
              <w:left w:val="nil"/>
              <w:bottom w:val="single" w:sz="4" w:space="0" w:color="auto"/>
              <w:right w:val="nil"/>
            </w:tcBorders>
            <w:shd w:val="clear" w:color="auto" w:fill="auto"/>
            <w:noWrap/>
            <w:vAlign w:val="bottom"/>
            <w:hideMark/>
          </w:tcPr>
          <w:p w14:paraId="301B77AB"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1,758,748.50 </w:t>
            </w:r>
          </w:p>
        </w:tc>
        <w:tc>
          <w:tcPr>
            <w:tcW w:w="0" w:type="auto"/>
            <w:tcBorders>
              <w:top w:val="single" w:sz="4" w:space="0" w:color="auto"/>
              <w:left w:val="nil"/>
              <w:bottom w:val="single" w:sz="4" w:space="0" w:color="auto"/>
              <w:right w:val="nil"/>
            </w:tcBorders>
            <w:shd w:val="clear" w:color="auto" w:fill="auto"/>
            <w:noWrap/>
            <w:vAlign w:val="bottom"/>
            <w:hideMark/>
          </w:tcPr>
          <w:p w14:paraId="28CA9D96"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1,894,061.91 </w:t>
            </w:r>
          </w:p>
        </w:tc>
        <w:tc>
          <w:tcPr>
            <w:tcW w:w="0" w:type="auto"/>
            <w:tcBorders>
              <w:top w:val="single" w:sz="4" w:space="0" w:color="auto"/>
              <w:left w:val="nil"/>
              <w:bottom w:val="single" w:sz="4" w:space="0" w:color="auto"/>
              <w:right w:val="nil"/>
            </w:tcBorders>
            <w:shd w:val="clear" w:color="auto" w:fill="auto"/>
            <w:noWrap/>
            <w:vAlign w:val="bottom"/>
            <w:hideMark/>
          </w:tcPr>
          <w:p w14:paraId="000C3B65"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-L   1,043,587.59 </w:t>
            </w:r>
          </w:p>
        </w:tc>
        <w:tc>
          <w:tcPr>
            <w:tcW w:w="0" w:type="auto"/>
            <w:tcBorders>
              <w:top w:val="single" w:sz="4" w:space="0" w:color="auto"/>
              <w:left w:val="nil"/>
              <w:bottom w:val="single" w:sz="4" w:space="0" w:color="auto"/>
              <w:right w:val="nil"/>
            </w:tcBorders>
            <w:shd w:val="clear" w:color="auto" w:fill="C9E1EF"/>
            <w:noWrap/>
            <w:vAlign w:val="bottom"/>
            <w:hideMark/>
          </w:tcPr>
          <w:p w14:paraId="704F3222"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-54%</w:t>
            </w:r>
          </w:p>
        </w:tc>
        <w:tc>
          <w:tcPr>
            <w:tcW w:w="0" w:type="auto"/>
            <w:tcBorders>
              <w:top w:val="single" w:sz="4" w:space="0" w:color="auto"/>
              <w:left w:val="nil"/>
              <w:bottom w:val="single" w:sz="4" w:space="0" w:color="auto"/>
              <w:right w:val="nil"/>
            </w:tcBorders>
            <w:shd w:val="clear" w:color="auto" w:fill="auto"/>
            <w:noWrap/>
            <w:vAlign w:val="bottom"/>
            <w:hideMark/>
          </w:tcPr>
          <w:p w14:paraId="29433525"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872,048.24 </w:t>
            </w:r>
          </w:p>
        </w:tc>
        <w:tc>
          <w:tcPr>
            <w:tcW w:w="0" w:type="auto"/>
            <w:tcBorders>
              <w:top w:val="single" w:sz="4" w:space="0" w:color="auto"/>
              <w:left w:val="nil"/>
              <w:bottom w:val="single" w:sz="4" w:space="0" w:color="auto"/>
              <w:right w:val="nil"/>
            </w:tcBorders>
            <w:shd w:val="clear" w:color="auto" w:fill="C9E1EF"/>
            <w:noWrap/>
            <w:vAlign w:val="bottom"/>
            <w:hideMark/>
          </w:tcPr>
          <w:p w14:paraId="125A9832"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98%</w:t>
            </w:r>
          </w:p>
        </w:tc>
        <w:tc>
          <w:tcPr>
            <w:tcW w:w="0" w:type="auto"/>
            <w:tcBorders>
              <w:top w:val="single" w:sz="4" w:space="0" w:color="auto"/>
              <w:left w:val="nil"/>
              <w:bottom w:val="single" w:sz="4" w:space="0" w:color="auto"/>
              <w:right w:val="nil"/>
            </w:tcBorders>
            <w:shd w:val="clear" w:color="auto" w:fill="auto"/>
            <w:noWrap/>
            <w:vAlign w:val="bottom"/>
            <w:hideMark/>
          </w:tcPr>
          <w:p w14:paraId="388D8224"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135,313.41 </w:t>
            </w:r>
          </w:p>
        </w:tc>
        <w:tc>
          <w:tcPr>
            <w:tcW w:w="0" w:type="auto"/>
            <w:tcBorders>
              <w:top w:val="single" w:sz="4" w:space="0" w:color="auto"/>
              <w:left w:val="nil"/>
              <w:bottom w:val="single" w:sz="4" w:space="0" w:color="auto"/>
              <w:right w:val="nil"/>
            </w:tcBorders>
            <w:shd w:val="clear" w:color="auto" w:fill="C9E1EF"/>
            <w:noWrap/>
            <w:vAlign w:val="bottom"/>
            <w:hideMark/>
          </w:tcPr>
          <w:p w14:paraId="27C67FF6"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8%</w:t>
            </w:r>
          </w:p>
        </w:tc>
      </w:tr>
      <w:tr w:rsidR="00186818" w:rsidRPr="0076589C" w14:paraId="725CA8DB" w14:textId="77777777" w:rsidTr="1C8D6E3A">
        <w:trPr>
          <w:trHeight w:val="260"/>
        </w:trPr>
        <w:tc>
          <w:tcPr>
            <w:tcW w:w="0" w:type="auto"/>
            <w:tcBorders>
              <w:top w:val="nil"/>
              <w:left w:val="nil"/>
              <w:bottom w:val="nil"/>
              <w:right w:val="nil"/>
            </w:tcBorders>
            <w:shd w:val="clear" w:color="auto" w:fill="auto"/>
            <w:noWrap/>
            <w:vAlign w:val="bottom"/>
            <w:hideMark/>
          </w:tcPr>
          <w:p w14:paraId="641EDE1B" w14:textId="77777777" w:rsidR="00186818" w:rsidRPr="0076589C" w:rsidRDefault="00186818" w:rsidP="00186818">
            <w:pPr>
              <w:spacing w:after="0" w:line="240" w:lineRule="auto"/>
              <w:ind w:left="0"/>
              <w:jc w:val="center"/>
              <w:rPr>
                <w:rFonts w:ascii="Calibri" w:eastAsia="Times New Roman" w:hAnsi="Calibri" w:cs="Calibri"/>
                <w:b/>
                <w:bCs/>
                <w:color w:val="000000"/>
                <w:sz w:val="14"/>
                <w:szCs w:val="14"/>
                <w:lang w:eastAsia="es-HN"/>
              </w:rPr>
            </w:pPr>
          </w:p>
        </w:tc>
        <w:tc>
          <w:tcPr>
            <w:tcW w:w="0" w:type="auto"/>
            <w:tcBorders>
              <w:top w:val="nil"/>
              <w:left w:val="nil"/>
              <w:bottom w:val="nil"/>
              <w:right w:val="nil"/>
            </w:tcBorders>
            <w:shd w:val="clear" w:color="auto" w:fill="auto"/>
            <w:noWrap/>
            <w:vAlign w:val="bottom"/>
            <w:hideMark/>
          </w:tcPr>
          <w:p w14:paraId="0F3BA341" w14:textId="77777777" w:rsidR="00186818" w:rsidRPr="0076589C" w:rsidRDefault="00186818" w:rsidP="00186818">
            <w:pPr>
              <w:spacing w:after="0" w:line="240" w:lineRule="auto"/>
              <w:ind w:left="0" w:firstLineChars="100" w:firstLine="14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7DF2A83C"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612D0BC4"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182955B7"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04CA1C75"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58B27936"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51E0FC1C"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3F34A2CD"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61566A23"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4B32AE7C" w14:textId="77777777" w:rsidR="00186818" w:rsidRPr="0076589C" w:rsidRDefault="00186818" w:rsidP="00186818">
            <w:pPr>
              <w:spacing w:after="0" w:line="240" w:lineRule="auto"/>
              <w:ind w:left="0"/>
              <w:rPr>
                <w:rFonts w:eastAsia="Times New Roman" w:cs="Times New Roman"/>
                <w:sz w:val="14"/>
                <w:szCs w:val="14"/>
                <w:lang w:eastAsia="es-HN"/>
              </w:rPr>
            </w:pPr>
          </w:p>
        </w:tc>
      </w:tr>
      <w:tr w:rsidR="00186818" w:rsidRPr="0076589C" w14:paraId="11ED466B" w14:textId="77777777" w:rsidTr="1C8D6E3A">
        <w:trPr>
          <w:trHeight w:val="260"/>
        </w:trPr>
        <w:tc>
          <w:tcPr>
            <w:tcW w:w="0" w:type="auto"/>
            <w:tcBorders>
              <w:top w:val="nil"/>
              <w:left w:val="nil"/>
              <w:bottom w:val="nil"/>
              <w:right w:val="nil"/>
            </w:tcBorders>
            <w:shd w:val="clear" w:color="auto" w:fill="auto"/>
            <w:noWrap/>
            <w:vAlign w:val="bottom"/>
            <w:hideMark/>
          </w:tcPr>
          <w:p w14:paraId="67C6C348"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4F3E8662" w14:textId="77777777" w:rsidR="00186818" w:rsidRPr="0076589C" w:rsidRDefault="00186818" w:rsidP="00186818">
            <w:pPr>
              <w:spacing w:after="0" w:line="240" w:lineRule="auto"/>
              <w:ind w:left="0" w:firstLineChars="200" w:firstLine="28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2CB646A7"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67C14178"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7BF97966"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2CB331F8"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7190D0EE"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5BAC327F"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781A0BAC" w14:textId="77777777" w:rsidR="00186818" w:rsidRPr="0076589C" w:rsidRDefault="00186818" w:rsidP="00186818">
            <w:pPr>
              <w:spacing w:after="0" w:line="240" w:lineRule="auto"/>
              <w:ind w:left="0"/>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1A3EC803" w14:textId="77777777" w:rsidR="00186818" w:rsidRPr="0076589C" w:rsidRDefault="00186818" w:rsidP="00186818">
            <w:pPr>
              <w:spacing w:after="0" w:line="240" w:lineRule="auto"/>
              <w:ind w:left="0"/>
              <w:jc w:val="center"/>
              <w:rPr>
                <w:rFonts w:eastAsia="Times New Roman" w:cs="Times New Roman"/>
                <w:sz w:val="14"/>
                <w:szCs w:val="14"/>
                <w:lang w:eastAsia="es-HN"/>
              </w:rPr>
            </w:pPr>
          </w:p>
        </w:tc>
        <w:tc>
          <w:tcPr>
            <w:tcW w:w="0" w:type="auto"/>
            <w:tcBorders>
              <w:top w:val="nil"/>
              <w:left w:val="nil"/>
              <w:bottom w:val="nil"/>
              <w:right w:val="nil"/>
            </w:tcBorders>
            <w:shd w:val="clear" w:color="auto" w:fill="auto"/>
            <w:noWrap/>
            <w:vAlign w:val="bottom"/>
            <w:hideMark/>
          </w:tcPr>
          <w:p w14:paraId="758BDEBF" w14:textId="77777777" w:rsidR="00186818" w:rsidRPr="0076589C" w:rsidRDefault="00186818" w:rsidP="00186818">
            <w:pPr>
              <w:spacing w:after="0" w:line="240" w:lineRule="auto"/>
              <w:ind w:left="0"/>
              <w:rPr>
                <w:rFonts w:eastAsia="Times New Roman" w:cs="Times New Roman"/>
                <w:sz w:val="14"/>
                <w:szCs w:val="14"/>
                <w:lang w:eastAsia="es-HN"/>
              </w:rPr>
            </w:pPr>
          </w:p>
        </w:tc>
      </w:tr>
      <w:tr w:rsidR="00186818" w:rsidRPr="0076589C" w14:paraId="3DBDF466" w14:textId="77777777" w:rsidTr="1C8D6E3A">
        <w:trPr>
          <w:trHeight w:val="260"/>
        </w:trPr>
        <w:tc>
          <w:tcPr>
            <w:tcW w:w="0" w:type="auto"/>
            <w:tcBorders>
              <w:top w:val="single" w:sz="4" w:space="0" w:color="auto"/>
              <w:left w:val="nil"/>
              <w:bottom w:val="single" w:sz="4" w:space="0" w:color="auto"/>
              <w:right w:val="nil"/>
            </w:tcBorders>
            <w:shd w:val="clear" w:color="auto" w:fill="auto"/>
            <w:noWrap/>
            <w:vAlign w:val="bottom"/>
            <w:hideMark/>
          </w:tcPr>
          <w:p w14:paraId="56B32241" w14:textId="77777777" w:rsidR="00186818" w:rsidRPr="0076589C" w:rsidRDefault="1C8D6E3A" w:rsidP="00186818">
            <w:pPr>
              <w:spacing w:after="0" w:line="240" w:lineRule="auto"/>
              <w:ind w:left="0" w:firstLineChars="100" w:firstLine="141"/>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Incremento patrimonial neto</w:t>
            </w:r>
          </w:p>
        </w:tc>
        <w:tc>
          <w:tcPr>
            <w:tcW w:w="0" w:type="auto"/>
            <w:tcBorders>
              <w:top w:val="single" w:sz="4" w:space="0" w:color="auto"/>
              <w:left w:val="nil"/>
              <w:bottom w:val="single" w:sz="4" w:space="0" w:color="auto"/>
              <w:right w:val="nil"/>
            </w:tcBorders>
            <w:shd w:val="clear" w:color="auto" w:fill="auto"/>
            <w:noWrap/>
            <w:vAlign w:val="bottom"/>
            <w:hideMark/>
          </w:tcPr>
          <w:p w14:paraId="3135F7F9"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1,930,287.85 </w:t>
            </w:r>
          </w:p>
        </w:tc>
        <w:tc>
          <w:tcPr>
            <w:tcW w:w="0" w:type="auto"/>
            <w:tcBorders>
              <w:top w:val="single" w:sz="4" w:space="0" w:color="auto"/>
              <w:left w:val="nil"/>
              <w:bottom w:val="single" w:sz="4" w:space="0" w:color="auto"/>
              <w:right w:val="nil"/>
            </w:tcBorders>
            <w:shd w:val="clear" w:color="auto" w:fill="auto"/>
            <w:noWrap/>
            <w:vAlign w:val="bottom"/>
            <w:hideMark/>
          </w:tcPr>
          <w:p w14:paraId="7E76D58F"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886,700.26 </w:t>
            </w:r>
          </w:p>
        </w:tc>
        <w:tc>
          <w:tcPr>
            <w:tcW w:w="0" w:type="auto"/>
            <w:tcBorders>
              <w:top w:val="single" w:sz="4" w:space="0" w:color="auto"/>
              <w:left w:val="nil"/>
              <w:bottom w:val="single" w:sz="4" w:space="0" w:color="auto"/>
              <w:right w:val="nil"/>
            </w:tcBorders>
            <w:shd w:val="clear" w:color="auto" w:fill="auto"/>
            <w:noWrap/>
            <w:vAlign w:val="bottom"/>
            <w:hideMark/>
          </w:tcPr>
          <w:p w14:paraId="2FEBC171"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1,758,748.50 </w:t>
            </w:r>
          </w:p>
        </w:tc>
        <w:tc>
          <w:tcPr>
            <w:tcW w:w="0" w:type="auto"/>
            <w:tcBorders>
              <w:top w:val="single" w:sz="4" w:space="0" w:color="auto"/>
              <w:left w:val="nil"/>
              <w:bottom w:val="single" w:sz="4" w:space="0" w:color="auto"/>
              <w:right w:val="nil"/>
            </w:tcBorders>
            <w:shd w:val="clear" w:color="auto" w:fill="auto"/>
            <w:noWrap/>
            <w:vAlign w:val="bottom"/>
            <w:hideMark/>
          </w:tcPr>
          <w:p w14:paraId="0268D483"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1,894,061.91 </w:t>
            </w:r>
          </w:p>
        </w:tc>
        <w:tc>
          <w:tcPr>
            <w:tcW w:w="0" w:type="auto"/>
            <w:tcBorders>
              <w:top w:val="single" w:sz="4" w:space="0" w:color="auto"/>
              <w:left w:val="nil"/>
              <w:bottom w:val="single" w:sz="4" w:space="0" w:color="auto"/>
              <w:right w:val="nil"/>
            </w:tcBorders>
            <w:shd w:val="clear" w:color="auto" w:fill="auto"/>
            <w:noWrap/>
            <w:vAlign w:val="bottom"/>
            <w:hideMark/>
          </w:tcPr>
          <w:p w14:paraId="0AAD4B82"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-L   1,043,587.59 </w:t>
            </w:r>
          </w:p>
        </w:tc>
        <w:tc>
          <w:tcPr>
            <w:tcW w:w="0" w:type="auto"/>
            <w:tcBorders>
              <w:top w:val="single" w:sz="4" w:space="0" w:color="auto"/>
              <w:left w:val="nil"/>
              <w:bottom w:val="single" w:sz="4" w:space="0" w:color="auto"/>
              <w:right w:val="nil"/>
            </w:tcBorders>
            <w:shd w:val="clear" w:color="auto" w:fill="auto"/>
            <w:noWrap/>
            <w:vAlign w:val="bottom"/>
            <w:hideMark/>
          </w:tcPr>
          <w:p w14:paraId="35366A42"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-54%</w:t>
            </w:r>
          </w:p>
        </w:tc>
        <w:tc>
          <w:tcPr>
            <w:tcW w:w="0" w:type="auto"/>
            <w:tcBorders>
              <w:top w:val="single" w:sz="4" w:space="0" w:color="auto"/>
              <w:left w:val="nil"/>
              <w:bottom w:val="single" w:sz="4" w:space="0" w:color="auto"/>
              <w:right w:val="nil"/>
            </w:tcBorders>
            <w:shd w:val="clear" w:color="auto" w:fill="auto"/>
            <w:noWrap/>
            <w:vAlign w:val="bottom"/>
            <w:hideMark/>
          </w:tcPr>
          <w:p w14:paraId="03974102"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872,048.24 </w:t>
            </w:r>
          </w:p>
        </w:tc>
        <w:tc>
          <w:tcPr>
            <w:tcW w:w="0" w:type="auto"/>
            <w:tcBorders>
              <w:top w:val="single" w:sz="4" w:space="0" w:color="auto"/>
              <w:left w:val="nil"/>
              <w:bottom w:val="single" w:sz="4" w:space="0" w:color="auto"/>
              <w:right w:val="nil"/>
            </w:tcBorders>
            <w:shd w:val="clear" w:color="auto" w:fill="auto"/>
            <w:noWrap/>
            <w:vAlign w:val="bottom"/>
            <w:hideMark/>
          </w:tcPr>
          <w:p w14:paraId="5CA5A88D"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98%</w:t>
            </w:r>
          </w:p>
        </w:tc>
        <w:tc>
          <w:tcPr>
            <w:tcW w:w="0" w:type="auto"/>
            <w:tcBorders>
              <w:top w:val="single" w:sz="4" w:space="0" w:color="auto"/>
              <w:left w:val="nil"/>
              <w:bottom w:val="single" w:sz="4" w:space="0" w:color="auto"/>
              <w:right w:val="nil"/>
            </w:tcBorders>
            <w:shd w:val="clear" w:color="auto" w:fill="auto"/>
            <w:noWrap/>
            <w:vAlign w:val="bottom"/>
            <w:hideMark/>
          </w:tcPr>
          <w:p w14:paraId="5A4021F8" w14:textId="77777777" w:rsidR="00186818" w:rsidRPr="0076589C" w:rsidRDefault="1C8D6E3A" w:rsidP="00186818">
            <w:pPr>
              <w:spacing w:after="0" w:line="240" w:lineRule="auto"/>
              <w:ind w:left="0"/>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 xml:space="preserve"> L           135,313.41 </w:t>
            </w:r>
          </w:p>
        </w:tc>
        <w:tc>
          <w:tcPr>
            <w:tcW w:w="0" w:type="auto"/>
            <w:tcBorders>
              <w:top w:val="single" w:sz="4" w:space="0" w:color="auto"/>
              <w:left w:val="nil"/>
              <w:bottom w:val="single" w:sz="4" w:space="0" w:color="auto"/>
              <w:right w:val="nil"/>
            </w:tcBorders>
            <w:shd w:val="clear" w:color="auto" w:fill="auto"/>
            <w:noWrap/>
            <w:vAlign w:val="bottom"/>
            <w:hideMark/>
          </w:tcPr>
          <w:p w14:paraId="69640919" w14:textId="77777777" w:rsidR="00186818" w:rsidRPr="0076589C" w:rsidRDefault="1C8D6E3A" w:rsidP="00186818">
            <w:pPr>
              <w:spacing w:after="0" w:line="240" w:lineRule="auto"/>
              <w:ind w:left="0"/>
              <w:jc w:val="center"/>
              <w:rPr>
                <w:rFonts w:ascii="Calibri" w:eastAsia="Times New Roman" w:hAnsi="Calibri" w:cs="Calibri"/>
                <w:b/>
                <w:bCs/>
                <w:color w:val="000000"/>
                <w:sz w:val="14"/>
                <w:szCs w:val="14"/>
                <w:lang w:eastAsia="es-HN"/>
              </w:rPr>
            </w:pPr>
            <w:r w:rsidRPr="0076589C">
              <w:rPr>
                <w:rFonts w:ascii="Calibri" w:eastAsia="Times New Roman" w:hAnsi="Calibri" w:cs="Calibri"/>
                <w:b/>
                <w:bCs/>
                <w:color w:val="000000" w:themeColor="text1"/>
                <w:sz w:val="14"/>
                <w:szCs w:val="14"/>
              </w:rPr>
              <w:t>8%</w:t>
            </w:r>
          </w:p>
        </w:tc>
      </w:tr>
    </w:tbl>
    <w:p w14:paraId="6B30604E" w14:textId="77777777" w:rsidR="00186818" w:rsidRPr="0076589C" w:rsidRDefault="00186818" w:rsidP="000F21B6">
      <w:pPr>
        <w:pStyle w:val="Fuentes"/>
        <w:rPr>
          <w:lang w:val="es-HN"/>
        </w:rPr>
      </w:pPr>
    </w:p>
    <w:p w14:paraId="5C80680E" w14:textId="77777777" w:rsidR="00686FED" w:rsidRPr="0076589C" w:rsidRDefault="1C8D6E3A" w:rsidP="00686FED">
      <w:pPr>
        <w:pStyle w:val="Fuentes"/>
        <w:rPr>
          <w:lang w:val="es-HN"/>
        </w:rPr>
        <w:sectPr w:rsidR="00686FED" w:rsidRPr="0076589C" w:rsidSect="008C6BD1">
          <w:pgSz w:w="15840" w:h="12240" w:orient="landscape" w:code="1"/>
          <w:pgMar w:top="1440" w:right="1440" w:bottom="1440" w:left="1440" w:header="720" w:footer="720" w:gutter="0"/>
          <w:cols w:space="720"/>
          <w:docGrid w:linePitch="360"/>
        </w:sectPr>
      </w:pPr>
      <w:r w:rsidRPr="0076589C">
        <w:rPr>
          <w:lang w:val="es-HN"/>
        </w:rPr>
        <w:t xml:space="preserve">Fuente: Elaboración propia con datos de Industria Procesadora de Alimentos IPRA. </w:t>
      </w:r>
    </w:p>
    <w:p w14:paraId="2BB2D8C5" w14:textId="217BAEC1" w:rsidR="00042016" w:rsidRPr="0076589C" w:rsidRDefault="1C8D6E3A" w:rsidP="00042016">
      <w:pPr>
        <w:pStyle w:val="TextoPrincipal"/>
        <w:rPr>
          <w:lang w:val="es-HN"/>
        </w:rPr>
      </w:pPr>
      <w:r w:rsidRPr="0076589C">
        <w:rPr>
          <w:lang w:val="es-HN"/>
        </w:rPr>
        <w:lastRenderedPageBreak/>
        <w:t xml:space="preserve">El total de las ventas netas o ingresos para la empresa IPRA incrementaron un 22% en el año 2020 con respecto al año 2019, el año con mayor incremento del periodo analizado y en términos absolutos este incremento significativo fue de L 5,785,608.28, esto se debió a que para este año se encontraba la crisis de COVID-19 y por medio de la empresa IPRA se realizaron ventas de productos de higiene personal como el gel y alcohol que fueron bastante utilizados en la crisis sanitaria. En el año 2021 las ventas disminuyeron en un 30% en comparación con 2020. Esta disminución puede ser el resultado de factores como la desaceleración económica que existió por la pandemia. y para el año 2022 tuvo un incremento del 33% equivalente en absoluto a L 7,283,255.58 por lo tanto la empresa muestra una gran recuperación en la actividad comercial. </w:t>
      </w:r>
    </w:p>
    <w:p w14:paraId="74D6E391" w14:textId="2E39B15D" w:rsidR="00042016" w:rsidRPr="0076589C" w:rsidRDefault="1C8D6E3A" w:rsidP="00AE5E6D">
      <w:pPr>
        <w:pStyle w:val="TextoPrincipal"/>
        <w:rPr>
          <w:lang w:val="es-HN"/>
        </w:rPr>
      </w:pPr>
      <w:r w:rsidRPr="0076589C">
        <w:rPr>
          <w:lang w:val="es-HN"/>
        </w:rPr>
        <w:t>Se identificó que a pesar que sus ventas se incrementaron en el año 2020, existió un fuerte aumento en sus devoluciones, rebajas y descuentos de un 326% esto se dio a que la empresa era nueva produciendo los productos de higiene personal (Gel y alcohol) lo que llevo a que ciertas formulas no salieran con calidad y debido a la fuerte demanda se vendieron de esa forma, cuando empezó a existir mayores oferentes de estos productos con mejor calidad hizo que sus clientes realizaran estas devoluciones masivas.</w:t>
      </w:r>
    </w:p>
    <w:p w14:paraId="12AAB26A" w14:textId="7E517641" w:rsidR="000773E0" w:rsidRPr="0076589C" w:rsidRDefault="1C8D6E3A" w:rsidP="000773E0">
      <w:pPr>
        <w:pStyle w:val="TextoPrincipal"/>
        <w:rPr>
          <w:lang w:val="es-HN"/>
        </w:rPr>
      </w:pPr>
      <w:r w:rsidRPr="0076589C">
        <w:rPr>
          <w:lang w:val="es-HN"/>
        </w:rPr>
        <w:t>Los Gastos de Operación experimentaron una disminución del 23% en comparación con el año 2020. Esta reducción pudo ser que la empresa estaba tratando de proteger su rentabilidad en tiempos de dificultades, en este caso se le puede atribuir al factor externo del COVID 2019. ahora para el año 2022 estos gastos de operación aumentaron a un 32% lo que puede indicar que IPRA podría estar invirtiendo en inversiones en marketing o expansión de la empresa para la recuperación de su actividad comercial.</w:t>
      </w:r>
    </w:p>
    <w:p w14:paraId="2BDAAFE4" w14:textId="068EE56D" w:rsidR="000F21B6" w:rsidRPr="0076589C" w:rsidRDefault="1C8D6E3A" w:rsidP="000F21B6">
      <w:pPr>
        <w:pStyle w:val="TextoPrincipal"/>
        <w:rPr>
          <w:lang w:val="es-HN"/>
        </w:rPr>
      </w:pPr>
      <w:r w:rsidRPr="0076589C">
        <w:rPr>
          <w:lang w:val="es-HN"/>
        </w:rPr>
        <w:t>En el caso de la utilidad neta, para el año 2020 presentó un decrecimiento del 54% con respecto al año 2019 siendo en valores un total de L 1,043,587.59, debido al aumento en los costos y gastos, particularmente el costo de ventas, que aumentó un 40% en comparación con el año anterior. La rentabilidad de la empresa se vio afectada negativamente en este período.</w:t>
      </w:r>
    </w:p>
    <w:p w14:paraId="3304386D" w14:textId="4F9D815F" w:rsidR="007D52E2" w:rsidRPr="0076589C" w:rsidRDefault="1C8D6E3A" w:rsidP="007D52E2">
      <w:pPr>
        <w:pStyle w:val="TextoPrincipal"/>
        <w:rPr>
          <w:lang w:val="es-HN"/>
        </w:rPr>
      </w:pPr>
      <w:r w:rsidRPr="0076589C">
        <w:rPr>
          <w:lang w:val="es-HN"/>
        </w:rPr>
        <w:t>Para el año 2021 Se produjo una recuperación significativa con un aumento del 98% en la Utilidad Neta en comparación con 2020. Es importante destacar que, a pesar de la recuperación, la Utilidad Neta en 2021 todavía no alcanzó el nivel de 2019. la empresa experimentó una caída significativa en 2020 debido a un aumento en los costos y gastos. Sin embargo, logró recuperarse en 2021 y mantuvo un crecimiento constante en 2022.</w:t>
      </w:r>
    </w:p>
    <w:p w14:paraId="2A3E3EFC" w14:textId="77777777" w:rsidR="006978F4" w:rsidRPr="0076589C" w:rsidRDefault="006978F4" w:rsidP="006978F4">
      <w:pPr>
        <w:pStyle w:val="Prrafodelista"/>
        <w:keepNext/>
        <w:keepLines/>
        <w:numPr>
          <w:ilvl w:val="0"/>
          <w:numId w:val="6"/>
        </w:numPr>
        <w:spacing w:after="120" w:line="360" w:lineRule="auto"/>
        <w:contextualSpacing w:val="0"/>
        <w:outlineLvl w:val="2"/>
        <w:rPr>
          <w:rFonts w:eastAsia="Times New Roman" w:cs="Times New Roman"/>
          <w:b/>
          <w:bCs/>
          <w:vanish/>
        </w:rPr>
      </w:pPr>
      <w:bookmarkStart w:id="234" w:name="_Toc158325722"/>
      <w:bookmarkStart w:id="235" w:name="_Toc158326170"/>
      <w:bookmarkStart w:id="236" w:name="_Toc158326649"/>
      <w:bookmarkStart w:id="237" w:name="_Toc158365517"/>
      <w:bookmarkEnd w:id="234"/>
      <w:bookmarkEnd w:id="235"/>
      <w:bookmarkEnd w:id="236"/>
      <w:bookmarkEnd w:id="237"/>
    </w:p>
    <w:p w14:paraId="5F660AAA" w14:textId="77777777" w:rsidR="006978F4" w:rsidRPr="0076589C" w:rsidRDefault="006978F4" w:rsidP="006978F4">
      <w:pPr>
        <w:pStyle w:val="Prrafodelista"/>
        <w:keepNext/>
        <w:keepLines/>
        <w:numPr>
          <w:ilvl w:val="0"/>
          <w:numId w:val="6"/>
        </w:numPr>
        <w:spacing w:after="120" w:line="360" w:lineRule="auto"/>
        <w:contextualSpacing w:val="0"/>
        <w:outlineLvl w:val="2"/>
        <w:rPr>
          <w:rFonts w:eastAsia="Times New Roman" w:cs="Times New Roman"/>
          <w:b/>
          <w:bCs/>
          <w:vanish/>
        </w:rPr>
      </w:pPr>
      <w:bookmarkStart w:id="238" w:name="_Toc158325723"/>
      <w:bookmarkStart w:id="239" w:name="_Toc158326171"/>
      <w:bookmarkStart w:id="240" w:name="_Toc158326650"/>
      <w:bookmarkStart w:id="241" w:name="_Toc158365518"/>
      <w:bookmarkEnd w:id="238"/>
      <w:bookmarkEnd w:id="239"/>
      <w:bookmarkEnd w:id="240"/>
      <w:bookmarkEnd w:id="241"/>
    </w:p>
    <w:p w14:paraId="5AC221AD" w14:textId="77777777" w:rsidR="006978F4" w:rsidRPr="0076589C" w:rsidRDefault="006978F4" w:rsidP="006978F4">
      <w:pPr>
        <w:pStyle w:val="Prrafodelista"/>
        <w:keepNext/>
        <w:keepLines/>
        <w:numPr>
          <w:ilvl w:val="0"/>
          <w:numId w:val="6"/>
        </w:numPr>
        <w:spacing w:after="120" w:line="360" w:lineRule="auto"/>
        <w:contextualSpacing w:val="0"/>
        <w:outlineLvl w:val="2"/>
        <w:rPr>
          <w:rFonts w:eastAsia="Times New Roman" w:cs="Times New Roman"/>
          <w:b/>
          <w:bCs/>
          <w:vanish/>
        </w:rPr>
      </w:pPr>
      <w:bookmarkStart w:id="242" w:name="_Toc158325724"/>
      <w:bookmarkStart w:id="243" w:name="_Toc158326172"/>
      <w:bookmarkStart w:id="244" w:name="_Toc158326651"/>
      <w:bookmarkStart w:id="245" w:name="_Toc158365519"/>
      <w:bookmarkEnd w:id="242"/>
      <w:bookmarkEnd w:id="243"/>
      <w:bookmarkEnd w:id="244"/>
      <w:bookmarkEnd w:id="245"/>
    </w:p>
    <w:p w14:paraId="6E641D5B" w14:textId="77777777" w:rsidR="006978F4" w:rsidRPr="0076589C" w:rsidRDefault="006978F4" w:rsidP="006978F4">
      <w:pPr>
        <w:pStyle w:val="Prrafodelista"/>
        <w:keepNext/>
        <w:keepLines/>
        <w:numPr>
          <w:ilvl w:val="0"/>
          <w:numId w:val="6"/>
        </w:numPr>
        <w:spacing w:after="120" w:line="360" w:lineRule="auto"/>
        <w:contextualSpacing w:val="0"/>
        <w:outlineLvl w:val="2"/>
        <w:rPr>
          <w:rFonts w:eastAsia="Times New Roman" w:cs="Times New Roman"/>
          <w:b/>
          <w:bCs/>
          <w:vanish/>
        </w:rPr>
      </w:pPr>
      <w:bookmarkStart w:id="246" w:name="_Toc158325725"/>
      <w:bookmarkStart w:id="247" w:name="_Toc158326173"/>
      <w:bookmarkStart w:id="248" w:name="_Toc158326652"/>
      <w:bookmarkStart w:id="249" w:name="_Toc158365520"/>
      <w:bookmarkEnd w:id="246"/>
      <w:bookmarkEnd w:id="247"/>
      <w:bookmarkEnd w:id="248"/>
      <w:bookmarkEnd w:id="249"/>
    </w:p>
    <w:p w14:paraId="1EEBCFAE" w14:textId="77777777" w:rsidR="006978F4" w:rsidRPr="0076589C" w:rsidRDefault="006978F4" w:rsidP="006978F4">
      <w:pPr>
        <w:pStyle w:val="Prrafodelista"/>
        <w:keepNext/>
        <w:keepLines/>
        <w:numPr>
          <w:ilvl w:val="1"/>
          <w:numId w:val="6"/>
        </w:numPr>
        <w:spacing w:after="120" w:line="360" w:lineRule="auto"/>
        <w:contextualSpacing w:val="0"/>
        <w:outlineLvl w:val="2"/>
        <w:rPr>
          <w:rFonts w:eastAsia="Times New Roman" w:cs="Times New Roman"/>
          <w:b/>
          <w:bCs/>
          <w:vanish/>
        </w:rPr>
      </w:pPr>
      <w:bookmarkStart w:id="250" w:name="_Toc158325726"/>
      <w:bookmarkStart w:id="251" w:name="_Toc158326174"/>
      <w:bookmarkStart w:id="252" w:name="_Toc158326653"/>
      <w:bookmarkStart w:id="253" w:name="_Toc158365521"/>
      <w:bookmarkEnd w:id="250"/>
      <w:bookmarkEnd w:id="251"/>
      <w:bookmarkEnd w:id="252"/>
      <w:bookmarkEnd w:id="253"/>
    </w:p>
    <w:p w14:paraId="7527B555" w14:textId="11C71E8D" w:rsidR="001707E4" w:rsidRPr="0076589C" w:rsidRDefault="1C8D6E3A" w:rsidP="006978F4">
      <w:pPr>
        <w:pStyle w:val="Ttulonivel3"/>
        <w:numPr>
          <w:ilvl w:val="2"/>
          <w:numId w:val="6"/>
        </w:numPr>
        <w:ind w:left="1440"/>
      </w:pPr>
      <w:bookmarkStart w:id="254" w:name="_Toc158365522"/>
      <w:r w:rsidRPr="0076589C">
        <w:t>ANÁLISIS DE CARTERA DE CRÉDITO</w:t>
      </w:r>
      <w:bookmarkEnd w:id="254"/>
    </w:p>
    <w:p w14:paraId="06D11637" w14:textId="03A5FF30" w:rsidR="271E1B5B" w:rsidRPr="0076589C" w:rsidRDefault="1C8D6E3A" w:rsidP="271E1B5B">
      <w:pPr>
        <w:pStyle w:val="TextoPrincipal"/>
        <w:rPr>
          <w:lang w:val="es-HN"/>
        </w:rPr>
      </w:pPr>
      <w:r w:rsidRPr="0076589C">
        <w:rPr>
          <w:lang w:val="es-HN"/>
        </w:rPr>
        <w:t xml:space="preserve">“La gestión de cartera de crédito y el riesgo crediticio como determinante de morosidad o liquidez de las empresas comerciales” </w:t>
      </w:r>
      <w:r w:rsidR="623EC21B" w:rsidRPr="0076589C">
        <w:rPr>
          <w:lang w:val="es-HN"/>
        </w:rPr>
        <w:fldChar w:fldCharType="begin"/>
      </w:r>
      <w:r w:rsidR="623EC21B" w:rsidRPr="0076589C">
        <w:rPr>
          <w:lang w:val="es-HN"/>
        </w:rPr>
        <w:instrText xml:space="preserve"> ADDIN ZOTERO_ITEM CSL_CITATION {"citationID":"uetkxGqJ","properties":{"formattedCitation":"(Cortez, 2016)","plainCitation":"(Cortez, 2016)","noteIndex":0},"citationItems":[{"id":375,"uris":["http://zotero.org/users/12108825/items/ES9L5BQK"],"itemData":{"id":375,"type":"webpage","abstract":"En la </w:instrText>
      </w:r>
      <w:r w:rsidR="623EC21B" w:rsidRPr="0076589C">
        <w:rPr>
          <w:rFonts w:ascii="Tahoma" w:hAnsi="Tahoma" w:cs="Tahoma"/>
          <w:lang w:val="es-HN"/>
        </w:rPr>
        <w:instrText>�</w:instrText>
      </w:r>
      <w:r w:rsidR="623EC21B" w:rsidRPr="0076589C">
        <w:rPr>
          <w:lang w:val="es-HN"/>
        </w:rPr>
        <w:instrText>ltima d</w:instrText>
      </w:r>
      <w:r w:rsidR="623EC21B" w:rsidRPr="0076589C">
        <w:rPr>
          <w:rFonts w:ascii="Tahoma" w:hAnsi="Tahoma" w:cs="Tahoma"/>
          <w:lang w:val="es-HN"/>
        </w:rPr>
        <w:instrText>�</w:instrText>
      </w:r>
      <w:r w:rsidR="623EC21B" w:rsidRPr="0076589C">
        <w:rPr>
          <w:lang w:val="es-HN"/>
        </w:rPr>
        <w:instrText>cada en el Ecuador seg</w:instrText>
      </w:r>
      <w:r w:rsidR="623EC21B" w:rsidRPr="0076589C">
        <w:rPr>
          <w:rFonts w:ascii="Tahoma" w:hAnsi="Tahoma" w:cs="Tahoma"/>
          <w:lang w:val="es-HN"/>
        </w:rPr>
        <w:instrText>�</w:instrText>
      </w:r>
      <w:r w:rsidR="623EC21B" w:rsidRPr="0076589C">
        <w:rPr>
          <w:lang w:val="es-HN"/>
        </w:rPr>
        <w:instrText>n datos oficiales del Instituto Nacional de Estad</w:instrText>
      </w:r>
      <w:r w:rsidR="623EC21B" w:rsidRPr="0076589C">
        <w:rPr>
          <w:rFonts w:ascii="Tahoma" w:hAnsi="Tahoma" w:cs="Tahoma"/>
          <w:lang w:val="es-HN"/>
        </w:rPr>
        <w:instrText>�</w:instrText>
      </w:r>
      <w:r w:rsidR="623EC21B" w:rsidRPr="0076589C">
        <w:rPr>
          <w:lang w:val="es-HN"/>
        </w:rPr>
        <w:instrText>sticas y Censos el 26% de los hogares ecuatorianos y el 15%.","language":"es","title":"La gesti</w:instrText>
      </w:r>
      <w:r w:rsidR="623EC21B" w:rsidRPr="0076589C">
        <w:rPr>
          <w:rFonts w:ascii="Tahoma" w:hAnsi="Tahoma" w:cs="Tahoma"/>
          <w:lang w:val="es-HN"/>
        </w:rPr>
        <w:instrText>�</w:instrText>
      </w:r>
      <w:r w:rsidR="623EC21B" w:rsidRPr="0076589C">
        <w:rPr>
          <w:lang w:val="es-HN"/>
        </w:rPr>
        <w:instrText>n de cartera de cr</w:instrText>
      </w:r>
      <w:r w:rsidR="623EC21B" w:rsidRPr="0076589C">
        <w:rPr>
          <w:rFonts w:ascii="Tahoma" w:hAnsi="Tahoma" w:cs="Tahoma"/>
          <w:lang w:val="es-HN"/>
        </w:rPr>
        <w:instrText>�</w:instrText>
      </w:r>
      <w:r w:rsidR="623EC21B" w:rsidRPr="0076589C">
        <w:rPr>
          <w:lang w:val="es-HN"/>
        </w:rPr>
        <w:instrText xml:space="preserve">dito y el riesgo crediticio como determinante","URL":"http://www.eumed.net/cursecon/ecolat/ec/2016/riesgo.html","author":[{"family":"Cortez","given":"Diego"}],"accessed":{"date-parts":[["2023",11,3]]},"issued":{"date-parts":[["2016"]]}}}],"schema":"https://github.com/citation-style-language/schema/raw/master/csl-citation.json"} </w:instrText>
      </w:r>
      <w:r w:rsidR="623EC21B" w:rsidRPr="0076589C">
        <w:rPr>
          <w:lang w:val="es-HN"/>
        </w:rPr>
        <w:fldChar w:fldCharType="separate"/>
      </w:r>
      <w:r w:rsidRPr="0076589C">
        <w:rPr>
          <w:lang w:val="es-HN"/>
        </w:rPr>
        <w:t>(Cortez, 2016)</w:t>
      </w:r>
      <w:r w:rsidR="623EC21B" w:rsidRPr="0076589C">
        <w:rPr>
          <w:lang w:val="es-HN"/>
        </w:rPr>
        <w:fldChar w:fldCharType="end"/>
      </w:r>
      <w:r w:rsidRPr="0076589C">
        <w:rPr>
          <w:lang w:val="es-HN"/>
        </w:rPr>
        <w:t xml:space="preserve"> </w:t>
      </w:r>
    </w:p>
    <w:p w14:paraId="40761B46" w14:textId="7C09A040" w:rsidR="6CE08996" w:rsidRPr="0076589C" w:rsidRDefault="1C8D6E3A" w:rsidP="6CE08996">
      <w:pPr>
        <w:pStyle w:val="TextoPrincipal"/>
        <w:rPr>
          <w:lang w:val="es-HN"/>
        </w:rPr>
      </w:pPr>
      <w:r w:rsidRPr="0076589C">
        <w:rPr>
          <w:lang w:val="es-HN"/>
        </w:rPr>
        <w:t>El análisis de Cartera de crédito es un proceso que implica la evaluación y seguimiento de los préstamos o créditos otorgados por una institución financiera, como un banco o una cooperativa de crédito. El objetivo principal de este análisis es evaluar la calidad y el desempeño de la cartera de crédito de la institución financiera, así como identificar posibles riesgos y oportunidades.</w:t>
      </w:r>
    </w:p>
    <w:p w14:paraId="62FDE3EB" w14:textId="4BA6F545" w:rsidR="00FB120F" w:rsidRPr="0076589C" w:rsidRDefault="7FAD8741" w:rsidP="007B0B4B">
      <w:pPr>
        <w:pStyle w:val="TextoPrincipal"/>
        <w:keepNext/>
        <w:keepLines/>
        <w:spacing w:after="0"/>
        <w:rPr>
          <w:lang w:val="es-HN"/>
        </w:rPr>
      </w:pPr>
      <w:r w:rsidRPr="0076589C">
        <w:rPr>
          <w:lang w:val="es-HN"/>
        </w:rPr>
        <w:t>Este análisis se basó en una dimensión llamada financiera la cual se centra en los indicadores clave, siendo el incremento porcentual de la cartera de crédito y  su evolución del monto de la cartera en moneda nacional con respecto a sus ventas, utilizando la base de datos de la empresa IPRA, permite a las organizaciones obtener información precisa y actualizada sobre su cartera de crédito, lo que a su vez les ayuda a tomar decisiones informadas para optimizar su gestión financiera y reducir los riesgos asociados con la concesión de crédito.</w:t>
      </w:r>
      <w:bookmarkStart w:id="255" w:name="_Toc150072578"/>
      <w:bookmarkStart w:id="256" w:name="_Toc150073089"/>
      <w:bookmarkStart w:id="257" w:name="_Toc150073958"/>
      <w:bookmarkStart w:id="258" w:name="_Toc150074336"/>
      <w:bookmarkStart w:id="259" w:name="_Toc150075305"/>
      <w:bookmarkEnd w:id="255"/>
      <w:bookmarkEnd w:id="256"/>
      <w:bookmarkEnd w:id="257"/>
      <w:bookmarkEnd w:id="258"/>
      <w:bookmarkEnd w:id="259"/>
    </w:p>
    <w:p w14:paraId="0F856366" w14:textId="77777777" w:rsidR="007B0B4B" w:rsidRPr="0076589C" w:rsidRDefault="007B0B4B" w:rsidP="007B0B4B">
      <w:pPr>
        <w:pStyle w:val="TextoPrincipal"/>
        <w:keepNext/>
        <w:keepLines/>
        <w:spacing w:after="0"/>
        <w:rPr>
          <w:lang w:val="es-HN"/>
        </w:rPr>
      </w:pPr>
    </w:p>
    <w:p w14:paraId="13737DCC" w14:textId="17B6B373" w:rsidR="00AC0F4A" w:rsidRPr="0076589C" w:rsidRDefault="1C8D6E3A" w:rsidP="00D752B4">
      <w:pPr>
        <w:pStyle w:val="Ttulonivel4"/>
        <w:numPr>
          <w:ilvl w:val="0"/>
          <w:numId w:val="32"/>
        </w:numPr>
        <w:ind w:left="1440" w:firstLine="0"/>
      </w:pPr>
      <w:r w:rsidRPr="0076589C">
        <w:t xml:space="preserve">DIMENSIÓN FINANCIERA </w:t>
      </w:r>
    </w:p>
    <w:p w14:paraId="68740D15" w14:textId="640CFFA3" w:rsidR="00A35730" w:rsidRPr="0076589C" w:rsidRDefault="1C8D6E3A" w:rsidP="007B0B4B">
      <w:pPr>
        <w:pStyle w:val="TextoPrincipal"/>
        <w:spacing w:after="0"/>
        <w:rPr>
          <w:lang w:val="es-HN"/>
        </w:rPr>
      </w:pPr>
      <w:r w:rsidRPr="0076589C">
        <w:rPr>
          <w:lang w:val="es-HN"/>
        </w:rPr>
        <w:t>La dimensión financiera es esencial para la gestión empresarial, y el análisis de la cartera de crédito desempeña un papel crucial. Este análisis se apoya en indicadores como el incremento porcentual de la cartera de crédito y la evolución del monto de la cartera en moneda nacional con respecto a sus ventas. Estos indicadores proporcionan información valiosa sobre el crecimiento y la estabilidad de la cartera crediticia de una empresa, lo que permite tomar decisiones financieras informadas y estratégicas.</w:t>
      </w:r>
    </w:p>
    <w:p w14:paraId="296BC32A" w14:textId="77777777" w:rsidR="007B0B4B" w:rsidRPr="0076589C" w:rsidRDefault="007B0B4B" w:rsidP="007B0B4B">
      <w:pPr>
        <w:pStyle w:val="TextoPrincipal"/>
        <w:spacing w:after="0"/>
        <w:rPr>
          <w:lang w:val="es-HN"/>
        </w:rPr>
      </w:pPr>
    </w:p>
    <w:p w14:paraId="571836AB" w14:textId="7979FC6C" w:rsidR="009128F1" w:rsidRPr="0076589C" w:rsidRDefault="1C8D6E3A" w:rsidP="0053775F">
      <w:pPr>
        <w:pStyle w:val="Nivel5"/>
        <w:numPr>
          <w:ilvl w:val="0"/>
          <w:numId w:val="33"/>
        </w:numPr>
        <w:ind w:left="1440" w:firstLine="0"/>
      </w:pPr>
      <w:r w:rsidRPr="0076589C">
        <w:t xml:space="preserve"> ANÁLISIS PORCENTUAL Y MONETARIA DE LA CARTERA DE CRÉDITO CON RESPECTO A SUS VENTAS</w:t>
      </w:r>
    </w:p>
    <w:p w14:paraId="7D304806" w14:textId="1B4D13E3" w:rsidR="00181065" w:rsidRPr="0076589C" w:rsidRDefault="4CEA7910" w:rsidP="00181065">
      <w:pPr>
        <w:pStyle w:val="Fuentes"/>
        <w:jc w:val="both"/>
        <w:rPr>
          <w:sz w:val="24"/>
          <w:szCs w:val="24"/>
          <w:lang w:val="es-HN"/>
        </w:rPr>
      </w:pPr>
      <w:r w:rsidRPr="0076589C">
        <w:rPr>
          <w:sz w:val="24"/>
          <w:szCs w:val="24"/>
          <w:lang w:val="es-HN"/>
        </w:rPr>
        <w:t xml:space="preserve">En la </w:t>
      </w:r>
      <w:r w:rsidRPr="0076589C">
        <w:rPr>
          <w:b/>
          <w:bCs/>
          <w:sz w:val="24"/>
          <w:szCs w:val="24"/>
          <w:lang w:val="es-HN"/>
        </w:rPr>
        <w:t>Tabla 10</w:t>
      </w:r>
      <w:r w:rsidRPr="0076589C">
        <w:rPr>
          <w:sz w:val="24"/>
          <w:szCs w:val="24"/>
          <w:lang w:val="es-HN"/>
        </w:rPr>
        <w:t>, muestra la cartera de crédito de la Industria Procesadora de Alimentos (IPRA), la cual experimentó cambios notables durante el período de 2019 a 2022 en relación con sus ventas. Para el año 2019 las cuentas por cobrar representaron aproximadamente el 44% de las ventas. Esta proporción refleja una tendencia a otorgar crédito a los clientes, ya que las cuentas por cobrar son una parte significativa de las ventas.</w:t>
      </w:r>
    </w:p>
    <w:p w14:paraId="052FB763" w14:textId="77777777" w:rsidR="00816B6A" w:rsidRPr="0076589C" w:rsidRDefault="00816B6A" w:rsidP="00337584">
      <w:pPr>
        <w:pStyle w:val="TextoPrincipal"/>
        <w:rPr>
          <w:lang w:val="es-HN"/>
        </w:rPr>
      </w:pPr>
    </w:p>
    <w:p w14:paraId="17A3FA15" w14:textId="588559D5" w:rsidR="001C708B" w:rsidRPr="0076589C" w:rsidRDefault="1C8D6E3A" w:rsidP="00792269">
      <w:pPr>
        <w:pStyle w:val="ImagenyTabla"/>
        <w:rPr>
          <w:noProof w:val="0"/>
        </w:rPr>
      </w:pPr>
      <w:bookmarkStart w:id="260" w:name="_Toc158365558"/>
      <w:r w:rsidRPr="0076589C">
        <w:lastRenderedPageBreak/>
        <w:t xml:space="preserve">Tabla </w:t>
      </w:r>
      <w:r w:rsidR="00792269" w:rsidRPr="0076589C">
        <w:rPr>
          <w:noProof w:val="0"/>
        </w:rPr>
        <w:fldChar w:fldCharType="begin"/>
      </w:r>
      <w:r w:rsidR="00792269" w:rsidRPr="0076589C">
        <w:rPr>
          <w:noProof w:val="0"/>
        </w:rPr>
        <w:instrText xml:space="preserve"> SEQ Tabla \* ARABIC </w:instrText>
      </w:r>
      <w:r w:rsidR="00792269" w:rsidRPr="0076589C">
        <w:rPr>
          <w:noProof w:val="0"/>
        </w:rPr>
        <w:fldChar w:fldCharType="separate"/>
      </w:r>
      <w:r w:rsidR="009F171A">
        <w:t>10</w:t>
      </w:r>
      <w:r w:rsidR="00792269" w:rsidRPr="0076589C">
        <w:rPr>
          <w:noProof w:val="0"/>
        </w:rPr>
        <w:fldChar w:fldCharType="end"/>
      </w:r>
      <w:r w:rsidRPr="0076589C">
        <w:t>. Cartera de crédito Industria Procesadora de Alimento IPRA (2019-2022)</w:t>
      </w:r>
      <w:bookmarkEnd w:id="260"/>
    </w:p>
    <w:tbl>
      <w:tblPr>
        <w:tblW w:w="5000" w:type="pct"/>
        <w:tblCellMar>
          <w:left w:w="70" w:type="dxa"/>
          <w:right w:w="70" w:type="dxa"/>
        </w:tblCellMar>
        <w:tblLook w:val="04A0" w:firstRow="1" w:lastRow="0" w:firstColumn="1" w:lastColumn="0" w:noHBand="0" w:noVBand="1"/>
      </w:tblPr>
      <w:tblGrid>
        <w:gridCol w:w="546"/>
        <w:gridCol w:w="1931"/>
        <w:gridCol w:w="1111"/>
        <w:gridCol w:w="1841"/>
        <w:gridCol w:w="1183"/>
        <w:gridCol w:w="1038"/>
        <w:gridCol w:w="1710"/>
      </w:tblGrid>
      <w:tr w:rsidR="00A921F1" w:rsidRPr="0076589C" w14:paraId="4D802072" w14:textId="77777777" w:rsidTr="1C8D6E3A">
        <w:trPr>
          <w:trHeight w:val="260"/>
        </w:trPr>
        <w:tc>
          <w:tcPr>
            <w:tcW w:w="1052" w:type="pct"/>
            <w:gridSpan w:val="2"/>
            <w:tcBorders>
              <w:top w:val="nil"/>
              <w:left w:val="nil"/>
              <w:bottom w:val="nil"/>
              <w:right w:val="nil"/>
            </w:tcBorders>
            <w:shd w:val="clear" w:color="auto" w:fill="auto"/>
            <w:noWrap/>
            <w:vAlign w:val="bottom"/>
            <w:hideMark/>
          </w:tcPr>
          <w:p w14:paraId="65892987" w14:textId="77777777" w:rsidR="00A921F1" w:rsidRPr="0076589C" w:rsidRDefault="1C8D6E3A" w:rsidP="1C8D6E3A">
            <w:pPr>
              <w:spacing w:after="0" w:line="240" w:lineRule="auto"/>
              <w:ind w:left="0"/>
              <w:rPr>
                <w:rFonts w:ascii="Calibri" w:eastAsia="Times New Roman" w:hAnsi="Calibri" w:cs="Calibri"/>
                <w:b/>
                <w:bCs/>
                <w:i/>
                <w:iCs/>
                <w:color w:val="000000"/>
                <w:sz w:val="20"/>
                <w:szCs w:val="20"/>
                <w:u w:val="single"/>
                <w:lang w:eastAsia="es-HN"/>
              </w:rPr>
            </w:pPr>
            <w:r w:rsidRPr="0076589C">
              <w:rPr>
                <w:rFonts w:ascii="Calibri" w:eastAsia="Times New Roman" w:hAnsi="Calibri" w:cs="Calibri"/>
                <w:b/>
                <w:bCs/>
                <w:i/>
                <w:iCs/>
                <w:color w:val="000000" w:themeColor="text1"/>
                <w:sz w:val="20"/>
                <w:szCs w:val="20"/>
                <w:u w:val="single"/>
              </w:rPr>
              <w:t xml:space="preserve">Cartera de crédito </w:t>
            </w:r>
          </w:p>
        </w:tc>
        <w:tc>
          <w:tcPr>
            <w:tcW w:w="823" w:type="pct"/>
            <w:tcBorders>
              <w:top w:val="nil"/>
              <w:left w:val="nil"/>
              <w:bottom w:val="nil"/>
              <w:right w:val="nil"/>
            </w:tcBorders>
            <w:shd w:val="clear" w:color="auto" w:fill="auto"/>
            <w:noWrap/>
            <w:vAlign w:val="bottom"/>
            <w:hideMark/>
          </w:tcPr>
          <w:p w14:paraId="5A0B1741" w14:textId="77777777" w:rsidR="00A921F1" w:rsidRPr="0076589C" w:rsidRDefault="00A921F1" w:rsidP="1C8D6E3A">
            <w:pPr>
              <w:spacing w:after="0" w:line="240" w:lineRule="auto"/>
              <w:ind w:left="0"/>
              <w:rPr>
                <w:rFonts w:ascii="Calibri" w:eastAsia="Times New Roman" w:hAnsi="Calibri" w:cs="Calibri"/>
                <w:b/>
                <w:bCs/>
                <w:i/>
                <w:iCs/>
                <w:color w:val="000000"/>
                <w:sz w:val="20"/>
                <w:szCs w:val="20"/>
                <w:u w:val="single"/>
                <w:lang w:eastAsia="es-HN"/>
              </w:rPr>
            </w:pPr>
          </w:p>
        </w:tc>
        <w:tc>
          <w:tcPr>
            <w:tcW w:w="790" w:type="pct"/>
            <w:tcBorders>
              <w:top w:val="nil"/>
              <w:left w:val="nil"/>
              <w:bottom w:val="nil"/>
              <w:right w:val="nil"/>
            </w:tcBorders>
            <w:shd w:val="clear" w:color="auto" w:fill="auto"/>
            <w:noWrap/>
            <w:vAlign w:val="bottom"/>
            <w:hideMark/>
          </w:tcPr>
          <w:p w14:paraId="7687F213" w14:textId="77777777" w:rsidR="00A921F1" w:rsidRPr="0076589C" w:rsidRDefault="00A921F1" w:rsidP="00A921F1">
            <w:pPr>
              <w:spacing w:after="0" w:line="240" w:lineRule="auto"/>
              <w:ind w:left="0"/>
              <w:rPr>
                <w:rFonts w:eastAsia="Times New Roman" w:cs="Times New Roman"/>
                <w:sz w:val="20"/>
                <w:szCs w:val="20"/>
                <w:lang w:eastAsia="es-HN"/>
              </w:rPr>
            </w:pPr>
          </w:p>
        </w:tc>
        <w:tc>
          <w:tcPr>
            <w:tcW w:w="924" w:type="pct"/>
            <w:tcBorders>
              <w:top w:val="nil"/>
              <w:left w:val="nil"/>
              <w:bottom w:val="nil"/>
              <w:right w:val="nil"/>
            </w:tcBorders>
            <w:shd w:val="clear" w:color="auto" w:fill="auto"/>
            <w:noWrap/>
            <w:vAlign w:val="bottom"/>
            <w:hideMark/>
          </w:tcPr>
          <w:p w14:paraId="585EBE75" w14:textId="77777777" w:rsidR="00A921F1" w:rsidRPr="0076589C" w:rsidRDefault="00A921F1" w:rsidP="00A921F1">
            <w:pPr>
              <w:spacing w:after="0" w:line="240" w:lineRule="auto"/>
              <w:ind w:left="0"/>
              <w:rPr>
                <w:rFonts w:eastAsia="Times New Roman" w:cs="Times New Roman"/>
                <w:sz w:val="20"/>
                <w:szCs w:val="20"/>
                <w:lang w:eastAsia="es-HN"/>
              </w:rPr>
            </w:pPr>
          </w:p>
        </w:tc>
        <w:tc>
          <w:tcPr>
            <w:tcW w:w="680" w:type="pct"/>
            <w:tcBorders>
              <w:top w:val="nil"/>
              <w:left w:val="nil"/>
              <w:bottom w:val="nil"/>
              <w:right w:val="nil"/>
            </w:tcBorders>
            <w:shd w:val="clear" w:color="auto" w:fill="auto"/>
            <w:noWrap/>
            <w:vAlign w:val="bottom"/>
            <w:hideMark/>
          </w:tcPr>
          <w:p w14:paraId="45BD7C93" w14:textId="77777777" w:rsidR="00A921F1" w:rsidRPr="0076589C" w:rsidRDefault="00A921F1" w:rsidP="00A921F1">
            <w:pPr>
              <w:spacing w:after="0" w:line="240" w:lineRule="auto"/>
              <w:ind w:left="0"/>
              <w:rPr>
                <w:rFonts w:eastAsia="Times New Roman" w:cs="Times New Roman"/>
                <w:sz w:val="20"/>
                <w:szCs w:val="20"/>
                <w:lang w:eastAsia="es-HN"/>
              </w:rPr>
            </w:pPr>
          </w:p>
        </w:tc>
        <w:tc>
          <w:tcPr>
            <w:tcW w:w="731" w:type="pct"/>
            <w:tcBorders>
              <w:top w:val="nil"/>
              <w:left w:val="nil"/>
              <w:bottom w:val="nil"/>
              <w:right w:val="nil"/>
            </w:tcBorders>
            <w:shd w:val="clear" w:color="auto" w:fill="auto"/>
            <w:noWrap/>
            <w:vAlign w:val="bottom"/>
            <w:hideMark/>
          </w:tcPr>
          <w:p w14:paraId="1160E6BA" w14:textId="77777777" w:rsidR="00A921F1" w:rsidRPr="0076589C" w:rsidRDefault="00A921F1" w:rsidP="00A921F1">
            <w:pPr>
              <w:spacing w:after="0" w:line="240" w:lineRule="auto"/>
              <w:ind w:left="0"/>
              <w:rPr>
                <w:rFonts w:eastAsia="Times New Roman" w:cs="Times New Roman"/>
                <w:sz w:val="20"/>
                <w:szCs w:val="20"/>
                <w:lang w:eastAsia="es-HN"/>
              </w:rPr>
            </w:pPr>
          </w:p>
        </w:tc>
      </w:tr>
      <w:tr w:rsidR="00A921F1" w:rsidRPr="0076589C" w14:paraId="59283014" w14:textId="77777777" w:rsidTr="1C8D6E3A">
        <w:trPr>
          <w:trHeight w:val="260"/>
        </w:trPr>
        <w:tc>
          <w:tcPr>
            <w:tcW w:w="229" w:type="pct"/>
            <w:tcBorders>
              <w:top w:val="nil"/>
              <w:left w:val="nil"/>
              <w:bottom w:val="nil"/>
              <w:right w:val="nil"/>
            </w:tcBorders>
            <w:shd w:val="clear" w:color="auto" w:fill="auto"/>
            <w:noWrap/>
            <w:vAlign w:val="bottom"/>
            <w:hideMark/>
          </w:tcPr>
          <w:p w14:paraId="47699C11" w14:textId="77777777" w:rsidR="00A921F1" w:rsidRPr="0076589C" w:rsidRDefault="00A921F1" w:rsidP="00A921F1">
            <w:pPr>
              <w:spacing w:after="0" w:line="240" w:lineRule="auto"/>
              <w:ind w:left="0"/>
              <w:rPr>
                <w:rFonts w:eastAsia="Times New Roman" w:cs="Times New Roman"/>
                <w:sz w:val="20"/>
                <w:szCs w:val="20"/>
                <w:lang w:eastAsia="es-HN"/>
              </w:rPr>
            </w:pPr>
          </w:p>
        </w:tc>
        <w:tc>
          <w:tcPr>
            <w:tcW w:w="823" w:type="pct"/>
            <w:tcBorders>
              <w:top w:val="nil"/>
              <w:left w:val="nil"/>
              <w:bottom w:val="nil"/>
              <w:right w:val="nil"/>
            </w:tcBorders>
            <w:shd w:val="clear" w:color="auto" w:fill="auto"/>
            <w:noWrap/>
            <w:vAlign w:val="bottom"/>
            <w:hideMark/>
          </w:tcPr>
          <w:p w14:paraId="39950C2C" w14:textId="77777777" w:rsidR="00A921F1" w:rsidRPr="0076589C" w:rsidRDefault="00A921F1" w:rsidP="00A921F1">
            <w:pPr>
              <w:spacing w:after="0" w:line="240" w:lineRule="auto"/>
              <w:ind w:left="0" w:firstLineChars="200" w:firstLine="400"/>
              <w:rPr>
                <w:rFonts w:eastAsia="Times New Roman" w:cs="Times New Roman"/>
                <w:sz w:val="20"/>
                <w:szCs w:val="20"/>
                <w:lang w:eastAsia="es-HN"/>
              </w:rPr>
            </w:pPr>
          </w:p>
        </w:tc>
        <w:tc>
          <w:tcPr>
            <w:tcW w:w="823" w:type="pct"/>
            <w:tcBorders>
              <w:top w:val="nil"/>
              <w:left w:val="nil"/>
              <w:bottom w:val="nil"/>
              <w:right w:val="nil"/>
            </w:tcBorders>
            <w:shd w:val="clear" w:color="auto" w:fill="auto"/>
            <w:noWrap/>
            <w:vAlign w:val="bottom"/>
            <w:hideMark/>
          </w:tcPr>
          <w:p w14:paraId="2600BF37" w14:textId="77777777" w:rsidR="00A921F1" w:rsidRPr="0076589C" w:rsidRDefault="00A921F1" w:rsidP="00A921F1">
            <w:pPr>
              <w:spacing w:after="0" w:line="240" w:lineRule="auto"/>
              <w:ind w:left="0" w:firstLineChars="200" w:firstLine="400"/>
              <w:rPr>
                <w:rFonts w:eastAsia="Times New Roman" w:cs="Times New Roman"/>
                <w:sz w:val="20"/>
                <w:szCs w:val="20"/>
                <w:lang w:eastAsia="es-HN"/>
              </w:rPr>
            </w:pPr>
          </w:p>
        </w:tc>
        <w:tc>
          <w:tcPr>
            <w:tcW w:w="790" w:type="pct"/>
            <w:tcBorders>
              <w:top w:val="nil"/>
              <w:left w:val="nil"/>
              <w:bottom w:val="nil"/>
              <w:right w:val="nil"/>
            </w:tcBorders>
            <w:shd w:val="clear" w:color="auto" w:fill="auto"/>
            <w:noWrap/>
            <w:vAlign w:val="bottom"/>
            <w:hideMark/>
          </w:tcPr>
          <w:p w14:paraId="05B4628C" w14:textId="77777777" w:rsidR="00A921F1" w:rsidRPr="0076589C" w:rsidRDefault="00A921F1" w:rsidP="00A921F1">
            <w:pPr>
              <w:spacing w:after="0" w:line="240" w:lineRule="auto"/>
              <w:ind w:left="0" w:firstLineChars="200" w:firstLine="400"/>
              <w:rPr>
                <w:rFonts w:eastAsia="Times New Roman" w:cs="Times New Roman"/>
                <w:sz w:val="20"/>
                <w:szCs w:val="20"/>
                <w:lang w:eastAsia="es-HN"/>
              </w:rPr>
            </w:pPr>
          </w:p>
        </w:tc>
        <w:tc>
          <w:tcPr>
            <w:tcW w:w="924" w:type="pct"/>
            <w:tcBorders>
              <w:top w:val="nil"/>
              <w:left w:val="nil"/>
              <w:bottom w:val="nil"/>
              <w:right w:val="nil"/>
            </w:tcBorders>
            <w:shd w:val="clear" w:color="auto" w:fill="auto"/>
            <w:noWrap/>
            <w:vAlign w:val="bottom"/>
            <w:hideMark/>
          </w:tcPr>
          <w:p w14:paraId="743545DC" w14:textId="77777777" w:rsidR="00A921F1" w:rsidRPr="0076589C" w:rsidRDefault="00A921F1" w:rsidP="00A921F1">
            <w:pPr>
              <w:spacing w:after="0" w:line="240" w:lineRule="auto"/>
              <w:ind w:left="0"/>
              <w:rPr>
                <w:rFonts w:eastAsia="Times New Roman" w:cs="Times New Roman"/>
                <w:sz w:val="20"/>
                <w:szCs w:val="20"/>
                <w:lang w:eastAsia="es-HN"/>
              </w:rPr>
            </w:pPr>
          </w:p>
        </w:tc>
        <w:tc>
          <w:tcPr>
            <w:tcW w:w="1411" w:type="pct"/>
            <w:gridSpan w:val="2"/>
            <w:tcBorders>
              <w:top w:val="nil"/>
              <w:left w:val="nil"/>
              <w:bottom w:val="nil"/>
              <w:right w:val="nil"/>
            </w:tcBorders>
            <w:shd w:val="clear" w:color="auto" w:fill="auto"/>
            <w:noWrap/>
            <w:vAlign w:val="bottom"/>
            <w:hideMark/>
          </w:tcPr>
          <w:p w14:paraId="3AC6012F" w14:textId="77777777" w:rsidR="00A921F1" w:rsidRPr="0076589C" w:rsidRDefault="1C8D6E3A" w:rsidP="1C8D6E3A">
            <w:pPr>
              <w:spacing w:after="0" w:line="240" w:lineRule="auto"/>
              <w:ind w:left="0"/>
              <w:jc w:val="center"/>
              <w:rPr>
                <w:rFonts w:ascii="Calibri" w:eastAsia="Times New Roman" w:hAnsi="Calibri" w:cs="Calibri"/>
                <w:b/>
                <w:bCs/>
                <w:i/>
                <w:iCs/>
                <w:color w:val="44546A"/>
                <w:sz w:val="20"/>
                <w:szCs w:val="20"/>
                <w:lang w:eastAsia="es-HN"/>
              </w:rPr>
            </w:pPr>
            <w:r w:rsidRPr="0076589C">
              <w:rPr>
                <w:rFonts w:ascii="Calibri" w:eastAsia="Times New Roman" w:hAnsi="Calibri" w:cs="Calibri"/>
                <w:b/>
                <w:bCs/>
                <w:i/>
                <w:iCs/>
                <w:color w:val="44546A" w:themeColor="text2"/>
                <w:sz w:val="20"/>
                <w:szCs w:val="20"/>
              </w:rPr>
              <w:t>Tasa de crecimiento</w:t>
            </w:r>
          </w:p>
        </w:tc>
      </w:tr>
      <w:tr w:rsidR="00A921F1" w:rsidRPr="0076589C" w14:paraId="5A5C479C" w14:textId="77777777" w:rsidTr="1C8D6E3A">
        <w:trPr>
          <w:trHeight w:val="530"/>
        </w:trPr>
        <w:tc>
          <w:tcPr>
            <w:tcW w:w="229" w:type="pct"/>
            <w:tcBorders>
              <w:top w:val="nil"/>
              <w:left w:val="nil"/>
              <w:bottom w:val="single" w:sz="8" w:space="0" w:color="85BADC"/>
              <w:right w:val="nil"/>
            </w:tcBorders>
            <w:shd w:val="clear" w:color="auto" w:fill="auto"/>
            <w:vAlign w:val="bottom"/>
            <w:hideMark/>
          </w:tcPr>
          <w:p w14:paraId="75C95E75" w14:textId="77777777" w:rsidR="00A921F1" w:rsidRPr="0076589C" w:rsidRDefault="1C8D6E3A" w:rsidP="1C8D6E3A">
            <w:pPr>
              <w:spacing w:after="0" w:line="240" w:lineRule="auto"/>
              <w:ind w:left="0"/>
              <w:jc w:val="center"/>
              <w:rPr>
                <w:rFonts w:ascii="Calibri" w:eastAsia="Times New Roman" w:hAnsi="Calibri" w:cs="Calibri"/>
                <w:b/>
                <w:bCs/>
                <w:i/>
                <w:iCs/>
                <w:color w:val="000000"/>
                <w:sz w:val="20"/>
                <w:szCs w:val="20"/>
                <w:lang w:eastAsia="es-HN"/>
              </w:rPr>
            </w:pPr>
            <w:r w:rsidRPr="0076589C">
              <w:rPr>
                <w:rFonts w:ascii="Calibri" w:eastAsia="Times New Roman" w:hAnsi="Calibri" w:cs="Calibri"/>
                <w:b/>
                <w:bCs/>
                <w:i/>
                <w:iCs/>
                <w:color w:val="000000" w:themeColor="text1"/>
                <w:sz w:val="20"/>
                <w:szCs w:val="20"/>
              </w:rPr>
              <w:t>Año</w:t>
            </w:r>
          </w:p>
        </w:tc>
        <w:tc>
          <w:tcPr>
            <w:tcW w:w="823" w:type="pct"/>
            <w:tcBorders>
              <w:top w:val="nil"/>
              <w:left w:val="nil"/>
              <w:bottom w:val="single" w:sz="8" w:space="0" w:color="85BADC"/>
              <w:right w:val="nil"/>
            </w:tcBorders>
            <w:shd w:val="clear" w:color="auto" w:fill="auto"/>
            <w:vAlign w:val="bottom"/>
            <w:hideMark/>
          </w:tcPr>
          <w:p w14:paraId="49399D9F" w14:textId="77777777" w:rsidR="00A921F1" w:rsidRPr="0076589C" w:rsidRDefault="1C8D6E3A" w:rsidP="1C8D6E3A">
            <w:pPr>
              <w:spacing w:after="0" w:line="240" w:lineRule="auto"/>
              <w:ind w:left="0"/>
              <w:jc w:val="center"/>
              <w:rPr>
                <w:rFonts w:ascii="Calibri" w:eastAsia="Times New Roman" w:hAnsi="Calibri" w:cs="Calibri"/>
                <w:b/>
                <w:bCs/>
                <w:i/>
                <w:iCs/>
                <w:color w:val="000000"/>
                <w:sz w:val="20"/>
                <w:szCs w:val="20"/>
                <w:lang w:eastAsia="es-HN"/>
              </w:rPr>
            </w:pPr>
            <w:r w:rsidRPr="0076589C">
              <w:rPr>
                <w:rFonts w:ascii="Calibri" w:eastAsia="Times New Roman" w:hAnsi="Calibri" w:cs="Calibri"/>
                <w:b/>
                <w:bCs/>
                <w:i/>
                <w:iCs/>
                <w:color w:val="000000" w:themeColor="text1"/>
                <w:sz w:val="20"/>
                <w:szCs w:val="20"/>
              </w:rPr>
              <w:t>Ventas</w:t>
            </w:r>
          </w:p>
        </w:tc>
        <w:tc>
          <w:tcPr>
            <w:tcW w:w="823" w:type="pct"/>
            <w:tcBorders>
              <w:top w:val="nil"/>
              <w:left w:val="nil"/>
              <w:bottom w:val="single" w:sz="8" w:space="0" w:color="85BADC"/>
              <w:right w:val="nil"/>
            </w:tcBorders>
            <w:shd w:val="clear" w:color="auto" w:fill="auto"/>
            <w:vAlign w:val="bottom"/>
            <w:hideMark/>
          </w:tcPr>
          <w:p w14:paraId="4260C4FD" w14:textId="77777777" w:rsidR="00A921F1" w:rsidRPr="0076589C" w:rsidRDefault="1C8D6E3A" w:rsidP="1C8D6E3A">
            <w:pPr>
              <w:spacing w:after="0" w:line="240" w:lineRule="auto"/>
              <w:ind w:left="0"/>
              <w:jc w:val="center"/>
              <w:rPr>
                <w:rFonts w:ascii="Calibri" w:eastAsia="Times New Roman" w:hAnsi="Calibri" w:cs="Calibri"/>
                <w:b/>
                <w:bCs/>
                <w:i/>
                <w:iCs/>
                <w:color w:val="000000"/>
                <w:sz w:val="20"/>
                <w:szCs w:val="20"/>
                <w:lang w:eastAsia="es-HN"/>
              </w:rPr>
            </w:pPr>
            <w:r w:rsidRPr="0076589C">
              <w:rPr>
                <w:rFonts w:ascii="Calibri" w:eastAsia="Times New Roman" w:hAnsi="Calibri" w:cs="Calibri"/>
                <w:b/>
                <w:bCs/>
                <w:i/>
                <w:iCs/>
                <w:color w:val="000000" w:themeColor="text1"/>
                <w:sz w:val="20"/>
                <w:szCs w:val="20"/>
              </w:rPr>
              <w:t>% de crecimiento ventas</w:t>
            </w:r>
          </w:p>
        </w:tc>
        <w:tc>
          <w:tcPr>
            <w:tcW w:w="790" w:type="pct"/>
            <w:tcBorders>
              <w:top w:val="nil"/>
              <w:left w:val="nil"/>
              <w:bottom w:val="single" w:sz="8" w:space="0" w:color="85BADC"/>
              <w:right w:val="nil"/>
            </w:tcBorders>
            <w:shd w:val="clear" w:color="auto" w:fill="auto"/>
            <w:vAlign w:val="bottom"/>
            <w:hideMark/>
          </w:tcPr>
          <w:p w14:paraId="1571EACA" w14:textId="77777777" w:rsidR="00A921F1" w:rsidRPr="0076589C" w:rsidRDefault="1C8D6E3A" w:rsidP="1C8D6E3A">
            <w:pPr>
              <w:spacing w:after="0" w:line="240" w:lineRule="auto"/>
              <w:ind w:left="0"/>
              <w:jc w:val="center"/>
              <w:rPr>
                <w:rFonts w:ascii="Calibri" w:eastAsia="Times New Roman" w:hAnsi="Calibri" w:cs="Calibri"/>
                <w:b/>
                <w:bCs/>
                <w:i/>
                <w:iCs/>
                <w:color w:val="000000"/>
                <w:sz w:val="20"/>
                <w:szCs w:val="20"/>
                <w:lang w:eastAsia="es-HN"/>
              </w:rPr>
            </w:pPr>
            <w:r w:rsidRPr="0076589C">
              <w:rPr>
                <w:rFonts w:ascii="Calibri" w:eastAsia="Times New Roman" w:hAnsi="Calibri" w:cs="Calibri"/>
                <w:b/>
                <w:bCs/>
                <w:i/>
                <w:iCs/>
                <w:color w:val="000000" w:themeColor="text1"/>
                <w:sz w:val="20"/>
                <w:szCs w:val="20"/>
              </w:rPr>
              <w:t>Cuentas por cobrar</w:t>
            </w:r>
          </w:p>
        </w:tc>
        <w:tc>
          <w:tcPr>
            <w:tcW w:w="924" w:type="pct"/>
            <w:tcBorders>
              <w:top w:val="nil"/>
              <w:left w:val="nil"/>
              <w:bottom w:val="single" w:sz="8" w:space="0" w:color="85BADC"/>
              <w:right w:val="nil"/>
            </w:tcBorders>
            <w:shd w:val="clear" w:color="auto" w:fill="auto"/>
            <w:vAlign w:val="bottom"/>
            <w:hideMark/>
          </w:tcPr>
          <w:p w14:paraId="4E4908CB" w14:textId="0743D956" w:rsidR="00A921F1" w:rsidRPr="0076589C" w:rsidRDefault="1C8D6E3A" w:rsidP="1C8D6E3A">
            <w:pPr>
              <w:spacing w:after="0" w:line="240" w:lineRule="auto"/>
              <w:ind w:left="0"/>
              <w:jc w:val="center"/>
              <w:rPr>
                <w:rFonts w:ascii="Calibri" w:eastAsia="Times New Roman" w:hAnsi="Calibri" w:cs="Calibri"/>
                <w:b/>
                <w:bCs/>
                <w:i/>
                <w:iCs/>
                <w:color w:val="000000"/>
                <w:sz w:val="20"/>
                <w:szCs w:val="20"/>
                <w:lang w:eastAsia="es-HN"/>
              </w:rPr>
            </w:pPr>
            <w:r w:rsidRPr="0076589C">
              <w:rPr>
                <w:rFonts w:ascii="Calibri" w:eastAsia="Times New Roman" w:hAnsi="Calibri" w:cs="Calibri"/>
                <w:b/>
                <w:bCs/>
                <w:i/>
                <w:iCs/>
                <w:color w:val="000000" w:themeColor="text1"/>
                <w:sz w:val="20"/>
                <w:szCs w:val="20"/>
              </w:rPr>
              <w:t>% cuentas por cobrar según ventas</w:t>
            </w:r>
          </w:p>
        </w:tc>
        <w:tc>
          <w:tcPr>
            <w:tcW w:w="680" w:type="pct"/>
            <w:tcBorders>
              <w:top w:val="nil"/>
              <w:left w:val="nil"/>
              <w:bottom w:val="single" w:sz="8" w:space="0" w:color="85BADC"/>
              <w:right w:val="nil"/>
            </w:tcBorders>
            <w:shd w:val="clear" w:color="auto" w:fill="auto"/>
            <w:vAlign w:val="bottom"/>
            <w:hideMark/>
          </w:tcPr>
          <w:p w14:paraId="62E3438A" w14:textId="77777777" w:rsidR="00A921F1" w:rsidRPr="0076589C" w:rsidRDefault="1C8D6E3A" w:rsidP="1C8D6E3A">
            <w:pPr>
              <w:spacing w:after="0" w:line="240" w:lineRule="auto"/>
              <w:ind w:left="0"/>
              <w:jc w:val="center"/>
              <w:rPr>
                <w:rFonts w:ascii="Calibri" w:eastAsia="Times New Roman" w:hAnsi="Calibri" w:cs="Calibri"/>
                <w:b/>
                <w:bCs/>
                <w:i/>
                <w:iCs/>
                <w:color w:val="000000"/>
                <w:sz w:val="20"/>
                <w:szCs w:val="20"/>
                <w:lang w:eastAsia="es-HN"/>
              </w:rPr>
            </w:pPr>
            <w:r w:rsidRPr="0076589C">
              <w:rPr>
                <w:rFonts w:ascii="Calibri" w:eastAsia="Times New Roman" w:hAnsi="Calibri" w:cs="Calibri"/>
                <w:b/>
                <w:bCs/>
                <w:i/>
                <w:iCs/>
                <w:color w:val="000000" w:themeColor="text1"/>
                <w:sz w:val="20"/>
                <w:szCs w:val="20"/>
              </w:rPr>
              <w:t>Porcentual (%)</w:t>
            </w:r>
          </w:p>
        </w:tc>
        <w:tc>
          <w:tcPr>
            <w:tcW w:w="731" w:type="pct"/>
            <w:tcBorders>
              <w:top w:val="nil"/>
              <w:left w:val="nil"/>
              <w:bottom w:val="single" w:sz="8" w:space="0" w:color="85BADC"/>
              <w:right w:val="nil"/>
            </w:tcBorders>
            <w:shd w:val="clear" w:color="auto" w:fill="auto"/>
            <w:vAlign w:val="bottom"/>
            <w:hideMark/>
          </w:tcPr>
          <w:p w14:paraId="43A2DF46" w14:textId="77777777" w:rsidR="00A921F1" w:rsidRPr="0076589C" w:rsidRDefault="1C8D6E3A" w:rsidP="1C8D6E3A">
            <w:pPr>
              <w:spacing w:after="0" w:line="240" w:lineRule="auto"/>
              <w:ind w:left="0"/>
              <w:jc w:val="center"/>
              <w:rPr>
                <w:rFonts w:ascii="Calibri" w:eastAsia="Times New Roman" w:hAnsi="Calibri" w:cs="Calibri"/>
                <w:b/>
                <w:bCs/>
                <w:i/>
                <w:iCs/>
                <w:color w:val="000000"/>
                <w:sz w:val="20"/>
                <w:szCs w:val="20"/>
                <w:lang w:eastAsia="es-HN"/>
              </w:rPr>
            </w:pPr>
            <w:r w:rsidRPr="0076589C">
              <w:rPr>
                <w:rFonts w:ascii="Calibri" w:eastAsia="Times New Roman" w:hAnsi="Calibri" w:cs="Calibri"/>
                <w:b/>
                <w:bCs/>
                <w:i/>
                <w:iCs/>
                <w:color w:val="000000" w:themeColor="text1"/>
                <w:sz w:val="20"/>
                <w:szCs w:val="20"/>
              </w:rPr>
              <w:t>Monetaria (L)</w:t>
            </w:r>
          </w:p>
        </w:tc>
      </w:tr>
      <w:tr w:rsidR="00A921F1" w:rsidRPr="0076589C" w14:paraId="2731A80D" w14:textId="77777777" w:rsidTr="1C8D6E3A">
        <w:trPr>
          <w:trHeight w:val="260"/>
        </w:trPr>
        <w:tc>
          <w:tcPr>
            <w:tcW w:w="229" w:type="pct"/>
            <w:tcBorders>
              <w:top w:val="nil"/>
              <w:left w:val="nil"/>
              <w:bottom w:val="nil"/>
              <w:right w:val="nil"/>
            </w:tcBorders>
            <w:shd w:val="clear" w:color="auto" w:fill="auto"/>
            <w:noWrap/>
            <w:vAlign w:val="bottom"/>
            <w:hideMark/>
          </w:tcPr>
          <w:p w14:paraId="21341AF1"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2019</w:t>
            </w:r>
          </w:p>
        </w:tc>
        <w:tc>
          <w:tcPr>
            <w:tcW w:w="823" w:type="pct"/>
            <w:tcBorders>
              <w:top w:val="nil"/>
              <w:left w:val="nil"/>
              <w:bottom w:val="nil"/>
              <w:right w:val="nil"/>
            </w:tcBorders>
            <w:shd w:val="clear" w:color="auto" w:fill="auto"/>
            <w:noWrap/>
            <w:vAlign w:val="bottom"/>
            <w:hideMark/>
          </w:tcPr>
          <w:p w14:paraId="66FA5F46"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 xml:space="preserve"> L           26,105,424.64 </w:t>
            </w:r>
          </w:p>
        </w:tc>
        <w:tc>
          <w:tcPr>
            <w:tcW w:w="823" w:type="pct"/>
            <w:tcBorders>
              <w:top w:val="nil"/>
              <w:left w:val="nil"/>
              <w:bottom w:val="nil"/>
              <w:right w:val="nil"/>
            </w:tcBorders>
            <w:shd w:val="clear" w:color="auto" w:fill="auto"/>
            <w:noWrap/>
            <w:vAlign w:val="bottom"/>
            <w:hideMark/>
          </w:tcPr>
          <w:p w14:paraId="2E25E476"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0%</w:t>
            </w:r>
          </w:p>
        </w:tc>
        <w:tc>
          <w:tcPr>
            <w:tcW w:w="790" w:type="pct"/>
            <w:tcBorders>
              <w:top w:val="nil"/>
              <w:left w:val="nil"/>
              <w:bottom w:val="nil"/>
              <w:right w:val="nil"/>
            </w:tcBorders>
            <w:shd w:val="clear" w:color="auto" w:fill="auto"/>
            <w:noWrap/>
            <w:vAlign w:val="bottom"/>
            <w:hideMark/>
          </w:tcPr>
          <w:p w14:paraId="7EBA4925"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 xml:space="preserve"> L         11,548,799.61 </w:t>
            </w:r>
          </w:p>
        </w:tc>
        <w:tc>
          <w:tcPr>
            <w:tcW w:w="924" w:type="pct"/>
            <w:tcBorders>
              <w:top w:val="nil"/>
              <w:left w:val="nil"/>
              <w:bottom w:val="nil"/>
              <w:right w:val="nil"/>
            </w:tcBorders>
            <w:shd w:val="clear" w:color="auto" w:fill="auto"/>
            <w:noWrap/>
            <w:vAlign w:val="bottom"/>
            <w:hideMark/>
          </w:tcPr>
          <w:p w14:paraId="4B951F2E"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44%</w:t>
            </w:r>
          </w:p>
        </w:tc>
        <w:tc>
          <w:tcPr>
            <w:tcW w:w="680" w:type="pct"/>
            <w:tcBorders>
              <w:top w:val="nil"/>
              <w:left w:val="nil"/>
              <w:bottom w:val="nil"/>
              <w:right w:val="nil"/>
            </w:tcBorders>
            <w:shd w:val="clear" w:color="auto" w:fill="auto"/>
            <w:noWrap/>
            <w:vAlign w:val="bottom"/>
            <w:hideMark/>
          </w:tcPr>
          <w:p w14:paraId="32DA029A"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0%</w:t>
            </w:r>
          </w:p>
        </w:tc>
        <w:tc>
          <w:tcPr>
            <w:tcW w:w="731" w:type="pct"/>
            <w:tcBorders>
              <w:top w:val="nil"/>
              <w:left w:val="nil"/>
              <w:bottom w:val="nil"/>
              <w:right w:val="nil"/>
            </w:tcBorders>
            <w:shd w:val="clear" w:color="auto" w:fill="auto"/>
            <w:noWrap/>
            <w:vAlign w:val="bottom"/>
            <w:hideMark/>
          </w:tcPr>
          <w:p w14:paraId="70A28E15"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 xml:space="preserve"> L                          -   </w:t>
            </w:r>
          </w:p>
        </w:tc>
      </w:tr>
      <w:tr w:rsidR="00A921F1" w:rsidRPr="0076589C" w14:paraId="4E1D4FAD" w14:textId="77777777" w:rsidTr="1C8D6E3A">
        <w:trPr>
          <w:trHeight w:val="270"/>
        </w:trPr>
        <w:tc>
          <w:tcPr>
            <w:tcW w:w="229" w:type="pct"/>
            <w:tcBorders>
              <w:top w:val="nil"/>
              <w:left w:val="nil"/>
              <w:bottom w:val="nil"/>
              <w:right w:val="nil"/>
            </w:tcBorders>
            <w:shd w:val="clear" w:color="auto" w:fill="auto"/>
            <w:noWrap/>
            <w:vAlign w:val="bottom"/>
            <w:hideMark/>
          </w:tcPr>
          <w:p w14:paraId="3708CE45"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2020</w:t>
            </w:r>
          </w:p>
        </w:tc>
        <w:tc>
          <w:tcPr>
            <w:tcW w:w="823" w:type="pct"/>
            <w:tcBorders>
              <w:top w:val="nil"/>
              <w:left w:val="nil"/>
              <w:bottom w:val="nil"/>
              <w:right w:val="nil"/>
            </w:tcBorders>
            <w:shd w:val="clear" w:color="auto" w:fill="auto"/>
            <w:noWrap/>
            <w:vAlign w:val="bottom"/>
            <w:hideMark/>
          </w:tcPr>
          <w:p w14:paraId="67DDF4D8"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 xml:space="preserve"> L           31,891,032.92 </w:t>
            </w:r>
          </w:p>
        </w:tc>
        <w:tc>
          <w:tcPr>
            <w:tcW w:w="823" w:type="pct"/>
            <w:tcBorders>
              <w:top w:val="nil"/>
              <w:left w:val="nil"/>
              <w:bottom w:val="nil"/>
              <w:right w:val="nil"/>
            </w:tcBorders>
            <w:shd w:val="clear" w:color="auto" w:fill="auto"/>
            <w:noWrap/>
            <w:vAlign w:val="bottom"/>
            <w:hideMark/>
          </w:tcPr>
          <w:p w14:paraId="4907031F"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22%</w:t>
            </w:r>
          </w:p>
        </w:tc>
        <w:tc>
          <w:tcPr>
            <w:tcW w:w="790" w:type="pct"/>
            <w:tcBorders>
              <w:top w:val="nil"/>
              <w:left w:val="nil"/>
              <w:bottom w:val="nil"/>
              <w:right w:val="nil"/>
            </w:tcBorders>
            <w:shd w:val="clear" w:color="auto" w:fill="auto"/>
            <w:noWrap/>
            <w:vAlign w:val="bottom"/>
            <w:hideMark/>
          </w:tcPr>
          <w:p w14:paraId="2D0F9162"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 xml:space="preserve"> L         11,385,610.59 </w:t>
            </w:r>
          </w:p>
        </w:tc>
        <w:tc>
          <w:tcPr>
            <w:tcW w:w="924" w:type="pct"/>
            <w:tcBorders>
              <w:top w:val="nil"/>
              <w:left w:val="nil"/>
              <w:bottom w:val="nil"/>
              <w:right w:val="nil"/>
            </w:tcBorders>
            <w:shd w:val="clear" w:color="auto" w:fill="auto"/>
            <w:noWrap/>
            <w:vAlign w:val="bottom"/>
            <w:hideMark/>
          </w:tcPr>
          <w:p w14:paraId="49491D44"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36%</w:t>
            </w:r>
          </w:p>
        </w:tc>
        <w:tc>
          <w:tcPr>
            <w:tcW w:w="680" w:type="pct"/>
            <w:tcBorders>
              <w:top w:val="nil"/>
              <w:left w:val="nil"/>
              <w:bottom w:val="nil"/>
              <w:right w:val="nil"/>
            </w:tcBorders>
            <w:shd w:val="clear" w:color="auto" w:fill="auto"/>
            <w:noWrap/>
            <w:vAlign w:val="bottom"/>
            <w:hideMark/>
          </w:tcPr>
          <w:p w14:paraId="14F48A2E"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-1.41%</w:t>
            </w:r>
          </w:p>
        </w:tc>
        <w:tc>
          <w:tcPr>
            <w:tcW w:w="731" w:type="pct"/>
            <w:tcBorders>
              <w:top w:val="nil"/>
              <w:left w:val="nil"/>
              <w:bottom w:val="nil"/>
              <w:right w:val="nil"/>
            </w:tcBorders>
            <w:shd w:val="clear" w:color="auto" w:fill="auto"/>
            <w:noWrap/>
            <w:vAlign w:val="bottom"/>
            <w:hideMark/>
          </w:tcPr>
          <w:p w14:paraId="0465BD56"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 xml:space="preserve">-L           163,189.02 </w:t>
            </w:r>
          </w:p>
        </w:tc>
      </w:tr>
      <w:tr w:rsidR="00A921F1" w:rsidRPr="0076589C" w14:paraId="707C09D2" w14:textId="77777777" w:rsidTr="1C8D6E3A">
        <w:trPr>
          <w:trHeight w:val="270"/>
        </w:trPr>
        <w:tc>
          <w:tcPr>
            <w:tcW w:w="229" w:type="pct"/>
            <w:tcBorders>
              <w:top w:val="nil"/>
              <w:left w:val="nil"/>
              <w:bottom w:val="nil"/>
              <w:right w:val="nil"/>
            </w:tcBorders>
            <w:shd w:val="clear" w:color="auto" w:fill="auto"/>
            <w:noWrap/>
            <w:vAlign w:val="bottom"/>
            <w:hideMark/>
          </w:tcPr>
          <w:p w14:paraId="55868BF8"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2021</w:t>
            </w:r>
          </w:p>
        </w:tc>
        <w:tc>
          <w:tcPr>
            <w:tcW w:w="823" w:type="pct"/>
            <w:tcBorders>
              <w:top w:val="nil"/>
              <w:left w:val="nil"/>
              <w:bottom w:val="nil"/>
              <w:right w:val="nil"/>
            </w:tcBorders>
            <w:shd w:val="clear" w:color="auto" w:fill="auto"/>
            <w:noWrap/>
            <w:vAlign w:val="bottom"/>
            <w:hideMark/>
          </w:tcPr>
          <w:p w14:paraId="25B4870E"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 xml:space="preserve"> L           22,321,755.08 </w:t>
            </w:r>
          </w:p>
        </w:tc>
        <w:tc>
          <w:tcPr>
            <w:tcW w:w="823" w:type="pct"/>
            <w:tcBorders>
              <w:top w:val="nil"/>
              <w:left w:val="nil"/>
              <w:bottom w:val="nil"/>
              <w:right w:val="nil"/>
            </w:tcBorders>
            <w:shd w:val="clear" w:color="auto" w:fill="auto"/>
            <w:noWrap/>
            <w:vAlign w:val="bottom"/>
            <w:hideMark/>
          </w:tcPr>
          <w:p w14:paraId="19ADF563"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-30%</w:t>
            </w:r>
          </w:p>
        </w:tc>
        <w:tc>
          <w:tcPr>
            <w:tcW w:w="790" w:type="pct"/>
            <w:tcBorders>
              <w:top w:val="nil"/>
              <w:left w:val="nil"/>
              <w:bottom w:val="nil"/>
              <w:right w:val="nil"/>
            </w:tcBorders>
            <w:shd w:val="clear" w:color="auto" w:fill="auto"/>
            <w:noWrap/>
            <w:vAlign w:val="bottom"/>
            <w:hideMark/>
          </w:tcPr>
          <w:p w14:paraId="41AB8D83"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 xml:space="preserve"> L           6,185,140.95 </w:t>
            </w:r>
          </w:p>
        </w:tc>
        <w:tc>
          <w:tcPr>
            <w:tcW w:w="924" w:type="pct"/>
            <w:tcBorders>
              <w:top w:val="nil"/>
              <w:left w:val="nil"/>
              <w:bottom w:val="nil"/>
              <w:right w:val="nil"/>
            </w:tcBorders>
            <w:shd w:val="clear" w:color="auto" w:fill="auto"/>
            <w:noWrap/>
            <w:vAlign w:val="bottom"/>
            <w:hideMark/>
          </w:tcPr>
          <w:p w14:paraId="6D60BD6B"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28%</w:t>
            </w:r>
          </w:p>
        </w:tc>
        <w:tc>
          <w:tcPr>
            <w:tcW w:w="680" w:type="pct"/>
            <w:tcBorders>
              <w:top w:val="nil"/>
              <w:left w:val="nil"/>
              <w:bottom w:val="nil"/>
              <w:right w:val="nil"/>
            </w:tcBorders>
            <w:shd w:val="clear" w:color="auto" w:fill="auto"/>
            <w:noWrap/>
            <w:vAlign w:val="bottom"/>
            <w:hideMark/>
          </w:tcPr>
          <w:p w14:paraId="334FA21D"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-45.68%</w:t>
            </w:r>
          </w:p>
        </w:tc>
        <w:tc>
          <w:tcPr>
            <w:tcW w:w="731" w:type="pct"/>
            <w:tcBorders>
              <w:top w:val="nil"/>
              <w:left w:val="nil"/>
              <w:bottom w:val="nil"/>
              <w:right w:val="nil"/>
            </w:tcBorders>
            <w:shd w:val="clear" w:color="auto" w:fill="auto"/>
            <w:noWrap/>
            <w:vAlign w:val="bottom"/>
            <w:hideMark/>
          </w:tcPr>
          <w:p w14:paraId="110B1046"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 xml:space="preserve">-L        5,200,469.64 </w:t>
            </w:r>
          </w:p>
        </w:tc>
      </w:tr>
      <w:tr w:rsidR="00A921F1" w:rsidRPr="0076589C" w14:paraId="03B6A86E" w14:textId="77777777" w:rsidTr="1C8D6E3A">
        <w:trPr>
          <w:trHeight w:val="260"/>
        </w:trPr>
        <w:tc>
          <w:tcPr>
            <w:tcW w:w="229" w:type="pct"/>
            <w:tcBorders>
              <w:top w:val="nil"/>
              <w:left w:val="nil"/>
              <w:bottom w:val="single" w:sz="4" w:space="0" w:color="85BADC"/>
              <w:right w:val="nil"/>
            </w:tcBorders>
            <w:shd w:val="clear" w:color="auto" w:fill="auto"/>
            <w:noWrap/>
            <w:vAlign w:val="bottom"/>
            <w:hideMark/>
          </w:tcPr>
          <w:p w14:paraId="6191A690"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2022</w:t>
            </w:r>
          </w:p>
        </w:tc>
        <w:tc>
          <w:tcPr>
            <w:tcW w:w="823" w:type="pct"/>
            <w:tcBorders>
              <w:top w:val="nil"/>
              <w:left w:val="nil"/>
              <w:bottom w:val="single" w:sz="4" w:space="0" w:color="85BADC"/>
              <w:right w:val="nil"/>
            </w:tcBorders>
            <w:shd w:val="clear" w:color="auto" w:fill="auto"/>
            <w:noWrap/>
            <w:vAlign w:val="bottom"/>
            <w:hideMark/>
          </w:tcPr>
          <w:p w14:paraId="2BAFC418"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 xml:space="preserve"> L           29,605,010.66 </w:t>
            </w:r>
          </w:p>
        </w:tc>
        <w:tc>
          <w:tcPr>
            <w:tcW w:w="823" w:type="pct"/>
            <w:tcBorders>
              <w:top w:val="nil"/>
              <w:left w:val="nil"/>
              <w:bottom w:val="single" w:sz="4" w:space="0" w:color="85BADC"/>
              <w:right w:val="nil"/>
            </w:tcBorders>
            <w:shd w:val="clear" w:color="auto" w:fill="auto"/>
            <w:noWrap/>
            <w:vAlign w:val="bottom"/>
            <w:hideMark/>
          </w:tcPr>
          <w:p w14:paraId="1102A822"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33%</w:t>
            </w:r>
          </w:p>
        </w:tc>
        <w:tc>
          <w:tcPr>
            <w:tcW w:w="790" w:type="pct"/>
            <w:tcBorders>
              <w:top w:val="nil"/>
              <w:left w:val="nil"/>
              <w:bottom w:val="single" w:sz="4" w:space="0" w:color="85BADC"/>
              <w:right w:val="nil"/>
            </w:tcBorders>
            <w:shd w:val="clear" w:color="auto" w:fill="auto"/>
            <w:noWrap/>
            <w:vAlign w:val="bottom"/>
            <w:hideMark/>
          </w:tcPr>
          <w:p w14:paraId="2DF8EAE8"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 xml:space="preserve"> L           6,783,810.31 </w:t>
            </w:r>
          </w:p>
        </w:tc>
        <w:tc>
          <w:tcPr>
            <w:tcW w:w="924" w:type="pct"/>
            <w:tcBorders>
              <w:top w:val="nil"/>
              <w:left w:val="nil"/>
              <w:bottom w:val="single" w:sz="4" w:space="0" w:color="85BADC"/>
              <w:right w:val="nil"/>
            </w:tcBorders>
            <w:shd w:val="clear" w:color="auto" w:fill="auto"/>
            <w:noWrap/>
            <w:vAlign w:val="bottom"/>
            <w:hideMark/>
          </w:tcPr>
          <w:p w14:paraId="415895DB"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23%</w:t>
            </w:r>
          </w:p>
        </w:tc>
        <w:tc>
          <w:tcPr>
            <w:tcW w:w="680" w:type="pct"/>
            <w:tcBorders>
              <w:top w:val="nil"/>
              <w:left w:val="nil"/>
              <w:bottom w:val="single" w:sz="4" w:space="0" w:color="85BADC"/>
              <w:right w:val="nil"/>
            </w:tcBorders>
            <w:shd w:val="clear" w:color="auto" w:fill="auto"/>
            <w:noWrap/>
            <w:vAlign w:val="bottom"/>
            <w:hideMark/>
          </w:tcPr>
          <w:p w14:paraId="7E79C8A6"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9.68%</w:t>
            </w:r>
          </w:p>
        </w:tc>
        <w:tc>
          <w:tcPr>
            <w:tcW w:w="731" w:type="pct"/>
            <w:tcBorders>
              <w:top w:val="nil"/>
              <w:left w:val="nil"/>
              <w:bottom w:val="single" w:sz="4" w:space="0" w:color="85BADC"/>
              <w:right w:val="nil"/>
            </w:tcBorders>
            <w:shd w:val="clear" w:color="auto" w:fill="auto"/>
            <w:noWrap/>
            <w:vAlign w:val="bottom"/>
            <w:hideMark/>
          </w:tcPr>
          <w:p w14:paraId="21137D32" w14:textId="77777777" w:rsidR="00A921F1" w:rsidRPr="0076589C" w:rsidRDefault="1C8D6E3A" w:rsidP="00A921F1">
            <w:pPr>
              <w:spacing w:after="0" w:line="240" w:lineRule="auto"/>
              <w:ind w:left="0"/>
              <w:jc w:val="center"/>
              <w:rPr>
                <w:rFonts w:ascii="Calibri" w:eastAsia="Times New Roman" w:hAnsi="Calibri" w:cs="Calibri"/>
                <w:color w:val="000000"/>
                <w:sz w:val="20"/>
                <w:szCs w:val="20"/>
                <w:lang w:eastAsia="es-HN"/>
              </w:rPr>
            </w:pPr>
            <w:r w:rsidRPr="0076589C">
              <w:rPr>
                <w:rFonts w:ascii="Calibri" w:eastAsia="Times New Roman" w:hAnsi="Calibri" w:cs="Calibri"/>
                <w:color w:val="000000" w:themeColor="text1"/>
                <w:sz w:val="20"/>
                <w:szCs w:val="20"/>
              </w:rPr>
              <w:t xml:space="preserve"> L           598,669.36 </w:t>
            </w:r>
          </w:p>
        </w:tc>
      </w:tr>
    </w:tbl>
    <w:p w14:paraId="6C698AFD" w14:textId="47650923" w:rsidR="00D33EF8" w:rsidRPr="0076589C" w:rsidRDefault="1C8D6E3A" w:rsidP="001A5155">
      <w:pPr>
        <w:pStyle w:val="Fuentes"/>
        <w:rPr>
          <w:lang w:val="es-HN"/>
        </w:rPr>
      </w:pPr>
      <w:r w:rsidRPr="0076589C">
        <w:rPr>
          <w:lang w:val="es-HN"/>
        </w:rPr>
        <w:t>Fuente: Elaboración propia con datos de IPRA (2023).</w:t>
      </w:r>
    </w:p>
    <w:p w14:paraId="66B78352" w14:textId="11151625" w:rsidR="00A921F1" w:rsidRPr="0076589C" w:rsidRDefault="1C8D6E3A" w:rsidP="00084FAB">
      <w:pPr>
        <w:pStyle w:val="Fuentes"/>
        <w:jc w:val="both"/>
        <w:rPr>
          <w:sz w:val="24"/>
          <w:szCs w:val="24"/>
          <w:lang w:val="es-HN"/>
        </w:rPr>
      </w:pPr>
      <w:r w:rsidRPr="0076589C">
        <w:rPr>
          <w:sz w:val="24"/>
          <w:szCs w:val="24"/>
          <w:lang w:val="es-HN"/>
        </w:rPr>
        <w:t xml:space="preserve">En el año 2020, las ventas aumentaron en un 22%, lo que se tradujo en un decremento del 1.41% en las cuentas por cobrar en términos monetarios, lo que puede indicar una gestión más eficiente de las cuentas por cobrar. La proporción de cuentas por cobrar con respecto a las ventas también disminuyó al 36%, lo que sugiere una menor concesión de crédito en comparación con el año anterior. Hay que considerar que el aumento de ventas se debe al factor externo Covid-2019 ya que por la empresa IPRA se vendió productos de higiene personal como el gel y alcohol. </w:t>
      </w:r>
    </w:p>
    <w:p w14:paraId="7C703A0C" w14:textId="20580591" w:rsidR="0A806505" w:rsidRPr="0076589C" w:rsidRDefault="1C8D6E3A" w:rsidP="739F01DC">
      <w:pPr>
        <w:pStyle w:val="Fuentes"/>
        <w:jc w:val="both"/>
        <w:rPr>
          <w:sz w:val="24"/>
          <w:szCs w:val="24"/>
          <w:lang w:val="es-HN"/>
        </w:rPr>
      </w:pPr>
      <w:r w:rsidRPr="0076589C">
        <w:rPr>
          <w:sz w:val="24"/>
          <w:szCs w:val="24"/>
          <w:lang w:val="es-HN"/>
        </w:rPr>
        <w:t xml:space="preserve"> Sin embargo, en 2021, las ventas experimentaron una disminución significativa del 30%, y las cuentas por cobrar se redujeron en un 45.68%, lo que equivale a una disminución de L5,200,469.64. Esta caída en las cuentas por cobrar refleja una disminución más pronunciada que la de las ventas, lo que puede indicar una gestión más estricta de los términos de pago y la recuperación de cuentas pendientes. </w:t>
      </w:r>
    </w:p>
    <w:p w14:paraId="03AD2CAE" w14:textId="27A17451" w:rsidR="00620895" w:rsidRPr="0076589C" w:rsidRDefault="1C8D6E3A" w:rsidP="00620895">
      <w:pPr>
        <w:pStyle w:val="Fuentes"/>
        <w:jc w:val="both"/>
        <w:rPr>
          <w:sz w:val="24"/>
          <w:szCs w:val="24"/>
          <w:lang w:val="es-HN"/>
        </w:rPr>
      </w:pPr>
      <w:r w:rsidRPr="0076589C">
        <w:rPr>
          <w:sz w:val="24"/>
          <w:szCs w:val="24"/>
          <w:lang w:val="es-HN"/>
        </w:rPr>
        <w:t>En 2022, las ventas repuntaron con un crecimiento del 33%, y las cuentas por cobrar aumentaron en un 9.68%, equivalente a L 598,669.36 más. Este incremento en las cuentas por cobrar es proporcional al crecimiento de las ventas y sugiere que la empresa está otorgando crédito a un ritmo similar al aumento de las ventas. La relación entre las cuentas por cobrar y las ventas es un indicador clave de la gestión crediticia de la empresa, y estos datos sugieren que la empresa se adaptó a las fluctuaciones en las ventas ajustando su política de crédito y cobranza de manera efectiva.</w:t>
      </w:r>
    </w:p>
    <w:p w14:paraId="1FC054E0" w14:textId="4AD506D9" w:rsidR="7A755B09" w:rsidRPr="0076589C" w:rsidRDefault="7A755B09" w:rsidP="7A755B09">
      <w:pPr>
        <w:pStyle w:val="Fuentes"/>
        <w:jc w:val="both"/>
        <w:rPr>
          <w:sz w:val="24"/>
          <w:szCs w:val="24"/>
          <w:lang w:val="es-HN"/>
        </w:rPr>
      </w:pPr>
      <w:r w:rsidRPr="0076589C">
        <w:rPr>
          <w:sz w:val="24"/>
          <w:szCs w:val="24"/>
          <w:lang w:val="es-HN"/>
        </w:rPr>
        <w:t xml:space="preserve">Se puede observar que del 2019 al 2022 la cuentas por cobrar se redujeron un </w:t>
      </w:r>
      <w:r w:rsidR="665999BC" w:rsidRPr="0076589C">
        <w:rPr>
          <w:sz w:val="24"/>
          <w:szCs w:val="24"/>
          <w:lang w:val="es-HN"/>
        </w:rPr>
        <w:t>59</w:t>
      </w:r>
      <w:r w:rsidR="51F8F593" w:rsidRPr="0076589C">
        <w:rPr>
          <w:sz w:val="24"/>
          <w:szCs w:val="24"/>
          <w:lang w:val="es-HN"/>
        </w:rPr>
        <w:t xml:space="preserve">% </w:t>
      </w:r>
      <w:r w:rsidR="5F766A8E" w:rsidRPr="0076589C">
        <w:rPr>
          <w:sz w:val="24"/>
          <w:szCs w:val="24"/>
          <w:lang w:val="es-HN"/>
        </w:rPr>
        <w:t xml:space="preserve">esta gran disminución se </w:t>
      </w:r>
      <w:r w:rsidR="4E95863F" w:rsidRPr="0076589C">
        <w:rPr>
          <w:sz w:val="24"/>
          <w:szCs w:val="24"/>
          <w:lang w:val="es-HN"/>
        </w:rPr>
        <w:t>debió</w:t>
      </w:r>
      <w:r w:rsidR="5F766A8E" w:rsidRPr="0076589C">
        <w:rPr>
          <w:sz w:val="24"/>
          <w:szCs w:val="24"/>
          <w:lang w:val="es-HN"/>
        </w:rPr>
        <w:t xml:space="preserve"> </w:t>
      </w:r>
      <w:r w:rsidR="1CE89E20" w:rsidRPr="0076589C">
        <w:rPr>
          <w:sz w:val="24"/>
          <w:szCs w:val="24"/>
          <w:lang w:val="es-HN"/>
        </w:rPr>
        <w:t xml:space="preserve">a que en el 2021 se </w:t>
      </w:r>
      <w:r w:rsidR="7DA4958B" w:rsidRPr="0076589C">
        <w:rPr>
          <w:sz w:val="24"/>
          <w:szCs w:val="24"/>
          <w:lang w:val="es-HN"/>
        </w:rPr>
        <w:t>empezó</w:t>
      </w:r>
      <w:r w:rsidR="1CE89E20" w:rsidRPr="0076589C">
        <w:rPr>
          <w:sz w:val="24"/>
          <w:szCs w:val="24"/>
          <w:lang w:val="es-HN"/>
        </w:rPr>
        <w:t xml:space="preserve"> a revisar con mayor detalle a ciertos clientes</w:t>
      </w:r>
      <w:r w:rsidR="328FAA32" w:rsidRPr="0076589C">
        <w:rPr>
          <w:sz w:val="24"/>
          <w:szCs w:val="24"/>
          <w:lang w:val="es-HN"/>
        </w:rPr>
        <w:t xml:space="preserve"> que </w:t>
      </w:r>
      <w:r w:rsidR="7DA4958B" w:rsidRPr="0076589C">
        <w:rPr>
          <w:sz w:val="24"/>
          <w:szCs w:val="24"/>
          <w:lang w:val="es-HN"/>
        </w:rPr>
        <w:t>tenían</w:t>
      </w:r>
      <w:r w:rsidR="328FAA32" w:rsidRPr="0076589C">
        <w:rPr>
          <w:sz w:val="24"/>
          <w:szCs w:val="24"/>
          <w:lang w:val="es-HN"/>
        </w:rPr>
        <w:t xml:space="preserve"> las cuentas muy atrasadas</w:t>
      </w:r>
      <w:r w:rsidR="7DA4958B" w:rsidRPr="0076589C">
        <w:rPr>
          <w:sz w:val="24"/>
          <w:szCs w:val="24"/>
          <w:lang w:val="es-HN"/>
        </w:rPr>
        <w:t>,</w:t>
      </w:r>
      <w:r w:rsidR="328FAA32" w:rsidRPr="0076589C">
        <w:rPr>
          <w:sz w:val="24"/>
          <w:szCs w:val="24"/>
          <w:lang w:val="es-HN"/>
        </w:rPr>
        <w:t xml:space="preserve"> </w:t>
      </w:r>
      <w:r w:rsidR="4306B96C" w:rsidRPr="0076589C">
        <w:rPr>
          <w:sz w:val="24"/>
          <w:szCs w:val="24"/>
          <w:lang w:val="es-HN"/>
        </w:rPr>
        <w:t xml:space="preserve">gestionando estas cuentas </w:t>
      </w:r>
      <w:r w:rsidR="55570812" w:rsidRPr="0076589C">
        <w:rPr>
          <w:sz w:val="24"/>
          <w:szCs w:val="24"/>
          <w:lang w:val="es-HN"/>
        </w:rPr>
        <w:t xml:space="preserve">se </w:t>
      </w:r>
      <w:r w:rsidR="303B8CB0" w:rsidRPr="0076589C">
        <w:rPr>
          <w:sz w:val="24"/>
          <w:szCs w:val="24"/>
          <w:lang w:val="es-HN"/>
        </w:rPr>
        <w:t>lograron encontrar</w:t>
      </w:r>
      <w:r w:rsidR="55570812" w:rsidRPr="0076589C">
        <w:rPr>
          <w:sz w:val="24"/>
          <w:szCs w:val="24"/>
          <w:lang w:val="es-HN"/>
        </w:rPr>
        <w:t xml:space="preserve"> pagos que </w:t>
      </w:r>
      <w:r w:rsidR="55570812" w:rsidRPr="0076589C">
        <w:rPr>
          <w:sz w:val="24"/>
          <w:szCs w:val="24"/>
          <w:lang w:val="es-HN"/>
        </w:rPr>
        <w:lastRenderedPageBreak/>
        <w:t>no estaban posteados</w:t>
      </w:r>
      <w:r w:rsidR="303B8CB0" w:rsidRPr="0076589C">
        <w:rPr>
          <w:sz w:val="24"/>
          <w:szCs w:val="24"/>
          <w:lang w:val="es-HN"/>
        </w:rPr>
        <w:t xml:space="preserve">, </w:t>
      </w:r>
      <w:r w:rsidR="40C46F34" w:rsidRPr="0076589C">
        <w:rPr>
          <w:sz w:val="24"/>
          <w:szCs w:val="24"/>
          <w:lang w:val="es-HN"/>
        </w:rPr>
        <w:t>por ende</w:t>
      </w:r>
      <w:r w:rsidR="2B34C517" w:rsidRPr="0076589C">
        <w:rPr>
          <w:sz w:val="24"/>
          <w:szCs w:val="24"/>
          <w:lang w:val="es-HN"/>
        </w:rPr>
        <w:t>,</w:t>
      </w:r>
      <w:r w:rsidR="40C46F34" w:rsidRPr="0076589C">
        <w:rPr>
          <w:sz w:val="24"/>
          <w:szCs w:val="24"/>
          <w:lang w:val="es-HN"/>
        </w:rPr>
        <w:t xml:space="preserve"> al postearlos las cuentas </w:t>
      </w:r>
      <w:r w:rsidR="798FFC53" w:rsidRPr="0076589C">
        <w:rPr>
          <w:sz w:val="24"/>
          <w:szCs w:val="24"/>
          <w:lang w:val="es-HN"/>
        </w:rPr>
        <w:t xml:space="preserve">por cobrar </w:t>
      </w:r>
      <w:r w:rsidR="40C46F34" w:rsidRPr="0076589C">
        <w:rPr>
          <w:sz w:val="24"/>
          <w:szCs w:val="24"/>
          <w:lang w:val="es-HN"/>
        </w:rPr>
        <w:t>bajaron bastante</w:t>
      </w:r>
      <w:r w:rsidR="5AE8EC79" w:rsidRPr="0076589C">
        <w:rPr>
          <w:sz w:val="24"/>
          <w:szCs w:val="24"/>
          <w:lang w:val="es-HN"/>
        </w:rPr>
        <w:t xml:space="preserve">, </w:t>
      </w:r>
      <w:r w:rsidR="2B34C517" w:rsidRPr="0076589C">
        <w:rPr>
          <w:sz w:val="24"/>
          <w:szCs w:val="24"/>
          <w:lang w:val="es-HN"/>
        </w:rPr>
        <w:t>después</w:t>
      </w:r>
      <w:r w:rsidR="5AE8EC79" w:rsidRPr="0076589C">
        <w:rPr>
          <w:sz w:val="24"/>
          <w:szCs w:val="24"/>
          <w:lang w:val="es-HN"/>
        </w:rPr>
        <w:t xml:space="preserve"> de ello en el 2022 se </w:t>
      </w:r>
      <w:r w:rsidR="14A8A133" w:rsidRPr="0076589C">
        <w:rPr>
          <w:sz w:val="24"/>
          <w:szCs w:val="24"/>
          <w:lang w:val="es-HN"/>
        </w:rPr>
        <w:t>logró</w:t>
      </w:r>
      <w:r w:rsidR="798FFC53" w:rsidRPr="0076589C">
        <w:rPr>
          <w:sz w:val="24"/>
          <w:szCs w:val="24"/>
          <w:lang w:val="es-HN"/>
        </w:rPr>
        <w:t xml:space="preserve"> mantener la</w:t>
      </w:r>
      <w:r w:rsidR="5AE8EC79" w:rsidRPr="0076589C">
        <w:rPr>
          <w:sz w:val="24"/>
          <w:szCs w:val="24"/>
          <w:lang w:val="es-HN"/>
        </w:rPr>
        <w:t xml:space="preserve"> </w:t>
      </w:r>
      <w:r w:rsidR="4109FD9B" w:rsidRPr="0076589C">
        <w:rPr>
          <w:sz w:val="24"/>
          <w:szCs w:val="24"/>
          <w:lang w:val="es-HN"/>
        </w:rPr>
        <w:t>buena</w:t>
      </w:r>
      <w:r w:rsidR="5AE8EC79" w:rsidRPr="0076589C">
        <w:rPr>
          <w:sz w:val="24"/>
          <w:szCs w:val="24"/>
          <w:lang w:val="es-HN"/>
        </w:rPr>
        <w:t xml:space="preserve"> gestión de </w:t>
      </w:r>
      <w:r w:rsidR="2B34C517" w:rsidRPr="0076589C">
        <w:rPr>
          <w:sz w:val="24"/>
          <w:szCs w:val="24"/>
          <w:lang w:val="es-HN"/>
        </w:rPr>
        <w:t>cobranza con dichos clientes.</w:t>
      </w:r>
    </w:p>
    <w:p w14:paraId="4685690F" w14:textId="4FA18D0E" w:rsidR="00320F24" w:rsidRPr="0076589C" w:rsidRDefault="00834559" w:rsidP="00620895">
      <w:pPr>
        <w:pStyle w:val="Fuentes"/>
        <w:jc w:val="both"/>
        <w:rPr>
          <w:sz w:val="24"/>
          <w:szCs w:val="24"/>
          <w:lang w:val="es-HN"/>
        </w:rPr>
      </w:pPr>
      <w:r w:rsidRPr="0076589C">
        <w:rPr>
          <w:noProof/>
          <w:lang w:val="es-HN" w:eastAsia="es-HN"/>
        </w:rPr>
        <w:drawing>
          <wp:anchor distT="0" distB="0" distL="114300" distR="114300" simplePos="0" relativeHeight="251658240" behindDoc="0" locked="0" layoutInCell="1" allowOverlap="1" wp14:anchorId="748181EB" wp14:editId="297A5746">
            <wp:simplePos x="0" y="0"/>
            <wp:positionH relativeFrom="margin">
              <wp:align>right</wp:align>
            </wp:positionH>
            <wp:positionV relativeFrom="paragraph">
              <wp:posOffset>2252345</wp:posOffset>
            </wp:positionV>
            <wp:extent cx="5932170" cy="3044825"/>
            <wp:effectExtent l="0" t="0" r="11430" b="3175"/>
            <wp:wrapThrough wrapText="bothSides">
              <wp:wrapPolygon edited="0">
                <wp:start x="0" y="0"/>
                <wp:lineTo x="0" y="21487"/>
                <wp:lineTo x="21572" y="21487"/>
                <wp:lineTo x="21572" y="0"/>
                <wp:lineTo x="0" y="0"/>
              </wp:wrapPolygon>
            </wp:wrapThrough>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margin">
              <wp14:pctWidth>0</wp14:pctWidth>
            </wp14:sizeRelH>
          </wp:anchor>
        </w:drawing>
      </w:r>
      <w:r w:rsidR="00320F24" w:rsidRPr="0076589C">
        <w:rPr>
          <w:sz w:val="24"/>
          <w:szCs w:val="24"/>
          <w:lang w:val="es-HN"/>
        </w:rPr>
        <w:t xml:space="preserve">Se considera </w:t>
      </w:r>
      <w:r w:rsidRPr="0076589C">
        <w:rPr>
          <w:sz w:val="24"/>
          <w:szCs w:val="24"/>
          <w:lang w:val="es-HN"/>
        </w:rPr>
        <w:t>que,</w:t>
      </w:r>
      <w:r w:rsidR="00320F24" w:rsidRPr="0076589C">
        <w:rPr>
          <w:sz w:val="24"/>
          <w:szCs w:val="24"/>
          <w:lang w:val="es-HN"/>
        </w:rPr>
        <w:t xml:space="preserve"> </w:t>
      </w:r>
      <w:r w:rsidR="005B7A2D" w:rsidRPr="0076589C">
        <w:rPr>
          <w:sz w:val="24"/>
          <w:szCs w:val="24"/>
          <w:lang w:val="es-HN"/>
        </w:rPr>
        <w:t>e</w:t>
      </w:r>
      <w:r w:rsidR="00781E12" w:rsidRPr="0076589C">
        <w:rPr>
          <w:sz w:val="24"/>
          <w:szCs w:val="24"/>
          <w:lang w:val="es-HN"/>
        </w:rPr>
        <w:t xml:space="preserve">n momentos de incertidumbre económica o necesidades de liquidez, las empresas a menudo optan por reducir sus cuentas por cobrar para disponer de efectivo más rápido. </w:t>
      </w:r>
      <w:r w:rsidR="00320F24" w:rsidRPr="0076589C">
        <w:rPr>
          <w:sz w:val="24"/>
          <w:szCs w:val="24"/>
          <w:lang w:val="es-HN"/>
        </w:rPr>
        <w:t>Esto fenómeno se pudo haber dado por el factor externo covid-2019 donde existía una incertidumbre económica en el país, por lo cual IPRA aumento su efectivo constantemente, el cual se pudo observar en el análisis horizontal realizado del balance general (incrementos de 129% y 197%). Este ocurrió</w:t>
      </w:r>
      <w:r w:rsidR="005B7A2D" w:rsidRPr="0076589C">
        <w:rPr>
          <w:sz w:val="24"/>
          <w:szCs w:val="24"/>
          <w:lang w:val="es-HN"/>
        </w:rPr>
        <w:t xml:space="preserve"> en el </w:t>
      </w:r>
      <w:r w:rsidR="00781E12" w:rsidRPr="0076589C">
        <w:rPr>
          <w:sz w:val="24"/>
          <w:szCs w:val="24"/>
          <w:lang w:val="es-HN"/>
        </w:rPr>
        <w:t>año en el que las ventas disminuyeron significativamente, como en 2021</w:t>
      </w:r>
      <w:r w:rsidR="005B7A2D" w:rsidRPr="0076589C">
        <w:rPr>
          <w:sz w:val="24"/>
          <w:szCs w:val="24"/>
          <w:lang w:val="es-HN"/>
        </w:rPr>
        <w:t xml:space="preserve"> ya que para ese año no se estaba vendiendo tan bien el producto sanitario que IPRA estaba produciendo, por su calidad y porque existía más oferta para ese momento</w:t>
      </w:r>
      <w:r w:rsidR="00320F24" w:rsidRPr="0076589C">
        <w:rPr>
          <w:sz w:val="24"/>
          <w:szCs w:val="24"/>
          <w:lang w:val="es-HN"/>
        </w:rPr>
        <w:t>.</w:t>
      </w:r>
    </w:p>
    <w:p w14:paraId="3D0B53FC" w14:textId="690B4B02" w:rsidR="005841F2" w:rsidRPr="0076589C" w:rsidRDefault="1C8D6E3A" w:rsidP="005841F2">
      <w:pPr>
        <w:pStyle w:val="ImagenyTabla"/>
        <w:rPr>
          <w:noProof w:val="0"/>
        </w:rPr>
      </w:pPr>
      <w:bookmarkStart w:id="261" w:name="_Toc158365591"/>
      <w:r w:rsidRPr="0076589C">
        <w:t xml:space="preserve">Figura </w:t>
      </w:r>
      <w:r w:rsidR="005841F2" w:rsidRPr="0076589C">
        <w:rPr>
          <w:noProof w:val="0"/>
        </w:rPr>
        <w:fldChar w:fldCharType="begin"/>
      </w:r>
      <w:r w:rsidR="005841F2" w:rsidRPr="0076589C">
        <w:rPr>
          <w:noProof w:val="0"/>
        </w:rPr>
        <w:instrText xml:space="preserve"> SEQ Figura \* ARABIC </w:instrText>
      </w:r>
      <w:r w:rsidR="005841F2" w:rsidRPr="0076589C">
        <w:rPr>
          <w:noProof w:val="0"/>
        </w:rPr>
        <w:fldChar w:fldCharType="separate"/>
      </w:r>
      <w:r w:rsidR="009F171A">
        <w:t>6</w:t>
      </w:r>
      <w:r w:rsidR="005841F2" w:rsidRPr="0076589C">
        <w:rPr>
          <w:noProof w:val="0"/>
        </w:rPr>
        <w:fldChar w:fldCharType="end"/>
      </w:r>
      <w:r w:rsidRPr="0076589C">
        <w:t>.  Tasa de crecimiento de la Cartera de Crédito IPRA (2019-2022)</w:t>
      </w:r>
      <w:bookmarkEnd w:id="261"/>
    </w:p>
    <w:p w14:paraId="7D176222" w14:textId="0A28CB51" w:rsidR="00D33EF8" w:rsidRPr="0076589C" w:rsidRDefault="1C8D6E3A" w:rsidP="00D33EF8">
      <w:pPr>
        <w:pStyle w:val="Fuentes"/>
        <w:rPr>
          <w:lang w:val="es-HN"/>
        </w:rPr>
      </w:pPr>
      <w:r w:rsidRPr="0076589C">
        <w:rPr>
          <w:lang w:val="es-HN"/>
        </w:rPr>
        <w:t>Fuente: Elaboración propia con datos de IPRA (2023).</w:t>
      </w:r>
    </w:p>
    <w:p w14:paraId="1AB4F18F" w14:textId="7B369C83" w:rsidR="00C93A87" w:rsidRPr="0076589C" w:rsidRDefault="00C93A87" w:rsidP="001551A2">
      <w:pPr>
        <w:pStyle w:val="TextoPrincipal"/>
        <w:spacing w:after="0"/>
        <w:rPr>
          <w:lang w:val="es-HN"/>
        </w:rPr>
      </w:pPr>
      <w:r w:rsidRPr="0076589C">
        <w:rPr>
          <w:lang w:val="es-HN"/>
        </w:rPr>
        <w:t xml:space="preserve">En la </w:t>
      </w:r>
      <w:r w:rsidRPr="0076589C">
        <w:rPr>
          <w:b/>
          <w:bCs/>
          <w:lang w:val="es-HN"/>
        </w:rPr>
        <w:t>Figura 6</w:t>
      </w:r>
      <w:r w:rsidRPr="0076589C">
        <w:rPr>
          <w:lang w:val="es-HN"/>
        </w:rPr>
        <w:t>, se muestra</w:t>
      </w:r>
      <w:r w:rsidRPr="0076589C">
        <w:rPr>
          <w:b/>
          <w:bCs/>
          <w:lang w:val="es-HN"/>
        </w:rPr>
        <w:t xml:space="preserve"> </w:t>
      </w:r>
      <w:r w:rsidRPr="0076589C">
        <w:rPr>
          <w:lang w:val="es-HN"/>
        </w:rPr>
        <w:t>la evolución de la Tasa de crecimiento de la cartera de crédito con respecto a sus ventas de la empresa IPRA en el periodo 2019-2022, donde el mayor año con cuentas por cobrar fue en el 2019 con L 11,548,799.61 y el año con mayores ventas fue el 2020 con alrededor de L 31,891,032.92.</w:t>
      </w:r>
    </w:p>
    <w:p w14:paraId="024FDF68" w14:textId="77777777" w:rsidR="001551A2" w:rsidRPr="0076589C" w:rsidRDefault="001551A2" w:rsidP="001551A2">
      <w:pPr>
        <w:pStyle w:val="TextoPrincipal"/>
        <w:spacing w:after="0"/>
        <w:rPr>
          <w:lang w:val="es-HN"/>
        </w:rPr>
      </w:pPr>
    </w:p>
    <w:p w14:paraId="00EA2CE2" w14:textId="77777777" w:rsidR="001707E4" w:rsidRPr="0076589C" w:rsidRDefault="1C8D6E3A" w:rsidP="004C68CE">
      <w:pPr>
        <w:pStyle w:val="Ttulonivel3"/>
        <w:numPr>
          <w:ilvl w:val="2"/>
          <w:numId w:val="6"/>
        </w:numPr>
        <w:ind w:left="720" w:firstLine="0"/>
      </w:pPr>
      <w:bookmarkStart w:id="262" w:name="_Toc158365523"/>
      <w:r w:rsidRPr="0076589C">
        <w:lastRenderedPageBreak/>
        <w:t>ANÁLISIS DE POLITICA DE CRÉDITO</w:t>
      </w:r>
      <w:bookmarkEnd w:id="262"/>
    </w:p>
    <w:p w14:paraId="56406792" w14:textId="7ABA2A94" w:rsidR="003707BF" w:rsidRPr="0076589C" w:rsidRDefault="1C8D6E3A" w:rsidP="003707BF">
      <w:pPr>
        <w:pStyle w:val="TextoPrincipal"/>
        <w:rPr>
          <w:lang w:val="es-HN"/>
        </w:rPr>
      </w:pPr>
      <w:r w:rsidRPr="0076589C">
        <w:rPr>
          <w:lang w:val="es-HN"/>
        </w:rPr>
        <w:t xml:space="preserve">Las políticas de crédito son los lineamientos técnicos de los que dispone el gerente financiero de una empresa, con la finalidad de otorgar facilidades de pago a un determinado cliente. Dicha política implica la determinación de la selección de crédito, las normas de crédito y las condiciones de crédito. Así mismo es una pauta para determinar si debe concederse crédito a un cliente y el monto de éste. La empresa no solamente debe ocuparse de los estándares de crédito que establece, sino también de la utilización correcta de estos estándares al tomar decisiones de crédito. </w:t>
      </w:r>
      <w:r w:rsidR="46994081" w:rsidRPr="0076589C">
        <w:rPr>
          <w:lang w:val="es-HN"/>
        </w:rPr>
        <w:fldChar w:fldCharType="begin"/>
      </w:r>
      <w:r w:rsidR="46994081" w:rsidRPr="0076589C">
        <w:rPr>
          <w:lang w:val="es-HN"/>
        </w:rPr>
        <w:instrText xml:space="preserve"> ADDIN ZOTERO_ITEM CSL_CITATION {"citationID":"hUC8J1V6","properties":{"formattedCitation":"(Conexi\\uc0\\u243{}n ESAN, 2016)","plainCitation":"(Conexión ESAN, 2016)","noteIndex":0},"citationItems":[{"id":383,"uris":["http://zotero.org/users/12108825/items/2N2ISC58"],"itemData":{"id":383,"type":"webpage","abstract":"Las entidades financieras deben establecer los criterios que utilizarán para evaluar a sus clientes y determinar el nivel de riesgo al que estarán expuestas con cada crédito. Estas políticas tienen su sustento en las estrategias aprobadas por el directorio.","language":"es-es","title":"La política de créditos de una entidad financiera","URL":"https://www.esan.edu.pe/conexion-esan/la-politica-de-creditos-de-una-entidad-financiera","author":[{"family":"Conexión ESAN","given":""}],"accessed":{"date-parts":[["2023",11,3]]},"issued":{"date-parts":[["2016"]]}}}],"schema":"https://github.com/citation-style-language/schema/raw/master/csl-citation.json"} </w:instrText>
      </w:r>
      <w:r w:rsidR="46994081" w:rsidRPr="0076589C">
        <w:rPr>
          <w:lang w:val="es-HN"/>
        </w:rPr>
        <w:fldChar w:fldCharType="separate"/>
      </w:r>
      <w:r w:rsidRPr="0076589C">
        <w:rPr>
          <w:lang w:val="es-HN"/>
        </w:rPr>
        <w:t>(Conexión ESAN, 2016)</w:t>
      </w:r>
      <w:r w:rsidR="46994081" w:rsidRPr="0076589C">
        <w:rPr>
          <w:lang w:val="es-HN"/>
        </w:rPr>
        <w:fldChar w:fldCharType="end"/>
      </w:r>
    </w:p>
    <w:p w14:paraId="530065DA" w14:textId="3169D568" w:rsidR="002930CF" w:rsidRPr="0076589C" w:rsidRDefault="1C8D6E3A" w:rsidP="00136D04">
      <w:pPr>
        <w:pStyle w:val="TextoPrincipal"/>
        <w:spacing w:after="0"/>
        <w:rPr>
          <w:lang w:val="es-HN"/>
        </w:rPr>
      </w:pPr>
      <w:r w:rsidRPr="0076589C">
        <w:rPr>
          <w:lang w:val="es-HN"/>
        </w:rPr>
        <w:t>El análisis de política de crédito es una faceta crítica en la gestión financiera de una empresa, que involucra una dimensión financiera esencial. los indicadores clave en este proceso se centran en el análisis de los plazos de crédito otorgados a los clientes y el análisis de los límites de crédito a cinco de los clientes que tienen mayores ventas. Esta variable es esencial para evaluar la eficacia de la política de crédito de una empresa y su impacto en el flujo de efectivo y la rentabilidad. Para llevar a cabo este análisis de manera efectiva, se recurre a estrategias como el análisis de la base de datos de IPRA, que proporciona una visión detallada de los términos y condiciones de crédito otorgados a los clientes, permitiendo una toma de decisiones más informada en el ámbito crediticio.</w:t>
      </w:r>
    </w:p>
    <w:p w14:paraId="7D34341C" w14:textId="77777777" w:rsidR="00136D04" w:rsidRPr="0076589C" w:rsidRDefault="00136D04" w:rsidP="00136D04">
      <w:pPr>
        <w:pStyle w:val="TextoPrincipal"/>
        <w:spacing w:after="0"/>
        <w:rPr>
          <w:lang w:val="es-HN"/>
        </w:rPr>
      </w:pPr>
    </w:p>
    <w:p w14:paraId="14A8A054" w14:textId="03B52D03" w:rsidR="005C734D" w:rsidRPr="0076589C" w:rsidRDefault="1C8D6E3A" w:rsidP="00CA0AF4">
      <w:pPr>
        <w:pStyle w:val="Ttulonivel4"/>
        <w:numPr>
          <w:ilvl w:val="0"/>
          <w:numId w:val="34"/>
        </w:numPr>
        <w:ind w:left="1440" w:firstLine="0"/>
      </w:pPr>
      <w:r w:rsidRPr="0076589C">
        <w:t>DIMENSIÓN FINANCIERA</w:t>
      </w:r>
    </w:p>
    <w:p w14:paraId="4E7BB6C9" w14:textId="71692405" w:rsidR="005C734D" w:rsidRPr="0076589C" w:rsidRDefault="1C8D6E3A" w:rsidP="00136D04">
      <w:pPr>
        <w:pStyle w:val="Normal1"/>
        <w:spacing w:after="0" w:line="360" w:lineRule="auto"/>
        <w:ind w:firstLine="720"/>
        <w:jc w:val="both"/>
        <w:rPr>
          <w:rFonts w:eastAsia="Calibri"/>
        </w:rPr>
      </w:pPr>
      <w:r w:rsidRPr="0076589C">
        <w:rPr>
          <w:rFonts w:eastAsia="Calibri"/>
        </w:rPr>
        <w:t>La dimensión financiera desempeña un papel fundamental en la gestión empresarial al ofrecer una perspectiva integral sobre la salud económica de una organización. En este contexto, la utilización de indicadores que se enfoquen en el análisis de los plazos de crédito otorgados a los clientes y en la evaluación de los límites de crédito desempeña un papel crucial. Estos indicadores permiten una comprensión profunda de cómo la empresa administra su política de crédito y cómo impacta directamente en su flujo de efectivo, su rentabilidad y su gestión de riesgos.</w:t>
      </w:r>
    </w:p>
    <w:p w14:paraId="1F0F12AF" w14:textId="77777777" w:rsidR="00136D04" w:rsidRPr="0076589C" w:rsidRDefault="00136D04" w:rsidP="00136D04"/>
    <w:p w14:paraId="35BA8697" w14:textId="15122A89" w:rsidR="001707E4" w:rsidRPr="0076589C" w:rsidRDefault="1C8D6E3A" w:rsidP="0053775F">
      <w:pPr>
        <w:pStyle w:val="Nivel5"/>
        <w:numPr>
          <w:ilvl w:val="0"/>
          <w:numId w:val="35"/>
        </w:numPr>
        <w:ind w:left="1440" w:firstLine="0"/>
      </w:pPr>
      <w:r w:rsidRPr="0076589C">
        <w:t>ANÁLISIS DE LOS PLAZOS DE CRÉDITO SEGÚN CLIENTE</w:t>
      </w:r>
    </w:p>
    <w:p w14:paraId="74D4EFD9" w14:textId="7928EDD7" w:rsidR="00164A62" w:rsidRPr="0076589C" w:rsidRDefault="1C8D6E3A" w:rsidP="5869870D">
      <w:pPr>
        <w:pStyle w:val="TextoPrincipal"/>
        <w:rPr>
          <w:lang w:val="es-HN"/>
        </w:rPr>
      </w:pPr>
      <w:r w:rsidRPr="0076589C">
        <w:rPr>
          <w:lang w:val="es-HN"/>
        </w:rPr>
        <w:t xml:space="preserve">El análisis de plazos de crédito según cliente es un proceso continuo que requiere una combinación de evaluación de riesgo, gestión de relaciones y una política de crédito bien definida. </w:t>
      </w:r>
      <w:r w:rsidRPr="0076589C">
        <w:rPr>
          <w:lang w:val="es-HN"/>
        </w:rPr>
        <w:lastRenderedPageBreak/>
        <w:t>Al adaptar los plazos de crédito a las necesidades y el comportamiento de cada grupo de clientes, las empresas pueden optimizar su gestión de cuentas por cobrar y minimizar el riesgo crediticio</w:t>
      </w:r>
      <w:r w:rsidR="00164A62" w:rsidRPr="0076589C">
        <w:rPr>
          <w:lang w:val="es-HN"/>
        </w:rPr>
        <w:t>.</w:t>
      </w:r>
    </w:p>
    <w:p w14:paraId="3B8CDD26" w14:textId="457B29B1" w:rsidR="00C93A87" w:rsidRPr="0076589C" w:rsidRDefault="006F30D0" w:rsidP="00744379">
      <w:pPr>
        <w:pStyle w:val="TextoPrincipal"/>
        <w:rPr>
          <w:lang w:val="es-HN"/>
        </w:rPr>
      </w:pPr>
      <w:r w:rsidRPr="0076589C">
        <w:rPr>
          <w:lang w:val="es-HN"/>
        </w:rPr>
        <w:t>Para que una empresa asigne un porcentaje del total de sus ventas como créditos a sus clientes, en la actualidad n</w:t>
      </w:r>
      <w:r w:rsidR="00164A62" w:rsidRPr="0076589C">
        <w:rPr>
          <w:lang w:val="es-HN"/>
        </w:rPr>
        <w:t xml:space="preserve">o hay un </w:t>
      </w:r>
      <w:r w:rsidRPr="0076589C">
        <w:rPr>
          <w:lang w:val="es-HN"/>
        </w:rPr>
        <w:t>parámetro</w:t>
      </w:r>
      <w:r w:rsidR="00164A62" w:rsidRPr="0076589C">
        <w:rPr>
          <w:lang w:val="es-HN"/>
        </w:rPr>
        <w:t xml:space="preserve"> único que </w:t>
      </w:r>
      <w:r w:rsidR="00E8210B" w:rsidRPr="0076589C">
        <w:rPr>
          <w:lang w:val="es-HN"/>
        </w:rPr>
        <w:t>se defina</w:t>
      </w:r>
      <w:r w:rsidR="00164A62" w:rsidRPr="0076589C">
        <w:rPr>
          <w:lang w:val="es-HN"/>
        </w:rPr>
        <w:t xml:space="preserve"> para todas las empresas, ya que cada situación es </w:t>
      </w:r>
      <w:r w:rsidR="00744379" w:rsidRPr="0076589C">
        <w:rPr>
          <w:lang w:val="es-HN"/>
        </w:rPr>
        <w:t>diferente</w:t>
      </w:r>
      <w:r w:rsidR="00164A62" w:rsidRPr="0076589C">
        <w:rPr>
          <w:lang w:val="es-HN"/>
        </w:rPr>
        <w:t>. La clave es encontrar un equilibrio entre impulsar las ventas y mitigar el riesgo crediticio. Además, es fundamental revisar y ajustar estos límites de manera regular a medida que cambian las circunstancias económicas y comerciales.</w:t>
      </w:r>
      <w:bookmarkStart w:id="263" w:name="_Hlk150707630"/>
    </w:p>
    <w:p w14:paraId="6F894957" w14:textId="5F174E53" w:rsidR="00AA3B78" w:rsidRPr="0076589C" w:rsidRDefault="1C8D6E3A" w:rsidP="00026C68">
      <w:pPr>
        <w:pStyle w:val="ImagenyTabla"/>
        <w:rPr>
          <w:noProof w:val="0"/>
        </w:rPr>
      </w:pPr>
      <w:bookmarkStart w:id="264" w:name="_Toc158365559"/>
      <w:r w:rsidRPr="0076589C">
        <w:t xml:space="preserve">Tabla </w:t>
      </w:r>
      <w:r w:rsidR="00233D0B" w:rsidRPr="0076589C">
        <w:rPr>
          <w:noProof w:val="0"/>
        </w:rPr>
        <w:fldChar w:fldCharType="begin"/>
      </w:r>
      <w:r w:rsidR="00233D0B" w:rsidRPr="0076589C">
        <w:rPr>
          <w:noProof w:val="0"/>
        </w:rPr>
        <w:instrText xml:space="preserve"> SEQ Tabla \* ARABIC </w:instrText>
      </w:r>
      <w:r w:rsidR="00233D0B" w:rsidRPr="0076589C">
        <w:rPr>
          <w:noProof w:val="0"/>
        </w:rPr>
        <w:fldChar w:fldCharType="separate"/>
      </w:r>
      <w:r w:rsidR="009F171A">
        <w:t>11</w:t>
      </w:r>
      <w:r w:rsidR="00233D0B" w:rsidRPr="0076589C">
        <w:rPr>
          <w:noProof w:val="0"/>
        </w:rPr>
        <w:fldChar w:fldCharType="end"/>
      </w:r>
      <w:r w:rsidRPr="0076589C">
        <w:t>. Plazos de crédito según clientes en IPRA (2019-2022)</w:t>
      </w:r>
      <w:bookmarkEnd w:id="263"/>
      <w:bookmarkEnd w:id="264"/>
    </w:p>
    <w:tbl>
      <w:tblPr>
        <w:tblW w:w="5000" w:type="pct"/>
        <w:tblLook w:val="04A0" w:firstRow="1" w:lastRow="0" w:firstColumn="1" w:lastColumn="0" w:noHBand="0" w:noVBand="1"/>
      </w:tblPr>
      <w:tblGrid>
        <w:gridCol w:w="938"/>
        <w:gridCol w:w="1348"/>
        <w:gridCol w:w="1194"/>
        <w:gridCol w:w="1024"/>
        <w:gridCol w:w="913"/>
        <w:gridCol w:w="856"/>
        <w:gridCol w:w="745"/>
        <w:gridCol w:w="761"/>
        <w:gridCol w:w="745"/>
        <w:gridCol w:w="836"/>
      </w:tblGrid>
      <w:tr w:rsidR="00AA3B78" w:rsidRPr="0076589C" w14:paraId="227A2E5A" w14:textId="77777777" w:rsidTr="00AA3B78">
        <w:trPr>
          <w:trHeight w:val="270"/>
        </w:trPr>
        <w:tc>
          <w:tcPr>
            <w:tcW w:w="1761" w:type="pct"/>
            <w:gridSpan w:val="3"/>
            <w:tcBorders>
              <w:top w:val="nil"/>
              <w:left w:val="nil"/>
              <w:bottom w:val="nil"/>
              <w:right w:val="nil"/>
            </w:tcBorders>
            <w:shd w:val="clear" w:color="auto" w:fill="auto"/>
            <w:noWrap/>
            <w:vAlign w:val="bottom"/>
            <w:hideMark/>
          </w:tcPr>
          <w:p w14:paraId="051B1264" w14:textId="77777777" w:rsidR="00AA3B78" w:rsidRPr="0076589C" w:rsidRDefault="00AA3B78" w:rsidP="00AA3B78">
            <w:pPr>
              <w:spacing w:after="0" w:line="240" w:lineRule="auto"/>
              <w:ind w:left="0"/>
              <w:rPr>
                <w:rFonts w:ascii="Calibri" w:eastAsia="Times New Roman" w:hAnsi="Calibri" w:cs="Calibri"/>
                <w:b/>
                <w:bCs/>
                <w:i/>
                <w:iCs/>
                <w:color w:val="000000"/>
                <w:sz w:val="18"/>
                <w:szCs w:val="18"/>
                <w:u w:val="single"/>
              </w:rPr>
            </w:pPr>
            <w:r w:rsidRPr="0076589C">
              <w:rPr>
                <w:rFonts w:ascii="Calibri" w:eastAsia="Times New Roman" w:hAnsi="Calibri" w:cs="Calibri"/>
                <w:b/>
                <w:bCs/>
                <w:i/>
                <w:iCs/>
                <w:color w:val="000000"/>
                <w:sz w:val="18"/>
                <w:szCs w:val="18"/>
                <w:u w:val="single"/>
              </w:rPr>
              <w:t>Plazos de crédito según clientes</w:t>
            </w:r>
          </w:p>
        </w:tc>
        <w:tc>
          <w:tcPr>
            <w:tcW w:w="667" w:type="pct"/>
            <w:tcBorders>
              <w:top w:val="nil"/>
              <w:left w:val="nil"/>
              <w:bottom w:val="single" w:sz="8" w:space="0" w:color="88BADC"/>
              <w:right w:val="nil"/>
            </w:tcBorders>
            <w:shd w:val="clear" w:color="auto" w:fill="auto"/>
            <w:noWrap/>
            <w:vAlign w:val="bottom"/>
            <w:hideMark/>
          </w:tcPr>
          <w:p w14:paraId="7A9D3BF9" w14:textId="77777777" w:rsidR="00AA3B78" w:rsidRPr="0076589C" w:rsidRDefault="00AA3B78" w:rsidP="00AA3B7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sz w:val="18"/>
                <w:szCs w:val="18"/>
              </w:rPr>
              <w:t> </w:t>
            </w:r>
          </w:p>
        </w:tc>
        <w:tc>
          <w:tcPr>
            <w:tcW w:w="607" w:type="pct"/>
            <w:tcBorders>
              <w:top w:val="nil"/>
              <w:left w:val="nil"/>
              <w:bottom w:val="single" w:sz="8" w:space="0" w:color="88BADC"/>
              <w:right w:val="nil"/>
            </w:tcBorders>
            <w:shd w:val="clear" w:color="auto" w:fill="auto"/>
            <w:noWrap/>
            <w:vAlign w:val="bottom"/>
            <w:hideMark/>
          </w:tcPr>
          <w:p w14:paraId="7D12C1C1" w14:textId="77777777" w:rsidR="00AA3B78" w:rsidRPr="0076589C" w:rsidRDefault="00AA3B78" w:rsidP="00AA3B7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sz w:val="18"/>
                <w:szCs w:val="18"/>
              </w:rPr>
              <w:t> </w:t>
            </w:r>
          </w:p>
        </w:tc>
        <w:tc>
          <w:tcPr>
            <w:tcW w:w="577" w:type="pct"/>
            <w:tcBorders>
              <w:top w:val="nil"/>
              <w:left w:val="nil"/>
              <w:bottom w:val="single" w:sz="8" w:space="0" w:color="88BADC"/>
              <w:right w:val="nil"/>
            </w:tcBorders>
            <w:shd w:val="clear" w:color="auto" w:fill="auto"/>
            <w:noWrap/>
            <w:vAlign w:val="bottom"/>
            <w:hideMark/>
          </w:tcPr>
          <w:p w14:paraId="53A00485" w14:textId="77777777" w:rsidR="00AA3B78" w:rsidRPr="0076589C" w:rsidRDefault="00AA3B78" w:rsidP="00AA3B7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sz w:val="18"/>
                <w:szCs w:val="18"/>
              </w:rPr>
              <w:t> </w:t>
            </w:r>
          </w:p>
        </w:tc>
        <w:tc>
          <w:tcPr>
            <w:tcW w:w="420" w:type="pct"/>
            <w:tcBorders>
              <w:top w:val="nil"/>
              <w:left w:val="nil"/>
              <w:bottom w:val="single" w:sz="8" w:space="0" w:color="88BADC"/>
              <w:right w:val="nil"/>
            </w:tcBorders>
            <w:shd w:val="clear" w:color="auto" w:fill="auto"/>
            <w:noWrap/>
            <w:vAlign w:val="bottom"/>
            <w:hideMark/>
          </w:tcPr>
          <w:p w14:paraId="3CDA4273" w14:textId="77777777" w:rsidR="00AA3B78" w:rsidRPr="0076589C" w:rsidRDefault="00AA3B78" w:rsidP="00AA3B7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sz w:val="18"/>
                <w:szCs w:val="18"/>
              </w:rPr>
              <w:t> </w:t>
            </w:r>
          </w:p>
        </w:tc>
        <w:tc>
          <w:tcPr>
            <w:tcW w:w="308" w:type="pct"/>
            <w:tcBorders>
              <w:top w:val="nil"/>
              <w:left w:val="nil"/>
              <w:bottom w:val="single" w:sz="8" w:space="0" w:color="88BADC"/>
              <w:right w:val="nil"/>
            </w:tcBorders>
            <w:shd w:val="clear" w:color="auto" w:fill="auto"/>
            <w:noWrap/>
            <w:vAlign w:val="bottom"/>
            <w:hideMark/>
          </w:tcPr>
          <w:p w14:paraId="1C341158" w14:textId="77777777" w:rsidR="00AA3B78" w:rsidRPr="0076589C" w:rsidRDefault="00AA3B78" w:rsidP="00AA3B7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sz w:val="18"/>
                <w:szCs w:val="18"/>
              </w:rPr>
              <w:t> </w:t>
            </w:r>
          </w:p>
        </w:tc>
        <w:tc>
          <w:tcPr>
            <w:tcW w:w="307" w:type="pct"/>
            <w:tcBorders>
              <w:top w:val="nil"/>
              <w:left w:val="nil"/>
              <w:bottom w:val="single" w:sz="8" w:space="0" w:color="88BADC"/>
              <w:right w:val="nil"/>
            </w:tcBorders>
            <w:shd w:val="clear" w:color="auto" w:fill="auto"/>
            <w:noWrap/>
            <w:vAlign w:val="bottom"/>
            <w:hideMark/>
          </w:tcPr>
          <w:p w14:paraId="148A0F19" w14:textId="77777777" w:rsidR="00AA3B78" w:rsidRPr="0076589C" w:rsidRDefault="00AA3B78" w:rsidP="00AA3B7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sz w:val="18"/>
                <w:szCs w:val="18"/>
              </w:rPr>
              <w:t> </w:t>
            </w:r>
          </w:p>
        </w:tc>
        <w:tc>
          <w:tcPr>
            <w:tcW w:w="352" w:type="pct"/>
            <w:tcBorders>
              <w:top w:val="nil"/>
              <w:left w:val="nil"/>
              <w:bottom w:val="single" w:sz="8" w:space="0" w:color="88BADC"/>
              <w:right w:val="nil"/>
            </w:tcBorders>
            <w:shd w:val="clear" w:color="auto" w:fill="auto"/>
            <w:noWrap/>
            <w:vAlign w:val="bottom"/>
            <w:hideMark/>
          </w:tcPr>
          <w:p w14:paraId="0F71F96B" w14:textId="77777777" w:rsidR="00AA3B78" w:rsidRPr="0076589C" w:rsidRDefault="00AA3B78" w:rsidP="00AA3B78">
            <w:pPr>
              <w:spacing w:after="0" w:line="240" w:lineRule="auto"/>
              <w:ind w:left="0"/>
              <w:rPr>
                <w:rFonts w:ascii="Calibri" w:eastAsia="Times New Roman" w:hAnsi="Calibri" w:cs="Calibri"/>
                <w:color w:val="000000"/>
                <w:sz w:val="18"/>
                <w:szCs w:val="18"/>
              </w:rPr>
            </w:pPr>
            <w:r w:rsidRPr="0076589C">
              <w:rPr>
                <w:rFonts w:ascii="Calibri" w:eastAsia="Times New Roman" w:hAnsi="Calibri" w:cs="Calibri"/>
                <w:color w:val="000000"/>
                <w:sz w:val="18"/>
                <w:szCs w:val="18"/>
              </w:rPr>
              <w:t> </w:t>
            </w:r>
          </w:p>
        </w:tc>
      </w:tr>
      <w:tr w:rsidR="00AA3B78" w:rsidRPr="0076589C" w14:paraId="25D923C3" w14:textId="77777777" w:rsidTr="00AA3B78">
        <w:trPr>
          <w:trHeight w:val="290"/>
        </w:trPr>
        <w:tc>
          <w:tcPr>
            <w:tcW w:w="394" w:type="pct"/>
            <w:tcBorders>
              <w:top w:val="nil"/>
              <w:left w:val="nil"/>
              <w:bottom w:val="single" w:sz="8" w:space="0" w:color="88BADC"/>
              <w:right w:val="nil"/>
            </w:tcBorders>
            <w:shd w:val="clear" w:color="auto" w:fill="auto"/>
            <w:noWrap/>
            <w:vAlign w:val="center"/>
            <w:hideMark/>
          </w:tcPr>
          <w:p w14:paraId="4450FA2D"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 </w:t>
            </w:r>
          </w:p>
        </w:tc>
        <w:tc>
          <w:tcPr>
            <w:tcW w:w="609" w:type="pct"/>
            <w:tcBorders>
              <w:top w:val="nil"/>
              <w:left w:val="nil"/>
              <w:bottom w:val="single" w:sz="8" w:space="0" w:color="88BADC"/>
              <w:right w:val="nil"/>
            </w:tcBorders>
            <w:shd w:val="clear" w:color="auto" w:fill="auto"/>
            <w:noWrap/>
            <w:vAlign w:val="center"/>
            <w:hideMark/>
          </w:tcPr>
          <w:p w14:paraId="719A7520"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 </w:t>
            </w:r>
          </w:p>
        </w:tc>
        <w:tc>
          <w:tcPr>
            <w:tcW w:w="758" w:type="pct"/>
            <w:tcBorders>
              <w:top w:val="nil"/>
              <w:left w:val="nil"/>
              <w:bottom w:val="single" w:sz="8" w:space="0" w:color="88BADC"/>
              <w:right w:val="single" w:sz="8" w:space="0" w:color="88BADC"/>
            </w:tcBorders>
            <w:shd w:val="clear" w:color="auto" w:fill="auto"/>
            <w:vAlign w:val="center"/>
            <w:hideMark/>
          </w:tcPr>
          <w:p w14:paraId="4D8C323A" w14:textId="77777777" w:rsidR="00AA3B78" w:rsidRPr="0076589C" w:rsidRDefault="00AA3B78" w:rsidP="00AA3B78">
            <w:pPr>
              <w:spacing w:after="0" w:line="240" w:lineRule="auto"/>
              <w:ind w:left="0"/>
              <w:rPr>
                <w:rFonts w:ascii="Calibri" w:eastAsia="Times New Roman" w:hAnsi="Calibri" w:cs="Calibri"/>
                <w:i/>
                <w:iCs/>
                <w:color w:val="000000"/>
                <w:sz w:val="18"/>
                <w:szCs w:val="18"/>
              </w:rPr>
            </w:pPr>
            <w:r w:rsidRPr="0076589C">
              <w:rPr>
                <w:rFonts w:ascii="Calibri" w:eastAsia="Times New Roman" w:hAnsi="Calibri" w:cs="Calibri"/>
                <w:i/>
                <w:iCs/>
                <w:color w:val="000000"/>
                <w:sz w:val="18"/>
                <w:szCs w:val="18"/>
              </w:rPr>
              <w:t> </w:t>
            </w:r>
          </w:p>
        </w:tc>
        <w:tc>
          <w:tcPr>
            <w:tcW w:w="1851" w:type="pct"/>
            <w:gridSpan w:val="3"/>
            <w:tcBorders>
              <w:top w:val="single" w:sz="8" w:space="0" w:color="88BADC"/>
              <w:left w:val="nil"/>
              <w:bottom w:val="single" w:sz="8" w:space="0" w:color="85BADC"/>
              <w:right w:val="single" w:sz="8" w:space="0" w:color="88BADC"/>
            </w:tcBorders>
            <w:shd w:val="clear" w:color="auto" w:fill="auto"/>
            <w:noWrap/>
            <w:vAlign w:val="center"/>
            <w:hideMark/>
          </w:tcPr>
          <w:p w14:paraId="166FC09A" w14:textId="77777777" w:rsidR="00AA3B78" w:rsidRPr="0076589C" w:rsidRDefault="00AA3B78" w:rsidP="00AA3B78">
            <w:pPr>
              <w:spacing w:after="0" w:line="240" w:lineRule="auto"/>
              <w:ind w:left="0"/>
              <w:jc w:val="center"/>
              <w:rPr>
                <w:rFonts w:ascii="Calibri" w:eastAsia="Times New Roman" w:hAnsi="Calibri" w:cs="Calibri"/>
                <w:b/>
                <w:bCs/>
                <w:i/>
                <w:iCs/>
                <w:color w:val="44546A"/>
                <w:sz w:val="18"/>
                <w:szCs w:val="18"/>
              </w:rPr>
            </w:pPr>
            <w:r w:rsidRPr="0076589C">
              <w:rPr>
                <w:rFonts w:ascii="Calibri" w:eastAsia="Times New Roman" w:hAnsi="Calibri" w:cs="Calibri"/>
                <w:b/>
                <w:bCs/>
                <w:i/>
                <w:iCs/>
                <w:color w:val="44546A"/>
                <w:sz w:val="18"/>
                <w:szCs w:val="18"/>
              </w:rPr>
              <w:t>Tipos de Clientes</w:t>
            </w:r>
          </w:p>
        </w:tc>
        <w:tc>
          <w:tcPr>
            <w:tcW w:w="1387" w:type="pct"/>
            <w:gridSpan w:val="4"/>
            <w:tcBorders>
              <w:top w:val="nil"/>
              <w:left w:val="nil"/>
              <w:bottom w:val="single" w:sz="8" w:space="0" w:color="85BADC"/>
              <w:right w:val="single" w:sz="8" w:space="0" w:color="88BADC"/>
            </w:tcBorders>
            <w:shd w:val="clear" w:color="auto" w:fill="auto"/>
            <w:noWrap/>
            <w:vAlign w:val="center"/>
            <w:hideMark/>
          </w:tcPr>
          <w:p w14:paraId="583C8C24" w14:textId="0FE4DB72" w:rsidR="00AA3B78" w:rsidRPr="0076589C" w:rsidRDefault="00AA3B78" w:rsidP="00AA3B78">
            <w:pPr>
              <w:spacing w:after="0" w:line="240" w:lineRule="auto"/>
              <w:ind w:left="0"/>
              <w:jc w:val="center"/>
              <w:rPr>
                <w:rFonts w:ascii="Calibri" w:eastAsia="Times New Roman" w:hAnsi="Calibri" w:cs="Calibri"/>
                <w:b/>
                <w:bCs/>
                <w:i/>
                <w:iCs/>
                <w:color w:val="44546A"/>
                <w:sz w:val="18"/>
                <w:szCs w:val="18"/>
              </w:rPr>
            </w:pPr>
            <w:r w:rsidRPr="0076589C">
              <w:rPr>
                <w:rFonts w:ascii="Calibri" w:eastAsia="Times New Roman" w:hAnsi="Calibri" w:cs="Calibri"/>
                <w:b/>
                <w:bCs/>
                <w:i/>
                <w:iCs/>
                <w:color w:val="44546A"/>
                <w:sz w:val="18"/>
                <w:szCs w:val="18"/>
              </w:rPr>
              <w:t xml:space="preserve">Plazos </w:t>
            </w:r>
            <w:r w:rsidR="00026C68" w:rsidRPr="0076589C">
              <w:rPr>
                <w:rFonts w:ascii="Calibri" w:eastAsia="Times New Roman" w:hAnsi="Calibri" w:cs="Calibri"/>
                <w:b/>
                <w:bCs/>
                <w:i/>
                <w:iCs/>
                <w:color w:val="44546A"/>
                <w:sz w:val="18"/>
                <w:szCs w:val="18"/>
              </w:rPr>
              <w:t>créditos</w:t>
            </w:r>
          </w:p>
        </w:tc>
      </w:tr>
      <w:tr w:rsidR="00AA3B78" w:rsidRPr="0076589C" w14:paraId="2AB373C1" w14:textId="77777777" w:rsidTr="00AA3B78">
        <w:trPr>
          <w:trHeight w:val="530"/>
        </w:trPr>
        <w:tc>
          <w:tcPr>
            <w:tcW w:w="394" w:type="pct"/>
            <w:tcBorders>
              <w:top w:val="nil"/>
              <w:left w:val="single" w:sz="8" w:space="0" w:color="88BADC"/>
              <w:bottom w:val="single" w:sz="8" w:space="0" w:color="85BADC"/>
              <w:right w:val="nil"/>
            </w:tcBorders>
            <w:shd w:val="clear" w:color="auto" w:fill="auto"/>
            <w:noWrap/>
            <w:vAlign w:val="center"/>
            <w:hideMark/>
          </w:tcPr>
          <w:p w14:paraId="163DABC9" w14:textId="77777777" w:rsidR="00AA3B78" w:rsidRPr="0076589C" w:rsidRDefault="00AA3B78" w:rsidP="00AA3B78">
            <w:pPr>
              <w:spacing w:after="0" w:line="240" w:lineRule="auto"/>
              <w:ind w:left="0"/>
              <w:jc w:val="center"/>
              <w:rPr>
                <w:rFonts w:ascii="Calibri" w:eastAsia="Times New Roman" w:hAnsi="Calibri" w:cs="Calibri"/>
                <w:b/>
                <w:bCs/>
                <w:i/>
                <w:iCs/>
                <w:color w:val="000000"/>
                <w:sz w:val="18"/>
                <w:szCs w:val="18"/>
              </w:rPr>
            </w:pPr>
            <w:r w:rsidRPr="0076589C">
              <w:rPr>
                <w:rFonts w:ascii="Calibri" w:eastAsia="Times New Roman" w:hAnsi="Calibri" w:cs="Calibri"/>
                <w:b/>
                <w:bCs/>
                <w:i/>
                <w:iCs/>
                <w:color w:val="000000"/>
                <w:sz w:val="18"/>
                <w:szCs w:val="18"/>
              </w:rPr>
              <w:t xml:space="preserve">Año </w:t>
            </w:r>
          </w:p>
        </w:tc>
        <w:tc>
          <w:tcPr>
            <w:tcW w:w="609" w:type="pct"/>
            <w:tcBorders>
              <w:top w:val="nil"/>
              <w:left w:val="nil"/>
              <w:bottom w:val="single" w:sz="8" w:space="0" w:color="85BADC"/>
              <w:right w:val="nil"/>
            </w:tcBorders>
            <w:shd w:val="clear" w:color="auto" w:fill="auto"/>
            <w:noWrap/>
            <w:vAlign w:val="center"/>
            <w:hideMark/>
          </w:tcPr>
          <w:p w14:paraId="56F3FD7C" w14:textId="77777777" w:rsidR="00AA3B78" w:rsidRPr="0076589C" w:rsidRDefault="00AA3B78" w:rsidP="00AA3B78">
            <w:pPr>
              <w:spacing w:after="0" w:line="240" w:lineRule="auto"/>
              <w:ind w:left="0"/>
              <w:jc w:val="center"/>
              <w:rPr>
                <w:rFonts w:ascii="Calibri" w:eastAsia="Times New Roman" w:hAnsi="Calibri" w:cs="Calibri"/>
                <w:b/>
                <w:bCs/>
                <w:i/>
                <w:iCs/>
                <w:color w:val="000000"/>
                <w:sz w:val="18"/>
                <w:szCs w:val="18"/>
              </w:rPr>
            </w:pPr>
            <w:r w:rsidRPr="0076589C">
              <w:rPr>
                <w:rFonts w:ascii="Calibri" w:eastAsia="Times New Roman" w:hAnsi="Calibri" w:cs="Calibri"/>
                <w:b/>
                <w:bCs/>
                <w:i/>
                <w:iCs/>
                <w:color w:val="000000"/>
                <w:sz w:val="18"/>
                <w:szCs w:val="18"/>
              </w:rPr>
              <w:t>No. De Clientes</w:t>
            </w:r>
          </w:p>
        </w:tc>
        <w:tc>
          <w:tcPr>
            <w:tcW w:w="758" w:type="pct"/>
            <w:tcBorders>
              <w:top w:val="nil"/>
              <w:left w:val="nil"/>
              <w:bottom w:val="single" w:sz="8" w:space="0" w:color="85BADC"/>
              <w:right w:val="single" w:sz="8" w:space="0" w:color="88BADC"/>
            </w:tcBorders>
            <w:shd w:val="clear" w:color="auto" w:fill="auto"/>
            <w:vAlign w:val="center"/>
            <w:hideMark/>
          </w:tcPr>
          <w:p w14:paraId="6950521D" w14:textId="77777777" w:rsidR="00AA3B78" w:rsidRPr="0076589C" w:rsidRDefault="00AA3B78" w:rsidP="00AA3B78">
            <w:pPr>
              <w:spacing w:after="0" w:line="240" w:lineRule="auto"/>
              <w:ind w:left="0"/>
              <w:jc w:val="center"/>
              <w:rPr>
                <w:rFonts w:ascii="Calibri" w:eastAsia="Times New Roman" w:hAnsi="Calibri" w:cs="Calibri"/>
                <w:b/>
                <w:bCs/>
                <w:i/>
                <w:iCs/>
                <w:color w:val="000000"/>
                <w:sz w:val="18"/>
                <w:szCs w:val="18"/>
              </w:rPr>
            </w:pPr>
            <w:r w:rsidRPr="0076589C">
              <w:rPr>
                <w:rFonts w:ascii="Calibri" w:eastAsia="Times New Roman" w:hAnsi="Calibri" w:cs="Calibri"/>
                <w:b/>
                <w:bCs/>
                <w:i/>
                <w:iCs/>
                <w:color w:val="000000"/>
                <w:sz w:val="18"/>
                <w:szCs w:val="18"/>
              </w:rPr>
              <w:t>Tasa de Crecimiento Clientes</w:t>
            </w:r>
          </w:p>
        </w:tc>
        <w:tc>
          <w:tcPr>
            <w:tcW w:w="667" w:type="pct"/>
            <w:tcBorders>
              <w:top w:val="nil"/>
              <w:left w:val="nil"/>
              <w:bottom w:val="single" w:sz="8" w:space="0" w:color="85BADC"/>
              <w:right w:val="nil"/>
            </w:tcBorders>
            <w:shd w:val="clear" w:color="auto" w:fill="auto"/>
            <w:vAlign w:val="center"/>
            <w:hideMark/>
          </w:tcPr>
          <w:p w14:paraId="496B1B18" w14:textId="77777777" w:rsidR="00AA3B78" w:rsidRPr="0076589C" w:rsidRDefault="00AA3B78" w:rsidP="00AA3B78">
            <w:pPr>
              <w:spacing w:after="0" w:line="240" w:lineRule="auto"/>
              <w:ind w:left="0"/>
              <w:jc w:val="center"/>
              <w:rPr>
                <w:rFonts w:ascii="Calibri" w:eastAsia="Times New Roman" w:hAnsi="Calibri" w:cs="Calibri"/>
                <w:b/>
                <w:bCs/>
                <w:i/>
                <w:iCs/>
                <w:color w:val="000000"/>
                <w:sz w:val="18"/>
                <w:szCs w:val="18"/>
              </w:rPr>
            </w:pPr>
            <w:r w:rsidRPr="0076589C">
              <w:rPr>
                <w:rFonts w:ascii="Calibri" w:eastAsia="Times New Roman" w:hAnsi="Calibri" w:cs="Calibri"/>
                <w:b/>
                <w:bCs/>
                <w:i/>
                <w:iCs/>
                <w:color w:val="000000"/>
                <w:sz w:val="18"/>
                <w:szCs w:val="18"/>
              </w:rPr>
              <w:t>Clientes especiales</w:t>
            </w:r>
          </w:p>
        </w:tc>
        <w:tc>
          <w:tcPr>
            <w:tcW w:w="607" w:type="pct"/>
            <w:tcBorders>
              <w:top w:val="nil"/>
              <w:left w:val="nil"/>
              <w:bottom w:val="single" w:sz="8" w:space="0" w:color="85BADC"/>
              <w:right w:val="nil"/>
            </w:tcBorders>
            <w:shd w:val="clear" w:color="auto" w:fill="auto"/>
            <w:vAlign w:val="center"/>
            <w:hideMark/>
          </w:tcPr>
          <w:p w14:paraId="2CFB4B86" w14:textId="77777777" w:rsidR="00AA3B78" w:rsidRPr="0076589C" w:rsidRDefault="00AA3B78" w:rsidP="00AA3B78">
            <w:pPr>
              <w:spacing w:after="0" w:line="240" w:lineRule="auto"/>
              <w:ind w:left="0"/>
              <w:jc w:val="center"/>
              <w:rPr>
                <w:rFonts w:ascii="Calibri" w:eastAsia="Times New Roman" w:hAnsi="Calibri" w:cs="Calibri"/>
                <w:b/>
                <w:bCs/>
                <w:i/>
                <w:iCs/>
                <w:color w:val="000000"/>
                <w:sz w:val="18"/>
                <w:szCs w:val="18"/>
              </w:rPr>
            </w:pPr>
            <w:r w:rsidRPr="0076589C">
              <w:rPr>
                <w:rFonts w:ascii="Calibri" w:eastAsia="Times New Roman" w:hAnsi="Calibri" w:cs="Calibri"/>
                <w:b/>
                <w:bCs/>
                <w:i/>
                <w:iCs/>
                <w:color w:val="000000"/>
                <w:sz w:val="18"/>
                <w:szCs w:val="18"/>
              </w:rPr>
              <w:t>Clientes normales</w:t>
            </w:r>
          </w:p>
        </w:tc>
        <w:tc>
          <w:tcPr>
            <w:tcW w:w="577" w:type="pct"/>
            <w:tcBorders>
              <w:top w:val="nil"/>
              <w:left w:val="nil"/>
              <w:bottom w:val="single" w:sz="8" w:space="0" w:color="85BADC"/>
              <w:right w:val="single" w:sz="8" w:space="0" w:color="88BADC"/>
            </w:tcBorders>
            <w:shd w:val="clear" w:color="auto" w:fill="auto"/>
            <w:vAlign w:val="center"/>
            <w:hideMark/>
          </w:tcPr>
          <w:p w14:paraId="3F8D2B6C" w14:textId="77777777" w:rsidR="00AA3B78" w:rsidRPr="0076589C" w:rsidRDefault="00AA3B78" w:rsidP="00AA3B78">
            <w:pPr>
              <w:spacing w:after="0" w:line="240" w:lineRule="auto"/>
              <w:ind w:left="0"/>
              <w:jc w:val="center"/>
              <w:rPr>
                <w:rFonts w:ascii="Calibri" w:eastAsia="Times New Roman" w:hAnsi="Calibri" w:cs="Calibri"/>
                <w:b/>
                <w:bCs/>
                <w:i/>
                <w:iCs/>
                <w:color w:val="000000"/>
                <w:sz w:val="18"/>
                <w:szCs w:val="18"/>
              </w:rPr>
            </w:pPr>
            <w:r w:rsidRPr="0076589C">
              <w:rPr>
                <w:rFonts w:ascii="Calibri" w:eastAsia="Times New Roman" w:hAnsi="Calibri" w:cs="Calibri"/>
                <w:b/>
                <w:bCs/>
                <w:i/>
                <w:iCs/>
                <w:color w:val="000000"/>
                <w:sz w:val="18"/>
                <w:szCs w:val="18"/>
              </w:rPr>
              <w:t>Clientes Contado</w:t>
            </w:r>
          </w:p>
        </w:tc>
        <w:tc>
          <w:tcPr>
            <w:tcW w:w="420" w:type="pct"/>
            <w:tcBorders>
              <w:top w:val="nil"/>
              <w:left w:val="nil"/>
              <w:bottom w:val="single" w:sz="8" w:space="0" w:color="85BADC"/>
              <w:right w:val="nil"/>
            </w:tcBorders>
            <w:shd w:val="clear" w:color="auto" w:fill="auto"/>
            <w:noWrap/>
            <w:vAlign w:val="center"/>
            <w:hideMark/>
          </w:tcPr>
          <w:p w14:paraId="25C79C9C" w14:textId="77777777" w:rsidR="00AA3B78" w:rsidRPr="0076589C" w:rsidRDefault="00AA3B78" w:rsidP="00AA3B78">
            <w:pPr>
              <w:spacing w:after="0" w:line="240" w:lineRule="auto"/>
              <w:ind w:left="0"/>
              <w:jc w:val="center"/>
              <w:rPr>
                <w:rFonts w:ascii="Calibri" w:eastAsia="Times New Roman" w:hAnsi="Calibri" w:cs="Calibri"/>
                <w:b/>
                <w:bCs/>
                <w:i/>
                <w:iCs/>
                <w:color w:val="000000"/>
                <w:sz w:val="18"/>
                <w:szCs w:val="18"/>
              </w:rPr>
            </w:pPr>
            <w:r w:rsidRPr="0076589C">
              <w:rPr>
                <w:rFonts w:ascii="Calibri" w:eastAsia="Times New Roman" w:hAnsi="Calibri" w:cs="Calibri"/>
                <w:b/>
                <w:bCs/>
                <w:i/>
                <w:iCs/>
                <w:color w:val="000000"/>
                <w:sz w:val="18"/>
                <w:szCs w:val="18"/>
              </w:rPr>
              <w:t>30 días</w:t>
            </w:r>
          </w:p>
        </w:tc>
        <w:tc>
          <w:tcPr>
            <w:tcW w:w="308" w:type="pct"/>
            <w:tcBorders>
              <w:top w:val="nil"/>
              <w:left w:val="nil"/>
              <w:bottom w:val="single" w:sz="8" w:space="0" w:color="85BADC"/>
              <w:right w:val="nil"/>
            </w:tcBorders>
            <w:shd w:val="clear" w:color="auto" w:fill="auto"/>
            <w:noWrap/>
            <w:vAlign w:val="center"/>
            <w:hideMark/>
          </w:tcPr>
          <w:p w14:paraId="75CFE65C" w14:textId="77777777" w:rsidR="00AA3B78" w:rsidRPr="0076589C" w:rsidRDefault="00AA3B78" w:rsidP="00AA3B78">
            <w:pPr>
              <w:spacing w:after="0" w:line="240" w:lineRule="auto"/>
              <w:ind w:left="0"/>
              <w:jc w:val="center"/>
              <w:rPr>
                <w:rFonts w:ascii="Calibri" w:eastAsia="Times New Roman" w:hAnsi="Calibri" w:cs="Calibri"/>
                <w:b/>
                <w:bCs/>
                <w:i/>
                <w:iCs/>
                <w:color w:val="000000"/>
                <w:sz w:val="18"/>
                <w:szCs w:val="18"/>
              </w:rPr>
            </w:pPr>
            <w:r w:rsidRPr="0076589C">
              <w:rPr>
                <w:rFonts w:ascii="Calibri" w:eastAsia="Times New Roman" w:hAnsi="Calibri" w:cs="Calibri"/>
                <w:b/>
                <w:bCs/>
                <w:i/>
                <w:iCs/>
                <w:color w:val="000000"/>
                <w:sz w:val="18"/>
                <w:szCs w:val="18"/>
              </w:rPr>
              <w:t>60 días</w:t>
            </w:r>
          </w:p>
        </w:tc>
        <w:tc>
          <w:tcPr>
            <w:tcW w:w="307" w:type="pct"/>
            <w:tcBorders>
              <w:top w:val="nil"/>
              <w:left w:val="nil"/>
              <w:bottom w:val="single" w:sz="8" w:space="0" w:color="85BADC"/>
              <w:right w:val="nil"/>
            </w:tcBorders>
            <w:shd w:val="clear" w:color="auto" w:fill="auto"/>
            <w:noWrap/>
            <w:vAlign w:val="center"/>
            <w:hideMark/>
          </w:tcPr>
          <w:p w14:paraId="43C54185" w14:textId="77777777" w:rsidR="00AA3B78" w:rsidRPr="0076589C" w:rsidRDefault="00AA3B78" w:rsidP="00AA3B78">
            <w:pPr>
              <w:spacing w:after="0" w:line="240" w:lineRule="auto"/>
              <w:ind w:left="0"/>
              <w:jc w:val="center"/>
              <w:rPr>
                <w:rFonts w:ascii="Calibri" w:eastAsia="Times New Roman" w:hAnsi="Calibri" w:cs="Calibri"/>
                <w:b/>
                <w:bCs/>
                <w:i/>
                <w:iCs/>
                <w:color w:val="000000"/>
                <w:sz w:val="18"/>
                <w:szCs w:val="18"/>
              </w:rPr>
            </w:pPr>
            <w:r w:rsidRPr="0076589C">
              <w:rPr>
                <w:rFonts w:ascii="Calibri" w:eastAsia="Times New Roman" w:hAnsi="Calibri" w:cs="Calibri"/>
                <w:b/>
                <w:bCs/>
                <w:i/>
                <w:iCs/>
                <w:color w:val="000000"/>
                <w:sz w:val="18"/>
                <w:szCs w:val="18"/>
              </w:rPr>
              <w:t>90 días</w:t>
            </w:r>
          </w:p>
        </w:tc>
        <w:tc>
          <w:tcPr>
            <w:tcW w:w="352" w:type="pct"/>
            <w:tcBorders>
              <w:top w:val="nil"/>
              <w:left w:val="nil"/>
              <w:bottom w:val="single" w:sz="8" w:space="0" w:color="85BADC"/>
              <w:right w:val="single" w:sz="8" w:space="0" w:color="88BADC"/>
            </w:tcBorders>
            <w:shd w:val="clear" w:color="auto" w:fill="auto"/>
            <w:noWrap/>
            <w:vAlign w:val="center"/>
            <w:hideMark/>
          </w:tcPr>
          <w:p w14:paraId="016F6CF4" w14:textId="77777777" w:rsidR="00AA3B78" w:rsidRPr="0076589C" w:rsidRDefault="00AA3B78" w:rsidP="00AA3B78">
            <w:pPr>
              <w:spacing w:after="0" w:line="240" w:lineRule="auto"/>
              <w:ind w:left="0"/>
              <w:jc w:val="center"/>
              <w:rPr>
                <w:rFonts w:ascii="Calibri" w:eastAsia="Times New Roman" w:hAnsi="Calibri" w:cs="Calibri"/>
                <w:b/>
                <w:bCs/>
                <w:i/>
                <w:iCs/>
                <w:color w:val="000000"/>
                <w:sz w:val="18"/>
                <w:szCs w:val="18"/>
              </w:rPr>
            </w:pPr>
            <w:r w:rsidRPr="0076589C">
              <w:rPr>
                <w:rFonts w:ascii="Calibri" w:eastAsia="Times New Roman" w:hAnsi="Calibri" w:cs="Calibri"/>
                <w:b/>
                <w:bCs/>
                <w:i/>
                <w:iCs/>
                <w:color w:val="000000"/>
                <w:sz w:val="18"/>
                <w:szCs w:val="18"/>
              </w:rPr>
              <w:t>180 días</w:t>
            </w:r>
          </w:p>
        </w:tc>
      </w:tr>
      <w:tr w:rsidR="00AA3B78" w:rsidRPr="0076589C" w14:paraId="4F029013" w14:textId="77777777" w:rsidTr="00AA3B78">
        <w:trPr>
          <w:trHeight w:val="260"/>
        </w:trPr>
        <w:tc>
          <w:tcPr>
            <w:tcW w:w="394" w:type="pct"/>
            <w:tcBorders>
              <w:top w:val="nil"/>
              <w:left w:val="single" w:sz="8" w:space="0" w:color="88BADC"/>
              <w:bottom w:val="nil"/>
              <w:right w:val="nil"/>
            </w:tcBorders>
            <w:shd w:val="clear" w:color="auto" w:fill="auto"/>
            <w:noWrap/>
            <w:vAlign w:val="center"/>
            <w:hideMark/>
          </w:tcPr>
          <w:p w14:paraId="416C85E9"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2019</w:t>
            </w:r>
          </w:p>
        </w:tc>
        <w:tc>
          <w:tcPr>
            <w:tcW w:w="609" w:type="pct"/>
            <w:tcBorders>
              <w:top w:val="nil"/>
              <w:left w:val="nil"/>
              <w:bottom w:val="nil"/>
              <w:right w:val="nil"/>
            </w:tcBorders>
            <w:shd w:val="clear" w:color="auto" w:fill="auto"/>
            <w:noWrap/>
            <w:vAlign w:val="center"/>
            <w:hideMark/>
          </w:tcPr>
          <w:p w14:paraId="7B5A15F8"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822</w:t>
            </w:r>
          </w:p>
        </w:tc>
        <w:tc>
          <w:tcPr>
            <w:tcW w:w="758" w:type="pct"/>
            <w:tcBorders>
              <w:top w:val="nil"/>
              <w:left w:val="nil"/>
              <w:bottom w:val="nil"/>
              <w:right w:val="single" w:sz="8" w:space="0" w:color="88BADC"/>
            </w:tcBorders>
            <w:shd w:val="clear" w:color="auto" w:fill="auto"/>
            <w:noWrap/>
            <w:vAlign w:val="center"/>
            <w:hideMark/>
          </w:tcPr>
          <w:p w14:paraId="4A09B6D7"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w:t>
            </w:r>
          </w:p>
        </w:tc>
        <w:tc>
          <w:tcPr>
            <w:tcW w:w="667" w:type="pct"/>
            <w:tcBorders>
              <w:top w:val="nil"/>
              <w:left w:val="nil"/>
              <w:bottom w:val="nil"/>
              <w:right w:val="nil"/>
            </w:tcBorders>
            <w:shd w:val="clear" w:color="auto" w:fill="auto"/>
            <w:noWrap/>
            <w:vAlign w:val="center"/>
            <w:hideMark/>
          </w:tcPr>
          <w:p w14:paraId="71B837BC"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4</w:t>
            </w:r>
          </w:p>
        </w:tc>
        <w:tc>
          <w:tcPr>
            <w:tcW w:w="607" w:type="pct"/>
            <w:tcBorders>
              <w:top w:val="nil"/>
              <w:left w:val="nil"/>
              <w:bottom w:val="nil"/>
              <w:right w:val="nil"/>
            </w:tcBorders>
            <w:shd w:val="clear" w:color="auto" w:fill="auto"/>
            <w:noWrap/>
            <w:vAlign w:val="center"/>
            <w:hideMark/>
          </w:tcPr>
          <w:p w14:paraId="433F1B23"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777</w:t>
            </w:r>
          </w:p>
        </w:tc>
        <w:tc>
          <w:tcPr>
            <w:tcW w:w="577" w:type="pct"/>
            <w:tcBorders>
              <w:top w:val="nil"/>
              <w:left w:val="nil"/>
              <w:bottom w:val="nil"/>
              <w:right w:val="single" w:sz="8" w:space="0" w:color="88BADC"/>
            </w:tcBorders>
            <w:shd w:val="clear" w:color="auto" w:fill="auto"/>
            <w:noWrap/>
            <w:vAlign w:val="center"/>
            <w:hideMark/>
          </w:tcPr>
          <w:p w14:paraId="6700E0A9"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41</w:t>
            </w:r>
          </w:p>
        </w:tc>
        <w:tc>
          <w:tcPr>
            <w:tcW w:w="420" w:type="pct"/>
            <w:tcBorders>
              <w:top w:val="nil"/>
              <w:left w:val="nil"/>
              <w:bottom w:val="nil"/>
              <w:right w:val="nil"/>
            </w:tcBorders>
            <w:shd w:val="clear" w:color="auto" w:fill="auto"/>
            <w:noWrap/>
            <w:vAlign w:val="bottom"/>
            <w:hideMark/>
          </w:tcPr>
          <w:p w14:paraId="27B79028"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5%</w:t>
            </w:r>
          </w:p>
        </w:tc>
        <w:tc>
          <w:tcPr>
            <w:tcW w:w="308" w:type="pct"/>
            <w:tcBorders>
              <w:top w:val="nil"/>
              <w:left w:val="nil"/>
              <w:bottom w:val="nil"/>
              <w:right w:val="nil"/>
            </w:tcBorders>
            <w:shd w:val="clear" w:color="auto" w:fill="auto"/>
            <w:noWrap/>
            <w:vAlign w:val="center"/>
            <w:hideMark/>
          </w:tcPr>
          <w:p w14:paraId="4822236D"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94.51%</w:t>
            </w:r>
          </w:p>
        </w:tc>
        <w:tc>
          <w:tcPr>
            <w:tcW w:w="307" w:type="pct"/>
            <w:tcBorders>
              <w:top w:val="nil"/>
              <w:left w:val="nil"/>
              <w:bottom w:val="nil"/>
              <w:right w:val="nil"/>
            </w:tcBorders>
            <w:shd w:val="clear" w:color="auto" w:fill="auto"/>
            <w:noWrap/>
            <w:vAlign w:val="center"/>
            <w:hideMark/>
          </w:tcPr>
          <w:p w14:paraId="60B5DEB8"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0.36%</w:t>
            </w:r>
          </w:p>
        </w:tc>
        <w:tc>
          <w:tcPr>
            <w:tcW w:w="352" w:type="pct"/>
            <w:tcBorders>
              <w:top w:val="nil"/>
              <w:left w:val="nil"/>
              <w:bottom w:val="nil"/>
              <w:right w:val="single" w:sz="8" w:space="0" w:color="88BADC"/>
            </w:tcBorders>
            <w:shd w:val="clear" w:color="auto" w:fill="auto"/>
            <w:noWrap/>
            <w:vAlign w:val="center"/>
            <w:hideMark/>
          </w:tcPr>
          <w:p w14:paraId="3C2E15AE"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0.12%</w:t>
            </w:r>
          </w:p>
        </w:tc>
      </w:tr>
      <w:tr w:rsidR="00AA3B78" w:rsidRPr="0076589C" w14:paraId="30EBD5CC" w14:textId="77777777" w:rsidTr="00AA3B78">
        <w:trPr>
          <w:trHeight w:val="260"/>
        </w:trPr>
        <w:tc>
          <w:tcPr>
            <w:tcW w:w="394" w:type="pct"/>
            <w:tcBorders>
              <w:top w:val="nil"/>
              <w:left w:val="single" w:sz="8" w:space="0" w:color="88BADC"/>
              <w:bottom w:val="nil"/>
              <w:right w:val="nil"/>
            </w:tcBorders>
            <w:shd w:val="clear" w:color="auto" w:fill="auto"/>
            <w:noWrap/>
            <w:vAlign w:val="center"/>
            <w:hideMark/>
          </w:tcPr>
          <w:p w14:paraId="305DF6E7"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2020</w:t>
            </w:r>
          </w:p>
        </w:tc>
        <w:tc>
          <w:tcPr>
            <w:tcW w:w="609" w:type="pct"/>
            <w:tcBorders>
              <w:top w:val="nil"/>
              <w:left w:val="nil"/>
              <w:bottom w:val="nil"/>
              <w:right w:val="nil"/>
            </w:tcBorders>
            <w:shd w:val="clear" w:color="auto" w:fill="auto"/>
            <w:noWrap/>
            <w:vAlign w:val="center"/>
            <w:hideMark/>
          </w:tcPr>
          <w:p w14:paraId="1FD5D922"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1022</w:t>
            </w:r>
          </w:p>
        </w:tc>
        <w:tc>
          <w:tcPr>
            <w:tcW w:w="758" w:type="pct"/>
            <w:tcBorders>
              <w:top w:val="nil"/>
              <w:left w:val="nil"/>
              <w:bottom w:val="nil"/>
              <w:right w:val="single" w:sz="8" w:space="0" w:color="88BADC"/>
            </w:tcBorders>
            <w:shd w:val="clear" w:color="auto" w:fill="auto"/>
            <w:noWrap/>
            <w:vAlign w:val="center"/>
            <w:hideMark/>
          </w:tcPr>
          <w:p w14:paraId="69F79F54"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124%</w:t>
            </w:r>
          </w:p>
        </w:tc>
        <w:tc>
          <w:tcPr>
            <w:tcW w:w="667" w:type="pct"/>
            <w:tcBorders>
              <w:top w:val="nil"/>
              <w:left w:val="nil"/>
              <w:bottom w:val="nil"/>
              <w:right w:val="nil"/>
            </w:tcBorders>
            <w:shd w:val="clear" w:color="auto" w:fill="auto"/>
            <w:noWrap/>
            <w:vAlign w:val="center"/>
            <w:hideMark/>
          </w:tcPr>
          <w:p w14:paraId="5BA83946"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4</w:t>
            </w:r>
          </w:p>
        </w:tc>
        <w:tc>
          <w:tcPr>
            <w:tcW w:w="607" w:type="pct"/>
            <w:tcBorders>
              <w:top w:val="nil"/>
              <w:left w:val="nil"/>
              <w:bottom w:val="nil"/>
              <w:right w:val="nil"/>
            </w:tcBorders>
            <w:shd w:val="clear" w:color="auto" w:fill="auto"/>
            <w:noWrap/>
            <w:vAlign w:val="center"/>
            <w:hideMark/>
          </w:tcPr>
          <w:p w14:paraId="5FAA1183"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967</w:t>
            </w:r>
          </w:p>
        </w:tc>
        <w:tc>
          <w:tcPr>
            <w:tcW w:w="577" w:type="pct"/>
            <w:tcBorders>
              <w:top w:val="nil"/>
              <w:left w:val="nil"/>
              <w:bottom w:val="nil"/>
              <w:right w:val="single" w:sz="8" w:space="0" w:color="88BADC"/>
            </w:tcBorders>
            <w:shd w:val="clear" w:color="auto" w:fill="auto"/>
            <w:noWrap/>
            <w:vAlign w:val="center"/>
            <w:hideMark/>
          </w:tcPr>
          <w:p w14:paraId="1A6EBBB0"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51</w:t>
            </w:r>
          </w:p>
        </w:tc>
        <w:tc>
          <w:tcPr>
            <w:tcW w:w="420" w:type="pct"/>
            <w:tcBorders>
              <w:top w:val="nil"/>
              <w:left w:val="nil"/>
              <w:bottom w:val="nil"/>
              <w:right w:val="nil"/>
            </w:tcBorders>
            <w:shd w:val="clear" w:color="auto" w:fill="auto"/>
            <w:noWrap/>
            <w:vAlign w:val="bottom"/>
            <w:hideMark/>
          </w:tcPr>
          <w:p w14:paraId="25231466"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5%</w:t>
            </w:r>
          </w:p>
        </w:tc>
        <w:tc>
          <w:tcPr>
            <w:tcW w:w="308" w:type="pct"/>
            <w:tcBorders>
              <w:top w:val="nil"/>
              <w:left w:val="nil"/>
              <w:bottom w:val="nil"/>
              <w:right w:val="nil"/>
            </w:tcBorders>
            <w:shd w:val="clear" w:color="auto" w:fill="auto"/>
            <w:noWrap/>
            <w:vAlign w:val="center"/>
            <w:hideMark/>
          </w:tcPr>
          <w:p w14:paraId="4DD24F24"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94.61%</w:t>
            </w:r>
          </w:p>
        </w:tc>
        <w:tc>
          <w:tcPr>
            <w:tcW w:w="307" w:type="pct"/>
            <w:tcBorders>
              <w:top w:val="nil"/>
              <w:left w:val="nil"/>
              <w:bottom w:val="nil"/>
              <w:right w:val="nil"/>
            </w:tcBorders>
            <w:shd w:val="clear" w:color="auto" w:fill="auto"/>
            <w:noWrap/>
            <w:vAlign w:val="center"/>
            <w:hideMark/>
          </w:tcPr>
          <w:p w14:paraId="1832F9DD"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0.29%</w:t>
            </w:r>
          </w:p>
        </w:tc>
        <w:tc>
          <w:tcPr>
            <w:tcW w:w="352" w:type="pct"/>
            <w:tcBorders>
              <w:top w:val="nil"/>
              <w:left w:val="nil"/>
              <w:bottom w:val="nil"/>
              <w:right w:val="single" w:sz="8" w:space="0" w:color="88BADC"/>
            </w:tcBorders>
            <w:shd w:val="clear" w:color="auto" w:fill="auto"/>
            <w:noWrap/>
            <w:vAlign w:val="center"/>
            <w:hideMark/>
          </w:tcPr>
          <w:p w14:paraId="76A84855"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0.10%</w:t>
            </w:r>
          </w:p>
        </w:tc>
      </w:tr>
      <w:tr w:rsidR="00AA3B78" w:rsidRPr="0076589C" w14:paraId="227FBAD2" w14:textId="77777777" w:rsidTr="00AA3B78">
        <w:trPr>
          <w:trHeight w:val="260"/>
        </w:trPr>
        <w:tc>
          <w:tcPr>
            <w:tcW w:w="394" w:type="pct"/>
            <w:tcBorders>
              <w:top w:val="nil"/>
              <w:left w:val="single" w:sz="8" w:space="0" w:color="88BADC"/>
              <w:bottom w:val="nil"/>
              <w:right w:val="nil"/>
            </w:tcBorders>
            <w:shd w:val="clear" w:color="auto" w:fill="auto"/>
            <w:noWrap/>
            <w:vAlign w:val="center"/>
            <w:hideMark/>
          </w:tcPr>
          <w:p w14:paraId="6275C2C2"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2021</w:t>
            </w:r>
          </w:p>
        </w:tc>
        <w:tc>
          <w:tcPr>
            <w:tcW w:w="609" w:type="pct"/>
            <w:tcBorders>
              <w:top w:val="nil"/>
              <w:left w:val="nil"/>
              <w:bottom w:val="nil"/>
              <w:right w:val="nil"/>
            </w:tcBorders>
            <w:shd w:val="clear" w:color="auto" w:fill="auto"/>
            <w:noWrap/>
            <w:vAlign w:val="center"/>
            <w:hideMark/>
          </w:tcPr>
          <w:p w14:paraId="5ABD6989"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844</w:t>
            </w:r>
          </w:p>
        </w:tc>
        <w:tc>
          <w:tcPr>
            <w:tcW w:w="758" w:type="pct"/>
            <w:tcBorders>
              <w:top w:val="nil"/>
              <w:left w:val="nil"/>
              <w:bottom w:val="nil"/>
              <w:right w:val="single" w:sz="8" w:space="0" w:color="88BADC"/>
            </w:tcBorders>
            <w:shd w:val="clear" w:color="auto" w:fill="auto"/>
            <w:noWrap/>
            <w:vAlign w:val="center"/>
            <w:hideMark/>
          </w:tcPr>
          <w:p w14:paraId="2F869D8A"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-17%</w:t>
            </w:r>
          </w:p>
        </w:tc>
        <w:tc>
          <w:tcPr>
            <w:tcW w:w="667" w:type="pct"/>
            <w:tcBorders>
              <w:top w:val="nil"/>
              <w:left w:val="nil"/>
              <w:bottom w:val="nil"/>
              <w:right w:val="nil"/>
            </w:tcBorders>
            <w:shd w:val="clear" w:color="auto" w:fill="auto"/>
            <w:noWrap/>
            <w:vAlign w:val="center"/>
            <w:hideMark/>
          </w:tcPr>
          <w:p w14:paraId="5A5678C5"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4</w:t>
            </w:r>
          </w:p>
        </w:tc>
        <w:tc>
          <w:tcPr>
            <w:tcW w:w="607" w:type="pct"/>
            <w:tcBorders>
              <w:top w:val="nil"/>
              <w:left w:val="nil"/>
              <w:bottom w:val="nil"/>
              <w:right w:val="nil"/>
            </w:tcBorders>
            <w:shd w:val="clear" w:color="auto" w:fill="auto"/>
            <w:noWrap/>
            <w:vAlign w:val="center"/>
            <w:hideMark/>
          </w:tcPr>
          <w:p w14:paraId="4263FBE7"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798</w:t>
            </w:r>
          </w:p>
        </w:tc>
        <w:tc>
          <w:tcPr>
            <w:tcW w:w="577" w:type="pct"/>
            <w:tcBorders>
              <w:top w:val="nil"/>
              <w:left w:val="nil"/>
              <w:bottom w:val="nil"/>
              <w:right w:val="single" w:sz="8" w:space="0" w:color="88BADC"/>
            </w:tcBorders>
            <w:shd w:val="clear" w:color="auto" w:fill="auto"/>
            <w:noWrap/>
            <w:vAlign w:val="center"/>
            <w:hideMark/>
          </w:tcPr>
          <w:p w14:paraId="10C39AB2"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42</w:t>
            </w:r>
          </w:p>
        </w:tc>
        <w:tc>
          <w:tcPr>
            <w:tcW w:w="420" w:type="pct"/>
            <w:tcBorders>
              <w:top w:val="nil"/>
              <w:left w:val="nil"/>
              <w:bottom w:val="nil"/>
              <w:right w:val="nil"/>
            </w:tcBorders>
            <w:shd w:val="clear" w:color="auto" w:fill="auto"/>
            <w:noWrap/>
            <w:vAlign w:val="bottom"/>
            <w:hideMark/>
          </w:tcPr>
          <w:p w14:paraId="3B1266F8"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5%</w:t>
            </w:r>
          </w:p>
        </w:tc>
        <w:tc>
          <w:tcPr>
            <w:tcW w:w="308" w:type="pct"/>
            <w:tcBorders>
              <w:top w:val="nil"/>
              <w:left w:val="nil"/>
              <w:bottom w:val="nil"/>
              <w:right w:val="nil"/>
            </w:tcBorders>
            <w:shd w:val="clear" w:color="auto" w:fill="auto"/>
            <w:noWrap/>
            <w:vAlign w:val="center"/>
            <w:hideMark/>
          </w:tcPr>
          <w:p w14:paraId="4C051CCC"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94.53%</w:t>
            </w:r>
          </w:p>
        </w:tc>
        <w:tc>
          <w:tcPr>
            <w:tcW w:w="307" w:type="pct"/>
            <w:tcBorders>
              <w:top w:val="nil"/>
              <w:left w:val="nil"/>
              <w:bottom w:val="nil"/>
              <w:right w:val="nil"/>
            </w:tcBorders>
            <w:shd w:val="clear" w:color="auto" w:fill="auto"/>
            <w:noWrap/>
            <w:vAlign w:val="center"/>
            <w:hideMark/>
          </w:tcPr>
          <w:p w14:paraId="7B2E9CBE"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0.36%</w:t>
            </w:r>
          </w:p>
        </w:tc>
        <w:tc>
          <w:tcPr>
            <w:tcW w:w="352" w:type="pct"/>
            <w:tcBorders>
              <w:top w:val="nil"/>
              <w:left w:val="nil"/>
              <w:bottom w:val="nil"/>
              <w:right w:val="single" w:sz="8" w:space="0" w:color="88BADC"/>
            </w:tcBorders>
            <w:shd w:val="clear" w:color="auto" w:fill="auto"/>
            <w:noWrap/>
            <w:vAlign w:val="center"/>
            <w:hideMark/>
          </w:tcPr>
          <w:p w14:paraId="46400EAC"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0.12%</w:t>
            </w:r>
          </w:p>
        </w:tc>
      </w:tr>
      <w:tr w:rsidR="00AA3B78" w:rsidRPr="0076589C" w14:paraId="2783BB33" w14:textId="77777777" w:rsidTr="00AA3B78">
        <w:trPr>
          <w:trHeight w:val="270"/>
        </w:trPr>
        <w:tc>
          <w:tcPr>
            <w:tcW w:w="394" w:type="pct"/>
            <w:tcBorders>
              <w:top w:val="nil"/>
              <w:left w:val="single" w:sz="8" w:space="0" w:color="88BADC"/>
              <w:bottom w:val="nil"/>
              <w:right w:val="nil"/>
            </w:tcBorders>
            <w:shd w:val="clear" w:color="auto" w:fill="auto"/>
            <w:noWrap/>
            <w:vAlign w:val="center"/>
            <w:hideMark/>
          </w:tcPr>
          <w:p w14:paraId="192ED811"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2022</w:t>
            </w:r>
          </w:p>
        </w:tc>
        <w:tc>
          <w:tcPr>
            <w:tcW w:w="609" w:type="pct"/>
            <w:tcBorders>
              <w:top w:val="nil"/>
              <w:left w:val="nil"/>
              <w:bottom w:val="nil"/>
              <w:right w:val="nil"/>
            </w:tcBorders>
            <w:shd w:val="clear" w:color="auto" w:fill="auto"/>
            <w:noWrap/>
            <w:vAlign w:val="center"/>
            <w:hideMark/>
          </w:tcPr>
          <w:p w14:paraId="3523CC7C"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837</w:t>
            </w:r>
          </w:p>
        </w:tc>
        <w:tc>
          <w:tcPr>
            <w:tcW w:w="758" w:type="pct"/>
            <w:tcBorders>
              <w:top w:val="nil"/>
              <w:left w:val="nil"/>
              <w:bottom w:val="nil"/>
              <w:right w:val="single" w:sz="8" w:space="0" w:color="88BADC"/>
            </w:tcBorders>
            <w:shd w:val="clear" w:color="auto" w:fill="auto"/>
            <w:noWrap/>
            <w:vAlign w:val="center"/>
            <w:hideMark/>
          </w:tcPr>
          <w:p w14:paraId="39686F63"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-1%</w:t>
            </w:r>
          </w:p>
        </w:tc>
        <w:tc>
          <w:tcPr>
            <w:tcW w:w="667" w:type="pct"/>
            <w:tcBorders>
              <w:top w:val="nil"/>
              <w:left w:val="nil"/>
              <w:bottom w:val="nil"/>
              <w:right w:val="nil"/>
            </w:tcBorders>
            <w:shd w:val="clear" w:color="auto" w:fill="auto"/>
            <w:noWrap/>
            <w:vAlign w:val="center"/>
            <w:hideMark/>
          </w:tcPr>
          <w:p w14:paraId="76860799"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4</w:t>
            </w:r>
          </w:p>
        </w:tc>
        <w:tc>
          <w:tcPr>
            <w:tcW w:w="607" w:type="pct"/>
            <w:tcBorders>
              <w:top w:val="nil"/>
              <w:left w:val="nil"/>
              <w:bottom w:val="nil"/>
              <w:right w:val="nil"/>
            </w:tcBorders>
            <w:shd w:val="clear" w:color="auto" w:fill="auto"/>
            <w:noWrap/>
            <w:vAlign w:val="center"/>
            <w:hideMark/>
          </w:tcPr>
          <w:p w14:paraId="0EDE623C"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791</w:t>
            </w:r>
          </w:p>
        </w:tc>
        <w:tc>
          <w:tcPr>
            <w:tcW w:w="577" w:type="pct"/>
            <w:tcBorders>
              <w:top w:val="nil"/>
              <w:left w:val="nil"/>
              <w:bottom w:val="nil"/>
              <w:right w:val="single" w:sz="8" w:space="0" w:color="88BADC"/>
            </w:tcBorders>
            <w:shd w:val="clear" w:color="auto" w:fill="auto"/>
            <w:noWrap/>
            <w:vAlign w:val="center"/>
            <w:hideMark/>
          </w:tcPr>
          <w:p w14:paraId="046B4FC6"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42</w:t>
            </w:r>
          </w:p>
        </w:tc>
        <w:tc>
          <w:tcPr>
            <w:tcW w:w="420" w:type="pct"/>
            <w:tcBorders>
              <w:top w:val="nil"/>
              <w:left w:val="nil"/>
              <w:bottom w:val="nil"/>
              <w:right w:val="nil"/>
            </w:tcBorders>
            <w:shd w:val="clear" w:color="auto" w:fill="auto"/>
            <w:noWrap/>
            <w:vAlign w:val="center"/>
            <w:hideMark/>
          </w:tcPr>
          <w:p w14:paraId="23E00658"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5%</w:t>
            </w:r>
          </w:p>
        </w:tc>
        <w:tc>
          <w:tcPr>
            <w:tcW w:w="308" w:type="pct"/>
            <w:tcBorders>
              <w:top w:val="nil"/>
              <w:left w:val="nil"/>
              <w:bottom w:val="nil"/>
              <w:right w:val="nil"/>
            </w:tcBorders>
            <w:shd w:val="clear" w:color="auto" w:fill="auto"/>
            <w:noWrap/>
            <w:vAlign w:val="center"/>
            <w:hideMark/>
          </w:tcPr>
          <w:p w14:paraId="64602646"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94.52%</w:t>
            </w:r>
          </w:p>
        </w:tc>
        <w:tc>
          <w:tcPr>
            <w:tcW w:w="307" w:type="pct"/>
            <w:tcBorders>
              <w:top w:val="nil"/>
              <w:left w:val="nil"/>
              <w:bottom w:val="nil"/>
              <w:right w:val="nil"/>
            </w:tcBorders>
            <w:shd w:val="clear" w:color="auto" w:fill="auto"/>
            <w:noWrap/>
            <w:vAlign w:val="center"/>
            <w:hideMark/>
          </w:tcPr>
          <w:p w14:paraId="57A93022"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0.36%</w:t>
            </w:r>
          </w:p>
        </w:tc>
        <w:tc>
          <w:tcPr>
            <w:tcW w:w="352" w:type="pct"/>
            <w:tcBorders>
              <w:top w:val="nil"/>
              <w:left w:val="nil"/>
              <w:bottom w:val="nil"/>
              <w:right w:val="single" w:sz="8" w:space="0" w:color="88BADC"/>
            </w:tcBorders>
            <w:shd w:val="clear" w:color="auto" w:fill="auto"/>
            <w:noWrap/>
            <w:vAlign w:val="center"/>
            <w:hideMark/>
          </w:tcPr>
          <w:p w14:paraId="10A866FD" w14:textId="77777777" w:rsidR="00AA3B78" w:rsidRPr="0076589C" w:rsidRDefault="00AA3B78" w:rsidP="00AA3B78">
            <w:pPr>
              <w:spacing w:after="0" w:line="240" w:lineRule="auto"/>
              <w:ind w:left="0"/>
              <w:jc w:val="center"/>
              <w:rPr>
                <w:rFonts w:ascii="Calibri" w:eastAsia="Times New Roman" w:hAnsi="Calibri" w:cs="Calibri"/>
                <w:color w:val="000000"/>
                <w:sz w:val="18"/>
                <w:szCs w:val="18"/>
              </w:rPr>
            </w:pPr>
            <w:r w:rsidRPr="0076589C">
              <w:rPr>
                <w:rFonts w:ascii="Calibri" w:eastAsia="Times New Roman" w:hAnsi="Calibri" w:cs="Calibri"/>
                <w:color w:val="000000"/>
                <w:sz w:val="18"/>
                <w:szCs w:val="18"/>
              </w:rPr>
              <w:t>0.12%</w:t>
            </w:r>
          </w:p>
        </w:tc>
      </w:tr>
      <w:tr w:rsidR="00AA3B78" w:rsidRPr="0076589C" w14:paraId="67F9879A" w14:textId="77777777" w:rsidTr="00AA3B78">
        <w:trPr>
          <w:trHeight w:val="270"/>
        </w:trPr>
        <w:tc>
          <w:tcPr>
            <w:tcW w:w="394" w:type="pct"/>
            <w:tcBorders>
              <w:top w:val="single" w:sz="8" w:space="0" w:color="88BADC"/>
              <w:left w:val="single" w:sz="8" w:space="0" w:color="88BADC"/>
              <w:bottom w:val="single" w:sz="8" w:space="0" w:color="88BADC"/>
              <w:right w:val="nil"/>
            </w:tcBorders>
            <w:shd w:val="clear" w:color="auto" w:fill="auto"/>
            <w:noWrap/>
            <w:vAlign w:val="bottom"/>
            <w:hideMark/>
          </w:tcPr>
          <w:p w14:paraId="03B14B5A" w14:textId="77777777" w:rsidR="00AA3B78" w:rsidRPr="0076589C" w:rsidRDefault="00AA3B78" w:rsidP="00AA3B78">
            <w:pPr>
              <w:spacing w:after="0" w:line="240" w:lineRule="auto"/>
              <w:ind w:left="0"/>
              <w:jc w:val="center"/>
              <w:rPr>
                <w:rFonts w:ascii="Calibri" w:eastAsia="Times New Roman" w:hAnsi="Calibri" w:cs="Calibri"/>
                <w:b/>
                <w:bCs/>
                <w:i/>
                <w:iCs/>
                <w:color w:val="000000"/>
                <w:sz w:val="18"/>
                <w:szCs w:val="18"/>
              </w:rPr>
            </w:pPr>
            <w:r w:rsidRPr="0076589C">
              <w:rPr>
                <w:rFonts w:ascii="Calibri" w:eastAsia="Times New Roman" w:hAnsi="Calibri" w:cs="Calibri"/>
                <w:b/>
                <w:bCs/>
                <w:i/>
                <w:iCs/>
                <w:color w:val="000000"/>
                <w:sz w:val="18"/>
                <w:szCs w:val="18"/>
              </w:rPr>
              <w:t>Promedio</w:t>
            </w:r>
          </w:p>
        </w:tc>
        <w:tc>
          <w:tcPr>
            <w:tcW w:w="609" w:type="pct"/>
            <w:tcBorders>
              <w:top w:val="single" w:sz="8" w:space="0" w:color="88BADC"/>
              <w:left w:val="nil"/>
              <w:bottom w:val="single" w:sz="8" w:space="0" w:color="88BADC"/>
              <w:right w:val="nil"/>
            </w:tcBorders>
            <w:shd w:val="clear" w:color="auto" w:fill="auto"/>
            <w:noWrap/>
            <w:vAlign w:val="bottom"/>
            <w:hideMark/>
          </w:tcPr>
          <w:p w14:paraId="43A47B89" w14:textId="77777777" w:rsidR="00AA3B78" w:rsidRPr="0076589C" w:rsidRDefault="00AA3B78" w:rsidP="00AA3B78">
            <w:pPr>
              <w:spacing w:after="0" w:line="240" w:lineRule="auto"/>
              <w:ind w:left="0"/>
              <w:jc w:val="center"/>
              <w:rPr>
                <w:rFonts w:ascii="Calibri" w:eastAsia="Times New Roman" w:hAnsi="Calibri" w:cs="Calibri"/>
                <w:b/>
                <w:bCs/>
                <w:i/>
                <w:iCs/>
                <w:color w:val="000000"/>
                <w:sz w:val="18"/>
                <w:szCs w:val="18"/>
              </w:rPr>
            </w:pPr>
            <w:r w:rsidRPr="0076589C">
              <w:rPr>
                <w:rFonts w:ascii="Calibri" w:eastAsia="Times New Roman" w:hAnsi="Calibri" w:cs="Calibri"/>
                <w:b/>
                <w:bCs/>
                <w:i/>
                <w:iCs/>
                <w:color w:val="000000"/>
                <w:sz w:val="18"/>
                <w:szCs w:val="18"/>
              </w:rPr>
              <w:t>881</w:t>
            </w:r>
          </w:p>
        </w:tc>
        <w:tc>
          <w:tcPr>
            <w:tcW w:w="758" w:type="pct"/>
            <w:tcBorders>
              <w:top w:val="single" w:sz="8" w:space="0" w:color="88BADC"/>
              <w:left w:val="nil"/>
              <w:bottom w:val="single" w:sz="8" w:space="0" w:color="88BADC"/>
              <w:right w:val="single" w:sz="8" w:space="0" w:color="88BADC"/>
            </w:tcBorders>
            <w:shd w:val="clear" w:color="auto" w:fill="auto"/>
            <w:noWrap/>
            <w:vAlign w:val="bottom"/>
            <w:hideMark/>
          </w:tcPr>
          <w:p w14:paraId="18240752" w14:textId="77777777" w:rsidR="00AA3B78" w:rsidRPr="0076589C" w:rsidRDefault="00AA3B78" w:rsidP="00AA3B78">
            <w:pPr>
              <w:spacing w:after="0" w:line="240" w:lineRule="auto"/>
              <w:ind w:left="0"/>
              <w:jc w:val="center"/>
              <w:rPr>
                <w:rFonts w:ascii="Calibri" w:eastAsia="Times New Roman" w:hAnsi="Calibri" w:cs="Calibri"/>
                <w:b/>
                <w:bCs/>
                <w:i/>
                <w:iCs/>
                <w:color w:val="000000"/>
                <w:sz w:val="18"/>
                <w:szCs w:val="18"/>
              </w:rPr>
            </w:pPr>
            <w:r w:rsidRPr="0076589C">
              <w:rPr>
                <w:rFonts w:ascii="Calibri" w:eastAsia="Times New Roman" w:hAnsi="Calibri" w:cs="Calibri"/>
                <w:b/>
                <w:bCs/>
                <w:i/>
                <w:iCs/>
                <w:color w:val="000000"/>
                <w:sz w:val="18"/>
                <w:szCs w:val="18"/>
              </w:rPr>
              <w:t> </w:t>
            </w:r>
          </w:p>
        </w:tc>
        <w:tc>
          <w:tcPr>
            <w:tcW w:w="667" w:type="pct"/>
            <w:tcBorders>
              <w:top w:val="single" w:sz="8" w:space="0" w:color="88BADC"/>
              <w:left w:val="nil"/>
              <w:bottom w:val="single" w:sz="8" w:space="0" w:color="88BADC"/>
              <w:right w:val="nil"/>
            </w:tcBorders>
            <w:shd w:val="clear" w:color="auto" w:fill="auto"/>
            <w:noWrap/>
            <w:vAlign w:val="center"/>
            <w:hideMark/>
          </w:tcPr>
          <w:p w14:paraId="39399262" w14:textId="77777777" w:rsidR="00AA3B78" w:rsidRPr="0076589C" w:rsidRDefault="00AA3B78" w:rsidP="00AA3B78">
            <w:pPr>
              <w:spacing w:after="0" w:line="240" w:lineRule="auto"/>
              <w:ind w:left="0"/>
              <w:jc w:val="center"/>
              <w:rPr>
                <w:rFonts w:ascii="Calibri" w:eastAsia="Times New Roman" w:hAnsi="Calibri" w:cs="Calibri"/>
                <w:b/>
                <w:bCs/>
                <w:i/>
                <w:iCs/>
                <w:color w:val="000000"/>
                <w:sz w:val="18"/>
                <w:szCs w:val="18"/>
              </w:rPr>
            </w:pPr>
            <w:r w:rsidRPr="0076589C">
              <w:rPr>
                <w:rFonts w:ascii="Calibri" w:eastAsia="Times New Roman" w:hAnsi="Calibri" w:cs="Calibri"/>
                <w:b/>
                <w:bCs/>
                <w:i/>
                <w:iCs/>
                <w:color w:val="000000"/>
                <w:sz w:val="18"/>
                <w:szCs w:val="18"/>
              </w:rPr>
              <w:t>4</w:t>
            </w:r>
          </w:p>
        </w:tc>
        <w:tc>
          <w:tcPr>
            <w:tcW w:w="607" w:type="pct"/>
            <w:tcBorders>
              <w:top w:val="single" w:sz="8" w:space="0" w:color="88BADC"/>
              <w:left w:val="nil"/>
              <w:bottom w:val="single" w:sz="8" w:space="0" w:color="88BADC"/>
              <w:right w:val="nil"/>
            </w:tcBorders>
            <w:shd w:val="clear" w:color="auto" w:fill="auto"/>
            <w:noWrap/>
            <w:vAlign w:val="center"/>
            <w:hideMark/>
          </w:tcPr>
          <w:p w14:paraId="70B178EA" w14:textId="77777777" w:rsidR="00AA3B78" w:rsidRPr="0076589C" w:rsidRDefault="00AA3B78" w:rsidP="00AA3B78">
            <w:pPr>
              <w:spacing w:after="0" w:line="240" w:lineRule="auto"/>
              <w:ind w:left="0"/>
              <w:jc w:val="center"/>
              <w:rPr>
                <w:rFonts w:ascii="Calibri" w:eastAsia="Times New Roman" w:hAnsi="Calibri" w:cs="Calibri"/>
                <w:b/>
                <w:bCs/>
                <w:i/>
                <w:iCs/>
                <w:color w:val="000000"/>
                <w:sz w:val="18"/>
                <w:szCs w:val="18"/>
              </w:rPr>
            </w:pPr>
            <w:r w:rsidRPr="0076589C">
              <w:rPr>
                <w:rFonts w:ascii="Calibri" w:eastAsia="Times New Roman" w:hAnsi="Calibri" w:cs="Calibri"/>
                <w:b/>
                <w:bCs/>
                <w:i/>
                <w:iCs/>
                <w:color w:val="000000"/>
                <w:sz w:val="18"/>
                <w:szCs w:val="18"/>
              </w:rPr>
              <w:t>833</w:t>
            </w:r>
          </w:p>
        </w:tc>
        <w:tc>
          <w:tcPr>
            <w:tcW w:w="577" w:type="pct"/>
            <w:tcBorders>
              <w:top w:val="single" w:sz="8" w:space="0" w:color="88BADC"/>
              <w:left w:val="nil"/>
              <w:bottom w:val="single" w:sz="8" w:space="0" w:color="88BADC"/>
              <w:right w:val="single" w:sz="8" w:space="0" w:color="88BADC"/>
            </w:tcBorders>
            <w:shd w:val="clear" w:color="auto" w:fill="auto"/>
            <w:noWrap/>
            <w:vAlign w:val="center"/>
            <w:hideMark/>
          </w:tcPr>
          <w:p w14:paraId="63789581" w14:textId="77777777" w:rsidR="00AA3B78" w:rsidRPr="0076589C" w:rsidRDefault="00AA3B78" w:rsidP="00AA3B78">
            <w:pPr>
              <w:spacing w:after="0" w:line="240" w:lineRule="auto"/>
              <w:ind w:left="0"/>
              <w:jc w:val="center"/>
              <w:rPr>
                <w:rFonts w:ascii="Calibri" w:eastAsia="Times New Roman" w:hAnsi="Calibri" w:cs="Calibri"/>
                <w:b/>
                <w:bCs/>
                <w:i/>
                <w:iCs/>
                <w:color w:val="000000"/>
                <w:sz w:val="18"/>
                <w:szCs w:val="18"/>
              </w:rPr>
            </w:pPr>
            <w:r w:rsidRPr="0076589C">
              <w:rPr>
                <w:rFonts w:ascii="Calibri" w:eastAsia="Times New Roman" w:hAnsi="Calibri" w:cs="Calibri"/>
                <w:b/>
                <w:bCs/>
                <w:i/>
                <w:iCs/>
                <w:color w:val="000000"/>
                <w:sz w:val="18"/>
                <w:szCs w:val="18"/>
              </w:rPr>
              <w:t>44</w:t>
            </w:r>
          </w:p>
        </w:tc>
        <w:tc>
          <w:tcPr>
            <w:tcW w:w="420" w:type="pct"/>
            <w:tcBorders>
              <w:top w:val="single" w:sz="8" w:space="0" w:color="88BADC"/>
              <w:left w:val="nil"/>
              <w:bottom w:val="single" w:sz="8" w:space="0" w:color="88BADC"/>
              <w:right w:val="nil"/>
            </w:tcBorders>
            <w:shd w:val="clear" w:color="auto" w:fill="auto"/>
            <w:noWrap/>
            <w:vAlign w:val="bottom"/>
            <w:hideMark/>
          </w:tcPr>
          <w:p w14:paraId="240C504E" w14:textId="77777777" w:rsidR="00AA3B78" w:rsidRPr="0076589C" w:rsidRDefault="00AA3B78" w:rsidP="00AA3B78">
            <w:pPr>
              <w:spacing w:after="0" w:line="240" w:lineRule="auto"/>
              <w:ind w:left="0"/>
              <w:jc w:val="center"/>
              <w:rPr>
                <w:rFonts w:ascii="Calibri" w:eastAsia="Times New Roman" w:hAnsi="Calibri" w:cs="Calibri"/>
                <w:b/>
                <w:bCs/>
                <w:i/>
                <w:iCs/>
                <w:color w:val="000000"/>
                <w:sz w:val="18"/>
                <w:szCs w:val="18"/>
              </w:rPr>
            </w:pPr>
            <w:r w:rsidRPr="0076589C">
              <w:rPr>
                <w:rFonts w:ascii="Calibri" w:eastAsia="Times New Roman" w:hAnsi="Calibri" w:cs="Calibri"/>
                <w:b/>
                <w:bCs/>
                <w:i/>
                <w:iCs/>
                <w:color w:val="000000"/>
                <w:sz w:val="18"/>
                <w:szCs w:val="18"/>
              </w:rPr>
              <w:t>5.00%</w:t>
            </w:r>
          </w:p>
        </w:tc>
        <w:tc>
          <w:tcPr>
            <w:tcW w:w="308" w:type="pct"/>
            <w:tcBorders>
              <w:top w:val="single" w:sz="8" w:space="0" w:color="88BADC"/>
              <w:left w:val="nil"/>
              <w:bottom w:val="single" w:sz="8" w:space="0" w:color="88BADC"/>
              <w:right w:val="nil"/>
            </w:tcBorders>
            <w:shd w:val="clear" w:color="auto" w:fill="auto"/>
            <w:noWrap/>
            <w:vAlign w:val="bottom"/>
            <w:hideMark/>
          </w:tcPr>
          <w:p w14:paraId="07717D08" w14:textId="77777777" w:rsidR="00AA3B78" w:rsidRPr="0076589C" w:rsidRDefault="00AA3B78" w:rsidP="00AA3B78">
            <w:pPr>
              <w:spacing w:after="0" w:line="240" w:lineRule="auto"/>
              <w:ind w:left="0"/>
              <w:jc w:val="center"/>
              <w:rPr>
                <w:rFonts w:ascii="Calibri" w:eastAsia="Times New Roman" w:hAnsi="Calibri" w:cs="Calibri"/>
                <w:b/>
                <w:bCs/>
                <w:i/>
                <w:iCs/>
                <w:color w:val="000000"/>
                <w:sz w:val="18"/>
                <w:szCs w:val="18"/>
              </w:rPr>
            </w:pPr>
            <w:r w:rsidRPr="0076589C">
              <w:rPr>
                <w:rFonts w:ascii="Calibri" w:eastAsia="Times New Roman" w:hAnsi="Calibri" w:cs="Calibri"/>
                <w:b/>
                <w:bCs/>
                <w:i/>
                <w:iCs/>
                <w:color w:val="000000"/>
                <w:sz w:val="18"/>
                <w:szCs w:val="18"/>
              </w:rPr>
              <w:t>94.54%</w:t>
            </w:r>
          </w:p>
        </w:tc>
        <w:tc>
          <w:tcPr>
            <w:tcW w:w="307" w:type="pct"/>
            <w:tcBorders>
              <w:top w:val="single" w:sz="8" w:space="0" w:color="88BADC"/>
              <w:left w:val="nil"/>
              <w:bottom w:val="single" w:sz="8" w:space="0" w:color="88BADC"/>
              <w:right w:val="nil"/>
            </w:tcBorders>
            <w:shd w:val="clear" w:color="auto" w:fill="auto"/>
            <w:noWrap/>
            <w:vAlign w:val="bottom"/>
            <w:hideMark/>
          </w:tcPr>
          <w:p w14:paraId="27D65454" w14:textId="77777777" w:rsidR="00AA3B78" w:rsidRPr="0076589C" w:rsidRDefault="00AA3B78" w:rsidP="00AA3B78">
            <w:pPr>
              <w:spacing w:after="0" w:line="240" w:lineRule="auto"/>
              <w:ind w:left="0"/>
              <w:jc w:val="center"/>
              <w:rPr>
                <w:rFonts w:ascii="Calibri" w:eastAsia="Times New Roman" w:hAnsi="Calibri" w:cs="Calibri"/>
                <w:b/>
                <w:bCs/>
                <w:i/>
                <w:iCs/>
                <w:color w:val="000000"/>
                <w:sz w:val="18"/>
                <w:szCs w:val="18"/>
              </w:rPr>
            </w:pPr>
            <w:r w:rsidRPr="0076589C">
              <w:rPr>
                <w:rFonts w:ascii="Calibri" w:eastAsia="Times New Roman" w:hAnsi="Calibri" w:cs="Calibri"/>
                <w:b/>
                <w:bCs/>
                <w:i/>
                <w:iCs/>
                <w:color w:val="000000"/>
                <w:sz w:val="18"/>
                <w:szCs w:val="18"/>
              </w:rPr>
              <w:t>0.34%</w:t>
            </w:r>
          </w:p>
        </w:tc>
        <w:tc>
          <w:tcPr>
            <w:tcW w:w="352" w:type="pct"/>
            <w:tcBorders>
              <w:top w:val="single" w:sz="8" w:space="0" w:color="88BADC"/>
              <w:left w:val="nil"/>
              <w:bottom w:val="single" w:sz="8" w:space="0" w:color="88BADC"/>
              <w:right w:val="single" w:sz="8" w:space="0" w:color="88BADC"/>
            </w:tcBorders>
            <w:shd w:val="clear" w:color="auto" w:fill="auto"/>
            <w:noWrap/>
            <w:vAlign w:val="bottom"/>
            <w:hideMark/>
          </w:tcPr>
          <w:p w14:paraId="646DEBBC" w14:textId="77777777" w:rsidR="00AA3B78" w:rsidRPr="0076589C" w:rsidRDefault="00AA3B78" w:rsidP="00AA3B78">
            <w:pPr>
              <w:spacing w:after="0" w:line="240" w:lineRule="auto"/>
              <w:ind w:left="0"/>
              <w:jc w:val="center"/>
              <w:rPr>
                <w:rFonts w:ascii="Calibri" w:eastAsia="Times New Roman" w:hAnsi="Calibri" w:cs="Calibri"/>
                <w:b/>
                <w:bCs/>
                <w:i/>
                <w:iCs/>
                <w:color w:val="000000"/>
                <w:sz w:val="18"/>
                <w:szCs w:val="18"/>
              </w:rPr>
            </w:pPr>
            <w:r w:rsidRPr="0076589C">
              <w:rPr>
                <w:rFonts w:ascii="Calibri" w:eastAsia="Times New Roman" w:hAnsi="Calibri" w:cs="Calibri"/>
                <w:b/>
                <w:bCs/>
                <w:i/>
                <w:iCs/>
                <w:color w:val="000000"/>
                <w:sz w:val="18"/>
                <w:szCs w:val="18"/>
              </w:rPr>
              <w:t>0.11%</w:t>
            </w:r>
          </w:p>
        </w:tc>
      </w:tr>
    </w:tbl>
    <w:p w14:paraId="71E26E18" w14:textId="72A12237" w:rsidR="00D33EF8" w:rsidRPr="0076589C" w:rsidRDefault="1C8D6E3A" w:rsidP="00801AF4">
      <w:pPr>
        <w:pStyle w:val="Fuentes"/>
        <w:rPr>
          <w:lang w:val="es-HN"/>
        </w:rPr>
      </w:pPr>
      <w:r w:rsidRPr="0076589C">
        <w:rPr>
          <w:lang w:val="es-HN"/>
        </w:rPr>
        <w:t>Fuente: Elaboración propia con datos de IPRA (2023).</w:t>
      </w:r>
    </w:p>
    <w:p w14:paraId="12E35BB5" w14:textId="6398DF6A" w:rsidR="007E733C" w:rsidRPr="0076589C" w:rsidRDefault="7FAD8741" w:rsidP="04808EB7">
      <w:pPr>
        <w:pStyle w:val="TextoPrincipal"/>
        <w:rPr>
          <w:lang w:val="es-HN"/>
        </w:rPr>
      </w:pPr>
      <w:r w:rsidRPr="0076589C">
        <w:rPr>
          <w:lang w:val="es-HN"/>
        </w:rPr>
        <w:t xml:space="preserve">En la </w:t>
      </w:r>
      <w:r w:rsidRPr="0076589C">
        <w:rPr>
          <w:b/>
          <w:bCs/>
          <w:lang w:val="es-HN"/>
        </w:rPr>
        <w:t>Tabla 11</w:t>
      </w:r>
      <w:r w:rsidRPr="0076589C">
        <w:rPr>
          <w:lang w:val="es-HN"/>
        </w:rPr>
        <w:t xml:space="preserve"> en primer lugar se pudó identificar el comportamiento porcentual de los clientes, donde se observa que hubo un decrecimiento notable del 17% para el año 2021, esto se fue por que en el año 2020 donde se identifica el aumento del 124% se ingresó al sistema a clientes nuevos para poder venderle productos de higiene personal (gel y alcohol) los cuales solo iban a ser compras únicas por el factor externo covid-2019.</w:t>
      </w:r>
    </w:p>
    <w:p w14:paraId="2334E722" w14:textId="49966E29" w:rsidR="2CF091DE" w:rsidRPr="0076589C" w:rsidRDefault="1C8D6E3A" w:rsidP="2CF091DE">
      <w:pPr>
        <w:pStyle w:val="TextoPrincipal"/>
        <w:rPr>
          <w:lang w:val="es-HN"/>
        </w:rPr>
      </w:pPr>
      <w:r w:rsidRPr="0076589C">
        <w:rPr>
          <w:lang w:val="es-HN"/>
        </w:rPr>
        <w:t>Los plazos de crédito que maneja IPRA en sus cuentas por cobrar son: actual, 30 días, 60 días, 90 días y 180 días. Estos plazos se han mantenido prácticamente constantes a lo largo de los años, IPRA cuando realiza la apertura de un cliente nuevo le otorga 3 compras de contado, para después poder otorgarles créditos a sus clientes, en este caso 60 días es el plazo fijo que brinda. este plazo es colocado en el sistema ERP que utilizan “SAGE”, para las compras de contado se colocan a 30 días.</w:t>
      </w:r>
    </w:p>
    <w:p w14:paraId="40D1F64B" w14:textId="39B5AF46" w:rsidR="61E68867" w:rsidRPr="0076589C" w:rsidRDefault="1C8D6E3A" w:rsidP="0077495C">
      <w:pPr>
        <w:pStyle w:val="TextoPrincipal"/>
        <w:rPr>
          <w:lang w:val="es-HN"/>
        </w:rPr>
      </w:pPr>
      <w:r w:rsidRPr="0076589C">
        <w:rPr>
          <w:lang w:val="es-HN"/>
        </w:rPr>
        <w:t>IPRA únicamente cuenta con cuatro clientes especiales con los cuales ha acordado plazos de pago mayores a 90 días</w:t>
      </w:r>
      <w:r w:rsidR="0077495C" w:rsidRPr="0076589C">
        <w:rPr>
          <w:lang w:val="es-HN"/>
        </w:rPr>
        <w:t xml:space="preserve">. </w:t>
      </w:r>
    </w:p>
    <w:p w14:paraId="7E38D827" w14:textId="596AC930" w:rsidR="005E2618" w:rsidRPr="0076589C" w:rsidRDefault="1C8D6E3A" w:rsidP="00861ADB">
      <w:pPr>
        <w:pStyle w:val="TextoPrincipal"/>
        <w:rPr>
          <w:lang w:val="es-HN"/>
        </w:rPr>
      </w:pPr>
      <w:r w:rsidRPr="0076589C">
        <w:rPr>
          <w:lang w:val="es-HN"/>
        </w:rPr>
        <w:lastRenderedPageBreak/>
        <w:t>Para este análisis se debe tomar en cuenta que los totales de los clientes por año se están tomando ya sea que estén activos y no activos ya que no disponen de una base de datos actualizadas del sistema. Dicho lo anterior</w:t>
      </w:r>
      <w:r w:rsidR="00537B08" w:rsidRPr="0076589C">
        <w:rPr>
          <w:lang w:val="es-HN"/>
        </w:rPr>
        <w:t xml:space="preserve"> se</w:t>
      </w:r>
      <w:r w:rsidRPr="0076589C">
        <w:rPr>
          <w:lang w:val="es-HN"/>
        </w:rPr>
        <w:t xml:space="preserve"> </w:t>
      </w:r>
      <w:r w:rsidR="00537B08" w:rsidRPr="0076589C">
        <w:rPr>
          <w:lang w:val="es-HN"/>
        </w:rPr>
        <w:t xml:space="preserve">identificó </w:t>
      </w:r>
      <w:r w:rsidRPr="0076589C">
        <w:rPr>
          <w:lang w:val="es-HN"/>
        </w:rPr>
        <w:t>que los plazos de crédito según el total de sus clientes se ponderan de la siguiente manera:</w:t>
      </w:r>
    </w:p>
    <w:p w14:paraId="12601269" w14:textId="3704893A" w:rsidR="002E709C" w:rsidRPr="0076589C" w:rsidRDefault="1C8D6E3A" w:rsidP="00861ADB">
      <w:pPr>
        <w:pStyle w:val="TextoPrincipal"/>
        <w:rPr>
          <w:lang w:val="es-HN"/>
        </w:rPr>
      </w:pPr>
      <w:r w:rsidRPr="0076589C">
        <w:rPr>
          <w:lang w:val="es-HN"/>
        </w:rPr>
        <w:t>Clientes que tienen un plazo a 30 días representa un 5% en promedio.</w:t>
      </w:r>
    </w:p>
    <w:p w14:paraId="12085141" w14:textId="79578A26" w:rsidR="002E709C" w:rsidRPr="0076589C" w:rsidRDefault="1C8D6E3A" w:rsidP="00861ADB">
      <w:pPr>
        <w:pStyle w:val="TextoPrincipal"/>
        <w:rPr>
          <w:lang w:val="es-HN"/>
        </w:rPr>
      </w:pPr>
      <w:r w:rsidRPr="0076589C">
        <w:rPr>
          <w:lang w:val="es-HN"/>
        </w:rPr>
        <w:t>Clientes que tienen un plazo a 60 días representan un 94.53% en promedio.</w:t>
      </w:r>
    </w:p>
    <w:p w14:paraId="03099B05" w14:textId="42F49139" w:rsidR="002E709C" w:rsidRPr="0076589C" w:rsidRDefault="1C8D6E3A" w:rsidP="00861ADB">
      <w:pPr>
        <w:pStyle w:val="TextoPrincipal"/>
        <w:rPr>
          <w:lang w:val="es-HN"/>
        </w:rPr>
      </w:pPr>
      <w:r w:rsidRPr="0076589C">
        <w:rPr>
          <w:lang w:val="es-HN"/>
        </w:rPr>
        <w:t>Clientes que tienen un plazo a 90 días representan un 0.35% en promedio.</w:t>
      </w:r>
    </w:p>
    <w:p w14:paraId="41CE420B" w14:textId="3B548FCB" w:rsidR="000444E0" w:rsidRPr="0076589C" w:rsidRDefault="1C8D6E3A" w:rsidP="000444E0">
      <w:pPr>
        <w:pStyle w:val="TextoPrincipal"/>
        <w:rPr>
          <w:lang w:val="es-HN"/>
        </w:rPr>
      </w:pPr>
      <w:r w:rsidRPr="0076589C">
        <w:rPr>
          <w:lang w:val="es-HN"/>
        </w:rPr>
        <w:t>Clientes que tienen un plazo mayor a 180 días representan un 0.12% en promedio.</w:t>
      </w:r>
    </w:p>
    <w:p w14:paraId="19D16703" w14:textId="77777777" w:rsidR="000444E0" w:rsidRPr="0076589C" w:rsidRDefault="000444E0" w:rsidP="000444E0">
      <w:pPr>
        <w:pStyle w:val="TextoPrincipal"/>
        <w:spacing w:after="0"/>
        <w:rPr>
          <w:lang w:val="es-HN"/>
        </w:rPr>
      </w:pPr>
    </w:p>
    <w:p w14:paraId="3D80810C" w14:textId="37174A5E" w:rsidR="008B2585" w:rsidRPr="0076589C" w:rsidRDefault="1C8D6E3A" w:rsidP="0053775F">
      <w:pPr>
        <w:pStyle w:val="Nivel5"/>
        <w:numPr>
          <w:ilvl w:val="0"/>
          <w:numId w:val="35"/>
        </w:numPr>
        <w:ind w:left="1440" w:firstLine="0"/>
      </w:pPr>
      <w:r w:rsidRPr="0076589C">
        <w:t>ANÁLISIS DE LIMITES DE CREDITO SEGÚN CLIENTE</w:t>
      </w:r>
    </w:p>
    <w:p w14:paraId="731BC25A" w14:textId="2A6B170A" w:rsidR="005E2618" w:rsidRPr="0076589C" w:rsidRDefault="1C8D6E3A" w:rsidP="005E2618">
      <w:pPr>
        <w:pStyle w:val="TextoPrincipal"/>
        <w:rPr>
          <w:lang w:val="es-HN"/>
        </w:rPr>
      </w:pPr>
      <w:r w:rsidRPr="0076589C">
        <w:rPr>
          <w:lang w:val="es-HN"/>
        </w:rPr>
        <w:t xml:space="preserve">Se refieren al monto máximo de crédito que una empresa está dispuesta a otorgar a un cliente o entidad. Estos límites de crédito son una parte fundamental de la política de crédito de una empresa y se utilizan para establecer cuánto crédito un cliente puede recibir en función de su historial crediticio, capacidad de pago y otros factores relevantes. </w:t>
      </w:r>
      <w:r w:rsidR="5E2FA8D9" w:rsidRPr="0076589C">
        <w:rPr>
          <w:lang w:val="es-HN"/>
        </w:rPr>
        <w:fldChar w:fldCharType="begin"/>
      </w:r>
      <w:r w:rsidR="5E2FA8D9" w:rsidRPr="0076589C">
        <w:rPr>
          <w:lang w:val="es-HN"/>
        </w:rPr>
        <w:instrText xml:space="preserve"> ADDIN ZOTERO_ITEM CSL_CITATION {"citationID":"IhM1Wwjq","properties":{"formattedCitation":"(Brachfield Alsina, 2009)","plainCitation":"(Brachfield Alsina, 2009)","noteIndex":0},"citationItems":[{"id":154,"uris":["http://zotero.org/users/12108825/items/IF9SKZA3"],"itemData":{"id":154,"type":"book","abstract":"Este libro facilita los conocimientos y herramientas para gestionar de forma integral el riesgo de crédito comercial. España está sufriendo la mayor pandemia de morosidad jamás conocida. Las empresas han visto cómo se han alargado sus plazos medios de cobro hasta 124 días y se han quintuplicado sus impagados. La mayoría de las empresas que sufren retrasos en los cobros tienen graves problemas financieros derivados de los impagos. El libro enseña los mecanismos de Credit &amp; Collection Management para controlar el riesgo de crédito, cobrar puntualmente las facturas y evitar los impagos. Asimismo describe cómo conceder las líneas de crédito a los clientes para evitar que se produzcan deudas incobrables. Gracias al libro el lector sabrá cómo implantar las políticas de crédito y establecer procedimientos para el otorgamiento de las líneas de crédito y límites de riesgo. Libro escrito bajo un enfoque muy práctica La obra presenta las técnicas para mejorar el cash flow en las empresas y ahorrar costes financieros","ISBN":"978-84-92956-90-6","language":"es","note":"Google-Books-ID: TRF0kJL8PUEC","number-of-pages":"417","publisher":"Profit Editorial","source":"Google Books","title":"Gestión del crédito y cobro: Claves para prevenir la morosidad y recuperar los impagados","title-short":"Gestión del crédito y cobro","author":[{"family":"Brachfield Alsina","given":"Pere"}],"issued":{"date-parts":[["2009",10,21]]}}}],"schema":"https://github.com/citation-style-language/schema/raw/master/csl-citation.json"} </w:instrText>
      </w:r>
      <w:r w:rsidR="5E2FA8D9" w:rsidRPr="0076589C">
        <w:rPr>
          <w:lang w:val="es-HN"/>
        </w:rPr>
        <w:fldChar w:fldCharType="separate"/>
      </w:r>
      <w:r w:rsidRPr="0076589C">
        <w:rPr>
          <w:lang w:val="es-HN"/>
        </w:rPr>
        <w:t>(Brachfield Alsina, 2009)</w:t>
      </w:r>
      <w:r w:rsidR="5E2FA8D9" w:rsidRPr="0076589C">
        <w:rPr>
          <w:lang w:val="es-HN"/>
        </w:rPr>
        <w:fldChar w:fldCharType="end"/>
      </w:r>
      <w:r w:rsidRPr="0076589C">
        <w:rPr>
          <w:lang w:val="es-HN"/>
        </w:rPr>
        <w:t xml:space="preserve">   </w:t>
      </w:r>
    </w:p>
    <w:p w14:paraId="0D18D7B3" w14:textId="1ED2A3E1" w:rsidR="00FC6F14" w:rsidRPr="0076589C" w:rsidRDefault="1C8D6E3A" w:rsidP="5B67C6E1">
      <w:pPr>
        <w:pStyle w:val="TextoPrincipal"/>
        <w:rPr>
          <w:lang w:val="es-HN"/>
        </w:rPr>
      </w:pPr>
      <w:r w:rsidRPr="0076589C">
        <w:rPr>
          <w:lang w:val="es-HN"/>
        </w:rPr>
        <w:t>Los límites de crédito son una herramienta clave en la gestión de cuentas por cobrar y en la toma de decisiones financieras de una empresa. Establecer límites adecuados es esencial para equilibrar la expansión de las ventas a través del otorgamiento de crédito con la mitigación de los riesgos financieros.</w:t>
      </w:r>
    </w:p>
    <w:p w14:paraId="7EE660C8" w14:textId="5335BC96" w:rsidR="3395AB65" w:rsidRPr="0076589C" w:rsidRDefault="1C8D6E3A" w:rsidP="3395AB65">
      <w:pPr>
        <w:pStyle w:val="TextoPrincipal"/>
        <w:ind w:firstLine="0"/>
        <w:rPr>
          <w:lang w:val="es-HN"/>
        </w:rPr>
      </w:pPr>
      <w:r w:rsidRPr="0076589C">
        <w:rPr>
          <w:lang w:val="es-HN"/>
        </w:rPr>
        <w:t>Para poder realizar el análisis de los límites de crédito de los cinco clientes con mayores ventas en IPRA del año 2022, se solicitó a la empresa los límites de crédito establecido en el sistema, las facturas, los pagos, tiempo de crédito, de cada cliente que se va a analizar durante el año 2022 para saber si se está respetando sus límites de crédito otorgados.</w:t>
      </w:r>
    </w:p>
    <w:p w14:paraId="74CA58C8" w14:textId="15BBA039" w:rsidR="597D4812" w:rsidRPr="0076589C" w:rsidRDefault="1C8D6E3A" w:rsidP="597D4812">
      <w:pPr>
        <w:pStyle w:val="TextoPrincipal"/>
        <w:ind w:firstLine="0"/>
        <w:rPr>
          <w:lang w:val="es-HN"/>
        </w:rPr>
      </w:pPr>
      <w:r w:rsidRPr="0076589C">
        <w:rPr>
          <w:lang w:val="es-HN"/>
        </w:rPr>
        <w:t>Así mismo se realizó el cálculo para cada cliente según su historial de compra y condiciones de pago cual sería el límite de crédito que se le debe otorgar para saber si es igual al que tiene establecido en el sistema.</w:t>
      </w:r>
    </w:p>
    <w:p w14:paraId="717AD2A7" w14:textId="77777777" w:rsidR="0033143E" w:rsidRPr="0076589C" w:rsidRDefault="0033143E" w:rsidP="0033143E">
      <w:pPr>
        <w:pStyle w:val="TextoPrincipal"/>
        <w:rPr>
          <w:lang w:val="es-HN"/>
        </w:rPr>
      </w:pPr>
    </w:p>
    <w:p w14:paraId="35A6CDF2" w14:textId="77777777" w:rsidR="0033143E" w:rsidRPr="0076589C" w:rsidRDefault="0033143E">
      <w:pPr>
        <w:rPr>
          <w:rFonts w:eastAsia="Calibri" w:cs="Times New Roman"/>
        </w:rPr>
      </w:pPr>
      <w:r w:rsidRPr="0076589C">
        <w:br w:type="page"/>
      </w:r>
    </w:p>
    <w:p w14:paraId="5CE8E408" w14:textId="51AEEE94" w:rsidR="748A9CCA" w:rsidRPr="0076589C" w:rsidRDefault="0033143E" w:rsidP="0033143E">
      <w:pPr>
        <w:pStyle w:val="TextoPrincipal"/>
        <w:rPr>
          <w:lang w:val="es-HN"/>
        </w:rPr>
      </w:pPr>
      <w:r w:rsidRPr="0076589C">
        <w:rPr>
          <w:lang w:val="es-HN"/>
        </w:rPr>
        <w:lastRenderedPageBreak/>
        <w:t>En el Anexo No. 4 se puede observar el análisis</w:t>
      </w:r>
      <w:r w:rsidR="1C8D6E3A" w:rsidRPr="0076589C">
        <w:rPr>
          <w:lang w:val="es-HN"/>
        </w:rPr>
        <w:t xml:space="preserve"> del límite de crédito </w:t>
      </w:r>
      <w:r w:rsidRPr="0076589C">
        <w:rPr>
          <w:lang w:val="es-HN"/>
        </w:rPr>
        <w:t>que se realizó al cliente “I</w:t>
      </w:r>
      <w:r w:rsidR="008E2490" w:rsidRPr="0076589C">
        <w:rPr>
          <w:lang w:val="es-HN"/>
        </w:rPr>
        <w:t>nversiones LL</w:t>
      </w:r>
      <w:r w:rsidRPr="0076589C">
        <w:rPr>
          <w:lang w:val="es-HN"/>
        </w:rPr>
        <w:t xml:space="preserve">”; donde en el año </w:t>
      </w:r>
      <w:r w:rsidR="1C8D6E3A" w:rsidRPr="0076589C">
        <w:rPr>
          <w:lang w:val="es-HN"/>
        </w:rPr>
        <w:t xml:space="preserve">2022, </w:t>
      </w:r>
      <w:r w:rsidR="008E2490" w:rsidRPr="0076589C">
        <w:rPr>
          <w:lang w:val="es-HN"/>
        </w:rPr>
        <w:t>“Inversiones LL”</w:t>
      </w:r>
      <w:r w:rsidR="1C8D6E3A" w:rsidRPr="0076589C">
        <w:rPr>
          <w:lang w:val="es-HN"/>
        </w:rPr>
        <w:t xml:space="preserve"> mantuvo un historial de pagos relativamente consistente, cumpliendo con sus obligaciones en su mayoría. Sin embargo, a partir de julio de 2022, se observa una tendencia de incumplimiento con saldos que superan el límite de crédito.</w:t>
      </w:r>
    </w:p>
    <w:p w14:paraId="153B19FE" w14:textId="2CC21365" w:rsidR="33D30EDD" w:rsidRPr="0076589C" w:rsidRDefault="1C8D6E3A" w:rsidP="33D30EDD">
      <w:pPr>
        <w:pStyle w:val="TextoPrincipal"/>
        <w:rPr>
          <w:lang w:val="es-HN"/>
        </w:rPr>
      </w:pPr>
      <w:r w:rsidRPr="0076589C">
        <w:rPr>
          <w:lang w:val="es-HN"/>
        </w:rPr>
        <w:t>Los pagos realizados no son suficientes para mantener los saldos dentro del límite de crédito. Esto plante</w:t>
      </w:r>
      <w:r w:rsidR="00B767B0" w:rsidRPr="0076589C">
        <w:rPr>
          <w:lang w:val="es-HN"/>
        </w:rPr>
        <w:t>ó</w:t>
      </w:r>
      <w:r w:rsidRPr="0076589C">
        <w:rPr>
          <w:lang w:val="es-HN"/>
        </w:rPr>
        <w:t xml:space="preserve"> interrogantes sobre la capacidad de </w:t>
      </w:r>
      <w:r w:rsidR="008E2490" w:rsidRPr="0076589C">
        <w:rPr>
          <w:lang w:val="es-HN"/>
        </w:rPr>
        <w:t>“Inversiones LL”</w:t>
      </w:r>
      <w:r w:rsidRPr="0076589C">
        <w:rPr>
          <w:lang w:val="es-HN"/>
        </w:rPr>
        <w:t xml:space="preserve"> para cumplir con sus obligaciones financieras, especialmente considerando los saldos fuera del límite acumulados. En varias ocasiones,</w:t>
      </w:r>
      <w:r w:rsidR="00D27EF5" w:rsidRPr="0076589C">
        <w:rPr>
          <w:lang w:val="es-HN"/>
        </w:rPr>
        <w:t xml:space="preserve"> “Inversiones LL”</w:t>
      </w:r>
      <w:r w:rsidRPr="0076589C">
        <w:rPr>
          <w:lang w:val="es-HN"/>
        </w:rPr>
        <w:t xml:space="preserve"> ha excedido su límite de crédito, acumulando saldos que indican una posible tensión financiera. Esto representa un riesgo para tu empresa en términos de recuperación de deudas.</w:t>
      </w:r>
    </w:p>
    <w:p w14:paraId="6252D0A6" w14:textId="64C2CAC9" w:rsidR="33D30EDD" w:rsidRPr="0076589C" w:rsidRDefault="1C8D6E3A" w:rsidP="33D30EDD">
      <w:pPr>
        <w:pStyle w:val="TextoPrincipal"/>
        <w:rPr>
          <w:lang w:val="es-HN"/>
        </w:rPr>
      </w:pPr>
      <w:r w:rsidRPr="0076589C">
        <w:rPr>
          <w:lang w:val="es-HN"/>
        </w:rPr>
        <w:t xml:space="preserve">Dado su historial de compras, se logró obtener su límite de crédito y en efecto es el mismo que tiene establecido actualmente, pero dada la tendencia de saldos fuera del límite, es crucial revisar y posiblemente ajustar el límite de crédito otorgado a </w:t>
      </w:r>
      <w:r w:rsidR="00D27EF5" w:rsidRPr="0076589C">
        <w:rPr>
          <w:lang w:val="es-HN"/>
        </w:rPr>
        <w:t>“Inversiones LL”</w:t>
      </w:r>
      <w:r w:rsidRPr="0076589C">
        <w:rPr>
          <w:lang w:val="es-HN"/>
        </w:rPr>
        <w:t xml:space="preserve"> para reflejar su capacidad financiera actual, En caso de saldos pendientes significativos, considerar la implementación de un plan de pago estructurado con </w:t>
      </w:r>
      <w:r w:rsidR="00D27EF5" w:rsidRPr="0076589C">
        <w:rPr>
          <w:lang w:val="es-HN"/>
        </w:rPr>
        <w:t>“Inversiones LL”</w:t>
      </w:r>
      <w:r w:rsidRPr="0076589C">
        <w:rPr>
          <w:lang w:val="es-HN"/>
        </w:rPr>
        <w:t xml:space="preserve"> para reducir los riesgos financieros.</w:t>
      </w:r>
    </w:p>
    <w:p w14:paraId="69CE11D0" w14:textId="467DEA01" w:rsidR="01657DD3" w:rsidRPr="0076589C" w:rsidRDefault="0033143E" w:rsidP="0033143E">
      <w:pPr>
        <w:pStyle w:val="TextoPrincipal"/>
        <w:rPr>
          <w:lang w:val="es-HN"/>
        </w:rPr>
      </w:pPr>
      <w:r w:rsidRPr="0076589C">
        <w:rPr>
          <w:lang w:val="es-HN"/>
        </w:rPr>
        <w:t xml:space="preserve">En el Anexo No. 5 se puede observar el análisis del límite de crédito que se realizó al cliente </w:t>
      </w:r>
      <w:r w:rsidR="00FE3452" w:rsidRPr="0076589C">
        <w:rPr>
          <w:lang w:val="es-HN"/>
        </w:rPr>
        <w:t>“</w:t>
      </w:r>
      <w:r w:rsidR="00714A89" w:rsidRPr="0076589C">
        <w:rPr>
          <w:lang w:val="es-HN"/>
        </w:rPr>
        <w:t>Mercadito LC</w:t>
      </w:r>
      <w:r w:rsidR="00FE3452" w:rsidRPr="0076589C">
        <w:rPr>
          <w:lang w:val="es-HN"/>
        </w:rPr>
        <w:t>”</w:t>
      </w:r>
      <w:r w:rsidRPr="0076589C">
        <w:rPr>
          <w:lang w:val="es-HN"/>
        </w:rPr>
        <w:t xml:space="preserve"> e</w:t>
      </w:r>
      <w:r w:rsidR="006470CF" w:rsidRPr="0076589C">
        <w:rPr>
          <w:lang w:val="es-HN"/>
        </w:rPr>
        <w:t xml:space="preserve">l </w:t>
      </w:r>
      <w:r w:rsidRPr="0076589C">
        <w:rPr>
          <w:lang w:val="es-HN"/>
        </w:rPr>
        <w:t xml:space="preserve">cual </w:t>
      </w:r>
      <w:r w:rsidR="009031B9" w:rsidRPr="0076589C">
        <w:rPr>
          <w:lang w:val="es-HN"/>
        </w:rPr>
        <w:t>demostró</w:t>
      </w:r>
      <w:r w:rsidR="1C8D6E3A" w:rsidRPr="0076589C">
        <w:rPr>
          <w:lang w:val="es-HN"/>
        </w:rPr>
        <w:t xml:space="preserve"> un historial de pagos relativamente consistente a lo largo de 2022. La mayoría de los meses muestran una facturación seguida de pagos, indicando una capacidad razonable para cumplir con las obligaciones de pago dentro de los términos acordados. Se observa que ha utilizado su límite de crédito de manera efectiva, manteniendo los saldos dentro de los límites asignados. A finales de diciembre, el límite disponible es L.269,532.25, lo que indica una gestión prudente de sus compromisos financieros.</w:t>
      </w:r>
    </w:p>
    <w:p w14:paraId="4512CC99" w14:textId="3B64585E" w:rsidR="00FC7A4D" w:rsidRPr="0076589C" w:rsidRDefault="1C8D6E3A" w:rsidP="00621746">
      <w:pPr>
        <w:pStyle w:val="TextoPrincipal"/>
        <w:rPr>
          <w:lang w:val="es-HN"/>
        </w:rPr>
      </w:pPr>
      <w:r w:rsidRPr="0076589C">
        <w:rPr>
          <w:lang w:val="es-HN"/>
        </w:rPr>
        <w:t>Se observa cierta variabilidad en la facturación mensual, lo que sugiere fluctuaciones en la demanda o patrones de compra. Esta variabilidad podría influir en la necesidad de ajustar el límite de crédito para adaptarse mejor a las circunstancias cambiantes del cliente.</w:t>
      </w:r>
    </w:p>
    <w:p w14:paraId="1596FEBB" w14:textId="079080C9" w:rsidR="01657DD3" w:rsidRPr="0076589C" w:rsidRDefault="0033143E" w:rsidP="0033143E">
      <w:pPr>
        <w:pStyle w:val="TextoPrincipal"/>
        <w:rPr>
          <w:lang w:val="es-HN"/>
        </w:rPr>
      </w:pPr>
      <w:r w:rsidRPr="0076589C">
        <w:rPr>
          <w:lang w:val="es-HN"/>
        </w:rPr>
        <w:t xml:space="preserve">En el Anexo No. 6 se puede observar el análisis del límite de crédito que se realizó al cliente </w:t>
      </w:r>
      <w:r w:rsidR="00C5092F" w:rsidRPr="0076589C">
        <w:rPr>
          <w:lang w:val="es-HN"/>
        </w:rPr>
        <w:t>“Farmacia Q”</w:t>
      </w:r>
      <w:r w:rsidRPr="0076589C">
        <w:rPr>
          <w:lang w:val="es-HN"/>
        </w:rPr>
        <w:t xml:space="preserve"> </w:t>
      </w:r>
      <w:r w:rsidR="006000E2" w:rsidRPr="0076589C">
        <w:rPr>
          <w:lang w:val="es-HN"/>
        </w:rPr>
        <w:t xml:space="preserve">donde </w:t>
      </w:r>
      <w:r w:rsidR="009031B9" w:rsidRPr="0076589C">
        <w:rPr>
          <w:lang w:val="es-HN"/>
        </w:rPr>
        <w:t>demostró</w:t>
      </w:r>
      <w:r w:rsidR="1C8D6E3A" w:rsidRPr="0076589C">
        <w:rPr>
          <w:lang w:val="es-HN"/>
        </w:rPr>
        <w:t xml:space="preserve"> un patrón de pagos irregular a lo largo del año, con múltiples meses en los que los saldos han superado el límite de crédito otorgado. Esto sugiere una falta de </w:t>
      </w:r>
      <w:r w:rsidR="1C8D6E3A" w:rsidRPr="0076589C">
        <w:rPr>
          <w:lang w:val="es-HN"/>
        </w:rPr>
        <w:lastRenderedPageBreak/>
        <w:t xml:space="preserve">consistencia en el cumplimiento de las obligaciones financieras. A pesar de la variabilidad en la facturación, </w:t>
      </w:r>
      <w:r w:rsidR="002532C1" w:rsidRPr="0076589C">
        <w:rPr>
          <w:lang w:val="es-HN"/>
        </w:rPr>
        <w:t>“Farmacia Q”</w:t>
      </w:r>
      <w:r w:rsidR="1C8D6E3A" w:rsidRPr="0076589C">
        <w:rPr>
          <w:lang w:val="es-HN"/>
        </w:rPr>
        <w:t xml:space="preserve"> ha superado regularmente su límite de crédito otorgado. Esto plantea preocupaciones sobre la capacidad del cliente para gestionar eficazmente sus obligaciones financieras.</w:t>
      </w:r>
    </w:p>
    <w:p w14:paraId="403EEA0A" w14:textId="41F12ED6" w:rsidR="53D7D26A" w:rsidRPr="0076589C" w:rsidRDefault="1C8D6E3A" w:rsidP="53D7D26A">
      <w:pPr>
        <w:pStyle w:val="TextoPrincipal"/>
        <w:rPr>
          <w:lang w:val="es-HN"/>
        </w:rPr>
      </w:pPr>
      <w:r w:rsidRPr="0076589C">
        <w:rPr>
          <w:lang w:val="es-HN"/>
        </w:rPr>
        <w:t>En varios puntos durante el año, el límite disponible ha sido negativo, indicando que el cliente ha excedido significativamente el límite de crédito otorgado. Esto aumenta el riesgo financiero para la empresa.</w:t>
      </w:r>
    </w:p>
    <w:p w14:paraId="47AF21A5" w14:textId="4C059998" w:rsidR="53D7D26A" w:rsidRPr="0076589C" w:rsidRDefault="1C8D6E3A" w:rsidP="00994712">
      <w:pPr>
        <w:pStyle w:val="TextoPrincipal"/>
        <w:rPr>
          <w:lang w:val="es-HN"/>
        </w:rPr>
      </w:pPr>
      <w:r w:rsidRPr="0076589C">
        <w:rPr>
          <w:lang w:val="es-HN"/>
        </w:rPr>
        <w:t>Se observa que según el límite de crédito calculado es mucho mayor que el establecido por la empresa, dando a notar que no se revisa constantemente, se debe tener en cuenta que no solo se debe aumentar el crédito a un cliente, antes de realizarlo se debe analizar el comportamiento de sus pagos.</w:t>
      </w:r>
    </w:p>
    <w:p w14:paraId="36936DD5" w14:textId="6E0D54B6" w:rsidR="7F37FA46" w:rsidRPr="0076589C" w:rsidRDefault="006000E2" w:rsidP="006000E2">
      <w:pPr>
        <w:pStyle w:val="TextoPrincipal"/>
        <w:rPr>
          <w:lang w:val="es-HN"/>
        </w:rPr>
      </w:pPr>
      <w:r w:rsidRPr="0076589C">
        <w:rPr>
          <w:lang w:val="es-HN"/>
        </w:rPr>
        <w:t xml:space="preserve">En el Anexo No. 7 se puede observar el análisis del límite de crédito que se realizó al cliente </w:t>
      </w:r>
      <w:r w:rsidR="00565AA9" w:rsidRPr="0076589C">
        <w:rPr>
          <w:lang w:val="es-HN"/>
        </w:rPr>
        <w:t>“</w:t>
      </w:r>
      <w:r w:rsidR="00597977" w:rsidRPr="0076589C">
        <w:rPr>
          <w:lang w:val="es-HN"/>
        </w:rPr>
        <w:t>Corporativa K</w:t>
      </w:r>
      <w:r w:rsidR="00565AA9" w:rsidRPr="0076589C">
        <w:rPr>
          <w:lang w:val="es-HN"/>
        </w:rPr>
        <w:t>”</w:t>
      </w:r>
      <w:r w:rsidRPr="0076589C">
        <w:rPr>
          <w:lang w:val="es-HN"/>
        </w:rPr>
        <w:t xml:space="preserve"> </w:t>
      </w:r>
      <w:r w:rsidR="7FAD8741" w:rsidRPr="0076589C">
        <w:rPr>
          <w:lang w:val="es-HN"/>
        </w:rPr>
        <w:t>presenta un patrón de pagos irregular y ha excedido repetidamente el límite de crédito otorgado. Esta inconsistencia sugiere dificultades en la gestión financiera y un riesgo potencial para la relación crediticia. En varios meses, se observa facturación significativa sin pagos registrados. Esto indica una falta de cumplimiento de los términos de pago acordados, lo que pudo afectar negativamente la salud financiera de tu empresa. En múltiples ocasiones, el límite disponible ha sido negativo, lo que indica que la empresa ha excedido sustancialmente su límite de crédito otorgado.</w:t>
      </w:r>
    </w:p>
    <w:p w14:paraId="6EB491B1" w14:textId="7F5F8165" w:rsidR="777D2DA4" w:rsidRPr="0076589C" w:rsidRDefault="1C8D6E3A" w:rsidP="777D2DA4">
      <w:pPr>
        <w:pStyle w:val="TextoPrincipal"/>
        <w:rPr>
          <w:lang w:val="es-HN"/>
        </w:rPr>
      </w:pPr>
      <w:r w:rsidRPr="0076589C">
        <w:rPr>
          <w:lang w:val="es-HN"/>
        </w:rPr>
        <w:t xml:space="preserve">Se puede </w:t>
      </w:r>
      <w:r w:rsidR="00420A98" w:rsidRPr="0076589C">
        <w:rPr>
          <w:lang w:val="es-HN"/>
        </w:rPr>
        <w:t>c</w:t>
      </w:r>
      <w:r w:rsidRPr="0076589C">
        <w:rPr>
          <w:lang w:val="es-HN"/>
        </w:rPr>
        <w:t>onsiderar la posibilidad de negociar términos y condiciones más estrictos, como plazos de pago más cortos o requisitos de garantía, para mitigar el riesgo asociado con la relación crediticia.</w:t>
      </w:r>
    </w:p>
    <w:p w14:paraId="48BDC3B2" w14:textId="7491339D" w:rsidR="008D3D54" w:rsidRPr="0076589C" w:rsidRDefault="00623586" w:rsidP="00623586">
      <w:pPr>
        <w:pStyle w:val="TextoPrincipal"/>
        <w:rPr>
          <w:lang w:val="es-HN"/>
        </w:rPr>
      </w:pPr>
      <w:r w:rsidRPr="0076589C">
        <w:rPr>
          <w:lang w:val="es-HN"/>
        </w:rPr>
        <w:t xml:space="preserve">En el Anexo No. 8 se puede observar el análisis del límite de crédito que se realizó al cliente </w:t>
      </w:r>
      <w:r w:rsidR="00023964" w:rsidRPr="0076589C">
        <w:rPr>
          <w:lang w:val="es-HN"/>
        </w:rPr>
        <w:t>“Tienda C”</w:t>
      </w:r>
      <w:r w:rsidRPr="0076589C">
        <w:rPr>
          <w:lang w:val="es-HN"/>
        </w:rPr>
        <w:t xml:space="preserve"> </w:t>
      </w:r>
      <w:r w:rsidR="1C8D6E3A" w:rsidRPr="0076589C">
        <w:rPr>
          <w:lang w:val="es-HN"/>
        </w:rPr>
        <w:t>muestra un patrón de pagos irregular con varios meses sin pagos registrados. Esto indica una inconsistencia en el cumplimiento de los términos de crédito acordados. A lo largo del análisis, se observa que el límite disponible ha sido negativo en múltiples ocasiones. Este es un indicador crítico de que</w:t>
      </w:r>
      <w:r w:rsidR="00FC361D" w:rsidRPr="0076589C">
        <w:rPr>
          <w:lang w:val="es-HN"/>
        </w:rPr>
        <w:t xml:space="preserve"> </w:t>
      </w:r>
      <w:r w:rsidR="00D8710F" w:rsidRPr="0076589C">
        <w:rPr>
          <w:lang w:val="es-HN"/>
        </w:rPr>
        <w:t>“Tienda C”</w:t>
      </w:r>
      <w:r w:rsidR="00FC361D" w:rsidRPr="0076589C">
        <w:rPr>
          <w:lang w:val="es-HN"/>
        </w:rPr>
        <w:t xml:space="preserve"> </w:t>
      </w:r>
      <w:r w:rsidR="1C8D6E3A" w:rsidRPr="0076589C">
        <w:rPr>
          <w:lang w:val="es-HN"/>
        </w:rPr>
        <w:t>ha excedido su límite de crédito, lo que representa un riesgo financiero significativo para tu empresa.</w:t>
      </w:r>
    </w:p>
    <w:p w14:paraId="2E0235FD" w14:textId="710C7050" w:rsidR="008D3D54" w:rsidRPr="0076589C" w:rsidRDefault="1C8D6E3A" w:rsidP="000D0F48">
      <w:pPr>
        <w:pStyle w:val="TextoPrincipal"/>
        <w:rPr>
          <w:lang w:val="es-HN"/>
        </w:rPr>
      </w:pPr>
      <w:r w:rsidRPr="0076589C">
        <w:rPr>
          <w:lang w:val="es-HN"/>
        </w:rPr>
        <w:lastRenderedPageBreak/>
        <w:t xml:space="preserve">La ausencia de pagos registrados en varios meses, especialmente en los primeros meses del año, indica una falta de cumplimiento en los términos de pago. Esto podría afectar la salud financiera de </w:t>
      </w:r>
      <w:r w:rsidR="002263E9" w:rsidRPr="0076589C">
        <w:rPr>
          <w:lang w:val="es-HN"/>
        </w:rPr>
        <w:t>la</w:t>
      </w:r>
      <w:r w:rsidRPr="0076589C">
        <w:rPr>
          <w:lang w:val="es-HN"/>
        </w:rPr>
        <w:t xml:space="preserve"> empresa. La recurrencia de límites disponibles negativos sugiere un riesgo sustancial de incumplimiento. Es esencial abordar este problema de manera proactiva para proteger los intereses financieros de </w:t>
      </w:r>
      <w:r w:rsidR="00432BE6" w:rsidRPr="0076589C">
        <w:rPr>
          <w:lang w:val="es-HN"/>
        </w:rPr>
        <w:t>la</w:t>
      </w:r>
      <w:r w:rsidRPr="0076589C">
        <w:rPr>
          <w:lang w:val="es-HN"/>
        </w:rPr>
        <w:t xml:space="preserve"> empresa.</w:t>
      </w:r>
    </w:p>
    <w:p w14:paraId="3867EF77" w14:textId="3FD75C89" w:rsidR="008D3D54" w:rsidRPr="0076589C" w:rsidRDefault="1C8D6E3A" w:rsidP="000D0F48">
      <w:pPr>
        <w:pStyle w:val="TextoPrincipal"/>
        <w:rPr>
          <w:lang w:val="es-HN"/>
        </w:rPr>
      </w:pPr>
      <w:r w:rsidRPr="0076589C">
        <w:rPr>
          <w:lang w:val="es-HN"/>
        </w:rPr>
        <w:t xml:space="preserve">En conjunto, los análisis de los cinco clientes revelan un panorama diverso en términos de comportamiento financiero. Aunque </w:t>
      </w:r>
      <w:r w:rsidR="00432BE6" w:rsidRPr="0076589C">
        <w:rPr>
          <w:lang w:val="es-HN"/>
        </w:rPr>
        <w:t xml:space="preserve">“Inversiones LL” </w:t>
      </w:r>
      <w:r w:rsidRPr="0076589C">
        <w:rPr>
          <w:lang w:val="es-HN"/>
        </w:rPr>
        <w:t xml:space="preserve">y </w:t>
      </w:r>
      <w:r w:rsidR="00432BE6" w:rsidRPr="0076589C">
        <w:rPr>
          <w:lang w:val="es-HN"/>
        </w:rPr>
        <w:t xml:space="preserve">“Mercadito LC” </w:t>
      </w:r>
      <w:r w:rsidRPr="0076589C">
        <w:rPr>
          <w:lang w:val="es-HN"/>
        </w:rPr>
        <w:t>muestran una gestión crediticia más estable, con pagos consistentes y un uso razonable de los límites,</w:t>
      </w:r>
      <w:r w:rsidR="00300046" w:rsidRPr="0076589C">
        <w:rPr>
          <w:lang w:val="es-HN"/>
        </w:rPr>
        <w:t xml:space="preserve"> “Farmacia Q”</w:t>
      </w:r>
      <w:r w:rsidR="00C7289F" w:rsidRPr="0076589C">
        <w:rPr>
          <w:lang w:val="es-HN"/>
        </w:rPr>
        <w:t xml:space="preserve">, </w:t>
      </w:r>
      <w:r w:rsidR="00300046" w:rsidRPr="0076589C">
        <w:rPr>
          <w:lang w:val="es-HN"/>
        </w:rPr>
        <w:t xml:space="preserve">“Corporativa K” </w:t>
      </w:r>
      <w:r w:rsidR="00C7289F" w:rsidRPr="0076589C">
        <w:rPr>
          <w:lang w:val="es-HN"/>
        </w:rPr>
        <w:t xml:space="preserve">y </w:t>
      </w:r>
      <w:r w:rsidR="00300046" w:rsidRPr="0076589C">
        <w:rPr>
          <w:lang w:val="es-HN"/>
        </w:rPr>
        <w:t>“</w:t>
      </w:r>
      <w:r w:rsidR="00751BE9" w:rsidRPr="0076589C">
        <w:rPr>
          <w:lang w:val="es-HN"/>
        </w:rPr>
        <w:t xml:space="preserve">Tienda C” </w:t>
      </w:r>
      <w:r w:rsidR="00EC3EEF" w:rsidRPr="0076589C">
        <w:rPr>
          <w:lang w:val="es-HN"/>
        </w:rPr>
        <w:t>presenta</w:t>
      </w:r>
      <w:r w:rsidRPr="0076589C">
        <w:rPr>
          <w:lang w:val="es-HN"/>
        </w:rPr>
        <w:t xml:space="preserve"> desafíos más significativos. Estos últimos exhiben patrones irregulares, con límites negativos y comportamientos financieros volátiles, indicando la necesidad de una atención detallada y acciones proactivas. En general, la implementación de estrategias de monitoreo riguroso, comunicación efectiva y adaptación a las circunstancias individuales se vuelve crucial para mantener relaciones crediticias saludables y mitigar posibles riesgos financieros en la cartera de clientes.</w:t>
      </w:r>
    </w:p>
    <w:p w14:paraId="7CA278ED" w14:textId="0D6590DD" w:rsidR="008D3D54" w:rsidRPr="0076589C" w:rsidRDefault="1C8D6E3A" w:rsidP="00E46C95">
      <w:pPr>
        <w:pStyle w:val="TextoPrincipal"/>
        <w:spacing w:after="0"/>
        <w:rPr>
          <w:lang w:val="es-HN"/>
        </w:rPr>
      </w:pPr>
      <w:r w:rsidRPr="0076589C">
        <w:rPr>
          <w:lang w:val="es-HN"/>
        </w:rPr>
        <w:t>La gestión efectiva de la cartera de clientes requiere un enfoque personalizado para cada caso. Mientras algunos clientes muestran un comportamiento más estable, otros presentan desafíos financieros que demandan atención inmediata. La comunicación abierta, la revisión constante y la adaptabilidad a las circunstancias individuales son clave para mantener relaciones crediticias saludables y minimizar riesgos financieros.</w:t>
      </w:r>
    </w:p>
    <w:p w14:paraId="419CCF06" w14:textId="1B70EE50" w:rsidR="00E46C95" w:rsidRPr="0076589C" w:rsidRDefault="00E46C95" w:rsidP="00E46C95">
      <w:pPr>
        <w:pStyle w:val="TextoPrincipal"/>
        <w:spacing w:after="0"/>
        <w:rPr>
          <w:lang w:val="es-HN"/>
        </w:rPr>
      </w:pPr>
    </w:p>
    <w:p w14:paraId="0C3CD669" w14:textId="0214CC76" w:rsidR="00EE6668" w:rsidRPr="0076589C" w:rsidRDefault="1C8D6E3A" w:rsidP="00494616">
      <w:pPr>
        <w:pStyle w:val="Ttulonivel3"/>
        <w:numPr>
          <w:ilvl w:val="2"/>
          <w:numId w:val="6"/>
        </w:numPr>
        <w:ind w:left="1440"/>
      </w:pPr>
      <w:r w:rsidRPr="0076589C">
        <w:t xml:space="preserve"> </w:t>
      </w:r>
      <w:bookmarkStart w:id="265" w:name="_Toc158365524"/>
      <w:r w:rsidRPr="0076589C">
        <w:t>ANÁLISIS DE POLITICA DE COBRANZA</w:t>
      </w:r>
      <w:bookmarkEnd w:id="265"/>
    </w:p>
    <w:p w14:paraId="61B30225" w14:textId="423C8B15" w:rsidR="003707BF" w:rsidRPr="0076589C" w:rsidRDefault="1C8D6E3A" w:rsidP="003707BF">
      <w:pPr>
        <w:pStyle w:val="TextoPrincipal"/>
        <w:rPr>
          <w:lang w:val="es-HN"/>
        </w:rPr>
      </w:pPr>
      <w:r w:rsidRPr="0076589C">
        <w:rPr>
          <w:lang w:val="es-HN"/>
        </w:rPr>
        <w:t xml:space="preserve">Un análisis de política de cobranza es esencial para asegurarse de que la empresa esté utilizando estrategias efectivas para recuperar cuentas pendientes y mantener un flujo de efectivo saludable. Puede ayudar a identificar oportunidades de mejora y ajustar las prácticas de cobranza para lograr un equilibrio entre la recuperación de cuentas pendientes y la retención de clientes. Una política de cobranzas funcionará siempre que sus políticas estén bien definidas y se determinen con claridad las etapas de la cobranza: preventiva, administrativa y judicial. </w:t>
      </w:r>
      <w:r w:rsidR="1A7C3C65" w:rsidRPr="0076589C">
        <w:rPr>
          <w:lang w:val="es-HN"/>
        </w:rPr>
        <w:fldChar w:fldCharType="begin"/>
      </w:r>
      <w:r w:rsidR="1A7C3C65" w:rsidRPr="0076589C">
        <w:rPr>
          <w:lang w:val="es-HN"/>
        </w:rPr>
        <w:instrText xml:space="preserve"> ADDIN ZOTERO_ITEM CSL_CITATION {"citationID":"0soFPAd4","properties":{"formattedCitation":"(Aznar, 2005)","plainCitation":"(Aznar, 2005)","noteIndex":0},"citationItems":[{"id":389,"uris":["http://zotero.org/users/12108825/items/YPCFPME3"],"itemData":{"id":389,"type":"book","ISBN":"978-970-676-707-3","language":"es","note":"Google-Books-ID: FiM8HWIZWzsC","number-of-pages":"118","publisher":"Ediciones Fiscales ISEF","source":"Google Books","title":"Estrategias de Cobranza en Época de Crisis","author":[{"family":"Aznar","given":"Victor E. Molina"}],"issued":{"date-parts":[["2005"]]}}}],"schema":"https://github.com/citation-style-language/schema/raw/master/csl-citation.json"} </w:instrText>
      </w:r>
      <w:r w:rsidR="1A7C3C65" w:rsidRPr="0076589C">
        <w:rPr>
          <w:lang w:val="es-HN"/>
        </w:rPr>
        <w:fldChar w:fldCharType="separate"/>
      </w:r>
      <w:r w:rsidRPr="0076589C">
        <w:rPr>
          <w:lang w:val="es-HN"/>
        </w:rPr>
        <w:t>(Aznar, 2005)</w:t>
      </w:r>
      <w:r w:rsidR="1A7C3C65" w:rsidRPr="0076589C">
        <w:rPr>
          <w:lang w:val="es-HN"/>
        </w:rPr>
        <w:fldChar w:fldCharType="end"/>
      </w:r>
      <w:r w:rsidRPr="0076589C">
        <w:rPr>
          <w:lang w:val="es-HN"/>
        </w:rPr>
        <w:t xml:space="preserve"> </w:t>
      </w:r>
    </w:p>
    <w:p w14:paraId="3A0E0A13" w14:textId="6F7CD488" w:rsidR="1A7C3C65" w:rsidRPr="0076589C" w:rsidRDefault="1C8D6E3A" w:rsidP="00690313">
      <w:pPr>
        <w:pStyle w:val="TextoPrincipal"/>
        <w:spacing w:after="0"/>
        <w:rPr>
          <w:lang w:val="es-HN"/>
        </w:rPr>
      </w:pPr>
      <w:r w:rsidRPr="0076589C">
        <w:rPr>
          <w:lang w:val="es-HN"/>
        </w:rPr>
        <w:t xml:space="preserve">El análisis de la política de cobro representa un componente crítico en la gestión financiera de una empresa y se desglosa en dos dimensiones fundamentales: la financiera y la contable. La </w:t>
      </w:r>
      <w:r w:rsidRPr="0076589C">
        <w:rPr>
          <w:lang w:val="es-HN"/>
        </w:rPr>
        <w:lastRenderedPageBreak/>
        <w:t>dimensión financiera se centra en indicadores clave como la antigüedad de las cuentas por cobrar, la rotación de las cuentas por cobrar y el periodo promedio de cobro, con el propósito de evaluar la eficiencia en la recuperación de deudas. Por otro lado, la dimensión contable busca ofrecer un panorama más amplio al relacionar las cuentas por cobrar con otros indicadores financieros, lo que proporciona una visión integral de la salud financiera de la empresa. Para llevar a cabo este análisis en ambas dimensiones, se recurre a la estrategia de emplear la base de datos de IPRA y los balances generales, lo que brinda una base sólida para tomar decisiones informadas en el ámbito de la política de cobro.</w:t>
      </w:r>
    </w:p>
    <w:p w14:paraId="01D9414D" w14:textId="77777777" w:rsidR="00690313" w:rsidRPr="0076589C" w:rsidRDefault="00690313" w:rsidP="00690313">
      <w:pPr>
        <w:pStyle w:val="TextoPrincipal"/>
        <w:spacing w:after="0"/>
        <w:rPr>
          <w:lang w:val="es-HN"/>
        </w:rPr>
      </w:pPr>
    </w:p>
    <w:p w14:paraId="451B8905" w14:textId="4EEC5B8A" w:rsidR="007E0224" w:rsidRPr="0076589C" w:rsidRDefault="1C8D6E3A" w:rsidP="00146583">
      <w:pPr>
        <w:pStyle w:val="Ttulonivel4"/>
        <w:numPr>
          <w:ilvl w:val="3"/>
          <w:numId w:val="6"/>
        </w:numPr>
        <w:ind w:left="1440" w:firstLine="0"/>
      </w:pPr>
      <w:r w:rsidRPr="0076589C">
        <w:t>DIMENSIÓN FINANCIERA</w:t>
      </w:r>
    </w:p>
    <w:p w14:paraId="6A34BB4F" w14:textId="6E97CF78" w:rsidR="1A7C3C65" w:rsidRPr="0076589C" w:rsidRDefault="1A7C3C65" w:rsidP="1A7C3C65">
      <w:pPr>
        <w:spacing w:line="360" w:lineRule="auto"/>
        <w:ind w:left="0" w:firstLine="720"/>
        <w:jc w:val="both"/>
        <w:sectPr w:rsidR="1A7C3C65" w:rsidRPr="0076589C" w:rsidSect="008C6BD1">
          <w:pgSz w:w="12240" w:h="15840" w:code="1"/>
          <w:pgMar w:top="1440" w:right="1440" w:bottom="1440" w:left="1440" w:header="720" w:footer="720" w:gutter="0"/>
          <w:cols w:space="720"/>
          <w:docGrid w:linePitch="360"/>
        </w:sectPr>
      </w:pPr>
      <w:r w:rsidRPr="0076589C">
        <w:t>La dimensión financiera desempeña un papel crítico en la gestión empresarial, proporcionando una visión integral de la salud económica de una organización. En este contexto, los indicadores como la antigüedad de las cuentas por cobrar, la rotación de las cuentas por cobrar y el periodo promedio de cobro se revelan como herramientas fundamentales. Estos indicadores ofrecen una evaluación detallada de la eficiencia y efectividad de la política de cobro de una empresa, así como su capacidad para gestionar las deudas pendientes. El análisis de estos indicadores permite a las empresas identificar áreas de mejora en su proceso de cobro, optimizar el flujo de efectivo y reducir el riesgo crediticio.</w:t>
      </w:r>
    </w:p>
    <w:p w14:paraId="55C968A8" w14:textId="6F12F7EF" w:rsidR="00964A07" w:rsidRPr="0076589C" w:rsidRDefault="1C8D6E3A" w:rsidP="0053775F">
      <w:pPr>
        <w:pStyle w:val="Nivel5"/>
        <w:numPr>
          <w:ilvl w:val="0"/>
          <w:numId w:val="37"/>
        </w:numPr>
        <w:ind w:left="1440" w:firstLine="0"/>
      </w:pPr>
      <w:r w:rsidRPr="0076589C">
        <w:lastRenderedPageBreak/>
        <w:t xml:space="preserve"> ANTIGÜEDAD DE LAS CUENTAS POR COBRAR</w:t>
      </w:r>
    </w:p>
    <w:p w14:paraId="4797A41A" w14:textId="3CA063C8" w:rsidR="7223A358" w:rsidRPr="0076589C" w:rsidRDefault="1C8D6E3A" w:rsidP="00D567FA">
      <w:pPr>
        <w:pStyle w:val="TextoPrincipal"/>
        <w:rPr>
          <w:lang w:val="es-HN"/>
        </w:rPr>
      </w:pPr>
      <w:r w:rsidRPr="0076589C">
        <w:rPr>
          <w:lang w:val="es-HN"/>
        </w:rPr>
        <w:t xml:space="preserve">El envejecimiento de las cuentas, como herramienta de gestión, puede indicar que ciertos clientes están expuestos a riesgos crediticios y puede revelar si la empresa debe hacer negocios con clientes que pagan con retraso crónico. Las cuentas por cobrar vencidas tienen columnas que generalmente se dividen en rangos de fechas de 30 días y muestran el total de las cuentas por cobrar actualmente adeudadas, así como las cuentas por cobrar adeudadas </w:t>
      </w:r>
      <w:r w:rsidR="7223A358" w:rsidRPr="0076589C">
        <w:rPr>
          <w:lang w:val="es-HN"/>
        </w:rPr>
        <w:fldChar w:fldCharType="begin"/>
      </w:r>
      <w:r w:rsidR="7223A358" w:rsidRPr="0076589C">
        <w:rPr>
          <w:lang w:val="es-HN"/>
        </w:rPr>
        <w:instrText xml:space="preserve"> ADDIN ZOTERO_ITEM CSL_CITATION {"citationID":"2aTeVKPn","properties":{"formattedCitation":"(Trujillo &amp; Mart\\uc0\\u237{}nez, 2020)","plainCitation":"(Trujillo &amp; Martínez, 2020)","noteIndex":0},"citationItems":[{"id":407,"uris":["http://zotero.org/users/12108825/items/HTAN6EEN"],"itemData":{"id":407,"type":"book","abstract":"«Finanzas empresariales, análisis y gestión» Presenta las herramientas necesarias para la adecuada toma de decisiones financieras. Facilita el análisis, el diagnóstico, la evaluación y la planeación estratégica financiera (PEF), orientada a la generación de valor de la operación y financiación de las empresas. Permite conocer el estado de la salud financiera de las empresas con un diagnóstico analítico sobre la evolución de los indicadores de gestión financiera, apoyados con la matriz de referenciamiento empresarial que involucra, como tema novedoso de la obra, el 'benchmark' y la determinación del punto de equilibrio del costo de capital para el análisis del apalancamiento financiero y el valor agregado económico.","ISBN":"978-958-778-583-8","language":"es","note":"Google-Books-ID: s3J6EAAAQBAJ","number-of-pages":"446","publisher":"Alpha Editorial","source":"Google Books","title":"Finanzas empresariales: Análisis y gestión","title-short":"Finanzas empresariales","author":[{"family":"Trujillo","given":"Jorge"},{"family":"Martínez","given":"Óscar"}],"issued":{"date-parts":[["2020",11,24]]}}}],"schema":"https://github.com/citation-style-language/schema/raw/master/csl-citation.json"} </w:instrText>
      </w:r>
      <w:r w:rsidR="7223A358" w:rsidRPr="0076589C">
        <w:rPr>
          <w:lang w:val="es-HN"/>
        </w:rPr>
        <w:fldChar w:fldCharType="separate"/>
      </w:r>
      <w:r w:rsidRPr="0076589C">
        <w:rPr>
          <w:lang w:val="es-HN"/>
        </w:rPr>
        <w:t>(Trujillo &amp; Martínez, 2020)</w:t>
      </w:r>
      <w:r w:rsidR="7223A358" w:rsidRPr="0076589C">
        <w:rPr>
          <w:lang w:val="es-HN"/>
        </w:rPr>
        <w:fldChar w:fldCharType="end"/>
      </w:r>
      <w:r w:rsidRPr="0076589C">
        <w:rPr>
          <w:lang w:val="es-HN"/>
        </w:rPr>
        <w:t xml:space="preserve">. </w:t>
      </w:r>
    </w:p>
    <w:p w14:paraId="0D0B615C" w14:textId="782A7DD8" w:rsidR="00792269" w:rsidRPr="0076589C" w:rsidRDefault="1C8D6E3A" w:rsidP="00792269">
      <w:pPr>
        <w:pStyle w:val="ImagenyTabla"/>
        <w:ind w:left="720"/>
        <w:rPr>
          <w:noProof w:val="0"/>
        </w:rPr>
      </w:pPr>
      <w:bookmarkStart w:id="266" w:name="_Toc158365560"/>
      <w:r w:rsidRPr="0076589C">
        <w:t xml:space="preserve">Tabla </w:t>
      </w:r>
      <w:r w:rsidR="1A7C3C65" w:rsidRPr="0076589C">
        <w:rPr>
          <w:noProof w:val="0"/>
        </w:rPr>
        <w:fldChar w:fldCharType="begin"/>
      </w:r>
      <w:r w:rsidR="1A7C3C65" w:rsidRPr="0076589C">
        <w:rPr>
          <w:noProof w:val="0"/>
        </w:rPr>
        <w:instrText xml:space="preserve"> SEQ Tabla \* ARABIC </w:instrText>
      </w:r>
      <w:r w:rsidR="1A7C3C65" w:rsidRPr="0076589C">
        <w:rPr>
          <w:noProof w:val="0"/>
        </w:rPr>
        <w:fldChar w:fldCharType="separate"/>
      </w:r>
      <w:r w:rsidR="009F171A">
        <w:t>12</w:t>
      </w:r>
      <w:r w:rsidR="1A7C3C65" w:rsidRPr="0076589C">
        <w:rPr>
          <w:noProof w:val="0"/>
        </w:rPr>
        <w:fldChar w:fldCharType="end"/>
      </w:r>
      <w:r w:rsidRPr="0076589C">
        <w:t>. Antigüedad de las Cuentas por cobrar en IPRA (2019-2022)</w:t>
      </w:r>
      <w:bookmarkEnd w:id="266"/>
    </w:p>
    <w:tbl>
      <w:tblPr>
        <w:tblW w:w="0" w:type="auto"/>
        <w:tblLayout w:type="fixed"/>
        <w:tblLook w:val="06A0" w:firstRow="1" w:lastRow="0" w:firstColumn="1" w:lastColumn="0" w:noHBand="1" w:noVBand="1"/>
      </w:tblPr>
      <w:tblGrid>
        <w:gridCol w:w="1178"/>
        <w:gridCol w:w="1178"/>
        <w:gridCol w:w="1178"/>
        <w:gridCol w:w="1178"/>
        <w:gridCol w:w="1178"/>
        <w:gridCol w:w="1178"/>
        <w:gridCol w:w="1178"/>
        <w:gridCol w:w="1178"/>
        <w:gridCol w:w="1178"/>
        <w:gridCol w:w="1178"/>
        <w:gridCol w:w="1178"/>
      </w:tblGrid>
      <w:tr w:rsidR="1A7C3C65" w:rsidRPr="0076589C" w14:paraId="15EF2491" w14:textId="77777777" w:rsidTr="1C8D6E3A">
        <w:trPr>
          <w:trHeight w:val="255"/>
        </w:trPr>
        <w:tc>
          <w:tcPr>
            <w:tcW w:w="4712" w:type="dxa"/>
            <w:gridSpan w:val="4"/>
            <w:tcBorders>
              <w:top w:val="nil"/>
              <w:left w:val="nil"/>
              <w:bottom w:val="nil"/>
              <w:right w:val="nil"/>
            </w:tcBorders>
            <w:tcMar>
              <w:top w:w="15" w:type="dxa"/>
              <w:left w:w="15" w:type="dxa"/>
              <w:right w:w="15" w:type="dxa"/>
            </w:tcMar>
            <w:vAlign w:val="bottom"/>
          </w:tcPr>
          <w:p w14:paraId="6CA583EA" w14:textId="41FFA41A" w:rsidR="1A7C3C65" w:rsidRPr="0076589C" w:rsidRDefault="1C8D6E3A" w:rsidP="1C8D6E3A">
            <w:pPr>
              <w:spacing w:after="0"/>
              <w:rPr>
                <w:rFonts w:asciiTheme="minorHAnsi" w:hAnsiTheme="minorHAnsi"/>
                <w:sz w:val="18"/>
                <w:szCs w:val="18"/>
              </w:rPr>
            </w:pPr>
            <w:r w:rsidRPr="0076589C">
              <w:rPr>
                <w:rFonts w:asciiTheme="minorHAnsi" w:eastAsia="Calibri" w:hAnsiTheme="minorHAnsi"/>
                <w:b/>
                <w:bCs/>
                <w:i/>
                <w:iCs/>
                <w:color w:val="000000" w:themeColor="text1"/>
                <w:sz w:val="18"/>
                <w:szCs w:val="18"/>
                <w:u w:val="single"/>
              </w:rPr>
              <w:t>Antigüedad de las Cuentas por cobrar</w:t>
            </w:r>
          </w:p>
        </w:tc>
        <w:tc>
          <w:tcPr>
            <w:tcW w:w="1178" w:type="dxa"/>
            <w:tcBorders>
              <w:top w:val="nil"/>
              <w:left w:val="nil"/>
              <w:bottom w:val="nil"/>
              <w:right w:val="nil"/>
            </w:tcBorders>
            <w:tcMar>
              <w:top w:w="15" w:type="dxa"/>
              <w:left w:w="15" w:type="dxa"/>
              <w:right w:w="15" w:type="dxa"/>
            </w:tcMar>
            <w:vAlign w:val="bottom"/>
          </w:tcPr>
          <w:p w14:paraId="39285466" w14:textId="53877C0F" w:rsidR="1A7C3C65" w:rsidRPr="0076589C" w:rsidRDefault="1A7C3C65" w:rsidP="1C8D6E3A">
            <w:pPr>
              <w:rPr>
                <w:rFonts w:asciiTheme="minorHAnsi" w:hAnsiTheme="minorHAnsi"/>
                <w:sz w:val="18"/>
                <w:szCs w:val="18"/>
              </w:rPr>
            </w:pPr>
          </w:p>
        </w:tc>
        <w:tc>
          <w:tcPr>
            <w:tcW w:w="1178" w:type="dxa"/>
            <w:tcBorders>
              <w:top w:val="nil"/>
              <w:left w:val="nil"/>
              <w:bottom w:val="nil"/>
              <w:right w:val="nil"/>
            </w:tcBorders>
            <w:tcMar>
              <w:top w:w="15" w:type="dxa"/>
              <w:left w:w="15" w:type="dxa"/>
              <w:right w:w="15" w:type="dxa"/>
            </w:tcMar>
            <w:vAlign w:val="bottom"/>
          </w:tcPr>
          <w:p w14:paraId="5E84E60E" w14:textId="23D51AEF" w:rsidR="1A7C3C65" w:rsidRPr="0076589C" w:rsidRDefault="1A7C3C65" w:rsidP="1C8D6E3A">
            <w:pPr>
              <w:rPr>
                <w:rFonts w:asciiTheme="minorHAnsi" w:hAnsiTheme="minorHAnsi"/>
                <w:sz w:val="18"/>
                <w:szCs w:val="18"/>
              </w:rPr>
            </w:pPr>
          </w:p>
        </w:tc>
        <w:tc>
          <w:tcPr>
            <w:tcW w:w="1178" w:type="dxa"/>
            <w:tcBorders>
              <w:top w:val="nil"/>
              <w:left w:val="nil"/>
              <w:bottom w:val="nil"/>
              <w:right w:val="nil"/>
            </w:tcBorders>
            <w:tcMar>
              <w:top w:w="15" w:type="dxa"/>
              <w:left w:w="15" w:type="dxa"/>
              <w:right w:w="15" w:type="dxa"/>
            </w:tcMar>
            <w:vAlign w:val="bottom"/>
          </w:tcPr>
          <w:p w14:paraId="177FCFD7" w14:textId="1F4E84AE" w:rsidR="1A7C3C65" w:rsidRPr="0076589C" w:rsidRDefault="1A7C3C65" w:rsidP="1C8D6E3A">
            <w:pPr>
              <w:rPr>
                <w:rFonts w:asciiTheme="minorHAnsi" w:hAnsiTheme="minorHAnsi"/>
                <w:sz w:val="18"/>
                <w:szCs w:val="18"/>
              </w:rPr>
            </w:pPr>
          </w:p>
        </w:tc>
        <w:tc>
          <w:tcPr>
            <w:tcW w:w="1178" w:type="dxa"/>
            <w:tcBorders>
              <w:top w:val="nil"/>
              <w:left w:val="nil"/>
              <w:bottom w:val="nil"/>
              <w:right w:val="nil"/>
            </w:tcBorders>
            <w:tcMar>
              <w:top w:w="15" w:type="dxa"/>
              <w:left w:w="15" w:type="dxa"/>
              <w:right w:w="15" w:type="dxa"/>
            </w:tcMar>
            <w:vAlign w:val="bottom"/>
          </w:tcPr>
          <w:p w14:paraId="63A8A58D" w14:textId="6DE98068" w:rsidR="1A7C3C65" w:rsidRPr="0076589C" w:rsidRDefault="1A7C3C65" w:rsidP="1C8D6E3A">
            <w:pPr>
              <w:rPr>
                <w:rFonts w:asciiTheme="minorHAnsi" w:hAnsiTheme="minorHAnsi"/>
                <w:sz w:val="18"/>
                <w:szCs w:val="18"/>
              </w:rPr>
            </w:pPr>
          </w:p>
        </w:tc>
        <w:tc>
          <w:tcPr>
            <w:tcW w:w="1178" w:type="dxa"/>
            <w:tcBorders>
              <w:top w:val="nil"/>
              <w:left w:val="nil"/>
              <w:bottom w:val="nil"/>
              <w:right w:val="nil"/>
            </w:tcBorders>
            <w:tcMar>
              <w:top w:w="15" w:type="dxa"/>
              <w:left w:w="15" w:type="dxa"/>
              <w:right w:w="15" w:type="dxa"/>
            </w:tcMar>
            <w:vAlign w:val="bottom"/>
          </w:tcPr>
          <w:p w14:paraId="7E9CBEE3" w14:textId="627DE9FC" w:rsidR="1A7C3C65" w:rsidRPr="0076589C" w:rsidRDefault="1A7C3C65" w:rsidP="1C8D6E3A">
            <w:pPr>
              <w:rPr>
                <w:rFonts w:asciiTheme="minorHAnsi" w:hAnsiTheme="minorHAnsi"/>
                <w:sz w:val="18"/>
                <w:szCs w:val="18"/>
              </w:rPr>
            </w:pPr>
          </w:p>
        </w:tc>
        <w:tc>
          <w:tcPr>
            <w:tcW w:w="1178" w:type="dxa"/>
            <w:tcBorders>
              <w:top w:val="nil"/>
              <w:left w:val="nil"/>
              <w:bottom w:val="nil"/>
              <w:right w:val="nil"/>
            </w:tcBorders>
            <w:tcMar>
              <w:top w:w="15" w:type="dxa"/>
              <w:left w:w="15" w:type="dxa"/>
              <w:right w:w="15" w:type="dxa"/>
            </w:tcMar>
            <w:vAlign w:val="bottom"/>
          </w:tcPr>
          <w:p w14:paraId="442F8DD2" w14:textId="6F5A98C8" w:rsidR="1A7C3C65" w:rsidRPr="0076589C" w:rsidRDefault="1A7C3C65" w:rsidP="1C8D6E3A">
            <w:pPr>
              <w:rPr>
                <w:rFonts w:asciiTheme="minorHAnsi" w:hAnsiTheme="minorHAnsi"/>
                <w:sz w:val="18"/>
                <w:szCs w:val="18"/>
              </w:rPr>
            </w:pPr>
          </w:p>
        </w:tc>
        <w:tc>
          <w:tcPr>
            <w:tcW w:w="1178" w:type="dxa"/>
            <w:tcBorders>
              <w:top w:val="nil"/>
              <w:left w:val="nil"/>
              <w:bottom w:val="nil"/>
              <w:right w:val="nil"/>
            </w:tcBorders>
            <w:tcMar>
              <w:top w:w="15" w:type="dxa"/>
              <w:left w:w="15" w:type="dxa"/>
              <w:right w:w="15" w:type="dxa"/>
            </w:tcMar>
            <w:vAlign w:val="bottom"/>
          </w:tcPr>
          <w:p w14:paraId="2494F8BB" w14:textId="0B81C174" w:rsidR="1A7C3C65" w:rsidRPr="0076589C" w:rsidRDefault="1A7C3C65" w:rsidP="1C8D6E3A">
            <w:pPr>
              <w:rPr>
                <w:rFonts w:asciiTheme="minorHAnsi" w:hAnsiTheme="minorHAnsi"/>
                <w:sz w:val="18"/>
                <w:szCs w:val="18"/>
              </w:rPr>
            </w:pPr>
          </w:p>
        </w:tc>
      </w:tr>
      <w:tr w:rsidR="1A7C3C65" w:rsidRPr="0076589C" w14:paraId="6E2A8433" w14:textId="77777777" w:rsidTr="1C8D6E3A">
        <w:trPr>
          <w:trHeight w:val="255"/>
        </w:trPr>
        <w:tc>
          <w:tcPr>
            <w:tcW w:w="1178" w:type="dxa"/>
            <w:tcBorders>
              <w:top w:val="nil"/>
              <w:left w:val="nil"/>
              <w:bottom w:val="nil"/>
              <w:right w:val="nil"/>
            </w:tcBorders>
            <w:tcMar>
              <w:top w:w="15" w:type="dxa"/>
              <w:left w:w="15" w:type="dxa"/>
              <w:right w:w="15" w:type="dxa"/>
            </w:tcMar>
            <w:vAlign w:val="bottom"/>
          </w:tcPr>
          <w:p w14:paraId="2C7D565E" w14:textId="584CDEFA" w:rsidR="1A7C3C65" w:rsidRPr="0076589C" w:rsidRDefault="1A7C3C65" w:rsidP="1C8D6E3A">
            <w:pPr>
              <w:rPr>
                <w:rFonts w:asciiTheme="minorHAnsi" w:hAnsiTheme="minorHAnsi"/>
                <w:sz w:val="18"/>
                <w:szCs w:val="18"/>
              </w:rPr>
            </w:pPr>
          </w:p>
        </w:tc>
        <w:tc>
          <w:tcPr>
            <w:tcW w:w="1178" w:type="dxa"/>
            <w:tcBorders>
              <w:top w:val="nil"/>
              <w:left w:val="nil"/>
              <w:bottom w:val="nil"/>
              <w:right w:val="nil"/>
            </w:tcBorders>
            <w:tcMar>
              <w:top w:w="15" w:type="dxa"/>
              <w:left w:w="15" w:type="dxa"/>
              <w:right w:w="15" w:type="dxa"/>
            </w:tcMar>
            <w:vAlign w:val="bottom"/>
          </w:tcPr>
          <w:p w14:paraId="40F7AD86" w14:textId="4EAF82AC" w:rsidR="1A7C3C65" w:rsidRPr="0076589C" w:rsidRDefault="1A7C3C65" w:rsidP="1C8D6E3A">
            <w:pPr>
              <w:rPr>
                <w:rFonts w:asciiTheme="minorHAnsi" w:hAnsiTheme="minorHAnsi"/>
                <w:sz w:val="18"/>
                <w:szCs w:val="18"/>
              </w:rPr>
            </w:pPr>
          </w:p>
        </w:tc>
        <w:tc>
          <w:tcPr>
            <w:tcW w:w="1178" w:type="dxa"/>
            <w:tcBorders>
              <w:top w:val="nil"/>
              <w:left w:val="nil"/>
              <w:bottom w:val="nil"/>
              <w:right w:val="nil"/>
            </w:tcBorders>
            <w:tcMar>
              <w:top w:w="15" w:type="dxa"/>
              <w:left w:w="15" w:type="dxa"/>
              <w:right w:w="15" w:type="dxa"/>
            </w:tcMar>
            <w:vAlign w:val="bottom"/>
          </w:tcPr>
          <w:p w14:paraId="13932177" w14:textId="29347CBA" w:rsidR="1A7C3C65" w:rsidRPr="0076589C" w:rsidRDefault="1A7C3C65" w:rsidP="1C8D6E3A">
            <w:pPr>
              <w:rPr>
                <w:rFonts w:asciiTheme="minorHAnsi" w:hAnsiTheme="minorHAnsi"/>
                <w:sz w:val="18"/>
                <w:szCs w:val="18"/>
              </w:rPr>
            </w:pPr>
          </w:p>
        </w:tc>
        <w:tc>
          <w:tcPr>
            <w:tcW w:w="1178" w:type="dxa"/>
            <w:tcBorders>
              <w:top w:val="nil"/>
              <w:left w:val="nil"/>
              <w:bottom w:val="nil"/>
              <w:right w:val="nil"/>
            </w:tcBorders>
            <w:tcMar>
              <w:top w:w="15" w:type="dxa"/>
              <w:left w:w="15" w:type="dxa"/>
              <w:right w:w="15" w:type="dxa"/>
            </w:tcMar>
            <w:vAlign w:val="bottom"/>
          </w:tcPr>
          <w:p w14:paraId="4CD3C099" w14:textId="470EAE44" w:rsidR="1A7C3C65" w:rsidRPr="0076589C" w:rsidRDefault="1A7C3C65" w:rsidP="1C8D6E3A">
            <w:pPr>
              <w:rPr>
                <w:rFonts w:asciiTheme="minorHAnsi" w:hAnsiTheme="minorHAnsi"/>
                <w:sz w:val="18"/>
                <w:szCs w:val="18"/>
              </w:rPr>
            </w:pPr>
          </w:p>
        </w:tc>
        <w:tc>
          <w:tcPr>
            <w:tcW w:w="1178" w:type="dxa"/>
            <w:tcBorders>
              <w:top w:val="nil"/>
              <w:left w:val="nil"/>
              <w:bottom w:val="nil"/>
              <w:right w:val="nil"/>
            </w:tcBorders>
            <w:tcMar>
              <w:top w:w="15" w:type="dxa"/>
              <w:left w:w="15" w:type="dxa"/>
              <w:right w:w="15" w:type="dxa"/>
            </w:tcMar>
            <w:vAlign w:val="bottom"/>
          </w:tcPr>
          <w:p w14:paraId="6D4ED34D" w14:textId="4F0568EE" w:rsidR="1A7C3C65" w:rsidRPr="0076589C" w:rsidRDefault="1A7C3C65" w:rsidP="1C8D6E3A">
            <w:pPr>
              <w:rPr>
                <w:rFonts w:asciiTheme="minorHAnsi" w:hAnsiTheme="minorHAnsi"/>
                <w:sz w:val="18"/>
                <w:szCs w:val="18"/>
              </w:rPr>
            </w:pPr>
          </w:p>
        </w:tc>
        <w:tc>
          <w:tcPr>
            <w:tcW w:w="2356" w:type="dxa"/>
            <w:gridSpan w:val="2"/>
            <w:tcBorders>
              <w:top w:val="nil"/>
              <w:left w:val="nil"/>
              <w:bottom w:val="nil"/>
              <w:right w:val="nil"/>
            </w:tcBorders>
            <w:tcMar>
              <w:top w:w="15" w:type="dxa"/>
              <w:left w:w="15" w:type="dxa"/>
              <w:right w:w="15" w:type="dxa"/>
            </w:tcMar>
            <w:vAlign w:val="bottom"/>
          </w:tcPr>
          <w:p w14:paraId="57512A0A" w14:textId="7E5B2BBF"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b/>
                <w:bCs/>
                <w:color w:val="44546A" w:themeColor="text2"/>
                <w:sz w:val="18"/>
                <w:szCs w:val="18"/>
              </w:rPr>
              <w:t>Tasa de Crecimiento 2019-2020</w:t>
            </w:r>
          </w:p>
        </w:tc>
        <w:tc>
          <w:tcPr>
            <w:tcW w:w="2356" w:type="dxa"/>
            <w:gridSpan w:val="2"/>
            <w:tcBorders>
              <w:top w:val="nil"/>
              <w:left w:val="nil"/>
              <w:bottom w:val="nil"/>
              <w:right w:val="nil"/>
            </w:tcBorders>
            <w:tcMar>
              <w:top w:w="15" w:type="dxa"/>
              <w:left w:w="15" w:type="dxa"/>
              <w:right w:w="15" w:type="dxa"/>
            </w:tcMar>
            <w:vAlign w:val="bottom"/>
          </w:tcPr>
          <w:p w14:paraId="46FCF226" w14:textId="54EAB207"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b/>
                <w:bCs/>
                <w:color w:val="44546A" w:themeColor="text2"/>
                <w:sz w:val="18"/>
                <w:szCs w:val="18"/>
              </w:rPr>
              <w:t>Tasa de Crecimiento 2020-2021</w:t>
            </w:r>
          </w:p>
        </w:tc>
        <w:tc>
          <w:tcPr>
            <w:tcW w:w="2356" w:type="dxa"/>
            <w:gridSpan w:val="2"/>
            <w:tcBorders>
              <w:top w:val="nil"/>
              <w:left w:val="nil"/>
              <w:bottom w:val="nil"/>
              <w:right w:val="nil"/>
            </w:tcBorders>
            <w:tcMar>
              <w:top w:w="15" w:type="dxa"/>
              <w:left w:w="15" w:type="dxa"/>
              <w:right w:w="15" w:type="dxa"/>
            </w:tcMar>
            <w:vAlign w:val="bottom"/>
          </w:tcPr>
          <w:p w14:paraId="3B196653" w14:textId="6FE2F649"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b/>
                <w:bCs/>
                <w:color w:val="44546A" w:themeColor="text2"/>
                <w:sz w:val="18"/>
                <w:szCs w:val="18"/>
              </w:rPr>
              <w:t>Tasa de Crecimiento 2021-2022</w:t>
            </w:r>
          </w:p>
        </w:tc>
      </w:tr>
      <w:tr w:rsidR="1A7C3C65" w:rsidRPr="0076589C" w14:paraId="16E2B2DB" w14:textId="77777777" w:rsidTr="1C8D6E3A">
        <w:trPr>
          <w:trHeight w:val="270"/>
        </w:trPr>
        <w:tc>
          <w:tcPr>
            <w:tcW w:w="1178" w:type="dxa"/>
            <w:tcBorders>
              <w:top w:val="nil"/>
              <w:left w:val="nil"/>
              <w:bottom w:val="single" w:sz="8" w:space="0" w:color="85BADC"/>
              <w:right w:val="nil"/>
            </w:tcBorders>
            <w:tcMar>
              <w:top w:w="15" w:type="dxa"/>
              <w:left w:w="15" w:type="dxa"/>
              <w:right w:w="15" w:type="dxa"/>
            </w:tcMar>
            <w:vAlign w:val="center"/>
          </w:tcPr>
          <w:p w14:paraId="325063AA" w14:textId="5CA8B809"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b/>
                <w:bCs/>
                <w:i/>
                <w:iCs/>
                <w:color w:val="000000" w:themeColor="text1"/>
                <w:sz w:val="18"/>
                <w:szCs w:val="18"/>
              </w:rPr>
              <w:t>Plazo (días)</w:t>
            </w:r>
          </w:p>
        </w:tc>
        <w:tc>
          <w:tcPr>
            <w:tcW w:w="1178" w:type="dxa"/>
            <w:tcBorders>
              <w:top w:val="nil"/>
              <w:left w:val="nil"/>
              <w:bottom w:val="single" w:sz="8" w:space="0" w:color="85BADC"/>
              <w:right w:val="nil"/>
            </w:tcBorders>
            <w:tcMar>
              <w:top w:w="15" w:type="dxa"/>
              <w:left w:w="15" w:type="dxa"/>
              <w:right w:w="15" w:type="dxa"/>
            </w:tcMar>
            <w:vAlign w:val="center"/>
          </w:tcPr>
          <w:p w14:paraId="23454CF8" w14:textId="41F5B972"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b/>
                <w:bCs/>
                <w:i/>
                <w:iCs/>
                <w:color w:val="000000" w:themeColor="text1"/>
                <w:sz w:val="18"/>
                <w:szCs w:val="18"/>
              </w:rPr>
              <w:t>2019</w:t>
            </w:r>
          </w:p>
        </w:tc>
        <w:tc>
          <w:tcPr>
            <w:tcW w:w="1178" w:type="dxa"/>
            <w:tcBorders>
              <w:top w:val="nil"/>
              <w:left w:val="nil"/>
              <w:bottom w:val="single" w:sz="8" w:space="0" w:color="85BADC"/>
              <w:right w:val="nil"/>
            </w:tcBorders>
            <w:tcMar>
              <w:top w:w="15" w:type="dxa"/>
              <w:left w:w="15" w:type="dxa"/>
              <w:right w:w="15" w:type="dxa"/>
            </w:tcMar>
            <w:vAlign w:val="center"/>
          </w:tcPr>
          <w:p w14:paraId="24BDCCC4" w14:textId="5A4D7039"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b/>
                <w:bCs/>
                <w:i/>
                <w:iCs/>
                <w:color w:val="000000" w:themeColor="text1"/>
                <w:sz w:val="18"/>
                <w:szCs w:val="18"/>
              </w:rPr>
              <w:t>2020</w:t>
            </w:r>
          </w:p>
        </w:tc>
        <w:tc>
          <w:tcPr>
            <w:tcW w:w="1178" w:type="dxa"/>
            <w:tcBorders>
              <w:top w:val="nil"/>
              <w:left w:val="nil"/>
              <w:bottom w:val="single" w:sz="8" w:space="0" w:color="85BADC"/>
              <w:right w:val="nil"/>
            </w:tcBorders>
            <w:tcMar>
              <w:top w:w="15" w:type="dxa"/>
              <w:left w:w="15" w:type="dxa"/>
              <w:right w:w="15" w:type="dxa"/>
            </w:tcMar>
            <w:vAlign w:val="center"/>
          </w:tcPr>
          <w:p w14:paraId="0D2B625F" w14:textId="39AA5615"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b/>
                <w:bCs/>
                <w:i/>
                <w:iCs/>
                <w:color w:val="000000" w:themeColor="text1"/>
                <w:sz w:val="18"/>
                <w:szCs w:val="18"/>
              </w:rPr>
              <w:t>2021</w:t>
            </w:r>
          </w:p>
        </w:tc>
        <w:tc>
          <w:tcPr>
            <w:tcW w:w="1178" w:type="dxa"/>
            <w:tcBorders>
              <w:top w:val="nil"/>
              <w:left w:val="nil"/>
              <w:bottom w:val="single" w:sz="8" w:space="0" w:color="85BADC"/>
              <w:right w:val="nil"/>
            </w:tcBorders>
            <w:tcMar>
              <w:top w:w="15" w:type="dxa"/>
              <w:left w:w="15" w:type="dxa"/>
              <w:right w:w="15" w:type="dxa"/>
            </w:tcMar>
            <w:vAlign w:val="center"/>
          </w:tcPr>
          <w:p w14:paraId="4F78B8FE" w14:textId="6DD37E9D"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b/>
                <w:bCs/>
                <w:i/>
                <w:iCs/>
                <w:color w:val="000000" w:themeColor="text1"/>
                <w:sz w:val="18"/>
                <w:szCs w:val="18"/>
              </w:rPr>
              <w:t>2022</w:t>
            </w:r>
          </w:p>
        </w:tc>
        <w:tc>
          <w:tcPr>
            <w:tcW w:w="1178" w:type="dxa"/>
            <w:tcBorders>
              <w:top w:val="nil"/>
              <w:left w:val="nil"/>
              <w:bottom w:val="single" w:sz="8" w:space="0" w:color="85BADC"/>
              <w:right w:val="nil"/>
            </w:tcBorders>
            <w:tcMar>
              <w:top w:w="15" w:type="dxa"/>
              <w:left w:w="15" w:type="dxa"/>
              <w:right w:w="15" w:type="dxa"/>
            </w:tcMar>
            <w:vAlign w:val="center"/>
          </w:tcPr>
          <w:p w14:paraId="3A247468" w14:textId="483E63AC"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b/>
                <w:bCs/>
                <w:i/>
                <w:iCs/>
                <w:color w:val="000000" w:themeColor="text1"/>
                <w:sz w:val="18"/>
                <w:szCs w:val="18"/>
              </w:rPr>
              <w:t>Monetaria (L)</w:t>
            </w:r>
          </w:p>
        </w:tc>
        <w:tc>
          <w:tcPr>
            <w:tcW w:w="1178" w:type="dxa"/>
            <w:tcBorders>
              <w:top w:val="nil"/>
              <w:left w:val="nil"/>
              <w:bottom w:val="single" w:sz="8" w:space="0" w:color="85BADC"/>
              <w:right w:val="nil"/>
            </w:tcBorders>
            <w:tcMar>
              <w:top w:w="15" w:type="dxa"/>
              <w:left w:w="15" w:type="dxa"/>
              <w:right w:w="15" w:type="dxa"/>
            </w:tcMar>
            <w:vAlign w:val="center"/>
          </w:tcPr>
          <w:p w14:paraId="0EFB21FC" w14:textId="6C8A2E1D"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b/>
                <w:bCs/>
                <w:i/>
                <w:iCs/>
                <w:color w:val="000000" w:themeColor="text1"/>
                <w:sz w:val="18"/>
                <w:szCs w:val="18"/>
              </w:rPr>
              <w:t>Porcentual (%)</w:t>
            </w:r>
          </w:p>
        </w:tc>
        <w:tc>
          <w:tcPr>
            <w:tcW w:w="1178" w:type="dxa"/>
            <w:tcBorders>
              <w:top w:val="nil"/>
              <w:left w:val="nil"/>
              <w:bottom w:val="single" w:sz="8" w:space="0" w:color="85BADC"/>
              <w:right w:val="nil"/>
            </w:tcBorders>
            <w:tcMar>
              <w:top w:w="15" w:type="dxa"/>
              <w:left w:w="15" w:type="dxa"/>
              <w:right w:w="15" w:type="dxa"/>
            </w:tcMar>
            <w:vAlign w:val="center"/>
          </w:tcPr>
          <w:p w14:paraId="16065373" w14:textId="4C190CFA"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b/>
                <w:bCs/>
                <w:i/>
                <w:iCs/>
                <w:color w:val="000000" w:themeColor="text1"/>
                <w:sz w:val="18"/>
                <w:szCs w:val="18"/>
              </w:rPr>
              <w:t>Monetaria (L)</w:t>
            </w:r>
          </w:p>
        </w:tc>
        <w:tc>
          <w:tcPr>
            <w:tcW w:w="1178" w:type="dxa"/>
            <w:tcBorders>
              <w:top w:val="nil"/>
              <w:left w:val="nil"/>
              <w:bottom w:val="single" w:sz="8" w:space="0" w:color="85BADC"/>
              <w:right w:val="nil"/>
            </w:tcBorders>
            <w:tcMar>
              <w:top w:w="15" w:type="dxa"/>
              <w:left w:w="15" w:type="dxa"/>
              <w:right w:w="15" w:type="dxa"/>
            </w:tcMar>
            <w:vAlign w:val="center"/>
          </w:tcPr>
          <w:p w14:paraId="36286738" w14:textId="2123AD1E"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b/>
                <w:bCs/>
                <w:i/>
                <w:iCs/>
                <w:color w:val="000000" w:themeColor="text1"/>
                <w:sz w:val="18"/>
                <w:szCs w:val="18"/>
              </w:rPr>
              <w:t>Porcentual (%)</w:t>
            </w:r>
          </w:p>
        </w:tc>
        <w:tc>
          <w:tcPr>
            <w:tcW w:w="1178" w:type="dxa"/>
            <w:tcBorders>
              <w:top w:val="nil"/>
              <w:left w:val="nil"/>
              <w:bottom w:val="single" w:sz="8" w:space="0" w:color="85BADC"/>
              <w:right w:val="nil"/>
            </w:tcBorders>
            <w:tcMar>
              <w:top w:w="15" w:type="dxa"/>
              <w:left w:w="15" w:type="dxa"/>
              <w:right w:w="15" w:type="dxa"/>
            </w:tcMar>
            <w:vAlign w:val="center"/>
          </w:tcPr>
          <w:p w14:paraId="3BCDBF97" w14:textId="0F3B099F"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b/>
                <w:bCs/>
                <w:i/>
                <w:iCs/>
                <w:color w:val="000000" w:themeColor="text1"/>
                <w:sz w:val="18"/>
                <w:szCs w:val="18"/>
              </w:rPr>
              <w:t>Monetaria (L)</w:t>
            </w:r>
          </w:p>
        </w:tc>
        <w:tc>
          <w:tcPr>
            <w:tcW w:w="1178" w:type="dxa"/>
            <w:tcBorders>
              <w:top w:val="nil"/>
              <w:left w:val="nil"/>
              <w:bottom w:val="single" w:sz="8" w:space="0" w:color="85BADC"/>
              <w:right w:val="nil"/>
            </w:tcBorders>
            <w:tcMar>
              <w:top w:w="15" w:type="dxa"/>
              <w:left w:w="15" w:type="dxa"/>
              <w:right w:w="15" w:type="dxa"/>
            </w:tcMar>
            <w:vAlign w:val="center"/>
          </w:tcPr>
          <w:p w14:paraId="2CEB817A" w14:textId="2A8F1058"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b/>
                <w:bCs/>
                <w:i/>
                <w:iCs/>
                <w:color w:val="000000" w:themeColor="text1"/>
                <w:sz w:val="18"/>
                <w:szCs w:val="18"/>
              </w:rPr>
              <w:t>Porcentual (%)</w:t>
            </w:r>
          </w:p>
        </w:tc>
      </w:tr>
      <w:tr w:rsidR="1A7C3C65" w:rsidRPr="0076589C" w14:paraId="7D101C0B" w14:textId="77777777" w:rsidTr="1C8D6E3A">
        <w:trPr>
          <w:trHeight w:val="255"/>
        </w:trPr>
        <w:tc>
          <w:tcPr>
            <w:tcW w:w="1178" w:type="dxa"/>
            <w:tcBorders>
              <w:top w:val="single" w:sz="8" w:space="0" w:color="85BADC"/>
              <w:left w:val="nil"/>
              <w:bottom w:val="nil"/>
              <w:right w:val="nil"/>
            </w:tcBorders>
            <w:tcMar>
              <w:top w:w="15" w:type="dxa"/>
              <w:left w:w="15" w:type="dxa"/>
              <w:right w:w="15" w:type="dxa"/>
            </w:tcMar>
            <w:vAlign w:val="center"/>
          </w:tcPr>
          <w:p w14:paraId="61EC0A3B" w14:textId="0321F86B"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color w:val="000000" w:themeColor="text1"/>
                <w:sz w:val="18"/>
                <w:szCs w:val="18"/>
              </w:rPr>
              <w:t>Actual</w:t>
            </w:r>
          </w:p>
        </w:tc>
        <w:tc>
          <w:tcPr>
            <w:tcW w:w="1178" w:type="dxa"/>
            <w:tcBorders>
              <w:top w:val="single" w:sz="8" w:space="0" w:color="85BADC"/>
              <w:left w:val="nil"/>
              <w:bottom w:val="nil"/>
              <w:right w:val="nil"/>
            </w:tcBorders>
            <w:tcMar>
              <w:top w:w="15" w:type="dxa"/>
              <w:left w:w="15" w:type="dxa"/>
              <w:right w:w="15" w:type="dxa"/>
            </w:tcMar>
            <w:vAlign w:val="center"/>
          </w:tcPr>
          <w:p w14:paraId="1918ED49" w14:textId="5E9AF755" w:rsidR="1A7C3C65" w:rsidRPr="0076589C" w:rsidRDefault="1C8D6E3A" w:rsidP="00B970E6">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 L</w:t>
            </w:r>
            <w:r w:rsidR="00C97A5E" w:rsidRPr="0076589C">
              <w:rPr>
                <w:rFonts w:asciiTheme="minorHAnsi" w:eastAsia="Calibri" w:hAnsiTheme="minorHAnsi"/>
                <w:color w:val="000000" w:themeColor="text1"/>
                <w:sz w:val="18"/>
                <w:szCs w:val="18"/>
              </w:rPr>
              <w:t xml:space="preserve"> </w:t>
            </w:r>
            <w:r w:rsidRPr="0076589C">
              <w:rPr>
                <w:rFonts w:asciiTheme="minorHAnsi" w:eastAsia="Calibri" w:hAnsiTheme="minorHAnsi"/>
                <w:color w:val="000000" w:themeColor="text1"/>
                <w:sz w:val="18"/>
                <w:szCs w:val="18"/>
              </w:rPr>
              <w:t xml:space="preserve">3,844,956.76 </w:t>
            </w:r>
          </w:p>
        </w:tc>
        <w:tc>
          <w:tcPr>
            <w:tcW w:w="1178" w:type="dxa"/>
            <w:tcBorders>
              <w:top w:val="single" w:sz="8" w:space="0" w:color="85BADC"/>
              <w:left w:val="nil"/>
              <w:bottom w:val="nil"/>
              <w:right w:val="nil"/>
            </w:tcBorders>
            <w:tcMar>
              <w:top w:w="15" w:type="dxa"/>
              <w:left w:w="15" w:type="dxa"/>
              <w:right w:w="15" w:type="dxa"/>
            </w:tcMar>
            <w:vAlign w:val="center"/>
          </w:tcPr>
          <w:p w14:paraId="142188A5" w14:textId="0D67E7FC" w:rsidR="1A7C3C65" w:rsidRPr="0076589C" w:rsidRDefault="1C8D6E3A" w:rsidP="00B970E6">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 L</w:t>
            </w:r>
            <w:r w:rsidR="00C97A5E" w:rsidRPr="0076589C">
              <w:rPr>
                <w:rFonts w:asciiTheme="minorHAnsi" w:eastAsia="Calibri" w:hAnsiTheme="minorHAnsi"/>
                <w:color w:val="000000" w:themeColor="text1"/>
                <w:sz w:val="18"/>
                <w:szCs w:val="18"/>
              </w:rPr>
              <w:t xml:space="preserve"> </w:t>
            </w:r>
            <w:r w:rsidRPr="0076589C">
              <w:rPr>
                <w:rFonts w:asciiTheme="minorHAnsi" w:eastAsia="Calibri" w:hAnsiTheme="minorHAnsi"/>
                <w:color w:val="000000" w:themeColor="text1"/>
                <w:sz w:val="18"/>
                <w:szCs w:val="18"/>
              </w:rPr>
              <w:t xml:space="preserve">2,558,764.74 </w:t>
            </w:r>
          </w:p>
        </w:tc>
        <w:tc>
          <w:tcPr>
            <w:tcW w:w="1178" w:type="dxa"/>
            <w:tcBorders>
              <w:top w:val="single" w:sz="8" w:space="0" w:color="85BADC"/>
              <w:left w:val="nil"/>
              <w:bottom w:val="nil"/>
              <w:right w:val="nil"/>
            </w:tcBorders>
            <w:tcMar>
              <w:top w:w="15" w:type="dxa"/>
              <w:left w:w="15" w:type="dxa"/>
              <w:right w:w="15" w:type="dxa"/>
            </w:tcMar>
            <w:vAlign w:val="center"/>
          </w:tcPr>
          <w:p w14:paraId="453AA992" w14:textId="3490ECC7" w:rsidR="1A7C3C65" w:rsidRPr="0076589C" w:rsidRDefault="1C8D6E3A" w:rsidP="00B970E6">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 L 995,859.79 </w:t>
            </w:r>
          </w:p>
        </w:tc>
        <w:tc>
          <w:tcPr>
            <w:tcW w:w="1178" w:type="dxa"/>
            <w:tcBorders>
              <w:top w:val="single" w:sz="8" w:space="0" w:color="85BADC"/>
              <w:left w:val="nil"/>
              <w:bottom w:val="nil"/>
              <w:right w:val="nil"/>
            </w:tcBorders>
            <w:tcMar>
              <w:top w:w="15" w:type="dxa"/>
              <w:left w:w="15" w:type="dxa"/>
              <w:right w:w="15" w:type="dxa"/>
            </w:tcMar>
            <w:vAlign w:val="center"/>
          </w:tcPr>
          <w:p w14:paraId="68765E55" w14:textId="43D5E269" w:rsidR="1A7C3C65" w:rsidRPr="0076589C" w:rsidRDefault="1C8D6E3A" w:rsidP="00B970E6">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 L</w:t>
            </w:r>
            <w:r w:rsidR="00C97A5E" w:rsidRPr="0076589C">
              <w:rPr>
                <w:rFonts w:asciiTheme="minorHAnsi" w:eastAsia="Calibri" w:hAnsiTheme="minorHAnsi"/>
                <w:color w:val="000000" w:themeColor="text1"/>
                <w:sz w:val="18"/>
                <w:szCs w:val="18"/>
              </w:rPr>
              <w:t xml:space="preserve"> </w:t>
            </w:r>
            <w:r w:rsidRPr="0076589C">
              <w:rPr>
                <w:rFonts w:asciiTheme="minorHAnsi" w:eastAsia="Calibri" w:hAnsiTheme="minorHAnsi"/>
                <w:color w:val="000000" w:themeColor="text1"/>
                <w:sz w:val="18"/>
                <w:szCs w:val="18"/>
              </w:rPr>
              <w:t xml:space="preserve">1,979,087.95 </w:t>
            </w:r>
          </w:p>
        </w:tc>
        <w:tc>
          <w:tcPr>
            <w:tcW w:w="1178" w:type="dxa"/>
            <w:tcBorders>
              <w:top w:val="single" w:sz="8" w:space="0" w:color="85BADC"/>
              <w:left w:val="nil"/>
              <w:bottom w:val="nil"/>
              <w:right w:val="nil"/>
            </w:tcBorders>
            <w:tcMar>
              <w:top w:w="15" w:type="dxa"/>
              <w:left w:w="15" w:type="dxa"/>
              <w:right w:w="15" w:type="dxa"/>
            </w:tcMar>
            <w:vAlign w:val="center"/>
          </w:tcPr>
          <w:p w14:paraId="3051BDD8" w14:textId="4D0B212A" w:rsidR="1A7C3C65" w:rsidRPr="0076589C" w:rsidRDefault="1C8D6E3A" w:rsidP="00B970E6">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-L 1,286,192.02 </w:t>
            </w:r>
          </w:p>
        </w:tc>
        <w:tc>
          <w:tcPr>
            <w:tcW w:w="1178" w:type="dxa"/>
            <w:tcBorders>
              <w:top w:val="single" w:sz="8" w:space="0" w:color="85BADC"/>
              <w:left w:val="nil"/>
              <w:bottom w:val="nil"/>
              <w:right w:val="nil"/>
            </w:tcBorders>
            <w:tcMar>
              <w:top w:w="15" w:type="dxa"/>
              <w:left w:w="15" w:type="dxa"/>
              <w:right w:w="15" w:type="dxa"/>
            </w:tcMar>
            <w:vAlign w:val="center"/>
          </w:tcPr>
          <w:p w14:paraId="7DEEEEE9" w14:textId="7230F3D4"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color w:val="000000" w:themeColor="text1"/>
                <w:sz w:val="18"/>
                <w:szCs w:val="18"/>
              </w:rPr>
              <w:t>-33.45%</w:t>
            </w:r>
          </w:p>
        </w:tc>
        <w:tc>
          <w:tcPr>
            <w:tcW w:w="1178" w:type="dxa"/>
            <w:tcBorders>
              <w:top w:val="single" w:sz="8" w:space="0" w:color="85BADC"/>
              <w:left w:val="nil"/>
              <w:bottom w:val="nil"/>
              <w:right w:val="nil"/>
            </w:tcBorders>
            <w:tcMar>
              <w:top w:w="15" w:type="dxa"/>
              <w:left w:w="15" w:type="dxa"/>
              <w:right w:w="15" w:type="dxa"/>
            </w:tcMar>
            <w:vAlign w:val="center"/>
          </w:tcPr>
          <w:p w14:paraId="710648ED" w14:textId="3AEE1B65" w:rsidR="1A7C3C65" w:rsidRPr="0076589C" w:rsidRDefault="1C8D6E3A" w:rsidP="00B970E6">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-L 1,562,904.95 </w:t>
            </w:r>
          </w:p>
        </w:tc>
        <w:tc>
          <w:tcPr>
            <w:tcW w:w="1178" w:type="dxa"/>
            <w:tcBorders>
              <w:top w:val="single" w:sz="8" w:space="0" w:color="85BADC"/>
              <w:left w:val="nil"/>
              <w:bottom w:val="nil"/>
              <w:right w:val="nil"/>
            </w:tcBorders>
            <w:tcMar>
              <w:top w:w="15" w:type="dxa"/>
              <w:left w:w="15" w:type="dxa"/>
              <w:right w:w="15" w:type="dxa"/>
            </w:tcMar>
            <w:vAlign w:val="center"/>
          </w:tcPr>
          <w:p w14:paraId="53B5A798" w14:textId="70C0D064"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color w:val="000000" w:themeColor="text1"/>
                <w:sz w:val="18"/>
                <w:szCs w:val="18"/>
              </w:rPr>
              <w:t>-61.08%</w:t>
            </w:r>
          </w:p>
        </w:tc>
        <w:tc>
          <w:tcPr>
            <w:tcW w:w="1178" w:type="dxa"/>
            <w:tcBorders>
              <w:top w:val="single" w:sz="8" w:space="0" w:color="85BADC"/>
              <w:left w:val="nil"/>
              <w:bottom w:val="nil"/>
              <w:right w:val="nil"/>
            </w:tcBorders>
            <w:tcMar>
              <w:top w:w="15" w:type="dxa"/>
              <w:left w:w="15" w:type="dxa"/>
              <w:right w:w="15" w:type="dxa"/>
            </w:tcMar>
            <w:vAlign w:val="center"/>
          </w:tcPr>
          <w:p w14:paraId="4BC7DE2E" w14:textId="21791909" w:rsidR="1A7C3C65" w:rsidRPr="0076589C" w:rsidRDefault="1C8D6E3A" w:rsidP="00C97A5E">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 L</w:t>
            </w:r>
            <w:r w:rsidR="00C97A5E" w:rsidRPr="0076589C">
              <w:rPr>
                <w:rFonts w:asciiTheme="minorHAnsi" w:eastAsia="Calibri" w:hAnsiTheme="minorHAnsi"/>
                <w:color w:val="000000" w:themeColor="text1"/>
                <w:sz w:val="18"/>
                <w:szCs w:val="18"/>
              </w:rPr>
              <w:t xml:space="preserve"> </w:t>
            </w:r>
            <w:r w:rsidRPr="0076589C">
              <w:rPr>
                <w:rFonts w:asciiTheme="minorHAnsi" w:eastAsia="Calibri" w:hAnsiTheme="minorHAnsi"/>
                <w:color w:val="000000" w:themeColor="text1"/>
                <w:sz w:val="18"/>
                <w:szCs w:val="18"/>
              </w:rPr>
              <w:t xml:space="preserve">983,228.16 </w:t>
            </w:r>
          </w:p>
        </w:tc>
        <w:tc>
          <w:tcPr>
            <w:tcW w:w="1178" w:type="dxa"/>
            <w:tcBorders>
              <w:top w:val="single" w:sz="8" w:space="0" w:color="85BADC"/>
              <w:left w:val="nil"/>
              <w:bottom w:val="nil"/>
              <w:right w:val="nil"/>
            </w:tcBorders>
            <w:tcMar>
              <w:top w:w="15" w:type="dxa"/>
              <w:left w:w="15" w:type="dxa"/>
              <w:right w:w="15" w:type="dxa"/>
            </w:tcMar>
            <w:vAlign w:val="center"/>
          </w:tcPr>
          <w:p w14:paraId="713AB9D1" w14:textId="7FFEB406"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color w:val="000000" w:themeColor="text1"/>
                <w:sz w:val="18"/>
                <w:szCs w:val="18"/>
              </w:rPr>
              <w:t>98.73%</w:t>
            </w:r>
          </w:p>
        </w:tc>
      </w:tr>
      <w:tr w:rsidR="1A7C3C65" w:rsidRPr="0076589C" w14:paraId="4F66AC49" w14:textId="77777777" w:rsidTr="1C8D6E3A">
        <w:trPr>
          <w:trHeight w:val="255"/>
        </w:trPr>
        <w:tc>
          <w:tcPr>
            <w:tcW w:w="1178" w:type="dxa"/>
            <w:tcBorders>
              <w:top w:val="nil"/>
              <w:left w:val="nil"/>
              <w:bottom w:val="nil"/>
              <w:right w:val="nil"/>
            </w:tcBorders>
            <w:tcMar>
              <w:top w:w="15" w:type="dxa"/>
              <w:left w:w="15" w:type="dxa"/>
              <w:right w:w="15" w:type="dxa"/>
            </w:tcMar>
            <w:vAlign w:val="center"/>
          </w:tcPr>
          <w:p w14:paraId="56671E72" w14:textId="057DB8D2"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color w:val="000000" w:themeColor="text1"/>
                <w:sz w:val="18"/>
                <w:szCs w:val="18"/>
              </w:rPr>
              <w:t>30</w:t>
            </w:r>
          </w:p>
        </w:tc>
        <w:tc>
          <w:tcPr>
            <w:tcW w:w="1178" w:type="dxa"/>
            <w:tcBorders>
              <w:top w:val="nil"/>
              <w:left w:val="nil"/>
              <w:bottom w:val="nil"/>
              <w:right w:val="nil"/>
            </w:tcBorders>
            <w:tcMar>
              <w:top w:w="15" w:type="dxa"/>
              <w:left w:w="15" w:type="dxa"/>
              <w:right w:w="15" w:type="dxa"/>
            </w:tcMar>
            <w:vAlign w:val="center"/>
          </w:tcPr>
          <w:p w14:paraId="7BD47A78" w14:textId="07114269" w:rsidR="1A7C3C65" w:rsidRPr="0076589C" w:rsidRDefault="1C8D6E3A" w:rsidP="00C97A5E">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L</w:t>
            </w:r>
            <w:r w:rsidR="00C97A5E" w:rsidRPr="0076589C">
              <w:rPr>
                <w:rFonts w:asciiTheme="minorHAnsi" w:eastAsia="Calibri" w:hAnsiTheme="minorHAnsi"/>
                <w:color w:val="000000" w:themeColor="text1"/>
                <w:sz w:val="18"/>
                <w:szCs w:val="18"/>
              </w:rPr>
              <w:t xml:space="preserve"> </w:t>
            </w:r>
            <w:r w:rsidRPr="0076589C">
              <w:rPr>
                <w:rFonts w:asciiTheme="minorHAnsi" w:eastAsia="Calibri" w:hAnsiTheme="minorHAnsi"/>
                <w:color w:val="000000" w:themeColor="text1"/>
                <w:sz w:val="18"/>
                <w:szCs w:val="18"/>
              </w:rPr>
              <w:t xml:space="preserve">2,256,292.58 </w:t>
            </w:r>
          </w:p>
        </w:tc>
        <w:tc>
          <w:tcPr>
            <w:tcW w:w="1178" w:type="dxa"/>
            <w:tcBorders>
              <w:top w:val="nil"/>
              <w:left w:val="nil"/>
              <w:bottom w:val="nil"/>
              <w:right w:val="nil"/>
            </w:tcBorders>
            <w:tcMar>
              <w:top w:w="15" w:type="dxa"/>
              <w:left w:w="15" w:type="dxa"/>
              <w:right w:w="15" w:type="dxa"/>
            </w:tcMar>
            <w:vAlign w:val="center"/>
          </w:tcPr>
          <w:p w14:paraId="43AC0896" w14:textId="0AB3233E" w:rsidR="1A7C3C65" w:rsidRPr="0076589C" w:rsidRDefault="1C8D6E3A" w:rsidP="00C97A5E">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L 1,936,144.06 </w:t>
            </w:r>
          </w:p>
        </w:tc>
        <w:tc>
          <w:tcPr>
            <w:tcW w:w="1178" w:type="dxa"/>
            <w:tcBorders>
              <w:top w:val="nil"/>
              <w:left w:val="nil"/>
              <w:bottom w:val="nil"/>
              <w:right w:val="nil"/>
            </w:tcBorders>
            <w:tcMar>
              <w:top w:w="15" w:type="dxa"/>
              <w:left w:w="15" w:type="dxa"/>
              <w:right w:w="15" w:type="dxa"/>
            </w:tcMar>
            <w:vAlign w:val="center"/>
          </w:tcPr>
          <w:p w14:paraId="4BDEE333" w14:textId="049CE12A" w:rsidR="1A7C3C65" w:rsidRPr="0076589C" w:rsidRDefault="1C8D6E3A" w:rsidP="00C97A5E">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L 2,089,249.40 </w:t>
            </w:r>
          </w:p>
        </w:tc>
        <w:tc>
          <w:tcPr>
            <w:tcW w:w="1178" w:type="dxa"/>
            <w:tcBorders>
              <w:top w:val="nil"/>
              <w:left w:val="nil"/>
              <w:bottom w:val="nil"/>
              <w:right w:val="nil"/>
            </w:tcBorders>
            <w:tcMar>
              <w:top w:w="15" w:type="dxa"/>
              <w:left w:w="15" w:type="dxa"/>
              <w:right w:w="15" w:type="dxa"/>
            </w:tcMar>
            <w:vAlign w:val="center"/>
          </w:tcPr>
          <w:p w14:paraId="0A4888F6" w14:textId="250674A4" w:rsidR="1A7C3C65" w:rsidRPr="0076589C" w:rsidRDefault="1C8D6E3A" w:rsidP="00C97A5E">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L 1,695,274.18 </w:t>
            </w:r>
          </w:p>
        </w:tc>
        <w:tc>
          <w:tcPr>
            <w:tcW w:w="1178" w:type="dxa"/>
            <w:tcBorders>
              <w:top w:val="nil"/>
              <w:left w:val="nil"/>
              <w:bottom w:val="nil"/>
              <w:right w:val="nil"/>
            </w:tcBorders>
            <w:tcMar>
              <w:top w:w="15" w:type="dxa"/>
              <w:left w:w="15" w:type="dxa"/>
              <w:right w:w="15" w:type="dxa"/>
            </w:tcMar>
            <w:vAlign w:val="center"/>
          </w:tcPr>
          <w:p w14:paraId="297310BF" w14:textId="5560AF72" w:rsidR="1A7C3C65" w:rsidRPr="0076589C" w:rsidRDefault="1C8D6E3A" w:rsidP="00C97A5E">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-L 320,148.52 </w:t>
            </w:r>
          </w:p>
        </w:tc>
        <w:tc>
          <w:tcPr>
            <w:tcW w:w="1178" w:type="dxa"/>
            <w:tcBorders>
              <w:top w:val="nil"/>
              <w:left w:val="nil"/>
              <w:bottom w:val="nil"/>
              <w:right w:val="nil"/>
            </w:tcBorders>
            <w:tcMar>
              <w:top w:w="15" w:type="dxa"/>
              <w:left w:w="15" w:type="dxa"/>
              <w:right w:w="15" w:type="dxa"/>
            </w:tcMar>
            <w:vAlign w:val="center"/>
          </w:tcPr>
          <w:p w14:paraId="55DA1A0D" w14:textId="3E5CCEEC"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color w:val="000000" w:themeColor="text1"/>
                <w:sz w:val="18"/>
                <w:szCs w:val="18"/>
              </w:rPr>
              <w:t>-14.19%</w:t>
            </w:r>
          </w:p>
        </w:tc>
        <w:tc>
          <w:tcPr>
            <w:tcW w:w="1178" w:type="dxa"/>
            <w:tcBorders>
              <w:top w:val="nil"/>
              <w:left w:val="nil"/>
              <w:bottom w:val="nil"/>
              <w:right w:val="nil"/>
            </w:tcBorders>
            <w:tcMar>
              <w:top w:w="15" w:type="dxa"/>
              <w:left w:w="15" w:type="dxa"/>
              <w:right w:w="15" w:type="dxa"/>
            </w:tcMar>
            <w:vAlign w:val="center"/>
          </w:tcPr>
          <w:p w14:paraId="66F1458D" w14:textId="3221A746" w:rsidR="1A7C3C65" w:rsidRPr="0076589C" w:rsidRDefault="1C8D6E3A" w:rsidP="00C97A5E">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L</w:t>
            </w:r>
            <w:r w:rsidR="00620F26" w:rsidRPr="0076589C">
              <w:rPr>
                <w:rFonts w:asciiTheme="minorHAnsi" w:eastAsia="Calibri" w:hAnsiTheme="minorHAnsi"/>
                <w:color w:val="000000" w:themeColor="text1"/>
                <w:sz w:val="18"/>
                <w:szCs w:val="18"/>
              </w:rPr>
              <w:t xml:space="preserve"> </w:t>
            </w:r>
            <w:r w:rsidRPr="0076589C">
              <w:rPr>
                <w:rFonts w:asciiTheme="minorHAnsi" w:eastAsia="Calibri" w:hAnsiTheme="minorHAnsi"/>
                <w:color w:val="000000" w:themeColor="text1"/>
                <w:sz w:val="18"/>
                <w:szCs w:val="18"/>
              </w:rPr>
              <w:t xml:space="preserve">153,105.34 </w:t>
            </w:r>
          </w:p>
        </w:tc>
        <w:tc>
          <w:tcPr>
            <w:tcW w:w="1178" w:type="dxa"/>
            <w:tcBorders>
              <w:top w:val="nil"/>
              <w:left w:val="nil"/>
              <w:bottom w:val="nil"/>
              <w:right w:val="nil"/>
            </w:tcBorders>
            <w:tcMar>
              <w:top w:w="15" w:type="dxa"/>
              <w:left w:w="15" w:type="dxa"/>
              <w:right w:w="15" w:type="dxa"/>
            </w:tcMar>
            <w:vAlign w:val="center"/>
          </w:tcPr>
          <w:p w14:paraId="6FA4140D" w14:textId="0AE7BD53"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color w:val="000000" w:themeColor="text1"/>
                <w:sz w:val="18"/>
                <w:szCs w:val="18"/>
              </w:rPr>
              <w:t>7.91%</w:t>
            </w:r>
          </w:p>
        </w:tc>
        <w:tc>
          <w:tcPr>
            <w:tcW w:w="1178" w:type="dxa"/>
            <w:tcBorders>
              <w:top w:val="nil"/>
              <w:left w:val="nil"/>
              <w:bottom w:val="nil"/>
              <w:right w:val="nil"/>
            </w:tcBorders>
            <w:tcMar>
              <w:top w:w="15" w:type="dxa"/>
              <w:left w:w="15" w:type="dxa"/>
              <w:right w:w="15" w:type="dxa"/>
            </w:tcMar>
            <w:vAlign w:val="center"/>
          </w:tcPr>
          <w:p w14:paraId="63CFBFA1" w14:textId="3FFF9387" w:rsidR="1A7C3C65" w:rsidRPr="0076589C" w:rsidRDefault="1C8D6E3A" w:rsidP="00C97A5E">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-L    393,975.22 </w:t>
            </w:r>
          </w:p>
        </w:tc>
        <w:tc>
          <w:tcPr>
            <w:tcW w:w="1178" w:type="dxa"/>
            <w:tcBorders>
              <w:top w:val="nil"/>
              <w:left w:val="nil"/>
              <w:bottom w:val="nil"/>
              <w:right w:val="nil"/>
            </w:tcBorders>
            <w:tcMar>
              <w:top w:w="15" w:type="dxa"/>
              <w:left w:w="15" w:type="dxa"/>
              <w:right w:w="15" w:type="dxa"/>
            </w:tcMar>
            <w:vAlign w:val="center"/>
          </w:tcPr>
          <w:p w14:paraId="4D89E4F3" w14:textId="0C0F5CF9"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color w:val="000000" w:themeColor="text1"/>
                <w:sz w:val="18"/>
                <w:szCs w:val="18"/>
              </w:rPr>
              <w:t>-18.86%</w:t>
            </w:r>
          </w:p>
        </w:tc>
      </w:tr>
      <w:tr w:rsidR="1A7C3C65" w:rsidRPr="0076589C" w14:paraId="7FA3879B" w14:textId="77777777" w:rsidTr="1C8D6E3A">
        <w:trPr>
          <w:trHeight w:val="255"/>
        </w:trPr>
        <w:tc>
          <w:tcPr>
            <w:tcW w:w="1178" w:type="dxa"/>
            <w:tcBorders>
              <w:top w:val="nil"/>
              <w:left w:val="nil"/>
              <w:bottom w:val="nil"/>
              <w:right w:val="nil"/>
            </w:tcBorders>
            <w:tcMar>
              <w:top w:w="15" w:type="dxa"/>
              <w:left w:w="15" w:type="dxa"/>
              <w:right w:w="15" w:type="dxa"/>
            </w:tcMar>
            <w:vAlign w:val="center"/>
          </w:tcPr>
          <w:p w14:paraId="28978B55" w14:textId="59373775"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color w:val="000000" w:themeColor="text1"/>
                <w:sz w:val="18"/>
                <w:szCs w:val="18"/>
              </w:rPr>
              <w:t>60</w:t>
            </w:r>
          </w:p>
        </w:tc>
        <w:tc>
          <w:tcPr>
            <w:tcW w:w="1178" w:type="dxa"/>
            <w:tcBorders>
              <w:top w:val="nil"/>
              <w:left w:val="nil"/>
              <w:bottom w:val="nil"/>
              <w:right w:val="nil"/>
            </w:tcBorders>
            <w:tcMar>
              <w:top w:w="15" w:type="dxa"/>
              <w:left w:w="15" w:type="dxa"/>
              <w:right w:w="15" w:type="dxa"/>
            </w:tcMar>
            <w:vAlign w:val="center"/>
          </w:tcPr>
          <w:p w14:paraId="6EEEC6F0" w14:textId="19198B8B" w:rsidR="1A7C3C65" w:rsidRPr="0076589C" w:rsidRDefault="1C8D6E3A" w:rsidP="00C97A5E">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L</w:t>
            </w:r>
            <w:r w:rsidR="00620F26" w:rsidRPr="0076589C">
              <w:rPr>
                <w:rFonts w:asciiTheme="minorHAnsi" w:eastAsia="Calibri" w:hAnsiTheme="minorHAnsi"/>
                <w:color w:val="000000" w:themeColor="text1"/>
                <w:sz w:val="18"/>
                <w:szCs w:val="18"/>
              </w:rPr>
              <w:t xml:space="preserve"> </w:t>
            </w:r>
            <w:r w:rsidRPr="0076589C">
              <w:rPr>
                <w:rFonts w:asciiTheme="minorHAnsi" w:eastAsia="Calibri" w:hAnsiTheme="minorHAnsi"/>
                <w:color w:val="000000" w:themeColor="text1"/>
                <w:sz w:val="18"/>
                <w:szCs w:val="18"/>
              </w:rPr>
              <w:t xml:space="preserve">920,238.67 </w:t>
            </w:r>
          </w:p>
        </w:tc>
        <w:tc>
          <w:tcPr>
            <w:tcW w:w="1178" w:type="dxa"/>
            <w:tcBorders>
              <w:top w:val="nil"/>
              <w:left w:val="nil"/>
              <w:bottom w:val="nil"/>
              <w:right w:val="nil"/>
            </w:tcBorders>
            <w:tcMar>
              <w:top w:w="15" w:type="dxa"/>
              <w:left w:w="15" w:type="dxa"/>
              <w:right w:w="15" w:type="dxa"/>
            </w:tcMar>
            <w:vAlign w:val="center"/>
          </w:tcPr>
          <w:p w14:paraId="7F23BBA7" w14:textId="5EC89CA2" w:rsidR="1A7C3C65" w:rsidRPr="0076589C" w:rsidRDefault="1C8D6E3A" w:rsidP="00C97A5E">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L 940,911.94 </w:t>
            </w:r>
          </w:p>
        </w:tc>
        <w:tc>
          <w:tcPr>
            <w:tcW w:w="1178" w:type="dxa"/>
            <w:tcBorders>
              <w:top w:val="nil"/>
              <w:left w:val="nil"/>
              <w:bottom w:val="nil"/>
              <w:right w:val="nil"/>
            </w:tcBorders>
            <w:tcMar>
              <w:top w:w="15" w:type="dxa"/>
              <w:left w:w="15" w:type="dxa"/>
              <w:right w:w="15" w:type="dxa"/>
            </w:tcMar>
            <w:vAlign w:val="center"/>
          </w:tcPr>
          <w:p w14:paraId="0B5B59EA" w14:textId="2CF16890" w:rsidR="1A7C3C65" w:rsidRPr="0076589C" w:rsidRDefault="1C8D6E3A" w:rsidP="00C97A5E">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L</w:t>
            </w:r>
            <w:r w:rsidR="00620F26" w:rsidRPr="0076589C">
              <w:rPr>
                <w:rFonts w:asciiTheme="minorHAnsi" w:eastAsia="Calibri" w:hAnsiTheme="minorHAnsi"/>
                <w:color w:val="000000" w:themeColor="text1"/>
                <w:sz w:val="18"/>
                <w:szCs w:val="18"/>
              </w:rPr>
              <w:t xml:space="preserve"> </w:t>
            </w:r>
            <w:r w:rsidRPr="0076589C">
              <w:rPr>
                <w:rFonts w:asciiTheme="minorHAnsi" w:eastAsia="Calibri" w:hAnsiTheme="minorHAnsi"/>
                <w:color w:val="000000" w:themeColor="text1"/>
                <w:sz w:val="18"/>
                <w:szCs w:val="18"/>
              </w:rPr>
              <w:t xml:space="preserve">728,728.83 </w:t>
            </w:r>
          </w:p>
        </w:tc>
        <w:tc>
          <w:tcPr>
            <w:tcW w:w="1178" w:type="dxa"/>
            <w:tcBorders>
              <w:top w:val="nil"/>
              <w:left w:val="nil"/>
              <w:bottom w:val="nil"/>
              <w:right w:val="nil"/>
            </w:tcBorders>
            <w:tcMar>
              <w:top w:w="15" w:type="dxa"/>
              <w:left w:w="15" w:type="dxa"/>
              <w:right w:w="15" w:type="dxa"/>
            </w:tcMar>
            <w:vAlign w:val="center"/>
          </w:tcPr>
          <w:p w14:paraId="2A92EC50" w14:textId="08C0E1AA" w:rsidR="1A7C3C65" w:rsidRPr="0076589C" w:rsidRDefault="1C8D6E3A" w:rsidP="00C97A5E">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L</w:t>
            </w:r>
            <w:r w:rsidR="00620F26" w:rsidRPr="0076589C">
              <w:rPr>
                <w:rFonts w:asciiTheme="minorHAnsi" w:eastAsia="Calibri" w:hAnsiTheme="minorHAnsi"/>
                <w:color w:val="000000" w:themeColor="text1"/>
                <w:sz w:val="18"/>
                <w:szCs w:val="18"/>
              </w:rPr>
              <w:t xml:space="preserve"> </w:t>
            </w:r>
            <w:r w:rsidRPr="0076589C">
              <w:rPr>
                <w:rFonts w:asciiTheme="minorHAnsi" w:eastAsia="Calibri" w:hAnsiTheme="minorHAnsi"/>
                <w:color w:val="000000" w:themeColor="text1"/>
                <w:sz w:val="18"/>
                <w:szCs w:val="18"/>
              </w:rPr>
              <w:t xml:space="preserve">1,451,685.58 </w:t>
            </w:r>
          </w:p>
        </w:tc>
        <w:tc>
          <w:tcPr>
            <w:tcW w:w="1178" w:type="dxa"/>
            <w:tcBorders>
              <w:top w:val="nil"/>
              <w:left w:val="nil"/>
              <w:bottom w:val="nil"/>
              <w:right w:val="nil"/>
            </w:tcBorders>
            <w:tcMar>
              <w:top w:w="15" w:type="dxa"/>
              <w:left w:w="15" w:type="dxa"/>
              <w:right w:w="15" w:type="dxa"/>
            </w:tcMar>
            <w:vAlign w:val="center"/>
          </w:tcPr>
          <w:p w14:paraId="5C0B7CAB" w14:textId="26530D41" w:rsidR="1A7C3C65" w:rsidRPr="0076589C" w:rsidRDefault="1C8D6E3A" w:rsidP="00C97A5E">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L        20,673.26 </w:t>
            </w:r>
          </w:p>
        </w:tc>
        <w:tc>
          <w:tcPr>
            <w:tcW w:w="1178" w:type="dxa"/>
            <w:tcBorders>
              <w:top w:val="nil"/>
              <w:left w:val="nil"/>
              <w:bottom w:val="nil"/>
              <w:right w:val="nil"/>
            </w:tcBorders>
            <w:tcMar>
              <w:top w:w="15" w:type="dxa"/>
              <w:left w:w="15" w:type="dxa"/>
              <w:right w:w="15" w:type="dxa"/>
            </w:tcMar>
            <w:vAlign w:val="center"/>
          </w:tcPr>
          <w:p w14:paraId="2FC66524" w14:textId="75EB5BA5"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color w:val="000000" w:themeColor="text1"/>
                <w:sz w:val="18"/>
                <w:szCs w:val="18"/>
              </w:rPr>
              <w:t>2.25%</w:t>
            </w:r>
          </w:p>
        </w:tc>
        <w:tc>
          <w:tcPr>
            <w:tcW w:w="1178" w:type="dxa"/>
            <w:tcBorders>
              <w:top w:val="nil"/>
              <w:left w:val="nil"/>
              <w:bottom w:val="nil"/>
              <w:right w:val="nil"/>
            </w:tcBorders>
            <w:tcMar>
              <w:top w:w="15" w:type="dxa"/>
              <w:left w:w="15" w:type="dxa"/>
              <w:right w:w="15" w:type="dxa"/>
            </w:tcMar>
            <w:vAlign w:val="center"/>
          </w:tcPr>
          <w:p w14:paraId="46C6B781" w14:textId="7A677299" w:rsidR="1A7C3C65" w:rsidRPr="0076589C" w:rsidRDefault="1C8D6E3A" w:rsidP="00C97A5E">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-L 212,183.11 </w:t>
            </w:r>
          </w:p>
        </w:tc>
        <w:tc>
          <w:tcPr>
            <w:tcW w:w="1178" w:type="dxa"/>
            <w:tcBorders>
              <w:top w:val="nil"/>
              <w:left w:val="nil"/>
              <w:bottom w:val="nil"/>
              <w:right w:val="nil"/>
            </w:tcBorders>
            <w:tcMar>
              <w:top w:w="15" w:type="dxa"/>
              <w:left w:w="15" w:type="dxa"/>
              <w:right w:w="15" w:type="dxa"/>
            </w:tcMar>
            <w:vAlign w:val="center"/>
          </w:tcPr>
          <w:p w14:paraId="6E2405B0" w14:textId="23633BA0"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color w:val="000000" w:themeColor="text1"/>
                <w:sz w:val="18"/>
                <w:szCs w:val="18"/>
              </w:rPr>
              <w:t>-22.55%</w:t>
            </w:r>
          </w:p>
        </w:tc>
        <w:tc>
          <w:tcPr>
            <w:tcW w:w="1178" w:type="dxa"/>
            <w:tcBorders>
              <w:top w:val="nil"/>
              <w:left w:val="nil"/>
              <w:bottom w:val="nil"/>
              <w:right w:val="nil"/>
            </w:tcBorders>
            <w:tcMar>
              <w:top w:w="15" w:type="dxa"/>
              <w:left w:w="15" w:type="dxa"/>
              <w:right w:w="15" w:type="dxa"/>
            </w:tcMar>
            <w:vAlign w:val="center"/>
          </w:tcPr>
          <w:p w14:paraId="2ED956B2" w14:textId="5B304BA8" w:rsidR="1A7C3C65" w:rsidRPr="0076589C" w:rsidRDefault="1C8D6E3A" w:rsidP="00C97A5E">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L    722,956.95 </w:t>
            </w:r>
          </w:p>
        </w:tc>
        <w:tc>
          <w:tcPr>
            <w:tcW w:w="1178" w:type="dxa"/>
            <w:tcBorders>
              <w:top w:val="nil"/>
              <w:left w:val="nil"/>
              <w:bottom w:val="nil"/>
              <w:right w:val="nil"/>
            </w:tcBorders>
            <w:tcMar>
              <w:top w:w="15" w:type="dxa"/>
              <w:left w:w="15" w:type="dxa"/>
              <w:right w:w="15" w:type="dxa"/>
            </w:tcMar>
            <w:vAlign w:val="center"/>
          </w:tcPr>
          <w:p w14:paraId="50452461" w14:textId="41864AE2"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color w:val="000000" w:themeColor="text1"/>
                <w:sz w:val="18"/>
                <w:szCs w:val="18"/>
              </w:rPr>
              <w:t>99.21%</w:t>
            </w:r>
          </w:p>
        </w:tc>
      </w:tr>
      <w:tr w:rsidR="1A7C3C65" w:rsidRPr="0076589C" w14:paraId="2756F12F" w14:textId="77777777" w:rsidTr="1C8D6E3A">
        <w:trPr>
          <w:trHeight w:val="255"/>
        </w:trPr>
        <w:tc>
          <w:tcPr>
            <w:tcW w:w="1178" w:type="dxa"/>
            <w:tcBorders>
              <w:top w:val="nil"/>
              <w:left w:val="nil"/>
              <w:bottom w:val="nil"/>
              <w:right w:val="nil"/>
            </w:tcBorders>
            <w:tcMar>
              <w:top w:w="15" w:type="dxa"/>
              <w:left w:w="15" w:type="dxa"/>
              <w:right w:w="15" w:type="dxa"/>
            </w:tcMar>
            <w:vAlign w:val="center"/>
          </w:tcPr>
          <w:p w14:paraId="5AD79D2D" w14:textId="7CECF261"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color w:val="000000" w:themeColor="text1"/>
                <w:sz w:val="18"/>
                <w:szCs w:val="18"/>
              </w:rPr>
              <w:t>90</w:t>
            </w:r>
          </w:p>
        </w:tc>
        <w:tc>
          <w:tcPr>
            <w:tcW w:w="1178" w:type="dxa"/>
            <w:tcBorders>
              <w:top w:val="nil"/>
              <w:left w:val="nil"/>
              <w:bottom w:val="nil"/>
              <w:right w:val="nil"/>
            </w:tcBorders>
            <w:tcMar>
              <w:top w:w="15" w:type="dxa"/>
              <w:left w:w="15" w:type="dxa"/>
              <w:right w:w="15" w:type="dxa"/>
            </w:tcMar>
            <w:vAlign w:val="center"/>
          </w:tcPr>
          <w:p w14:paraId="590FE714" w14:textId="3A7A1CC7" w:rsidR="1A7C3C65" w:rsidRPr="0076589C" w:rsidRDefault="1C8D6E3A" w:rsidP="00C97A5E">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L 615,590.63 </w:t>
            </w:r>
          </w:p>
        </w:tc>
        <w:tc>
          <w:tcPr>
            <w:tcW w:w="1178" w:type="dxa"/>
            <w:tcBorders>
              <w:top w:val="nil"/>
              <w:left w:val="nil"/>
              <w:bottom w:val="nil"/>
              <w:right w:val="nil"/>
            </w:tcBorders>
            <w:tcMar>
              <w:top w:w="15" w:type="dxa"/>
              <w:left w:w="15" w:type="dxa"/>
              <w:right w:w="15" w:type="dxa"/>
            </w:tcMar>
            <w:vAlign w:val="center"/>
          </w:tcPr>
          <w:p w14:paraId="551EA8B5" w14:textId="3E811E8D" w:rsidR="1A7C3C65" w:rsidRPr="0076589C" w:rsidRDefault="1C8D6E3A" w:rsidP="00C97A5E">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L</w:t>
            </w:r>
            <w:r w:rsidR="00C5755B" w:rsidRPr="0076589C">
              <w:rPr>
                <w:rFonts w:asciiTheme="minorHAnsi" w:eastAsia="Calibri" w:hAnsiTheme="minorHAnsi"/>
                <w:color w:val="000000" w:themeColor="text1"/>
                <w:sz w:val="18"/>
                <w:szCs w:val="18"/>
              </w:rPr>
              <w:t xml:space="preserve"> </w:t>
            </w:r>
            <w:r w:rsidRPr="0076589C">
              <w:rPr>
                <w:rFonts w:asciiTheme="minorHAnsi" w:eastAsia="Calibri" w:hAnsiTheme="minorHAnsi"/>
                <w:color w:val="000000" w:themeColor="text1"/>
                <w:sz w:val="18"/>
                <w:szCs w:val="18"/>
              </w:rPr>
              <w:t xml:space="preserve">857,524.71 </w:t>
            </w:r>
          </w:p>
        </w:tc>
        <w:tc>
          <w:tcPr>
            <w:tcW w:w="1178" w:type="dxa"/>
            <w:tcBorders>
              <w:top w:val="nil"/>
              <w:left w:val="nil"/>
              <w:bottom w:val="nil"/>
              <w:right w:val="nil"/>
            </w:tcBorders>
            <w:tcMar>
              <w:top w:w="15" w:type="dxa"/>
              <w:left w:w="15" w:type="dxa"/>
              <w:right w:w="15" w:type="dxa"/>
            </w:tcMar>
            <w:vAlign w:val="center"/>
          </w:tcPr>
          <w:p w14:paraId="0D92A4D8" w14:textId="35EB3F79" w:rsidR="1A7C3C65" w:rsidRPr="0076589C" w:rsidRDefault="1C8D6E3A" w:rsidP="00B95BF8">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L</w:t>
            </w:r>
            <w:r w:rsidR="008D4770" w:rsidRPr="0076589C">
              <w:rPr>
                <w:rFonts w:asciiTheme="minorHAnsi" w:eastAsia="Calibri" w:hAnsiTheme="minorHAnsi"/>
                <w:color w:val="000000" w:themeColor="text1"/>
                <w:sz w:val="18"/>
                <w:szCs w:val="18"/>
              </w:rPr>
              <w:t xml:space="preserve"> </w:t>
            </w:r>
            <w:r w:rsidRPr="0076589C">
              <w:rPr>
                <w:rFonts w:asciiTheme="minorHAnsi" w:eastAsia="Calibri" w:hAnsiTheme="minorHAnsi"/>
                <w:color w:val="000000" w:themeColor="text1"/>
                <w:sz w:val="18"/>
                <w:szCs w:val="18"/>
              </w:rPr>
              <w:t xml:space="preserve">634,080.62 </w:t>
            </w:r>
          </w:p>
        </w:tc>
        <w:tc>
          <w:tcPr>
            <w:tcW w:w="1178" w:type="dxa"/>
            <w:tcBorders>
              <w:top w:val="nil"/>
              <w:left w:val="nil"/>
              <w:bottom w:val="nil"/>
              <w:right w:val="nil"/>
            </w:tcBorders>
            <w:tcMar>
              <w:top w:w="15" w:type="dxa"/>
              <w:left w:w="15" w:type="dxa"/>
              <w:right w:w="15" w:type="dxa"/>
            </w:tcMar>
            <w:vAlign w:val="center"/>
          </w:tcPr>
          <w:p w14:paraId="1376B310" w14:textId="297C6B3C" w:rsidR="1A7C3C65" w:rsidRPr="0076589C" w:rsidRDefault="1C8D6E3A" w:rsidP="00B95BF8">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 L 197,985.78 </w:t>
            </w:r>
          </w:p>
        </w:tc>
        <w:tc>
          <w:tcPr>
            <w:tcW w:w="1178" w:type="dxa"/>
            <w:tcBorders>
              <w:top w:val="nil"/>
              <w:left w:val="nil"/>
              <w:bottom w:val="nil"/>
              <w:right w:val="nil"/>
            </w:tcBorders>
            <w:tcMar>
              <w:top w:w="15" w:type="dxa"/>
              <w:left w:w="15" w:type="dxa"/>
              <w:right w:w="15" w:type="dxa"/>
            </w:tcMar>
            <w:vAlign w:val="center"/>
          </w:tcPr>
          <w:p w14:paraId="7DC76B3B" w14:textId="61C497DC" w:rsidR="1A7C3C65" w:rsidRPr="0076589C" w:rsidRDefault="1C8D6E3A" w:rsidP="00B95BF8">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L      241,934.08 </w:t>
            </w:r>
          </w:p>
        </w:tc>
        <w:tc>
          <w:tcPr>
            <w:tcW w:w="1178" w:type="dxa"/>
            <w:tcBorders>
              <w:top w:val="nil"/>
              <w:left w:val="nil"/>
              <w:bottom w:val="nil"/>
              <w:right w:val="nil"/>
            </w:tcBorders>
            <w:tcMar>
              <w:top w:w="15" w:type="dxa"/>
              <w:left w:w="15" w:type="dxa"/>
              <w:right w:w="15" w:type="dxa"/>
            </w:tcMar>
            <w:vAlign w:val="center"/>
          </w:tcPr>
          <w:p w14:paraId="4B40A51D" w14:textId="4B519FDA"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color w:val="000000" w:themeColor="text1"/>
                <w:sz w:val="18"/>
                <w:szCs w:val="18"/>
              </w:rPr>
              <w:t>39.30%</w:t>
            </w:r>
          </w:p>
        </w:tc>
        <w:tc>
          <w:tcPr>
            <w:tcW w:w="1178" w:type="dxa"/>
            <w:tcBorders>
              <w:top w:val="nil"/>
              <w:left w:val="nil"/>
              <w:bottom w:val="nil"/>
              <w:right w:val="nil"/>
            </w:tcBorders>
            <w:tcMar>
              <w:top w:w="15" w:type="dxa"/>
              <w:left w:w="15" w:type="dxa"/>
              <w:right w:w="15" w:type="dxa"/>
            </w:tcMar>
            <w:vAlign w:val="center"/>
          </w:tcPr>
          <w:p w14:paraId="37D3222A" w14:textId="2A15D3A0" w:rsidR="1A7C3C65" w:rsidRPr="0076589C" w:rsidRDefault="1C8D6E3A" w:rsidP="00B95BF8">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-L</w:t>
            </w:r>
            <w:r w:rsidR="008D4770" w:rsidRPr="0076589C">
              <w:rPr>
                <w:rFonts w:asciiTheme="minorHAnsi" w:eastAsia="Calibri" w:hAnsiTheme="minorHAnsi"/>
                <w:color w:val="000000" w:themeColor="text1"/>
                <w:sz w:val="18"/>
                <w:szCs w:val="18"/>
              </w:rPr>
              <w:t xml:space="preserve"> </w:t>
            </w:r>
            <w:r w:rsidRPr="0076589C">
              <w:rPr>
                <w:rFonts w:asciiTheme="minorHAnsi" w:eastAsia="Calibri" w:hAnsiTheme="minorHAnsi"/>
                <w:color w:val="000000" w:themeColor="text1"/>
                <w:sz w:val="18"/>
                <w:szCs w:val="18"/>
              </w:rPr>
              <w:t xml:space="preserve">223,444.09 </w:t>
            </w:r>
          </w:p>
        </w:tc>
        <w:tc>
          <w:tcPr>
            <w:tcW w:w="1178" w:type="dxa"/>
            <w:tcBorders>
              <w:top w:val="nil"/>
              <w:left w:val="nil"/>
              <w:bottom w:val="nil"/>
              <w:right w:val="nil"/>
            </w:tcBorders>
            <w:tcMar>
              <w:top w:w="15" w:type="dxa"/>
              <w:left w:w="15" w:type="dxa"/>
              <w:right w:w="15" w:type="dxa"/>
            </w:tcMar>
            <w:vAlign w:val="center"/>
          </w:tcPr>
          <w:p w14:paraId="2FC320D6" w14:textId="7DD7F422"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color w:val="000000" w:themeColor="text1"/>
                <w:sz w:val="18"/>
                <w:szCs w:val="18"/>
              </w:rPr>
              <w:t>-26.06%</w:t>
            </w:r>
          </w:p>
        </w:tc>
        <w:tc>
          <w:tcPr>
            <w:tcW w:w="1178" w:type="dxa"/>
            <w:tcBorders>
              <w:top w:val="nil"/>
              <w:left w:val="nil"/>
              <w:bottom w:val="nil"/>
              <w:right w:val="nil"/>
            </w:tcBorders>
            <w:tcMar>
              <w:top w:w="15" w:type="dxa"/>
              <w:left w:w="15" w:type="dxa"/>
              <w:right w:w="15" w:type="dxa"/>
            </w:tcMar>
            <w:vAlign w:val="center"/>
          </w:tcPr>
          <w:p w14:paraId="6B5F86AD" w14:textId="24531ED7" w:rsidR="1A7C3C65" w:rsidRPr="0076589C" w:rsidRDefault="1C8D6E3A" w:rsidP="00B95BF8">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-L    436,094.84 </w:t>
            </w:r>
          </w:p>
        </w:tc>
        <w:tc>
          <w:tcPr>
            <w:tcW w:w="1178" w:type="dxa"/>
            <w:tcBorders>
              <w:top w:val="nil"/>
              <w:left w:val="nil"/>
              <w:bottom w:val="nil"/>
              <w:right w:val="nil"/>
            </w:tcBorders>
            <w:tcMar>
              <w:top w:w="15" w:type="dxa"/>
              <w:left w:w="15" w:type="dxa"/>
              <w:right w:w="15" w:type="dxa"/>
            </w:tcMar>
            <w:vAlign w:val="center"/>
          </w:tcPr>
          <w:p w14:paraId="7E3C4C0F" w14:textId="6DCBF1E5"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color w:val="000000" w:themeColor="text1"/>
                <w:sz w:val="18"/>
                <w:szCs w:val="18"/>
              </w:rPr>
              <w:t>-68.78%</w:t>
            </w:r>
          </w:p>
        </w:tc>
      </w:tr>
      <w:tr w:rsidR="1A7C3C65" w:rsidRPr="0076589C" w14:paraId="6FE8996E" w14:textId="77777777" w:rsidTr="1C8D6E3A">
        <w:trPr>
          <w:trHeight w:val="255"/>
        </w:trPr>
        <w:tc>
          <w:tcPr>
            <w:tcW w:w="1178" w:type="dxa"/>
            <w:tcBorders>
              <w:top w:val="nil"/>
              <w:left w:val="nil"/>
              <w:bottom w:val="single" w:sz="4" w:space="0" w:color="C9E1EF"/>
              <w:right w:val="nil"/>
            </w:tcBorders>
            <w:tcMar>
              <w:top w:w="15" w:type="dxa"/>
              <w:left w:w="15" w:type="dxa"/>
              <w:right w:w="15" w:type="dxa"/>
            </w:tcMar>
            <w:vAlign w:val="center"/>
          </w:tcPr>
          <w:p w14:paraId="3B36EB96" w14:textId="0B65A50A"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color w:val="000000" w:themeColor="text1"/>
                <w:sz w:val="18"/>
                <w:szCs w:val="18"/>
              </w:rPr>
              <w:t>Más de 90</w:t>
            </w:r>
          </w:p>
        </w:tc>
        <w:tc>
          <w:tcPr>
            <w:tcW w:w="1178" w:type="dxa"/>
            <w:tcBorders>
              <w:top w:val="nil"/>
              <w:left w:val="nil"/>
              <w:bottom w:val="single" w:sz="4" w:space="0" w:color="C9E1EF"/>
              <w:right w:val="nil"/>
            </w:tcBorders>
            <w:tcMar>
              <w:top w:w="15" w:type="dxa"/>
              <w:left w:w="15" w:type="dxa"/>
              <w:right w:w="15" w:type="dxa"/>
            </w:tcMar>
            <w:vAlign w:val="center"/>
          </w:tcPr>
          <w:p w14:paraId="5680102B" w14:textId="0FD63B18" w:rsidR="1A7C3C65" w:rsidRPr="0076589C" w:rsidRDefault="1C8D6E3A" w:rsidP="00B95BF8">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L 3,911,720.97 </w:t>
            </w:r>
          </w:p>
        </w:tc>
        <w:tc>
          <w:tcPr>
            <w:tcW w:w="1178" w:type="dxa"/>
            <w:tcBorders>
              <w:top w:val="nil"/>
              <w:left w:val="nil"/>
              <w:bottom w:val="single" w:sz="4" w:space="0" w:color="C9E1EF"/>
              <w:right w:val="nil"/>
            </w:tcBorders>
            <w:tcMar>
              <w:top w:w="15" w:type="dxa"/>
              <w:left w:w="15" w:type="dxa"/>
              <w:right w:w="15" w:type="dxa"/>
            </w:tcMar>
            <w:vAlign w:val="center"/>
          </w:tcPr>
          <w:p w14:paraId="3219F21E" w14:textId="3CA64319" w:rsidR="1A7C3C65" w:rsidRPr="0076589C" w:rsidRDefault="1C8D6E3A" w:rsidP="00B95BF8">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L</w:t>
            </w:r>
            <w:r w:rsidR="0025782B" w:rsidRPr="0076589C">
              <w:rPr>
                <w:rFonts w:asciiTheme="minorHAnsi" w:eastAsia="Calibri" w:hAnsiTheme="minorHAnsi"/>
                <w:color w:val="000000" w:themeColor="text1"/>
                <w:sz w:val="18"/>
                <w:szCs w:val="18"/>
              </w:rPr>
              <w:t xml:space="preserve"> </w:t>
            </w:r>
            <w:r w:rsidRPr="0076589C">
              <w:rPr>
                <w:rFonts w:asciiTheme="minorHAnsi" w:eastAsia="Calibri" w:hAnsiTheme="minorHAnsi"/>
                <w:color w:val="000000" w:themeColor="text1"/>
                <w:sz w:val="18"/>
                <w:szCs w:val="18"/>
              </w:rPr>
              <w:t xml:space="preserve">1,904,882.45 </w:t>
            </w:r>
          </w:p>
        </w:tc>
        <w:tc>
          <w:tcPr>
            <w:tcW w:w="1178" w:type="dxa"/>
            <w:tcBorders>
              <w:top w:val="nil"/>
              <w:left w:val="nil"/>
              <w:bottom w:val="single" w:sz="4" w:space="0" w:color="C9E1EF"/>
              <w:right w:val="nil"/>
            </w:tcBorders>
            <w:tcMar>
              <w:top w:w="15" w:type="dxa"/>
              <w:left w:w="15" w:type="dxa"/>
              <w:right w:w="15" w:type="dxa"/>
            </w:tcMar>
            <w:vAlign w:val="center"/>
          </w:tcPr>
          <w:p w14:paraId="77F3E258" w14:textId="089ABAA1" w:rsidR="1A7C3C65" w:rsidRPr="0076589C" w:rsidRDefault="1C8D6E3A" w:rsidP="00B95BF8">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L 1,735,125.31 </w:t>
            </w:r>
          </w:p>
        </w:tc>
        <w:tc>
          <w:tcPr>
            <w:tcW w:w="1178" w:type="dxa"/>
            <w:tcBorders>
              <w:top w:val="nil"/>
              <w:left w:val="nil"/>
              <w:bottom w:val="single" w:sz="4" w:space="0" w:color="C9E1EF"/>
              <w:right w:val="nil"/>
            </w:tcBorders>
            <w:tcMar>
              <w:top w:w="15" w:type="dxa"/>
              <w:left w:w="15" w:type="dxa"/>
              <w:right w:w="15" w:type="dxa"/>
            </w:tcMar>
            <w:vAlign w:val="center"/>
          </w:tcPr>
          <w:p w14:paraId="14BA0859" w14:textId="6CB9365A" w:rsidR="1A7C3C65" w:rsidRPr="0076589C" w:rsidRDefault="1C8D6E3A" w:rsidP="00B95BF8">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 L</w:t>
            </w:r>
            <w:r w:rsidR="0025782B" w:rsidRPr="0076589C">
              <w:rPr>
                <w:rFonts w:asciiTheme="minorHAnsi" w:eastAsia="Calibri" w:hAnsiTheme="minorHAnsi"/>
                <w:color w:val="000000" w:themeColor="text1"/>
                <w:sz w:val="18"/>
                <w:szCs w:val="18"/>
              </w:rPr>
              <w:t xml:space="preserve"> </w:t>
            </w:r>
            <w:r w:rsidRPr="0076589C">
              <w:rPr>
                <w:rFonts w:asciiTheme="minorHAnsi" w:eastAsia="Calibri" w:hAnsiTheme="minorHAnsi"/>
                <w:color w:val="000000" w:themeColor="text1"/>
                <w:sz w:val="18"/>
                <w:szCs w:val="18"/>
              </w:rPr>
              <w:t xml:space="preserve">1,464,383.43 </w:t>
            </w:r>
          </w:p>
        </w:tc>
        <w:tc>
          <w:tcPr>
            <w:tcW w:w="1178" w:type="dxa"/>
            <w:tcBorders>
              <w:top w:val="nil"/>
              <w:left w:val="nil"/>
              <w:bottom w:val="single" w:sz="4" w:space="0" w:color="C9E1EF"/>
              <w:right w:val="nil"/>
            </w:tcBorders>
            <w:tcMar>
              <w:top w:w="15" w:type="dxa"/>
              <w:left w:w="15" w:type="dxa"/>
              <w:right w:w="15" w:type="dxa"/>
            </w:tcMar>
            <w:vAlign w:val="center"/>
          </w:tcPr>
          <w:p w14:paraId="435EBCC7" w14:textId="4A2CA8E1" w:rsidR="1A7C3C65" w:rsidRPr="0076589C" w:rsidRDefault="1C8D6E3A" w:rsidP="00B95BF8">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-L 2,006,838.52 </w:t>
            </w:r>
          </w:p>
        </w:tc>
        <w:tc>
          <w:tcPr>
            <w:tcW w:w="1178" w:type="dxa"/>
            <w:tcBorders>
              <w:top w:val="nil"/>
              <w:left w:val="nil"/>
              <w:bottom w:val="single" w:sz="4" w:space="0" w:color="C9E1EF"/>
              <w:right w:val="nil"/>
            </w:tcBorders>
            <w:tcMar>
              <w:top w:w="15" w:type="dxa"/>
              <w:left w:w="15" w:type="dxa"/>
              <w:right w:w="15" w:type="dxa"/>
            </w:tcMar>
            <w:vAlign w:val="center"/>
          </w:tcPr>
          <w:p w14:paraId="089C0E3D" w14:textId="5D4C3D88"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color w:val="000000" w:themeColor="text1"/>
                <w:sz w:val="18"/>
                <w:szCs w:val="18"/>
              </w:rPr>
              <w:t>-51.30%</w:t>
            </w:r>
          </w:p>
        </w:tc>
        <w:tc>
          <w:tcPr>
            <w:tcW w:w="1178" w:type="dxa"/>
            <w:tcBorders>
              <w:top w:val="nil"/>
              <w:left w:val="nil"/>
              <w:bottom w:val="single" w:sz="4" w:space="0" w:color="C9E1EF"/>
              <w:right w:val="nil"/>
            </w:tcBorders>
            <w:tcMar>
              <w:top w:w="15" w:type="dxa"/>
              <w:left w:w="15" w:type="dxa"/>
              <w:right w:w="15" w:type="dxa"/>
            </w:tcMar>
            <w:vAlign w:val="center"/>
          </w:tcPr>
          <w:p w14:paraId="3D493C84" w14:textId="595029C8" w:rsidR="1A7C3C65" w:rsidRPr="0076589C" w:rsidRDefault="1C8D6E3A" w:rsidP="00B95BF8">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-L 169,757.14 </w:t>
            </w:r>
          </w:p>
        </w:tc>
        <w:tc>
          <w:tcPr>
            <w:tcW w:w="1178" w:type="dxa"/>
            <w:tcBorders>
              <w:top w:val="nil"/>
              <w:left w:val="nil"/>
              <w:bottom w:val="single" w:sz="4" w:space="0" w:color="C9E1EF"/>
              <w:right w:val="nil"/>
            </w:tcBorders>
            <w:tcMar>
              <w:top w:w="15" w:type="dxa"/>
              <w:left w:w="15" w:type="dxa"/>
              <w:right w:w="15" w:type="dxa"/>
            </w:tcMar>
            <w:vAlign w:val="center"/>
          </w:tcPr>
          <w:p w14:paraId="4BB8E004" w14:textId="67A8E16B"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color w:val="000000" w:themeColor="text1"/>
                <w:sz w:val="18"/>
                <w:szCs w:val="18"/>
              </w:rPr>
              <w:t>-8.91%</w:t>
            </w:r>
          </w:p>
        </w:tc>
        <w:tc>
          <w:tcPr>
            <w:tcW w:w="1178" w:type="dxa"/>
            <w:tcBorders>
              <w:top w:val="nil"/>
              <w:left w:val="nil"/>
              <w:bottom w:val="single" w:sz="4" w:space="0" w:color="C9E1EF"/>
              <w:right w:val="nil"/>
            </w:tcBorders>
            <w:tcMar>
              <w:top w:w="15" w:type="dxa"/>
              <w:left w:w="15" w:type="dxa"/>
              <w:right w:w="15" w:type="dxa"/>
            </w:tcMar>
            <w:vAlign w:val="center"/>
          </w:tcPr>
          <w:p w14:paraId="19679B2B" w14:textId="2B823881" w:rsidR="1A7C3C65" w:rsidRPr="0076589C" w:rsidRDefault="1C8D6E3A" w:rsidP="00B95BF8">
            <w:pPr>
              <w:spacing w:after="0"/>
              <w:ind w:left="0"/>
              <w:rPr>
                <w:rFonts w:asciiTheme="minorHAnsi" w:hAnsiTheme="minorHAnsi"/>
                <w:sz w:val="18"/>
                <w:szCs w:val="18"/>
              </w:rPr>
            </w:pPr>
            <w:r w:rsidRPr="0076589C">
              <w:rPr>
                <w:rFonts w:asciiTheme="minorHAnsi" w:eastAsia="Calibri" w:hAnsiTheme="minorHAnsi"/>
                <w:color w:val="000000" w:themeColor="text1"/>
                <w:sz w:val="18"/>
                <w:szCs w:val="18"/>
              </w:rPr>
              <w:t xml:space="preserve">-L    270,741.88 </w:t>
            </w:r>
          </w:p>
        </w:tc>
        <w:tc>
          <w:tcPr>
            <w:tcW w:w="1178" w:type="dxa"/>
            <w:tcBorders>
              <w:top w:val="nil"/>
              <w:left w:val="nil"/>
              <w:bottom w:val="single" w:sz="4" w:space="0" w:color="C9E1EF"/>
              <w:right w:val="nil"/>
            </w:tcBorders>
            <w:tcMar>
              <w:top w:w="15" w:type="dxa"/>
              <w:left w:w="15" w:type="dxa"/>
              <w:right w:w="15" w:type="dxa"/>
            </w:tcMar>
            <w:vAlign w:val="center"/>
          </w:tcPr>
          <w:p w14:paraId="5E3D4C89" w14:textId="3B9E068E" w:rsidR="1A7C3C65" w:rsidRPr="0076589C" w:rsidRDefault="1C8D6E3A" w:rsidP="1C8D6E3A">
            <w:pPr>
              <w:spacing w:after="0"/>
              <w:jc w:val="center"/>
              <w:rPr>
                <w:rFonts w:asciiTheme="minorHAnsi" w:hAnsiTheme="minorHAnsi"/>
                <w:sz w:val="18"/>
                <w:szCs w:val="18"/>
              </w:rPr>
            </w:pPr>
            <w:r w:rsidRPr="0076589C">
              <w:rPr>
                <w:rFonts w:asciiTheme="minorHAnsi" w:eastAsia="Calibri" w:hAnsiTheme="minorHAnsi"/>
                <w:color w:val="000000" w:themeColor="text1"/>
                <w:sz w:val="18"/>
                <w:szCs w:val="18"/>
              </w:rPr>
              <w:t>-15.60%</w:t>
            </w:r>
          </w:p>
        </w:tc>
      </w:tr>
    </w:tbl>
    <w:p w14:paraId="375FB5C1" w14:textId="0A4B997C" w:rsidR="00D33EF8" w:rsidRPr="0076589C" w:rsidRDefault="1C8D6E3A" w:rsidP="00D33EF8">
      <w:pPr>
        <w:pStyle w:val="Fuentes"/>
        <w:rPr>
          <w:lang w:val="es-HN"/>
        </w:rPr>
      </w:pPr>
      <w:r w:rsidRPr="0076589C">
        <w:rPr>
          <w:lang w:val="es-HN"/>
        </w:rPr>
        <w:t>Fuente: Elaboración propia con datos de IPRA (2023).</w:t>
      </w:r>
    </w:p>
    <w:p w14:paraId="494FF940" w14:textId="77777777" w:rsidR="0096608D" w:rsidRPr="0076589C" w:rsidRDefault="0096608D" w:rsidP="2F8AD9B3">
      <w:pPr>
        <w:pStyle w:val="TextoPrincipal"/>
        <w:rPr>
          <w:lang w:val="es-HN"/>
        </w:rPr>
      </w:pPr>
    </w:p>
    <w:p w14:paraId="42D79406" w14:textId="77777777" w:rsidR="0096608D" w:rsidRPr="0076589C" w:rsidRDefault="0096608D" w:rsidP="2F8AD9B3">
      <w:pPr>
        <w:pStyle w:val="TextoPrincipal"/>
        <w:rPr>
          <w:lang w:val="es-HN"/>
        </w:rPr>
        <w:sectPr w:rsidR="0096608D" w:rsidRPr="0076589C" w:rsidSect="008C6BD1">
          <w:pgSz w:w="15840" w:h="12240" w:orient="landscape" w:code="1"/>
          <w:pgMar w:top="1440" w:right="1440" w:bottom="1440" w:left="1440" w:header="720" w:footer="720" w:gutter="0"/>
          <w:cols w:space="720"/>
          <w:docGrid w:linePitch="360"/>
        </w:sectPr>
      </w:pPr>
    </w:p>
    <w:p w14:paraId="16555AC5" w14:textId="06C1BC70" w:rsidR="00BE59EB" w:rsidRPr="0076589C" w:rsidRDefault="7FAD8741" w:rsidP="0096608D">
      <w:pPr>
        <w:pStyle w:val="TextoPrincipal"/>
        <w:rPr>
          <w:lang w:val="es-HN"/>
        </w:rPr>
      </w:pPr>
      <w:r w:rsidRPr="0076589C">
        <w:rPr>
          <w:lang w:val="es-HN"/>
        </w:rPr>
        <w:lastRenderedPageBreak/>
        <w:t xml:space="preserve">Si se evalúa por separado los plazos en las antigüedades de las cuentas por </w:t>
      </w:r>
      <w:r w:rsidR="005F31AC" w:rsidRPr="0076589C">
        <w:rPr>
          <w:lang w:val="es-HN"/>
        </w:rPr>
        <w:t>cobrar ilustradas en la Tabla 12</w:t>
      </w:r>
      <w:r w:rsidRPr="0076589C">
        <w:rPr>
          <w:lang w:val="es-HN"/>
        </w:rPr>
        <w:t xml:space="preserve"> se pudo identificar los siguientes puntos. En el plazo actual las cuales son las facturas que se acaban de facturar, por lo cual dentro de los años 2019 al 2021 hubo disminuciones de estas cuentas en un 33% y un 61%, lo que pudo indicar dos cosas: la empresa puso políticas de cobran más estrictas, también una disminución de ventas por lo cual no hay mucho que cobrar y todo esto se debe el fenómeno del covid-2019. </w:t>
      </w:r>
    </w:p>
    <w:p w14:paraId="26228506" w14:textId="4CEBC720" w:rsidR="00BE59EB" w:rsidRPr="0076589C" w:rsidRDefault="1C8D6E3A" w:rsidP="0096608D">
      <w:pPr>
        <w:pStyle w:val="TextoPrincipal"/>
        <w:rPr>
          <w:lang w:val="es-HN"/>
        </w:rPr>
      </w:pPr>
      <w:r w:rsidRPr="0076589C">
        <w:rPr>
          <w:lang w:val="es-HN"/>
        </w:rPr>
        <w:t>En el plazo d</w:t>
      </w:r>
      <w:r w:rsidR="001E59DD" w:rsidRPr="0076589C">
        <w:rPr>
          <w:lang w:val="es-HN"/>
        </w:rPr>
        <w:t>e</w:t>
      </w:r>
      <w:r w:rsidRPr="0076589C">
        <w:rPr>
          <w:lang w:val="es-HN"/>
        </w:rPr>
        <w:t xml:space="preserve"> 30 días para el período 2019-2020, hubo una disminución del 14.19% en las cuentas por cobrar pendientes de pago a 30 días, lo que sugiere que la empresa logró recuperar una parte de estas cuentas. Sin embargo, en el período 2020-2021, las cuentas por cobrar aumentaron un 7.91%, indicando un crecimiento, lo que puede indicar dificultades en la gestión de cuentas por cobrar a 30 días.</w:t>
      </w:r>
    </w:p>
    <w:p w14:paraId="55244C87" w14:textId="119814E9" w:rsidR="377BF1C4" w:rsidRPr="0076589C" w:rsidRDefault="1C8D6E3A" w:rsidP="0096608D">
      <w:pPr>
        <w:pStyle w:val="TextoPrincipal"/>
        <w:rPr>
          <w:lang w:val="es-HN"/>
        </w:rPr>
      </w:pPr>
      <w:r w:rsidRPr="0076589C">
        <w:rPr>
          <w:lang w:val="es-HN"/>
        </w:rPr>
        <w:t>Para el plazo de 60 días en el período 2019-2020, se observó un pequeño aumento del 2.25% en las cuentas por cobrar a 60 días. Sin embargo, en el período 2020-2021, hubo una disminución significativa del 22.55%, lo que podría ser un signo positivo de una mejor gestión de estas cuentas. En el último período, 2021-2022, hubo un aumento del 99.21%, lo que podría indicar un desafío en la recuperación de cuentas a 60 días.</w:t>
      </w:r>
    </w:p>
    <w:p w14:paraId="4DE10A9D" w14:textId="1AE82634" w:rsidR="56C97B75" w:rsidRPr="0076589C" w:rsidRDefault="1C8D6E3A" w:rsidP="0096608D">
      <w:pPr>
        <w:pStyle w:val="TextoPrincipal"/>
        <w:rPr>
          <w:lang w:val="es-HN"/>
        </w:rPr>
      </w:pPr>
      <w:r w:rsidRPr="0076589C">
        <w:rPr>
          <w:lang w:val="es-HN"/>
        </w:rPr>
        <w:t>Para el plazo de 90 días en el período 2019-2020, las cuentas por cobrar a 90 días aumentaron un 39.30%, lo que podría indicar un retraso en la recuperación. En el período 2020-2021, hubo una disminución del 26.06%, lo que sugiere una mejora. Sin embargo, en el último período, 2021-2022, hubo un aumento significativo del 68.78%, lo que indica dificultades en la gestión de cuentas a 90 días.</w:t>
      </w:r>
    </w:p>
    <w:p w14:paraId="44E271EE" w14:textId="4810F3E0" w:rsidR="12E93550" w:rsidRPr="0076589C" w:rsidRDefault="1C8D6E3A" w:rsidP="0096608D">
      <w:pPr>
        <w:pStyle w:val="TextoPrincipal"/>
        <w:rPr>
          <w:lang w:val="es-HN"/>
        </w:rPr>
      </w:pPr>
      <w:r w:rsidRPr="0076589C">
        <w:rPr>
          <w:lang w:val="es-HN"/>
        </w:rPr>
        <w:t>Y por último para el plazo mayor a 90 días se observó que en el período 2019-2020, se produjo una disminución del 51.30% en las cuentas por cobrar pendientes de pago por más de 90 días, lo que es positivo. En el período 2020-2021, la disminución fue menor, con un 8.91%. En el último período, 2021-2022, la disminución fue del 15.60%, teniendo una tendencia por disminuir esta cuenta vencida a 90 días.</w:t>
      </w:r>
    </w:p>
    <w:p w14:paraId="7FFB7539" w14:textId="65959502" w:rsidR="328B9001" w:rsidRPr="0076589C" w:rsidRDefault="7FAD8741" w:rsidP="0096608D">
      <w:pPr>
        <w:pStyle w:val="TextoPrincipal"/>
        <w:rPr>
          <w:lang w:val="es-HN"/>
        </w:rPr>
      </w:pPr>
      <w:r w:rsidRPr="0076589C">
        <w:rPr>
          <w:lang w:val="es-HN"/>
        </w:rPr>
        <w:t xml:space="preserve">En general, se observa un aumento en la antigüedad de las cuentas por cobrar a lo largo de los tres períodos, lo que podría indicar un desafío en la gestión de cobranza y un riesgo potencial de incobrables. Los plazos de 90 días y más de 90 días parecen experimentar un mayor crecimiento en el último período, lo que pudo requerir una atención especial para reducir el riesgo crediticio y </w:t>
      </w:r>
      <w:r w:rsidRPr="0076589C">
        <w:rPr>
          <w:lang w:val="es-HN"/>
        </w:rPr>
        <w:lastRenderedPageBreak/>
        <w:t>mejorar la gestión de cuentas por cobrar. observando estos datos sugieren que la empresa podría beneficiarse de una revisión de su política de crédito y de cobranza, así como de la implementación de estrategias más efectivas para recuperar cuentas pendientes de pago.</w:t>
      </w:r>
    </w:p>
    <w:p w14:paraId="280586DC" w14:textId="35F0ACF8" w:rsidR="61638936" w:rsidRPr="0076589C" w:rsidRDefault="1C8D6E3A" w:rsidP="0096608D">
      <w:pPr>
        <w:pStyle w:val="TextoPrincipal"/>
        <w:rPr>
          <w:lang w:val="es-HN"/>
        </w:rPr>
      </w:pPr>
      <w:r w:rsidRPr="0076589C">
        <w:rPr>
          <w:lang w:val="es-HN"/>
        </w:rPr>
        <w:t>Esto podría indicar que la empresa ha tenido éxito en la gestión de cobranza a corto plazo, pero aún enfrenta desafíos con cuentas pendientes a plazos más largos. Es importante seguir monitoreando estas métricas y tomar medidas para mejorar la recuperación de cuentas por cobrar en plazos más largos.</w:t>
      </w:r>
    </w:p>
    <w:p w14:paraId="70A18E35" w14:textId="48C69E10" w:rsidR="003707BF" w:rsidRPr="0076589C" w:rsidRDefault="1C8D6E3A" w:rsidP="00BE59EB">
      <w:pPr>
        <w:pStyle w:val="ImagenyTabla"/>
        <w:ind w:left="720"/>
        <w:rPr>
          <w:noProof w:val="0"/>
        </w:rPr>
      </w:pPr>
      <w:bookmarkStart w:id="267" w:name="_Toc158365561"/>
      <w:r w:rsidRPr="0076589C">
        <w:t xml:space="preserve">Tabla </w:t>
      </w:r>
      <w:r w:rsidR="1A7C3C65" w:rsidRPr="0076589C">
        <w:rPr>
          <w:noProof w:val="0"/>
        </w:rPr>
        <w:fldChar w:fldCharType="begin"/>
      </w:r>
      <w:r w:rsidR="1A7C3C65" w:rsidRPr="0076589C">
        <w:rPr>
          <w:noProof w:val="0"/>
        </w:rPr>
        <w:instrText xml:space="preserve"> SEQ Tabla \* ARABIC </w:instrText>
      </w:r>
      <w:r w:rsidR="1A7C3C65" w:rsidRPr="0076589C">
        <w:rPr>
          <w:noProof w:val="0"/>
        </w:rPr>
        <w:fldChar w:fldCharType="separate"/>
      </w:r>
      <w:r w:rsidR="009F171A">
        <w:t>13</w:t>
      </w:r>
      <w:r w:rsidR="1A7C3C65" w:rsidRPr="0076589C">
        <w:rPr>
          <w:noProof w:val="0"/>
        </w:rPr>
        <w:fldChar w:fldCharType="end"/>
      </w:r>
      <w:r w:rsidRPr="0076589C">
        <w:t>. Antigüedad de las Cuentas por cobrar en IPRA Porcentualmente (2019-2022)</w:t>
      </w:r>
      <w:bookmarkEnd w:id="267"/>
    </w:p>
    <w:tbl>
      <w:tblPr>
        <w:tblW w:w="5000" w:type="pct"/>
        <w:tblLook w:val="06A0" w:firstRow="1" w:lastRow="0" w:firstColumn="1" w:lastColumn="0" w:noHBand="1" w:noVBand="1"/>
      </w:tblPr>
      <w:tblGrid>
        <w:gridCol w:w="1872"/>
        <w:gridCol w:w="1872"/>
        <w:gridCol w:w="1872"/>
        <w:gridCol w:w="1872"/>
        <w:gridCol w:w="1872"/>
      </w:tblGrid>
      <w:tr w:rsidR="1A7C3C65" w:rsidRPr="0076589C" w14:paraId="7791CC26" w14:textId="77777777" w:rsidTr="6D3EF0CD">
        <w:trPr>
          <w:trHeight w:val="255"/>
        </w:trPr>
        <w:tc>
          <w:tcPr>
            <w:tcW w:w="4000" w:type="pct"/>
            <w:gridSpan w:val="4"/>
            <w:tcBorders>
              <w:top w:val="nil"/>
              <w:left w:val="nil"/>
              <w:bottom w:val="nil"/>
              <w:right w:val="nil"/>
            </w:tcBorders>
            <w:tcMar>
              <w:top w:w="15" w:type="dxa"/>
              <w:left w:w="15" w:type="dxa"/>
              <w:right w:w="15" w:type="dxa"/>
            </w:tcMar>
            <w:vAlign w:val="bottom"/>
          </w:tcPr>
          <w:p w14:paraId="7731D070" w14:textId="4C994991" w:rsidR="1A7C3C65" w:rsidRPr="0076589C" w:rsidRDefault="1A7C3C65" w:rsidP="1A7C3C65">
            <w:pPr>
              <w:spacing w:after="0"/>
            </w:pPr>
            <w:r w:rsidRPr="0076589C">
              <w:rPr>
                <w:rFonts w:ascii="Calibri" w:eastAsia="Calibri" w:hAnsi="Calibri" w:cs="Calibri"/>
                <w:b/>
                <w:bCs/>
                <w:i/>
                <w:iCs/>
                <w:color w:val="000000" w:themeColor="text1"/>
                <w:sz w:val="20"/>
                <w:szCs w:val="20"/>
                <w:u w:val="single"/>
              </w:rPr>
              <w:t>Antigüedad de las Cuentas por cobrar</w:t>
            </w:r>
          </w:p>
        </w:tc>
        <w:tc>
          <w:tcPr>
            <w:tcW w:w="1000" w:type="pct"/>
            <w:tcBorders>
              <w:top w:val="nil"/>
              <w:left w:val="nil"/>
              <w:bottom w:val="nil"/>
              <w:right w:val="nil"/>
            </w:tcBorders>
            <w:tcMar>
              <w:top w:w="15" w:type="dxa"/>
              <w:left w:w="15" w:type="dxa"/>
              <w:right w:w="15" w:type="dxa"/>
            </w:tcMar>
            <w:vAlign w:val="bottom"/>
          </w:tcPr>
          <w:p w14:paraId="144EA786" w14:textId="39781DF1" w:rsidR="1A7C3C65" w:rsidRPr="0076589C" w:rsidRDefault="1A7C3C65"/>
        </w:tc>
      </w:tr>
      <w:tr w:rsidR="1A7C3C65" w:rsidRPr="0076589C" w14:paraId="1D78B22E" w14:textId="77777777" w:rsidTr="6D3EF0CD">
        <w:trPr>
          <w:trHeight w:val="270"/>
        </w:trPr>
        <w:tc>
          <w:tcPr>
            <w:tcW w:w="1000" w:type="pct"/>
            <w:tcBorders>
              <w:top w:val="nil"/>
              <w:left w:val="nil"/>
              <w:bottom w:val="single" w:sz="8" w:space="0" w:color="85BADC"/>
              <w:right w:val="nil"/>
            </w:tcBorders>
            <w:tcMar>
              <w:top w:w="15" w:type="dxa"/>
              <w:left w:w="15" w:type="dxa"/>
              <w:right w:w="15" w:type="dxa"/>
            </w:tcMar>
            <w:vAlign w:val="center"/>
          </w:tcPr>
          <w:p w14:paraId="6E195FB8" w14:textId="11CD2D34" w:rsidR="1A7C3C65" w:rsidRPr="0076589C" w:rsidRDefault="1A7C3C65" w:rsidP="1A7C3C65">
            <w:pPr>
              <w:spacing w:after="0"/>
              <w:jc w:val="center"/>
            </w:pPr>
            <w:r w:rsidRPr="0076589C">
              <w:rPr>
                <w:rFonts w:ascii="Calibri" w:eastAsia="Calibri" w:hAnsi="Calibri" w:cs="Calibri"/>
                <w:b/>
                <w:bCs/>
                <w:i/>
                <w:iCs/>
                <w:color w:val="000000" w:themeColor="text1"/>
                <w:sz w:val="20"/>
                <w:szCs w:val="20"/>
              </w:rPr>
              <w:t>Plazo (días)</w:t>
            </w:r>
          </w:p>
        </w:tc>
        <w:tc>
          <w:tcPr>
            <w:tcW w:w="1000" w:type="pct"/>
            <w:tcBorders>
              <w:top w:val="nil"/>
              <w:left w:val="nil"/>
              <w:bottom w:val="single" w:sz="8" w:space="0" w:color="85BADC"/>
              <w:right w:val="nil"/>
            </w:tcBorders>
            <w:tcMar>
              <w:top w:w="15" w:type="dxa"/>
              <w:left w:w="15" w:type="dxa"/>
              <w:right w:w="15" w:type="dxa"/>
            </w:tcMar>
            <w:vAlign w:val="center"/>
          </w:tcPr>
          <w:p w14:paraId="6D862714" w14:textId="3CA2482C" w:rsidR="1A7C3C65" w:rsidRPr="0076589C" w:rsidRDefault="1A7C3C65" w:rsidP="1A7C3C65">
            <w:pPr>
              <w:spacing w:after="0"/>
              <w:jc w:val="center"/>
            </w:pPr>
            <w:r w:rsidRPr="0076589C">
              <w:rPr>
                <w:rFonts w:ascii="Calibri" w:eastAsia="Calibri" w:hAnsi="Calibri" w:cs="Calibri"/>
                <w:b/>
                <w:bCs/>
                <w:i/>
                <w:iCs/>
                <w:color w:val="000000" w:themeColor="text1"/>
                <w:sz w:val="20"/>
                <w:szCs w:val="20"/>
              </w:rPr>
              <w:t>2019</w:t>
            </w:r>
          </w:p>
        </w:tc>
        <w:tc>
          <w:tcPr>
            <w:tcW w:w="1000" w:type="pct"/>
            <w:tcBorders>
              <w:top w:val="nil"/>
              <w:left w:val="nil"/>
              <w:bottom w:val="single" w:sz="8" w:space="0" w:color="85BADC"/>
              <w:right w:val="nil"/>
            </w:tcBorders>
            <w:tcMar>
              <w:top w:w="15" w:type="dxa"/>
              <w:left w:w="15" w:type="dxa"/>
              <w:right w:w="15" w:type="dxa"/>
            </w:tcMar>
            <w:vAlign w:val="center"/>
          </w:tcPr>
          <w:p w14:paraId="7853F5F7" w14:textId="09441AC5" w:rsidR="1A7C3C65" w:rsidRPr="0076589C" w:rsidRDefault="1A7C3C65" w:rsidP="1A7C3C65">
            <w:pPr>
              <w:spacing w:after="0"/>
              <w:jc w:val="center"/>
            </w:pPr>
            <w:r w:rsidRPr="0076589C">
              <w:rPr>
                <w:rFonts w:ascii="Calibri" w:eastAsia="Calibri" w:hAnsi="Calibri" w:cs="Calibri"/>
                <w:b/>
                <w:bCs/>
                <w:i/>
                <w:iCs/>
                <w:color w:val="000000" w:themeColor="text1"/>
                <w:sz w:val="20"/>
                <w:szCs w:val="20"/>
              </w:rPr>
              <w:t>2020</w:t>
            </w:r>
          </w:p>
        </w:tc>
        <w:tc>
          <w:tcPr>
            <w:tcW w:w="1000" w:type="pct"/>
            <w:tcBorders>
              <w:top w:val="nil"/>
              <w:left w:val="nil"/>
              <w:bottom w:val="single" w:sz="8" w:space="0" w:color="85BADC"/>
              <w:right w:val="nil"/>
            </w:tcBorders>
            <w:tcMar>
              <w:top w:w="15" w:type="dxa"/>
              <w:left w:w="15" w:type="dxa"/>
              <w:right w:w="15" w:type="dxa"/>
            </w:tcMar>
            <w:vAlign w:val="center"/>
          </w:tcPr>
          <w:p w14:paraId="4835A135" w14:textId="4AC874B9" w:rsidR="1A7C3C65" w:rsidRPr="0076589C" w:rsidRDefault="1A7C3C65" w:rsidP="1A7C3C65">
            <w:pPr>
              <w:spacing w:after="0"/>
              <w:jc w:val="center"/>
            </w:pPr>
            <w:r w:rsidRPr="0076589C">
              <w:rPr>
                <w:rFonts w:ascii="Calibri" w:eastAsia="Calibri" w:hAnsi="Calibri" w:cs="Calibri"/>
                <w:b/>
                <w:bCs/>
                <w:i/>
                <w:iCs/>
                <w:color w:val="000000" w:themeColor="text1"/>
                <w:sz w:val="20"/>
                <w:szCs w:val="20"/>
              </w:rPr>
              <w:t>2021</w:t>
            </w:r>
          </w:p>
        </w:tc>
        <w:tc>
          <w:tcPr>
            <w:tcW w:w="1000" w:type="pct"/>
            <w:tcBorders>
              <w:top w:val="nil"/>
              <w:left w:val="nil"/>
              <w:bottom w:val="single" w:sz="8" w:space="0" w:color="85BADC"/>
              <w:right w:val="nil"/>
            </w:tcBorders>
            <w:tcMar>
              <w:top w:w="15" w:type="dxa"/>
              <w:left w:w="15" w:type="dxa"/>
              <w:right w:w="15" w:type="dxa"/>
            </w:tcMar>
            <w:vAlign w:val="center"/>
          </w:tcPr>
          <w:p w14:paraId="0E6E9A9C" w14:textId="7FD08691" w:rsidR="1A7C3C65" w:rsidRPr="0076589C" w:rsidRDefault="1A7C3C65" w:rsidP="1A7C3C65">
            <w:pPr>
              <w:spacing w:after="0"/>
              <w:jc w:val="center"/>
            </w:pPr>
            <w:r w:rsidRPr="0076589C">
              <w:rPr>
                <w:rFonts w:ascii="Calibri" w:eastAsia="Calibri" w:hAnsi="Calibri" w:cs="Calibri"/>
                <w:b/>
                <w:bCs/>
                <w:i/>
                <w:iCs/>
                <w:color w:val="000000" w:themeColor="text1"/>
                <w:sz w:val="20"/>
                <w:szCs w:val="20"/>
              </w:rPr>
              <w:t>2022</w:t>
            </w:r>
          </w:p>
        </w:tc>
      </w:tr>
      <w:tr w:rsidR="1A7C3C65" w:rsidRPr="0076589C" w14:paraId="21F97896" w14:textId="77777777" w:rsidTr="6D3EF0CD">
        <w:trPr>
          <w:trHeight w:val="255"/>
        </w:trPr>
        <w:tc>
          <w:tcPr>
            <w:tcW w:w="1000" w:type="pct"/>
            <w:tcBorders>
              <w:top w:val="single" w:sz="8" w:space="0" w:color="85BADC"/>
              <w:left w:val="nil"/>
              <w:bottom w:val="nil"/>
              <w:right w:val="nil"/>
            </w:tcBorders>
            <w:tcMar>
              <w:top w:w="15" w:type="dxa"/>
              <w:left w:w="15" w:type="dxa"/>
              <w:right w:w="15" w:type="dxa"/>
            </w:tcMar>
            <w:vAlign w:val="center"/>
          </w:tcPr>
          <w:p w14:paraId="61EB37A1" w14:textId="547FF053" w:rsidR="1A7C3C65" w:rsidRPr="0076589C" w:rsidRDefault="1A7C3C65" w:rsidP="1A7C3C65">
            <w:pPr>
              <w:spacing w:after="0"/>
              <w:jc w:val="center"/>
            </w:pPr>
            <w:r w:rsidRPr="0076589C">
              <w:rPr>
                <w:rFonts w:ascii="Calibri" w:eastAsia="Calibri" w:hAnsi="Calibri" w:cs="Calibri"/>
                <w:color w:val="000000" w:themeColor="text1"/>
                <w:sz w:val="20"/>
                <w:szCs w:val="20"/>
              </w:rPr>
              <w:t>Actual</w:t>
            </w:r>
          </w:p>
        </w:tc>
        <w:tc>
          <w:tcPr>
            <w:tcW w:w="1000" w:type="pct"/>
            <w:tcBorders>
              <w:top w:val="single" w:sz="8" w:space="0" w:color="85BADC"/>
              <w:left w:val="nil"/>
              <w:bottom w:val="nil"/>
              <w:right w:val="nil"/>
            </w:tcBorders>
            <w:tcMar>
              <w:top w:w="15" w:type="dxa"/>
              <w:left w:w="15" w:type="dxa"/>
              <w:right w:w="15" w:type="dxa"/>
            </w:tcMar>
            <w:vAlign w:val="bottom"/>
          </w:tcPr>
          <w:p w14:paraId="3E041972" w14:textId="257D9E5E" w:rsidR="1A7C3C65" w:rsidRPr="0076589C" w:rsidRDefault="1C8D6E3A" w:rsidP="2F8AD9B3">
            <w:pPr>
              <w:spacing w:after="0"/>
              <w:jc w:val="center"/>
              <w:rPr>
                <w:rFonts w:ascii="Calibri" w:eastAsia="Calibri" w:hAnsi="Calibri" w:cs="Calibri"/>
                <w:b/>
                <w:bCs/>
                <w:color w:val="000000" w:themeColor="text1"/>
                <w:sz w:val="20"/>
                <w:szCs w:val="20"/>
              </w:rPr>
            </w:pPr>
            <w:r w:rsidRPr="0076589C">
              <w:rPr>
                <w:rFonts w:ascii="Calibri" w:eastAsia="Calibri" w:hAnsi="Calibri" w:cs="Calibri"/>
                <w:b/>
                <w:bCs/>
                <w:color w:val="000000" w:themeColor="text1"/>
                <w:sz w:val="20"/>
                <w:szCs w:val="20"/>
              </w:rPr>
              <w:t>33%</w:t>
            </w:r>
          </w:p>
        </w:tc>
        <w:tc>
          <w:tcPr>
            <w:tcW w:w="1000" w:type="pct"/>
            <w:tcBorders>
              <w:top w:val="single" w:sz="8" w:space="0" w:color="85BADC"/>
              <w:left w:val="nil"/>
              <w:bottom w:val="nil"/>
              <w:right w:val="nil"/>
            </w:tcBorders>
            <w:tcMar>
              <w:top w:w="15" w:type="dxa"/>
              <w:left w:w="15" w:type="dxa"/>
              <w:right w:w="15" w:type="dxa"/>
            </w:tcMar>
            <w:vAlign w:val="bottom"/>
          </w:tcPr>
          <w:p w14:paraId="10235323" w14:textId="19BDB615" w:rsidR="1A7C3C65" w:rsidRPr="0076589C" w:rsidRDefault="1C8D6E3A" w:rsidP="2F8AD9B3">
            <w:pPr>
              <w:spacing w:after="0"/>
              <w:jc w:val="center"/>
              <w:rPr>
                <w:rFonts w:ascii="Calibri" w:eastAsia="Calibri" w:hAnsi="Calibri" w:cs="Calibri"/>
                <w:b/>
                <w:bCs/>
                <w:color w:val="000000" w:themeColor="text1"/>
                <w:sz w:val="20"/>
                <w:szCs w:val="20"/>
              </w:rPr>
            </w:pPr>
            <w:r w:rsidRPr="0076589C">
              <w:rPr>
                <w:rFonts w:ascii="Calibri" w:eastAsia="Calibri" w:hAnsi="Calibri" w:cs="Calibri"/>
                <w:b/>
                <w:bCs/>
                <w:color w:val="000000" w:themeColor="text1"/>
                <w:sz w:val="20"/>
                <w:szCs w:val="20"/>
              </w:rPr>
              <w:t>31%</w:t>
            </w:r>
          </w:p>
        </w:tc>
        <w:tc>
          <w:tcPr>
            <w:tcW w:w="1000" w:type="pct"/>
            <w:tcBorders>
              <w:top w:val="single" w:sz="8" w:space="0" w:color="85BADC"/>
              <w:left w:val="nil"/>
              <w:bottom w:val="nil"/>
              <w:right w:val="nil"/>
            </w:tcBorders>
            <w:tcMar>
              <w:top w:w="15" w:type="dxa"/>
              <w:left w:w="15" w:type="dxa"/>
              <w:right w:w="15" w:type="dxa"/>
            </w:tcMar>
            <w:vAlign w:val="bottom"/>
          </w:tcPr>
          <w:p w14:paraId="5FADF9C4" w14:textId="7B4096EE" w:rsidR="1A7C3C65" w:rsidRPr="0076589C" w:rsidRDefault="1C8D6E3A" w:rsidP="2F8AD9B3">
            <w:pPr>
              <w:spacing w:after="0"/>
              <w:jc w:val="center"/>
              <w:rPr>
                <w:rFonts w:ascii="Calibri" w:eastAsia="Calibri" w:hAnsi="Calibri" w:cs="Calibri"/>
                <w:b/>
                <w:bCs/>
                <w:color w:val="000000" w:themeColor="text1"/>
                <w:sz w:val="20"/>
                <w:szCs w:val="20"/>
              </w:rPr>
            </w:pPr>
            <w:r w:rsidRPr="0076589C">
              <w:rPr>
                <w:rFonts w:ascii="Calibri" w:eastAsia="Calibri" w:hAnsi="Calibri" w:cs="Calibri"/>
                <w:b/>
                <w:bCs/>
                <w:color w:val="000000" w:themeColor="text1"/>
                <w:sz w:val="20"/>
                <w:szCs w:val="20"/>
              </w:rPr>
              <w:t>16%</w:t>
            </w:r>
          </w:p>
        </w:tc>
        <w:tc>
          <w:tcPr>
            <w:tcW w:w="1000" w:type="pct"/>
            <w:tcBorders>
              <w:top w:val="single" w:sz="8" w:space="0" w:color="85BADC"/>
              <w:left w:val="nil"/>
              <w:bottom w:val="nil"/>
              <w:right w:val="nil"/>
            </w:tcBorders>
            <w:tcMar>
              <w:top w:w="15" w:type="dxa"/>
              <w:left w:w="15" w:type="dxa"/>
              <w:right w:w="15" w:type="dxa"/>
            </w:tcMar>
            <w:vAlign w:val="bottom"/>
          </w:tcPr>
          <w:p w14:paraId="1D9DE2FC" w14:textId="2DBE6B6B" w:rsidR="1A7C3C65" w:rsidRPr="0076589C" w:rsidRDefault="1C8D6E3A" w:rsidP="2F8AD9B3">
            <w:pPr>
              <w:spacing w:after="0"/>
              <w:jc w:val="center"/>
              <w:rPr>
                <w:rFonts w:ascii="Calibri" w:eastAsia="Calibri" w:hAnsi="Calibri" w:cs="Calibri"/>
                <w:b/>
                <w:bCs/>
                <w:color w:val="000000" w:themeColor="text1"/>
                <w:sz w:val="20"/>
                <w:szCs w:val="20"/>
              </w:rPr>
            </w:pPr>
            <w:r w:rsidRPr="0076589C">
              <w:rPr>
                <w:rFonts w:ascii="Calibri" w:eastAsia="Calibri" w:hAnsi="Calibri" w:cs="Calibri"/>
                <w:b/>
                <w:bCs/>
                <w:color w:val="000000" w:themeColor="text1"/>
                <w:sz w:val="20"/>
                <w:szCs w:val="20"/>
              </w:rPr>
              <w:t>29%</w:t>
            </w:r>
          </w:p>
        </w:tc>
      </w:tr>
      <w:tr w:rsidR="1A7C3C65" w:rsidRPr="0076589C" w14:paraId="59011BCB" w14:textId="77777777" w:rsidTr="6D3EF0CD">
        <w:trPr>
          <w:trHeight w:val="255"/>
        </w:trPr>
        <w:tc>
          <w:tcPr>
            <w:tcW w:w="1000" w:type="pct"/>
            <w:tcBorders>
              <w:top w:val="nil"/>
              <w:left w:val="nil"/>
              <w:bottom w:val="nil"/>
              <w:right w:val="nil"/>
            </w:tcBorders>
            <w:tcMar>
              <w:top w:w="15" w:type="dxa"/>
              <w:left w:w="15" w:type="dxa"/>
              <w:right w:w="15" w:type="dxa"/>
            </w:tcMar>
            <w:vAlign w:val="center"/>
          </w:tcPr>
          <w:p w14:paraId="76032137" w14:textId="2FFAA5C8" w:rsidR="1A7C3C65" w:rsidRPr="0076589C" w:rsidRDefault="1A7C3C65" w:rsidP="1A7C3C65">
            <w:pPr>
              <w:spacing w:after="0"/>
              <w:jc w:val="center"/>
            </w:pPr>
            <w:r w:rsidRPr="0076589C">
              <w:rPr>
                <w:rFonts w:ascii="Calibri" w:eastAsia="Calibri" w:hAnsi="Calibri" w:cs="Calibri"/>
                <w:color w:val="000000" w:themeColor="text1"/>
                <w:sz w:val="20"/>
                <w:szCs w:val="20"/>
              </w:rPr>
              <w:t>30</w:t>
            </w:r>
          </w:p>
        </w:tc>
        <w:tc>
          <w:tcPr>
            <w:tcW w:w="1000" w:type="pct"/>
            <w:tcBorders>
              <w:top w:val="nil"/>
              <w:left w:val="nil"/>
              <w:bottom w:val="nil"/>
              <w:right w:val="nil"/>
            </w:tcBorders>
            <w:tcMar>
              <w:top w:w="15" w:type="dxa"/>
              <w:left w:w="15" w:type="dxa"/>
              <w:right w:w="15" w:type="dxa"/>
            </w:tcMar>
            <w:vAlign w:val="bottom"/>
          </w:tcPr>
          <w:p w14:paraId="2163E7C8" w14:textId="2741831D" w:rsidR="1A7C3C65" w:rsidRPr="0076589C" w:rsidRDefault="1C8D6E3A" w:rsidP="2F8AD9B3">
            <w:pPr>
              <w:spacing w:after="0"/>
              <w:jc w:val="center"/>
              <w:rPr>
                <w:rFonts w:ascii="Calibri" w:eastAsia="Calibri" w:hAnsi="Calibri" w:cs="Calibri"/>
                <w:b/>
                <w:bCs/>
                <w:color w:val="000000" w:themeColor="text1"/>
                <w:sz w:val="20"/>
                <w:szCs w:val="20"/>
              </w:rPr>
            </w:pPr>
            <w:r w:rsidRPr="0076589C">
              <w:rPr>
                <w:rFonts w:ascii="Calibri" w:eastAsia="Calibri" w:hAnsi="Calibri" w:cs="Calibri"/>
                <w:b/>
                <w:bCs/>
                <w:color w:val="000000" w:themeColor="text1"/>
                <w:sz w:val="20"/>
                <w:szCs w:val="20"/>
              </w:rPr>
              <w:t>20%</w:t>
            </w:r>
          </w:p>
        </w:tc>
        <w:tc>
          <w:tcPr>
            <w:tcW w:w="1000" w:type="pct"/>
            <w:tcBorders>
              <w:top w:val="nil"/>
              <w:left w:val="nil"/>
              <w:bottom w:val="nil"/>
              <w:right w:val="nil"/>
            </w:tcBorders>
            <w:tcMar>
              <w:top w:w="15" w:type="dxa"/>
              <w:left w:w="15" w:type="dxa"/>
              <w:right w:w="15" w:type="dxa"/>
            </w:tcMar>
            <w:vAlign w:val="bottom"/>
          </w:tcPr>
          <w:p w14:paraId="32092E89" w14:textId="7512C5F4" w:rsidR="1A7C3C65" w:rsidRPr="0076589C" w:rsidRDefault="1C8D6E3A" w:rsidP="2F8AD9B3">
            <w:pPr>
              <w:spacing w:after="0"/>
              <w:jc w:val="center"/>
              <w:rPr>
                <w:rFonts w:ascii="Calibri" w:eastAsia="Calibri" w:hAnsi="Calibri" w:cs="Calibri"/>
                <w:b/>
                <w:bCs/>
                <w:color w:val="000000" w:themeColor="text1"/>
                <w:sz w:val="20"/>
                <w:szCs w:val="20"/>
              </w:rPr>
            </w:pPr>
            <w:r w:rsidRPr="0076589C">
              <w:rPr>
                <w:rFonts w:ascii="Calibri" w:eastAsia="Calibri" w:hAnsi="Calibri" w:cs="Calibri"/>
                <w:b/>
                <w:bCs/>
                <w:color w:val="000000" w:themeColor="text1"/>
                <w:sz w:val="20"/>
                <w:szCs w:val="20"/>
              </w:rPr>
              <w:t>24%</w:t>
            </w:r>
          </w:p>
        </w:tc>
        <w:tc>
          <w:tcPr>
            <w:tcW w:w="1000" w:type="pct"/>
            <w:tcBorders>
              <w:top w:val="nil"/>
              <w:left w:val="nil"/>
              <w:bottom w:val="nil"/>
              <w:right w:val="nil"/>
            </w:tcBorders>
            <w:tcMar>
              <w:top w:w="15" w:type="dxa"/>
              <w:left w:w="15" w:type="dxa"/>
              <w:right w:w="15" w:type="dxa"/>
            </w:tcMar>
            <w:vAlign w:val="bottom"/>
          </w:tcPr>
          <w:p w14:paraId="6CF18B04" w14:textId="348E0271" w:rsidR="1A7C3C65" w:rsidRPr="0076589C" w:rsidRDefault="1C8D6E3A" w:rsidP="2F8AD9B3">
            <w:pPr>
              <w:spacing w:after="0"/>
              <w:jc w:val="center"/>
              <w:rPr>
                <w:rFonts w:ascii="Calibri" w:eastAsia="Calibri" w:hAnsi="Calibri" w:cs="Calibri"/>
                <w:b/>
                <w:bCs/>
                <w:color w:val="000000" w:themeColor="text1"/>
                <w:sz w:val="20"/>
                <w:szCs w:val="20"/>
              </w:rPr>
            </w:pPr>
            <w:r w:rsidRPr="0076589C">
              <w:rPr>
                <w:rFonts w:ascii="Calibri" w:eastAsia="Calibri" w:hAnsi="Calibri" w:cs="Calibri"/>
                <w:b/>
                <w:bCs/>
                <w:color w:val="000000" w:themeColor="text1"/>
                <w:sz w:val="20"/>
                <w:szCs w:val="20"/>
              </w:rPr>
              <w:t>34%</w:t>
            </w:r>
          </w:p>
        </w:tc>
        <w:tc>
          <w:tcPr>
            <w:tcW w:w="1000" w:type="pct"/>
            <w:tcBorders>
              <w:top w:val="nil"/>
              <w:left w:val="nil"/>
              <w:bottom w:val="nil"/>
              <w:right w:val="nil"/>
            </w:tcBorders>
            <w:tcMar>
              <w:top w:w="15" w:type="dxa"/>
              <w:left w:w="15" w:type="dxa"/>
              <w:right w:w="15" w:type="dxa"/>
            </w:tcMar>
            <w:vAlign w:val="bottom"/>
          </w:tcPr>
          <w:p w14:paraId="40035AF5" w14:textId="274137E0" w:rsidR="1A7C3C65" w:rsidRPr="0076589C" w:rsidRDefault="1C8D6E3A" w:rsidP="2F8AD9B3">
            <w:pPr>
              <w:spacing w:after="0"/>
              <w:jc w:val="center"/>
              <w:rPr>
                <w:rFonts w:ascii="Calibri" w:eastAsia="Calibri" w:hAnsi="Calibri" w:cs="Calibri"/>
                <w:b/>
                <w:bCs/>
                <w:color w:val="000000" w:themeColor="text1"/>
                <w:sz w:val="20"/>
                <w:szCs w:val="20"/>
              </w:rPr>
            </w:pPr>
            <w:r w:rsidRPr="0076589C">
              <w:rPr>
                <w:rFonts w:ascii="Calibri" w:eastAsia="Calibri" w:hAnsi="Calibri" w:cs="Calibri"/>
                <w:b/>
                <w:bCs/>
                <w:color w:val="000000" w:themeColor="text1"/>
                <w:sz w:val="20"/>
                <w:szCs w:val="20"/>
              </w:rPr>
              <w:t>25%</w:t>
            </w:r>
          </w:p>
        </w:tc>
      </w:tr>
      <w:tr w:rsidR="1A7C3C65" w:rsidRPr="0076589C" w14:paraId="5D0CAD4C" w14:textId="77777777" w:rsidTr="6D3EF0CD">
        <w:trPr>
          <w:trHeight w:val="255"/>
        </w:trPr>
        <w:tc>
          <w:tcPr>
            <w:tcW w:w="1000" w:type="pct"/>
            <w:tcBorders>
              <w:top w:val="nil"/>
              <w:left w:val="nil"/>
              <w:bottom w:val="nil"/>
              <w:right w:val="nil"/>
            </w:tcBorders>
            <w:tcMar>
              <w:top w:w="15" w:type="dxa"/>
              <w:left w:w="15" w:type="dxa"/>
              <w:right w:w="15" w:type="dxa"/>
            </w:tcMar>
            <w:vAlign w:val="center"/>
          </w:tcPr>
          <w:p w14:paraId="065B0F91" w14:textId="13AD8355" w:rsidR="1A7C3C65" w:rsidRPr="0076589C" w:rsidRDefault="1A7C3C65" w:rsidP="1A7C3C65">
            <w:pPr>
              <w:spacing w:after="0"/>
              <w:jc w:val="center"/>
            </w:pPr>
            <w:r w:rsidRPr="0076589C">
              <w:rPr>
                <w:rFonts w:ascii="Calibri" w:eastAsia="Calibri" w:hAnsi="Calibri" w:cs="Calibri"/>
                <w:color w:val="000000" w:themeColor="text1"/>
                <w:sz w:val="20"/>
                <w:szCs w:val="20"/>
              </w:rPr>
              <w:t>60</w:t>
            </w:r>
          </w:p>
        </w:tc>
        <w:tc>
          <w:tcPr>
            <w:tcW w:w="1000" w:type="pct"/>
            <w:tcBorders>
              <w:top w:val="nil"/>
              <w:left w:val="nil"/>
              <w:bottom w:val="nil"/>
              <w:right w:val="nil"/>
            </w:tcBorders>
            <w:tcMar>
              <w:top w:w="15" w:type="dxa"/>
              <w:left w:w="15" w:type="dxa"/>
              <w:right w:w="15" w:type="dxa"/>
            </w:tcMar>
            <w:vAlign w:val="bottom"/>
          </w:tcPr>
          <w:p w14:paraId="1D72629A" w14:textId="0D1B6435" w:rsidR="1A7C3C65" w:rsidRPr="0076589C" w:rsidRDefault="6D3EF0CD" w:rsidP="6D3EF0CD">
            <w:pPr>
              <w:spacing w:after="0"/>
              <w:jc w:val="center"/>
              <w:rPr>
                <w:rFonts w:ascii="Calibri" w:eastAsia="Calibri" w:hAnsi="Calibri" w:cs="Calibri"/>
                <w:color w:val="000000" w:themeColor="text1"/>
                <w:sz w:val="20"/>
                <w:szCs w:val="20"/>
              </w:rPr>
            </w:pPr>
            <w:r w:rsidRPr="0076589C">
              <w:rPr>
                <w:rFonts w:ascii="Calibri" w:eastAsia="Calibri" w:hAnsi="Calibri" w:cs="Calibri"/>
                <w:color w:val="000000" w:themeColor="text1"/>
                <w:sz w:val="20"/>
                <w:szCs w:val="20"/>
              </w:rPr>
              <w:t>8%</w:t>
            </w:r>
          </w:p>
        </w:tc>
        <w:tc>
          <w:tcPr>
            <w:tcW w:w="1000" w:type="pct"/>
            <w:tcBorders>
              <w:top w:val="nil"/>
              <w:left w:val="nil"/>
              <w:bottom w:val="nil"/>
              <w:right w:val="nil"/>
            </w:tcBorders>
            <w:tcMar>
              <w:top w:w="15" w:type="dxa"/>
              <w:left w:w="15" w:type="dxa"/>
              <w:right w:w="15" w:type="dxa"/>
            </w:tcMar>
            <w:vAlign w:val="bottom"/>
          </w:tcPr>
          <w:p w14:paraId="6A090D77" w14:textId="0E3F6EE0" w:rsidR="1A7C3C65" w:rsidRPr="0076589C" w:rsidRDefault="1A7C3C65" w:rsidP="1A7C3C65">
            <w:pPr>
              <w:spacing w:after="0"/>
              <w:jc w:val="center"/>
            </w:pPr>
            <w:r w:rsidRPr="0076589C">
              <w:rPr>
                <w:rFonts w:ascii="Calibri" w:eastAsia="Calibri" w:hAnsi="Calibri" w:cs="Calibri"/>
                <w:color w:val="000000" w:themeColor="text1"/>
                <w:sz w:val="20"/>
                <w:szCs w:val="20"/>
              </w:rPr>
              <w:t>11%</w:t>
            </w:r>
          </w:p>
        </w:tc>
        <w:tc>
          <w:tcPr>
            <w:tcW w:w="1000" w:type="pct"/>
            <w:tcBorders>
              <w:top w:val="nil"/>
              <w:left w:val="nil"/>
              <w:bottom w:val="nil"/>
              <w:right w:val="nil"/>
            </w:tcBorders>
            <w:tcMar>
              <w:top w:w="15" w:type="dxa"/>
              <w:left w:w="15" w:type="dxa"/>
              <w:right w:w="15" w:type="dxa"/>
            </w:tcMar>
            <w:vAlign w:val="bottom"/>
          </w:tcPr>
          <w:p w14:paraId="7CB12D1D" w14:textId="3D77F9FF" w:rsidR="1A7C3C65" w:rsidRPr="0076589C" w:rsidRDefault="1A7C3C65" w:rsidP="1A7C3C65">
            <w:pPr>
              <w:spacing w:after="0"/>
              <w:jc w:val="center"/>
            </w:pPr>
            <w:r w:rsidRPr="0076589C">
              <w:rPr>
                <w:rFonts w:ascii="Calibri" w:eastAsia="Calibri" w:hAnsi="Calibri" w:cs="Calibri"/>
                <w:color w:val="000000" w:themeColor="text1"/>
                <w:sz w:val="20"/>
                <w:szCs w:val="20"/>
              </w:rPr>
              <w:t>12%</w:t>
            </w:r>
          </w:p>
        </w:tc>
        <w:tc>
          <w:tcPr>
            <w:tcW w:w="1000" w:type="pct"/>
            <w:tcBorders>
              <w:top w:val="nil"/>
              <w:left w:val="nil"/>
              <w:bottom w:val="nil"/>
              <w:right w:val="nil"/>
            </w:tcBorders>
            <w:tcMar>
              <w:top w:w="15" w:type="dxa"/>
              <w:left w:w="15" w:type="dxa"/>
              <w:right w:w="15" w:type="dxa"/>
            </w:tcMar>
            <w:vAlign w:val="bottom"/>
          </w:tcPr>
          <w:p w14:paraId="143897BD" w14:textId="25920656" w:rsidR="1A7C3C65" w:rsidRPr="0076589C" w:rsidRDefault="1A7C3C65" w:rsidP="1A7C3C65">
            <w:pPr>
              <w:spacing w:after="0"/>
              <w:jc w:val="center"/>
            </w:pPr>
            <w:r w:rsidRPr="0076589C">
              <w:rPr>
                <w:rFonts w:ascii="Calibri" w:eastAsia="Calibri" w:hAnsi="Calibri" w:cs="Calibri"/>
                <w:color w:val="000000" w:themeColor="text1"/>
                <w:sz w:val="20"/>
                <w:szCs w:val="20"/>
              </w:rPr>
              <w:t>21%</w:t>
            </w:r>
          </w:p>
        </w:tc>
      </w:tr>
      <w:tr w:rsidR="1A7C3C65" w:rsidRPr="0076589C" w14:paraId="15B93824" w14:textId="77777777" w:rsidTr="6D3EF0CD">
        <w:trPr>
          <w:trHeight w:val="255"/>
        </w:trPr>
        <w:tc>
          <w:tcPr>
            <w:tcW w:w="1000" w:type="pct"/>
            <w:tcBorders>
              <w:top w:val="nil"/>
              <w:left w:val="nil"/>
              <w:bottom w:val="nil"/>
              <w:right w:val="nil"/>
            </w:tcBorders>
            <w:tcMar>
              <w:top w:w="15" w:type="dxa"/>
              <w:left w:w="15" w:type="dxa"/>
              <w:right w:w="15" w:type="dxa"/>
            </w:tcMar>
            <w:vAlign w:val="center"/>
          </w:tcPr>
          <w:p w14:paraId="7592C3D2" w14:textId="37C35E9D" w:rsidR="1A7C3C65" w:rsidRPr="0076589C" w:rsidRDefault="1A7C3C65" w:rsidP="1A7C3C65">
            <w:pPr>
              <w:spacing w:after="0"/>
              <w:jc w:val="center"/>
            </w:pPr>
            <w:r w:rsidRPr="0076589C">
              <w:rPr>
                <w:rFonts w:ascii="Calibri" w:eastAsia="Calibri" w:hAnsi="Calibri" w:cs="Calibri"/>
                <w:color w:val="000000" w:themeColor="text1"/>
                <w:sz w:val="20"/>
                <w:szCs w:val="20"/>
              </w:rPr>
              <w:t>90</w:t>
            </w:r>
          </w:p>
        </w:tc>
        <w:tc>
          <w:tcPr>
            <w:tcW w:w="1000" w:type="pct"/>
            <w:tcBorders>
              <w:top w:val="nil"/>
              <w:left w:val="nil"/>
              <w:bottom w:val="nil"/>
              <w:right w:val="nil"/>
            </w:tcBorders>
            <w:tcMar>
              <w:top w:w="15" w:type="dxa"/>
              <w:left w:w="15" w:type="dxa"/>
              <w:right w:w="15" w:type="dxa"/>
            </w:tcMar>
            <w:vAlign w:val="bottom"/>
          </w:tcPr>
          <w:p w14:paraId="5EEB94CC" w14:textId="1CBDC45A" w:rsidR="1A7C3C65" w:rsidRPr="0076589C" w:rsidRDefault="6D3EF0CD" w:rsidP="6D3EF0CD">
            <w:pPr>
              <w:spacing w:after="0"/>
              <w:jc w:val="center"/>
              <w:rPr>
                <w:rFonts w:ascii="Calibri" w:eastAsia="Calibri" w:hAnsi="Calibri" w:cs="Calibri"/>
                <w:color w:val="000000" w:themeColor="text1"/>
                <w:sz w:val="20"/>
                <w:szCs w:val="20"/>
              </w:rPr>
            </w:pPr>
            <w:r w:rsidRPr="0076589C">
              <w:rPr>
                <w:rFonts w:ascii="Calibri" w:eastAsia="Calibri" w:hAnsi="Calibri" w:cs="Calibri"/>
                <w:color w:val="000000" w:themeColor="text1"/>
                <w:sz w:val="20"/>
                <w:szCs w:val="20"/>
              </w:rPr>
              <w:t>5%</w:t>
            </w:r>
          </w:p>
        </w:tc>
        <w:tc>
          <w:tcPr>
            <w:tcW w:w="1000" w:type="pct"/>
            <w:tcBorders>
              <w:top w:val="nil"/>
              <w:left w:val="nil"/>
              <w:bottom w:val="nil"/>
              <w:right w:val="nil"/>
            </w:tcBorders>
            <w:tcMar>
              <w:top w:w="15" w:type="dxa"/>
              <w:left w:w="15" w:type="dxa"/>
              <w:right w:w="15" w:type="dxa"/>
            </w:tcMar>
            <w:vAlign w:val="bottom"/>
          </w:tcPr>
          <w:p w14:paraId="64CE4DE1" w14:textId="59A6F427" w:rsidR="1A7C3C65" w:rsidRPr="0076589C" w:rsidRDefault="1A7C3C65" w:rsidP="1A7C3C65">
            <w:pPr>
              <w:spacing w:after="0"/>
              <w:jc w:val="center"/>
            </w:pPr>
            <w:r w:rsidRPr="0076589C">
              <w:rPr>
                <w:rFonts w:ascii="Calibri" w:eastAsia="Calibri" w:hAnsi="Calibri" w:cs="Calibri"/>
                <w:color w:val="000000" w:themeColor="text1"/>
                <w:sz w:val="20"/>
                <w:szCs w:val="20"/>
              </w:rPr>
              <w:t>10%</w:t>
            </w:r>
          </w:p>
        </w:tc>
        <w:tc>
          <w:tcPr>
            <w:tcW w:w="1000" w:type="pct"/>
            <w:tcBorders>
              <w:top w:val="nil"/>
              <w:left w:val="nil"/>
              <w:bottom w:val="nil"/>
              <w:right w:val="nil"/>
            </w:tcBorders>
            <w:tcMar>
              <w:top w:w="15" w:type="dxa"/>
              <w:left w:w="15" w:type="dxa"/>
              <w:right w:w="15" w:type="dxa"/>
            </w:tcMar>
            <w:vAlign w:val="bottom"/>
          </w:tcPr>
          <w:p w14:paraId="3E1D58CC" w14:textId="5E1CD3D5" w:rsidR="1A7C3C65" w:rsidRPr="0076589C" w:rsidRDefault="1A7C3C65" w:rsidP="1A7C3C65">
            <w:pPr>
              <w:spacing w:after="0"/>
              <w:jc w:val="center"/>
            </w:pPr>
            <w:r w:rsidRPr="0076589C">
              <w:rPr>
                <w:rFonts w:ascii="Calibri" w:eastAsia="Calibri" w:hAnsi="Calibri" w:cs="Calibri"/>
                <w:color w:val="000000" w:themeColor="text1"/>
                <w:sz w:val="20"/>
                <w:szCs w:val="20"/>
              </w:rPr>
              <w:t>10%</w:t>
            </w:r>
          </w:p>
        </w:tc>
        <w:tc>
          <w:tcPr>
            <w:tcW w:w="1000" w:type="pct"/>
            <w:tcBorders>
              <w:top w:val="nil"/>
              <w:left w:val="nil"/>
              <w:bottom w:val="nil"/>
              <w:right w:val="nil"/>
            </w:tcBorders>
            <w:tcMar>
              <w:top w:w="15" w:type="dxa"/>
              <w:left w:w="15" w:type="dxa"/>
              <w:right w:w="15" w:type="dxa"/>
            </w:tcMar>
            <w:vAlign w:val="bottom"/>
          </w:tcPr>
          <w:p w14:paraId="7689ADF7" w14:textId="319AF125" w:rsidR="1A7C3C65" w:rsidRPr="0076589C" w:rsidRDefault="1A7C3C65" w:rsidP="1A7C3C65">
            <w:pPr>
              <w:spacing w:after="0"/>
              <w:jc w:val="center"/>
            </w:pPr>
            <w:r w:rsidRPr="0076589C">
              <w:rPr>
                <w:rFonts w:ascii="Calibri" w:eastAsia="Calibri" w:hAnsi="Calibri" w:cs="Calibri"/>
                <w:color w:val="000000" w:themeColor="text1"/>
                <w:sz w:val="20"/>
                <w:szCs w:val="20"/>
              </w:rPr>
              <w:t>3%</w:t>
            </w:r>
          </w:p>
        </w:tc>
      </w:tr>
      <w:tr w:rsidR="1A7C3C65" w:rsidRPr="0076589C" w14:paraId="5082C530" w14:textId="77777777" w:rsidTr="6D3EF0CD">
        <w:trPr>
          <w:trHeight w:val="255"/>
        </w:trPr>
        <w:tc>
          <w:tcPr>
            <w:tcW w:w="1000" w:type="pct"/>
            <w:tcBorders>
              <w:top w:val="nil"/>
              <w:left w:val="nil"/>
              <w:bottom w:val="single" w:sz="4" w:space="0" w:color="C9E1EF"/>
              <w:right w:val="nil"/>
            </w:tcBorders>
            <w:tcMar>
              <w:top w:w="15" w:type="dxa"/>
              <w:left w:w="15" w:type="dxa"/>
              <w:right w:w="15" w:type="dxa"/>
            </w:tcMar>
            <w:vAlign w:val="center"/>
          </w:tcPr>
          <w:p w14:paraId="2105E88B" w14:textId="10005518" w:rsidR="1A7C3C65" w:rsidRPr="0076589C" w:rsidRDefault="1A7C3C65" w:rsidP="1A7C3C65">
            <w:pPr>
              <w:spacing w:after="0"/>
              <w:jc w:val="center"/>
            </w:pPr>
            <w:r w:rsidRPr="0076589C">
              <w:rPr>
                <w:rFonts w:ascii="Calibri" w:eastAsia="Calibri" w:hAnsi="Calibri" w:cs="Calibri"/>
                <w:color w:val="000000" w:themeColor="text1"/>
                <w:sz w:val="20"/>
                <w:szCs w:val="20"/>
              </w:rPr>
              <w:t>Más de 90</w:t>
            </w:r>
          </w:p>
        </w:tc>
        <w:tc>
          <w:tcPr>
            <w:tcW w:w="1000" w:type="pct"/>
            <w:tcBorders>
              <w:top w:val="nil"/>
              <w:left w:val="nil"/>
              <w:bottom w:val="single" w:sz="4" w:space="0" w:color="C9E1EF"/>
              <w:right w:val="nil"/>
            </w:tcBorders>
            <w:tcMar>
              <w:top w:w="15" w:type="dxa"/>
              <w:left w:w="15" w:type="dxa"/>
              <w:right w:w="15" w:type="dxa"/>
            </w:tcMar>
            <w:vAlign w:val="bottom"/>
          </w:tcPr>
          <w:p w14:paraId="03ADDC5B" w14:textId="617C682D" w:rsidR="1A7C3C65" w:rsidRPr="0076589C" w:rsidRDefault="6D3EF0CD" w:rsidP="2F8AD9B3">
            <w:pPr>
              <w:spacing w:after="0"/>
              <w:jc w:val="center"/>
              <w:rPr>
                <w:rFonts w:ascii="Calibri" w:eastAsia="Calibri" w:hAnsi="Calibri" w:cs="Calibri"/>
                <w:b/>
                <w:bCs/>
                <w:color w:val="000000" w:themeColor="text1"/>
                <w:sz w:val="20"/>
                <w:szCs w:val="20"/>
              </w:rPr>
            </w:pPr>
            <w:r w:rsidRPr="0076589C">
              <w:rPr>
                <w:rFonts w:ascii="Calibri" w:eastAsia="Calibri" w:hAnsi="Calibri" w:cs="Calibri"/>
                <w:b/>
                <w:bCs/>
                <w:color w:val="000000" w:themeColor="text1"/>
                <w:sz w:val="20"/>
                <w:szCs w:val="20"/>
              </w:rPr>
              <w:t>34%</w:t>
            </w:r>
          </w:p>
        </w:tc>
        <w:tc>
          <w:tcPr>
            <w:tcW w:w="1000" w:type="pct"/>
            <w:tcBorders>
              <w:top w:val="nil"/>
              <w:left w:val="nil"/>
              <w:bottom w:val="single" w:sz="4" w:space="0" w:color="C9E1EF"/>
              <w:right w:val="nil"/>
            </w:tcBorders>
            <w:tcMar>
              <w:top w:w="15" w:type="dxa"/>
              <w:left w:w="15" w:type="dxa"/>
              <w:right w:w="15" w:type="dxa"/>
            </w:tcMar>
            <w:vAlign w:val="bottom"/>
          </w:tcPr>
          <w:p w14:paraId="7F409082" w14:textId="481C4981" w:rsidR="1A7C3C65" w:rsidRPr="0076589C" w:rsidRDefault="1C8D6E3A" w:rsidP="2F8AD9B3">
            <w:pPr>
              <w:spacing w:after="0"/>
              <w:jc w:val="center"/>
              <w:rPr>
                <w:rFonts w:ascii="Calibri" w:eastAsia="Calibri" w:hAnsi="Calibri" w:cs="Calibri"/>
                <w:b/>
                <w:bCs/>
                <w:color w:val="000000" w:themeColor="text1"/>
                <w:sz w:val="20"/>
                <w:szCs w:val="20"/>
              </w:rPr>
            </w:pPr>
            <w:r w:rsidRPr="0076589C">
              <w:rPr>
                <w:rFonts w:ascii="Calibri" w:eastAsia="Calibri" w:hAnsi="Calibri" w:cs="Calibri"/>
                <w:b/>
                <w:bCs/>
                <w:color w:val="000000" w:themeColor="text1"/>
                <w:sz w:val="20"/>
                <w:szCs w:val="20"/>
              </w:rPr>
              <w:t>23%</w:t>
            </w:r>
          </w:p>
        </w:tc>
        <w:tc>
          <w:tcPr>
            <w:tcW w:w="1000" w:type="pct"/>
            <w:tcBorders>
              <w:top w:val="nil"/>
              <w:left w:val="nil"/>
              <w:bottom w:val="single" w:sz="4" w:space="0" w:color="C9E1EF"/>
              <w:right w:val="nil"/>
            </w:tcBorders>
            <w:tcMar>
              <w:top w:w="15" w:type="dxa"/>
              <w:left w:w="15" w:type="dxa"/>
              <w:right w:w="15" w:type="dxa"/>
            </w:tcMar>
            <w:vAlign w:val="bottom"/>
          </w:tcPr>
          <w:p w14:paraId="053D6787" w14:textId="3C0A909B" w:rsidR="1A7C3C65" w:rsidRPr="0076589C" w:rsidRDefault="1C8D6E3A" w:rsidP="2F8AD9B3">
            <w:pPr>
              <w:spacing w:after="0"/>
              <w:jc w:val="center"/>
              <w:rPr>
                <w:rFonts w:ascii="Calibri" w:eastAsia="Calibri" w:hAnsi="Calibri" w:cs="Calibri"/>
                <w:b/>
                <w:bCs/>
                <w:color w:val="000000" w:themeColor="text1"/>
                <w:sz w:val="20"/>
                <w:szCs w:val="20"/>
              </w:rPr>
            </w:pPr>
            <w:r w:rsidRPr="0076589C">
              <w:rPr>
                <w:rFonts w:ascii="Calibri" w:eastAsia="Calibri" w:hAnsi="Calibri" w:cs="Calibri"/>
                <w:b/>
                <w:bCs/>
                <w:color w:val="000000" w:themeColor="text1"/>
                <w:sz w:val="20"/>
                <w:szCs w:val="20"/>
              </w:rPr>
              <w:t>28%</w:t>
            </w:r>
          </w:p>
        </w:tc>
        <w:tc>
          <w:tcPr>
            <w:tcW w:w="1000" w:type="pct"/>
            <w:tcBorders>
              <w:top w:val="nil"/>
              <w:left w:val="nil"/>
              <w:bottom w:val="single" w:sz="4" w:space="0" w:color="C9E1EF"/>
              <w:right w:val="nil"/>
            </w:tcBorders>
            <w:tcMar>
              <w:top w:w="15" w:type="dxa"/>
              <w:left w:w="15" w:type="dxa"/>
              <w:right w:w="15" w:type="dxa"/>
            </w:tcMar>
            <w:vAlign w:val="bottom"/>
          </w:tcPr>
          <w:p w14:paraId="2E544F7F" w14:textId="0B269D86" w:rsidR="1A7C3C65" w:rsidRPr="0076589C" w:rsidRDefault="1C8D6E3A" w:rsidP="2F8AD9B3">
            <w:pPr>
              <w:spacing w:after="0"/>
              <w:jc w:val="center"/>
              <w:rPr>
                <w:rFonts w:ascii="Calibri" w:eastAsia="Calibri" w:hAnsi="Calibri" w:cs="Calibri"/>
                <w:b/>
                <w:bCs/>
                <w:color w:val="000000" w:themeColor="text1"/>
                <w:sz w:val="20"/>
                <w:szCs w:val="20"/>
              </w:rPr>
            </w:pPr>
            <w:r w:rsidRPr="0076589C">
              <w:rPr>
                <w:rFonts w:ascii="Calibri" w:eastAsia="Calibri" w:hAnsi="Calibri" w:cs="Calibri"/>
                <w:b/>
                <w:bCs/>
                <w:color w:val="000000" w:themeColor="text1"/>
                <w:sz w:val="20"/>
                <w:szCs w:val="20"/>
              </w:rPr>
              <w:t>22%</w:t>
            </w:r>
          </w:p>
        </w:tc>
      </w:tr>
    </w:tbl>
    <w:p w14:paraId="2EB017AB" w14:textId="77777777" w:rsidR="00BE59EB" w:rsidRPr="0076589C" w:rsidRDefault="1C8D6E3A" w:rsidP="00243311">
      <w:pPr>
        <w:pStyle w:val="Fuentes"/>
        <w:rPr>
          <w:lang w:val="es-HN"/>
        </w:rPr>
      </w:pPr>
      <w:r w:rsidRPr="0076589C">
        <w:rPr>
          <w:lang w:val="es-HN"/>
        </w:rPr>
        <w:t>Fuente: Elaboración propia con datos de IPRA (2023).</w:t>
      </w:r>
    </w:p>
    <w:p w14:paraId="1DF21730" w14:textId="7687A98F" w:rsidR="00F824D8" w:rsidRPr="0076589C" w:rsidRDefault="1C8D6E3A" w:rsidP="2F8AD9B3">
      <w:pPr>
        <w:pStyle w:val="TextoPrincipal"/>
        <w:rPr>
          <w:lang w:val="es-HN"/>
        </w:rPr>
      </w:pPr>
      <w:r w:rsidRPr="0076589C">
        <w:rPr>
          <w:lang w:val="es-HN"/>
        </w:rPr>
        <w:t>En el análisis de la antigüedad de las cuentas por cobrar en diferentes plazos a lo largo de los años según el peso que tienen cada una de acuerdo a el total de las cuentas por cobrar de cada año, se observan tendencias significativas en términos porcentuale</w:t>
      </w:r>
      <w:r w:rsidR="005F31AC" w:rsidRPr="0076589C">
        <w:rPr>
          <w:lang w:val="es-HN"/>
        </w:rPr>
        <w:t>s como se aprecia en la tabla 13</w:t>
      </w:r>
      <w:r w:rsidRPr="0076589C">
        <w:rPr>
          <w:lang w:val="es-HN"/>
        </w:rPr>
        <w:t xml:space="preserve">. Primero, </w:t>
      </w:r>
      <w:r w:rsidR="004F2F9C" w:rsidRPr="0076589C">
        <w:rPr>
          <w:lang w:val="es-HN"/>
        </w:rPr>
        <w:t>se</w:t>
      </w:r>
      <w:r w:rsidRPr="0076589C">
        <w:rPr>
          <w:lang w:val="es-HN"/>
        </w:rPr>
        <w:t xml:space="preserve"> observ</w:t>
      </w:r>
      <w:r w:rsidR="004F2F9C" w:rsidRPr="0076589C">
        <w:rPr>
          <w:lang w:val="es-HN"/>
        </w:rPr>
        <w:t>ó</w:t>
      </w:r>
      <w:r w:rsidRPr="0076589C">
        <w:rPr>
          <w:lang w:val="es-HN"/>
        </w:rPr>
        <w:t xml:space="preserve"> que en los plazos donde se concentra mayor porcentaje son en los plazos actuales, a 30 días y más de 90 días.</w:t>
      </w:r>
    </w:p>
    <w:p w14:paraId="38518FB0" w14:textId="313093EA" w:rsidR="00F824D8" w:rsidRPr="0076589C" w:rsidRDefault="1C8D6E3A" w:rsidP="2F8AD9B3">
      <w:pPr>
        <w:pStyle w:val="TextoPrincipal"/>
        <w:rPr>
          <w:lang w:val="es-HN"/>
        </w:rPr>
      </w:pPr>
      <w:r w:rsidRPr="0076589C">
        <w:rPr>
          <w:lang w:val="es-HN"/>
        </w:rPr>
        <w:t>En el caso de las cuentas actuales el cual hay una tendencia de aumento 2019 y 2020 siendo un 33%; Hubo una disminución en 2021 a 16%, pero luego un aumento en 2022 a un 29%. Esta podría ser una tendencia de mejora en la rapidez del cobro de cuentas, ya que la proporción de cuentas actuales aumentó nuevamente en 2022. Este es un buen signo, ya que indica que la mayoría de las cuentas se están pagando puntualmente. Mantener un alto porcentaje de cuentas actuales es beneficioso, ya que implica que los clientes están cumpliendo con los plazos de pago.</w:t>
      </w:r>
    </w:p>
    <w:p w14:paraId="370D8656" w14:textId="41906CEB" w:rsidR="00F824D8" w:rsidRPr="0076589C" w:rsidRDefault="1C8D6E3A" w:rsidP="189548CB">
      <w:pPr>
        <w:pStyle w:val="TextoPrincipal"/>
        <w:rPr>
          <w:lang w:val="es-HN"/>
        </w:rPr>
      </w:pPr>
      <w:r w:rsidRPr="0076589C">
        <w:rPr>
          <w:lang w:val="es-HN"/>
        </w:rPr>
        <w:t xml:space="preserve">Las cuentas a 30 días muestran un aumento constante del 20% en 2019 al 34% en 2021, antes de reducirse al 25% en 2022. Esta tendencia sugiere que las cuentas en el plazo más corto tienden a envejecer, aunque representan una proporción más pequeña, el aumento en esta categoría en 2022 podría requerir un seguimiento más cercano. Esto podría sugerir que algunas cuentas que </w:t>
      </w:r>
      <w:r w:rsidRPr="0076589C">
        <w:rPr>
          <w:lang w:val="es-HN"/>
        </w:rPr>
        <w:lastRenderedPageBreak/>
        <w:t>solían pagarse en 30 días ahora se están tomando un poco más de tiempo. lo que podría indicar la necesidad de una gestión más eficiente y una revisión de las políticas de crédito y de cobranza.</w:t>
      </w:r>
    </w:p>
    <w:p w14:paraId="48F84274" w14:textId="1BCB1DDA" w:rsidR="00F824D8" w:rsidRPr="0076589C" w:rsidRDefault="1C8D6E3A" w:rsidP="2F8AD9B3">
      <w:pPr>
        <w:pStyle w:val="TextoPrincipal"/>
        <w:rPr>
          <w:lang w:val="es-HN"/>
        </w:rPr>
      </w:pPr>
      <w:r w:rsidRPr="0076589C">
        <w:rPr>
          <w:lang w:val="es-HN"/>
        </w:rPr>
        <w:t>Por otro lado, las cuentas a 60 días Hubo un aumento constante de 2019 a 2022, lo que sugiere que algunas cuentas están tardando más tiempo en pagarse. Esta podría ser una tendencia que requiere atención y seguimiento.</w:t>
      </w:r>
    </w:p>
    <w:p w14:paraId="766E8432" w14:textId="724CEB9E" w:rsidR="00E71B26" w:rsidRPr="0076589C" w:rsidRDefault="1C8D6E3A" w:rsidP="00E71B26">
      <w:pPr>
        <w:pStyle w:val="TextoPrincipal"/>
        <w:rPr>
          <w:lang w:val="es-HN"/>
        </w:rPr>
      </w:pPr>
      <w:r w:rsidRPr="0076589C">
        <w:rPr>
          <w:lang w:val="es-HN"/>
        </w:rPr>
        <w:t>Las cuentas mayores a 90 días tienen un porcentaje de representación fuerte de las cuentas por cobrar con una tendencia arriba del 37%, Un alto porcentaje de cuentas por cobrar con antigüedad prolongada podría indicar ineficiencia en la gestión de crédito y cobranza de la empresa. Esto podría requerir una revisión de las políticas de crédito, estrategias de cobranza y evaluación de la solvencia de los clientes. Cuanto más tiempo pase, mayor será el riesgo de que las cuentas por cobrar mayores a 90 días no se paguen en absoluto. Esto puede llevar a pérdidas financieras significativas y deteriorar la calidad de los activos de la empresa.</w:t>
      </w:r>
    </w:p>
    <w:p w14:paraId="36432601" w14:textId="4870CE85" w:rsidR="00964A07" w:rsidRPr="0076589C" w:rsidRDefault="1C8D6E3A" w:rsidP="0053775F">
      <w:pPr>
        <w:pStyle w:val="Nivel5"/>
        <w:numPr>
          <w:ilvl w:val="0"/>
          <w:numId w:val="37"/>
        </w:numPr>
        <w:ind w:left="1440" w:firstLine="0"/>
      </w:pPr>
      <w:r w:rsidRPr="0076589C">
        <w:t>ROTACIÓN DE LAS CUENTAS POR COBRAR</w:t>
      </w:r>
    </w:p>
    <w:p w14:paraId="152256BD" w14:textId="1B4B4F3C" w:rsidR="49247065" w:rsidRPr="0076589C" w:rsidRDefault="1C8D6E3A" w:rsidP="49247065">
      <w:pPr>
        <w:pStyle w:val="TextoPrincipal"/>
        <w:rPr>
          <w:lang w:val="es-HN"/>
        </w:rPr>
      </w:pPr>
      <w:r w:rsidRPr="0076589C">
        <w:rPr>
          <w:lang w:val="es-HN"/>
        </w:rPr>
        <w:t xml:space="preserve">La rotación de las cuentas por cobrar se define como el tiempo medio que debe esperar la empresa después de efectuar una venta para recibir su pago. </w:t>
      </w:r>
      <w:r w:rsidR="0F01725C" w:rsidRPr="0076589C">
        <w:rPr>
          <w:lang w:val="es-HN"/>
        </w:rPr>
        <w:fldChar w:fldCharType="begin"/>
      </w:r>
      <w:r w:rsidR="0F01725C" w:rsidRPr="0076589C">
        <w:rPr>
          <w:lang w:val="es-HN"/>
        </w:rPr>
        <w:instrText xml:space="preserve"> ADDIN ZOTERO_ITEM CSL_CITATION {"citationID":"jUFbIP1a","properties":{"formattedCitation":"(Novoa, 2008)","plainCitation":"(Novoa, 2008)","noteIndex":0},"citationItems":[{"id":399,"uris":["http://zotero.org/users/12108825/items/5IY8WLME"],"itemData":{"id":399,"type":"book","ISBN":"978-958-716-086-4","language":"es","note":"Google-Books-ID: JmC1zekAM7oC","number-of-pages":"222","publisher":"Pontificia Universidad Javeriana","source":"Google Books","title":"Finanzas para no financistas","author":[{"family":"Novoa","given":"Alberto Barajas"}],"issued":{"date-parts":[["2008"]]}}}],"schema":"https://github.com/citation-style-language/schema/raw/master/csl-citation.json"} </w:instrText>
      </w:r>
      <w:r w:rsidR="0F01725C" w:rsidRPr="0076589C">
        <w:rPr>
          <w:lang w:val="es-HN"/>
        </w:rPr>
        <w:fldChar w:fldCharType="separate"/>
      </w:r>
      <w:r w:rsidRPr="0076589C">
        <w:rPr>
          <w:lang w:val="es-HN"/>
        </w:rPr>
        <w:t>(Novoa, 2008)</w:t>
      </w:r>
      <w:r w:rsidR="0F01725C" w:rsidRPr="0076589C">
        <w:rPr>
          <w:lang w:val="es-HN"/>
        </w:rPr>
        <w:fldChar w:fldCharType="end"/>
      </w:r>
      <w:r w:rsidRPr="0076589C">
        <w:rPr>
          <w:lang w:val="es-HN"/>
        </w:rPr>
        <w:t xml:space="preserve">  </w:t>
      </w:r>
    </w:p>
    <w:p w14:paraId="3889D8A8" w14:textId="2C0F86BB" w:rsidR="0F01725C" w:rsidRPr="0076589C" w:rsidRDefault="1C8D6E3A" w:rsidP="0F01725C">
      <w:pPr>
        <w:pStyle w:val="TextoPrincipal"/>
        <w:rPr>
          <w:lang w:val="es-HN"/>
        </w:rPr>
      </w:pPr>
      <w:r w:rsidRPr="0076589C">
        <w:rPr>
          <w:lang w:val="es-HN"/>
        </w:rPr>
        <w:t>La rotación de las cuentas por pagar es un indicador financiero clave que mide la eficiencia con la que una empresa paga a sus proveedores o acreedores. Esta métrica proporciona información valiosa sobre la gestión de las obligaciones financieras de una empresa y su flujo de efectivo.</w:t>
      </w:r>
    </w:p>
    <w:p w14:paraId="4550865A" w14:textId="6647C419" w:rsidR="00792269" w:rsidRPr="0076589C" w:rsidRDefault="1C8D6E3A" w:rsidP="00792269">
      <w:pPr>
        <w:pStyle w:val="ImagenyTabla"/>
        <w:rPr>
          <w:noProof w:val="0"/>
        </w:rPr>
      </w:pPr>
      <w:bookmarkStart w:id="268" w:name="_Toc158365562"/>
      <w:r w:rsidRPr="0076589C">
        <w:t xml:space="preserve">Tabla </w:t>
      </w:r>
      <w:r w:rsidR="2F8AD9B3" w:rsidRPr="0076589C">
        <w:rPr>
          <w:noProof w:val="0"/>
        </w:rPr>
        <w:fldChar w:fldCharType="begin"/>
      </w:r>
      <w:r w:rsidR="2F8AD9B3" w:rsidRPr="0076589C">
        <w:rPr>
          <w:noProof w:val="0"/>
        </w:rPr>
        <w:instrText xml:space="preserve"> SEQ Tabla \* ARABIC </w:instrText>
      </w:r>
      <w:r w:rsidR="2F8AD9B3" w:rsidRPr="0076589C">
        <w:rPr>
          <w:noProof w:val="0"/>
        </w:rPr>
        <w:fldChar w:fldCharType="separate"/>
      </w:r>
      <w:r w:rsidR="009F171A">
        <w:t>14</w:t>
      </w:r>
      <w:r w:rsidR="2F8AD9B3" w:rsidRPr="0076589C">
        <w:rPr>
          <w:noProof w:val="0"/>
        </w:rPr>
        <w:fldChar w:fldCharType="end"/>
      </w:r>
      <w:r w:rsidRPr="0076589C">
        <w:t>. Rotación de las cuentas por cobrar en IPRA (2019-2022)</w:t>
      </w:r>
      <w:bookmarkEnd w:id="268"/>
    </w:p>
    <w:tbl>
      <w:tblPr>
        <w:tblW w:w="5000" w:type="pct"/>
        <w:tblLook w:val="06A0" w:firstRow="1" w:lastRow="0" w:firstColumn="1" w:lastColumn="0" w:noHBand="1" w:noVBand="1"/>
      </w:tblPr>
      <w:tblGrid>
        <w:gridCol w:w="2460"/>
        <w:gridCol w:w="1725"/>
        <w:gridCol w:w="1725"/>
        <w:gridCol w:w="1725"/>
        <w:gridCol w:w="1725"/>
      </w:tblGrid>
      <w:tr w:rsidR="00DB1328" w:rsidRPr="0076589C" w14:paraId="167BF0C5" w14:textId="77777777" w:rsidTr="1C8D6E3A">
        <w:trPr>
          <w:trHeight w:val="255"/>
        </w:trPr>
        <w:tc>
          <w:tcPr>
            <w:tcW w:w="1392" w:type="pct"/>
            <w:tcBorders>
              <w:top w:val="nil"/>
              <w:left w:val="nil"/>
              <w:bottom w:val="nil"/>
              <w:right w:val="nil"/>
            </w:tcBorders>
            <w:tcMar>
              <w:top w:w="15" w:type="dxa"/>
              <w:left w:w="15" w:type="dxa"/>
              <w:right w:w="15" w:type="dxa"/>
            </w:tcMar>
            <w:vAlign w:val="bottom"/>
          </w:tcPr>
          <w:p w14:paraId="4E2EE41D" w14:textId="5BA69019" w:rsidR="2F8AD9B3" w:rsidRPr="0076589C" w:rsidRDefault="2F8AD9B3" w:rsidP="2F8AD9B3">
            <w:pPr>
              <w:spacing w:after="0"/>
            </w:pPr>
            <w:r w:rsidRPr="0076589C">
              <w:rPr>
                <w:rFonts w:ascii="Calibri" w:eastAsia="Calibri" w:hAnsi="Calibri" w:cs="Calibri"/>
                <w:b/>
                <w:bCs/>
                <w:i/>
                <w:iCs/>
                <w:sz w:val="20"/>
                <w:szCs w:val="20"/>
                <w:u w:val="single"/>
              </w:rPr>
              <w:t>Rotación de las cuentas por cobrar</w:t>
            </w:r>
          </w:p>
        </w:tc>
        <w:tc>
          <w:tcPr>
            <w:tcW w:w="905" w:type="pct"/>
            <w:tcBorders>
              <w:top w:val="nil"/>
              <w:left w:val="nil"/>
              <w:bottom w:val="nil"/>
              <w:right w:val="nil"/>
            </w:tcBorders>
            <w:tcMar>
              <w:top w:w="15" w:type="dxa"/>
              <w:left w:w="15" w:type="dxa"/>
              <w:right w:w="15" w:type="dxa"/>
            </w:tcMar>
            <w:vAlign w:val="bottom"/>
          </w:tcPr>
          <w:p w14:paraId="00D6AF1C" w14:textId="08D2FBA7" w:rsidR="2F8AD9B3" w:rsidRPr="0076589C" w:rsidRDefault="2F8AD9B3"/>
        </w:tc>
        <w:tc>
          <w:tcPr>
            <w:tcW w:w="846" w:type="pct"/>
            <w:tcBorders>
              <w:top w:val="nil"/>
              <w:left w:val="nil"/>
              <w:bottom w:val="nil"/>
              <w:right w:val="nil"/>
            </w:tcBorders>
            <w:tcMar>
              <w:top w:w="15" w:type="dxa"/>
              <w:left w:w="15" w:type="dxa"/>
              <w:right w:w="15" w:type="dxa"/>
            </w:tcMar>
            <w:vAlign w:val="bottom"/>
          </w:tcPr>
          <w:p w14:paraId="45862833" w14:textId="18DE1713" w:rsidR="2F8AD9B3" w:rsidRPr="0076589C" w:rsidRDefault="2F8AD9B3"/>
        </w:tc>
        <w:tc>
          <w:tcPr>
            <w:tcW w:w="932" w:type="pct"/>
            <w:tcBorders>
              <w:top w:val="nil"/>
              <w:left w:val="nil"/>
              <w:bottom w:val="nil"/>
              <w:right w:val="nil"/>
            </w:tcBorders>
            <w:tcMar>
              <w:top w:w="15" w:type="dxa"/>
              <w:left w:w="15" w:type="dxa"/>
              <w:right w:w="15" w:type="dxa"/>
            </w:tcMar>
            <w:vAlign w:val="bottom"/>
          </w:tcPr>
          <w:p w14:paraId="06852A7E" w14:textId="3A8DF439" w:rsidR="2F8AD9B3" w:rsidRPr="0076589C" w:rsidRDefault="2F8AD9B3"/>
        </w:tc>
        <w:tc>
          <w:tcPr>
            <w:tcW w:w="925" w:type="pct"/>
            <w:tcBorders>
              <w:top w:val="nil"/>
              <w:left w:val="nil"/>
              <w:bottom w:val="nil"/>
              <w:right w:val="nil"/>
            </w:tcBorders>
            <w:tcMar>
              <w:top w:w="15" w:type="dxa"/>
              <w:left w:w="15" w:type="dxa"/>
              <w:right w:w="15" w:type="dxa"/>
            </w:tcMar>
            <w:vAlign w:val="bottom"/>
          </w:tcPr>
          <w:p w14:paraId="419C71D2" w14:textId="422F2C21" w:rsidR="2F8AD9B3" w:rsidRPr="0076589C" w:rsidRDefault="2F8AD9B3"/>
        </w:tc>
      </w:tr>
      <w:tr w:rsidR="00DB1328" w:rsidRPr="0076589C" w14:paraId="1AFE8D8A" w14:textId="77777777" w:rsidTr="1C8D6E3A">
        <w:trPr>
          <w:trHeight w:val="270"/>
        </w:trPr>
        <w:tc>
          <w:tcPr>
            <w:tcW w:w="1392" w:type="pct"/>
            <w:tcBorders>
              <w:top w:val="nil"/>
              <w:left w:val="nil"/>
              <w:bottom w:val="nil"/>
              <w:right w:val="nil"/>
            </w:tcBorders>
            <w:tcMar>
              <w:top w:w="15" w:type="dxa"/>
              <w:left w:w="15" w:type="dxa"/>
              <w:right w:w="15" w:type="dxa"/>
            </w:tcMar>
            <w:vAlign w:val="bottom"/>
          </w:tcPr>
          <w:p w14:paraId="4A357937" w14:textId="5AB8A008" w:rsidR="2F8AD9B3" w:rsidRPr="0076589C" w:rsidRDefault="2F8AD9B3"/>
        </w:tc>
        <w:tc>
          <w:tcPr>
            <w:tcW w:w="905" w:type="pct"/>
            <w:tcBorders>
              <w:top w:val="nil"/>
              <w:left w:val="nil"/>
              <w:bottom w:val="single" w:sz="8" w:space="0" w:color="85BADC"/>
              <w:right w:val="nil"/>
            </w:tcBorders>
            <w:tcMar>
              <w:top w:w="15" w:type="dxa"/>
              <w:left w:w="15" w:type="dxa"/>
              <w:right w:w="15" w:type="dxa"/>
            </w:tcMar>
            <w:vAlign w:val="center"/>
          </w:tcPr>
          <w:p w14:paraId="1D428DF6" w14:textId="175A7136" w:rsidR="2F8AD9B3" w:rsidRPr="0076589C" w:rsidRDefault="2F8AD9B3" w:rsidP="2F8AD9B3">
            <w:pPr>
              <w:spacing w:after="0"/>
              <w:jc w:val="center"/>
            </w:pPr>
            <w:r w:rsidRPr="0076589C">
              <w:rPr>
                <w:rFonts w:ascii="Calibri" w:eastAsia="Calibri" w:hAnsi="Calibri" w:cs="Calibri"/>
                <w:b/>
                <w:bCs/>
                <w:color w:val="000000" w:themeColor="text1"/>
                <w:sz w:val="20"/>
                <w:szCs w:val="20"/>
              </w:rPr>
              <w:t>2019</w:t>
            </w:r>
          </w:p>
        </w:tc>
        <w:tc>
          <w:tcPr>
            <w:tcW w:w="846" w:type="pct"/>
            <w:tcBorders>
              <w:top w:val="nil"/>
              <w:left w:val="nil"/>
              <w:bottom w:val="single" w:sz="8" w:space="0" w:color="85BADC"/>
              <w:right w:val="nil"/>
            </w:tcBorders>
            <w:tcMar>
              <w:top w:w="15" w:type="dxa"/>
              <w:left w:w="15" w:type="dxa"/>
              <w:right w:w="15" w:type="dxa"/>
            </w:tcMar>
            <w:vAlign w:val="center"/>
          </w:tcPr>
          <w:p w14:paraId="64A82E9A" w14:textId="146BD12D" w:rsidR="2F8AD9B3" w:rsidRPr="0076589C" w:rsidRDefault="2F8AD9B3" w:rsidP="2F8AD9B3">
            <w:pPr>
              <w:spacing w:after="0"/>
              <w:jc w:val="center"/>
            </w:pPr>
            <w:r w:rsidRPr="0076589C">
              <w:rPr>
                <w:rFonts w:ascii="Calibri" w:eastAsia="Calibri" w:hAnsi="Calibri" w:cs="Calibri"/>
                <w:b/>
                <w:bCs/>
                <w:color w:val="000000" w:themeColor="text1"/>
                <w:sz w:val="20"/>
                <w:szCs w:val="20"/>
              </w:rPr>
              <w:t>2020</w:t>
            </w:r>
          </w:p>
        </w:tc>
        <w:tc>
          <w:tcPr>
            <w:tcW w:w="932" w:type="pct"/>
            <w:tcBorders>
              <w:top w:val="nil"/>
              <w:left w:val="nil"/>
              <w:bottom w:val="single" w:sz="8" w:space="0" w:color="85BADC"/>
              <w:right w:val="nil"/>
            </w:tcBorders>
            <w:tcMar>
              <w:top w:w="15" w:type="dxa"/>
              <w:left w:w="15" w:type="dxa"/>
              <w:right w:w="15" w:type="dxa"/>
            </w:tcMar>
            <w:vAlign w:val="center"/>
          </w:tcPr>
          <w:p w14:paraId="0D53CBBF" w14:textId="69E48A59" w:rsidR="2F8AD9B3" w:rsidRPr="0076589C" w:rsidRDefault="2F8AD9B3" w:rsidP="2F8AD9B3">
            <w:pPr>
              <w:spacing w:after="0"/>
              <w:jc w:val="center"/>
            </w:pPr>
            <w:r w:rsidRPr="0076589C">
              <w:rPr>
                <w:rFonts w:ascii="Calibri" w:eastAsia="Calibri" w:hAnsi="Calibri" w:cs="Calibri"/>
                <w:b/>
                <w:bCs/>
                <w:color w:val="000000" w:themeColor="text1"/>
                <w:sz w:val="20"/>
                <w:szCs w:val="20"/>
              </w:rPr>
              <w:t>2021</w:t>
            </w:r>
          </w:p>
        </w:tc>
        <w:tc>
          <w:tcPr>
            <w:tcW w:w="925" w:type="pct"/>
            <w:tcBorders>
              <w:top w:val="nil"/>
              <w:left w:val="nil"/>
              <w:bottom w:val="single" w:sz="8" w:space="0" w:color="85BADC"/>
              <w:right w:val="nil"/>
            </w:tcBorders>
            <w:tcMar>
              <w:top w:w="15" w:type="dxa"/>
              <w:left w:w="15" w:type="dxa"/>
              <w:right w:w="15" w:type="dxa"/>
            </w:tcMar>
            <w:vAlign w:val="center"/>
          </w:tcPr>
          <w:p w14:paraId="373F4D09" w14:textId="1823D645" w:rsidR="2F8AD9B3" w:rsidRPr="0076589C" w:rsidRDefault="2F8AD9B3" w:rsidP="2F8AD9B3">
            <w:pPr>
              <w:spacing w:after="0"/>
              <w:jc w:val="center"/>
            </w:pPr>
            <w:r w:rsidRPr="0076589C">
              <w:rPr>
                <w:rFonts w:ascii="Calibri" w:eastAsia="Calibri" w:hAnsi="Calibri" w:cs="Calibri"/>
                <w:b/>
                <w:bCs/>
                <w:color w:val="000000" w:themeColor="text1"/>
                <w:sz w:val="20"/>
                <w:szCs w:val="20"/>
              </w:rPr>
              <w:t>2022</w:t>
            </w:r>
          </w:p>
        </w:tc>
      </w:tr>
      <w:tr w:rsidR="00DB1328" w:rsidRPr="0076589C" w14:paraId="3D63CA64" w14:textId="77777777" w:rsidTr="1C8D6E3A">
        <w:trPr>
          <w:trHeight w:val="255"/>
        </w:trPr>
        <w:tc>
          <w:tcPr>
            <w:tcW w:w="1392" w:type="pct"/>
            <w:tcBorders>
              <w:top w:val="nil"/>
              <w:left w:val="nil"/>
              <w:bottom w:val="nil"/>
              <w:right w:val="nil"/>
            </w:tcBorders>
            <w:tcMar>
              <w:top w:w="15" w:type="dxa"/>
              <w:left w:w="15" w:type="dxa"/>
              <w:right w:w="15" w:type="dxa"/>
            </w:tcMar>
            <w:vAlign w:val="bottom"/>
          </w:tcPr>
          <w:p w14:paraId="01047D02" w14:textId="7283C878" w:rsidR="2F8AD9B3" w:rsidRPr="0076589C" w:rsidRDefault="2F8AD9B3" w:rsidP="2F8AD9B3">
            <w:pPr>
              <w:spacing w:after="0"/>
            </w:pPr>
            <w:r w:rsidRPr="0076589C">
              <w:rPr>
                <w:rFonts w:ascii="Calibri" w:eastAsia="Calibri" w:hAnsi="Calibri" w:cs="Calibri"/>
                <w:sz w:val="20"/>
                <w:szCs w:val="20"/>
              </w:rPr>
              <w:t>Ventas</w:t>
            </w:r>
          </w:p>
        </w:tc>
        <w:tc>
          <w:tcPr>
            <w:tcW w:w="905" w:type="pct"/>
            <w:tcBorders>
              <w:top w:val="single" w:sz="8" w:space="0" w:color="85BADC"/>
              <w:left w:val="nil"/>
              <w:bottom w:val="nil"/>
              <w:right w:val="nil"/>
            </w:tcBorders>
            <w:tcMar>
              <w:top w:w="15" w:type="dxa"/>
              <w:left w:w="15" w:type="dxa"/>
              <w:right w:w="15" w:type="dxa"/>
            </w:tcMar>
            <w:vAlign w:val="bottom"/>
          </w:tcPr>
          <w:p w14:paraId="3DFB04CB" w14:textId="3E75AB59" w:rsidR="2F8AD9B3" w:rsidRPr="0076589C" w:rsidRDefault="2F8AD9B3" w:rsidP="2F8AD9B3">
            <w:pPr>
              <w:spacing w:after="0"/>
              <w:jc w:val="center"/>
            </w:pPr>
            <w:r w:rsidRPr="0076589C">
              <w:rPr>
                <w:rFonts w:ascii="Calibri" w:eastAsia="Calibri" w:hAnsi="Calibri" w:cs="Calibri"/>
                <w:sz w:val="20"/>
                <w:szCs w:val="20"/>
              </w:rPr>
              <w:t xml:space="preserve"> </w:t>
            </w:r>
            <w:r w:rsidR="00DB1328" w:rsidRPr="0076589C">
              <w:rPr>
                <w:rFonts w:ascii="Calibri" w:eastAsia="Calibri" w:hAnsi="Calibri" w:cs="Calibri"/>
                <w:sz w:val="20"/>
                <w:szCs w:val="20"/>
              </w:rPr>
              <w:t>L</w:t>
            </w:r>
            <w:r w:rsidRPr="0076589C">
              <w:rPr>
                <w:rFonts w:ascii="Calibri" w:eastAsia="Calibri" w:hAnsi="Calibri" w:cs="Calibri"/>
                <w:sz w:val="20"/>
                <w:szCs w:val="20"/>
              </w:rPr>
              <w:t xml:space="preserve">26,105,424.64 </w:t>
            </w:r>
          </w:p>
        </w:tc>
        <w:tc>
          <w:tcPr>
            <w:tcW w:w="846" w:type="pct"/>
            <w:tcBorders>
              <w:top w:val="single" w:sz="8" w:space="0" w:color="85BADC"/>
              <w:left w:val="nil"/>
              <w:bottom w:val="nil"/>
              <w:right w:val="nil"/>
            </w:tcBorders>
            <w:tcMar>
              <w:top w:w="15" w:type="dxa"/>
              <w:left w:w="15" w:type="dxa"/>
              <w:right w:w="15" w:type="dxa"/>
            </w:tcMar>
            <w:vAlign w:val="bottom"/>
          </w:tcPr>
          <w:p w14:paraId="02DC3732" w14:textId="543A48E9" w:rsidR="2F8AD9B3" w:rsidRPr="0076589C" w:rsidRDefault="2F8AD9B3" w:rsidP="2F8AD9B3">
            <w:pPr>
              <w:spacing w:after="0"/>
              <w:jc w:val="center"/>
            </w:pPr>
            <w:r w:rsidRPr="0076589C">
              <w:rPr>
                <w:rFonts w:ascii="Calibri" w:eastAsia="Calibri" w:hAnsi="Calibri" w:cs="Calibri"/>
                <w:sz w:val="20"/>
                <w:szCs w:val="20"/>
              </w:rPr>
              <w:t xml:space="preserve"> </w:t>
            </w:r>
            <w:r w:rsidR="00DB1328" w:rsidRPr="0076589C">
              <w:rPr>
                <w:rFonts w:ascii="Calibri" w:eastAsia="Calibri" w:hAnsi="Calibri" w:cs="Calibri"/>
                <w:sz w:val="20"/>
                <w:szCs w:val="20"/>
              </w:rPr>
              <w:t>L</w:t>
            </w:r>
            <w:r w:rsidRPr="0076589C">
              <w:rPr>
                <w:rFonts w:ascii="Calibri" w:eastAsia="Calibri" w:hAnsi="Calibri" w:cs="Calibri"/>
                <w:sz w:val="20"/>
                <w:szCs w:val="20"/>
              </w:rPr>
              <w:t xml:space="preserve">31,891,032.92 </w:t>
            </w:r>
          </w:p>
        </w:tc>
        <w:tc>
          <w:tcPr>
            <w:tcW w:w="932" w:type="pct"/>
            <w:tcBorders>
              <w:top w:val="single" w:sz="8" w:space="0" w:color="85BADC"/>
              <w:left w:val="nil"/>
              <w:bottom w:val="nil"/>
              <w:right w:val="nil"/>
            </w:tcBorders>
            <w:tcMar>
              <w:top w:w="15" w:type="dxa"/>
              <w:left w:w="15" w:type="dxa"/>
              <w:right w:w="15" w:type="dxa"/>
            </w:tcMar>
            <w:vAlign w:val="bottom"/>
          </w:tcPr>
          <w:p w14:paraId="50180614" w14:textId="0A8CADBE" w:rsidR="2F8AD9B3" w:rsidRPr="0076589C" w:rsidRDefault="2F8AD9B3" w:rsidP="2F8AD9B3">
            <w:pPr>
              <w:spacing w:after="0"/>
              <w:jc w:val="center"/>
            </w:pPr>
            <w:r w:rsidRPr="0076589C">
              <w:rPr>
                <w:rFonts w:ascii="Calibri" w:eastAsia="Calibri" w:hAnsi="Calibri" w:cs="Calibri"/>
                <w:sz w:val="20"/>
                <w:szCs w:val="20"/>
              </w:rPr>
              <w:t xml:space="preserve"> </w:t>
            </w:r>
            <w:r w:rsidR="00DB1328" w:rsidRPr="0076589C">
              <w:rPr>
                <w:rFonts w:ascii="Calibri" w:eastAsia="Calibri" w:hAnsi="Calibri" w:cs="Calibri"/>
                <w:sz w:val="20"/>
                <w:szCs w:val="20"/>
              </w:rPr>
              <w:t>L</w:t>
            </w:r>
            <w:r w:rsidRPr="0076589C">
              <w:rPr>
                <w:rFonts w:ascii="Calibri" w:eastAsia="Calibri" w:hAnsi="Calibri" w:cs="Calibri"/>
                <w:sz w:val="20"/>
                <w:szCs w:val="20"/>
              </w:rPr>
              <w:t xml:space="preserve">22,321,755.08 </w:t>
            </w:r>
          </w:p>
        </w:tc>
        <w:tc>
          <w:tcPr>
            <w:tcW w:w="925" w:type="pct"/>
            <w:tcBorders>
              <w:top w:val="single" w:sz="8" w:space="0" w:color="85BADC"/>
              <w:left w:val="nil"/>
              <w:bottom w:val="nil"/>
              <w:right w:val="nil"/>
            </w:tcBorders>
            <w:tcMar>
              <w:top w:w="15" w:type="dxa"/>
              <w:left w:w="15" w:type="dxa"/>
              <w:right w:w="15" w:type="dxa"/>
            </w:tcMar>
            <w:vAlign w:val="bottom"/>
          </w:tcPr>
          <w:p w14:paraId="251C35E9" w14:textId="7585A913" w:rsidR="2F8AD9B3" w:rsidRPr="0076589C" w:rsidRDefault="00DB1328" w:rsidP="2F8AD9B3">
            <w:pPr>
              <w:spacing w:after="0"/>
              <w:jc w:val="center"/>
            </w:pPr>
            <w:r w:rsidRPr="0076589C">
              <w:rPr>
                <w:rFonts w:ascii="Calibri" w:eastAsia="Calibri" w:hAnsi="Calibri" w:cs="Calibri"/>
                <w:sz w:val="20"/>
                <w:szCs w:val="20"/>
              </w:rPr>
              <w:t>L</w:t>
            </w:r>
            <w:r w:rsidR="2F8AD9B3" w:rsidRPr="0076589C">
              <w:rPr>
                <w:rFonts w:ascii="Calibri" w:eastAsia="Calibri" w:hAnsi="Calibri" w:cs="Calibri"/>
                <w:sz w:val="20"/>
                <w:szCs w:val="20"/>
              </w:rPr>
              <w:t xml:space="preserve">29,605,010.66 </w:t>
            </w:r>
          </w:p>
        </w:tc>
      </w:tr>
      <w:tr w:rsidR="00DB1328" w:rsidRPr="0076589C" w14:paraId="222E9F0C" w14:textId="77777777" w:rsidTr="1C8D6E3A">
        <w:trPr>
          <w:trHeight w:val="270"/>
        </w:trPr>
        <w:tc>
          <w:tcPr>
            <w:tcW w:w="1392" w:type="pct"/>
            <w:tcBorders>
              <w:top w:val="nil"/>
              <w:left w:val="nil"/>
              <w:bottom w:val="double" w:sz="5" w:space="0" w:color="85BADC"/>
              <w:right w:val="nil"/>
            </w:tcBorders>
            <w:tcMar>
              <w:top w:w="15" w:type="dxa"/>
              <w:left w:w="15" w:type="dxa"/>
              <w:right w:w="15" w:type="dxa"/>
            </w:tcMar>
            <w:vAlign w:val="bottom"/>
          </w:tcPr>
          <w:p w14:paraId="7CE39731" w14:textId="405D01C5" w:rsidR="2F8AD9B3" w:rsidRPr="0076589C" w:rsidRDefault="2F8AD9B3" w:rsidP="2F8AD9B3">
            <w:pPr>
              <w:spacing w:after="0"/>
            </w:pPr>
            <w:r w:rsidRPr="0076589C">
              <w:rPr>
                <w:rFonts w:ascii="Calibri" w:eastAsia="Calibri" w:hAnsi="Calibri" w:cs="Calibri"/>
                <w:sz w:val="20"/>
                <w:szCs w:val="20"/>
              </w:rPr>
              <w:t>Promedio de cuentas por cobrar</w:t>
            </w:r>
          </w:p>
        </w:tc>
        <w:tc>
          <w:tcPr>
            <w:tcW w:w="905" w:type="pct"/>
            <w:tcBorders>
              <w:top w:val="nil"/>
              <w:left w:val="nil"/>
              <w:bottom w:val="double" w:sz="5" w:space="0" w:color="85BADC"/>
              <w:right w:val="nil"/>
            </w:tcBorders>
            <w:tcMar>
              <w:top w:w="15" w:type="dxa"/>
              <w:left w:w="15" w:type="dxa"/>
              <w:right w:w="15" w:type="dxa"/>
            </w:tcMar>
            <w:vAlign w:val="bottom"/>
          </w:tcPr>
          <w:p w14:paraId="7ED3820A" w14:textId="247E66CC" w:rsidR="2F8AD9B3" w:rsidRPr="0076589C" w:rsidRDefault="00DB1328" w:rsidP="2F8AD9B3">
            <w:pPr>
              <w:spacing w:after="0"/>
            </w:pPr>
            <w:r w:rsidRPr="0076589C">
              <w:rPr>
                <w:rFonts w:ascii="Calibri" w:eastAsia="Calibri" w:hAnsi="Calibri" w:cs="Calibri"/>
                <w:sz w:val="20"/>
                <w:szCs w:val="20"/>
              </w:rPr>
              <w:t>L</w:t>
            </w:r>
            <w:r w:rsidR="2F8AD9B3" w:rsidRPr="0076589C">
              <w:rPr>
                <w:rFonts w:ascii="Calibri" w:eastAsia="Calibri" w:hAnsi="Calibri" w:cs="Calibri"/>
                <w:sz w:val="20"/>
                <w:szCs w:val="20"/>
              </w:rPr>
              <w:t xml:space="preserve">11,804,804.12 </w:t>
            </w:r>
          </w:p>
        </w:tc>
        <w:tc>
          <w:tcPr>
            <w:tcW w:w="846" w:type="pct"/>
            <w:tcBorders>
              <w:top w:val="nil"/>
              <w:left w:val="nil"/>
              <w:bottom w:val="double" w:sz="5" w:space="0" w:color="85BADC"/>
              <w:right w:val="nil"/>
            </w:tcBorders>
            <w:tcMar>
              <w:top w:w="15" w:type="dxa"/>
              <w:left w:w="15" w:type="dxa"/>
              <w:right w:w="15" w:type="dxa"/>
            </w:tcMar>
            <w:vAlign w:val="bottom"/>
          </w:tcPr>
          <w:p w14:paraId="155CBBF0" w14:textId="027FD67B" w:rsidR="2F8AD9B3" w:rsidRPr="0076589C" w:rsidRDefault="2F8AD9B3" w:rsidP="2F8AD9B3">
            <w:pPr>
              <w:spacing w:after="0"/>
            </w:pPr>
            <w:r w:rsidRPr="0076589C">
              <w:rPr>
                <w:rFonts w:ascii="Calibri" w:eastAsia="Calibri" w:hAnsi="Calibri" w:cs="Calibri"/>
                <w:sz w:val="20"/>
                <w:szCs w:val="20"/>
              </w:rPr>
              <w:t xml:space="preserve"> </w:t>
            </w:r>
            <w:r w:rsidR="00DB1328" w:rsidRPr="0076589C">
              <w:rPr>
                <w:rFonts w:ascii="Calibri" w:eastAsia="Calibri" w:hAnsi="Calibri" w:cs="Calibri"/>
                <w:sz w:val="20"/>
                <w:szCs w:val="20"/>
              </w:rPr>
              <w:t>L</w:t>
            </w:r>
            <w:r w:rsidRPr="0076589C">
              <w:rPr>
                <w:rFonts w:ascii="Calibri" w:eastAsia="Calibri" w:hAnsi="Calibri" w:cs="Calibri"/>
                <w:sz w:val="20"/>
                <w:szCs w:val="20"/>
              </w:rPr>
              <w:t xml:space="preserve">11,467,205.10 </w:t>
            </w:r>
          </w:p>
        </w:tc>
        <w:tc>
          <w:tcPr>
            <w:tcW w:w="932" w:type="pct"/>
            <w:tcBorders>
              <w:top w:val="nil"/>
              <w:left w:val="nil"/>
              <w:bottom w:val="double" w:sz="5" w:space="0" w:color="85BADC"/>
              <w:right w:val="nil"/>
            </w:tcBorders>
            <w:tcMar>
              <w:top w:w="15" w:type="dxa"/>
              <w:left w:w="15" w:type="dxa"/>
              <w:right w:w="15" w:type="dxa"/>
            </w:tcMar>
            <w:vAlign w:val="bottom"/>
          </w:tcPr>
          <w:p w14:paraId="66D89F22" w14:textId="56603C37" w:rsidR="2F8AD9B3" w:rsidRPr="0076589C" w:rsidRDefault="2F8AD9B3" w:rsidP="2F8AD9B3">
            <w:pPr>
              <w:spacing w:after="0"/>
            </w:pPr>
            <w:r w:rsidRPr="0076589C">
              <w:rPr>
                <w:rFonts w:ascii="Calibri" w:eastAsia="Calibri" w:hAnsi="Calibri" w:cs="Calibri"/>
                <w:sz w:val="20"/>
                <w:szCs w:val="20"/>
              </w:rPr>
              <w:t xml:space="preserve"> L</w:t>
            </w:r>
            <w:r w:rsidR="00DB1328" w:rsidRPr="0076589C">
              <w:rPr>
                <w:rFonts w:ascii="Calibri" w:eastAsia="Calibri" w:hAnsi="Calibri" w:cs="Calibri"/>
                <w:sz w:val="20"/>
                <w:szCs w:val="20"/>
              </w:rPr>
              <w:t xml:space="preserve"> </w:t>
            </w:r>
            <w:r w:rsidRPr="0076589C">
              <w:rPr>
                <w:rFonts w:ascii="Calibri" w:eastAsia="Calibri" w:hAnsi="Calibri" w:cs="Calibri"/>
                <w:sz w:val="20"/>
                <w:szCs w:val="20"/>
              </w:rPr>
              <w:t xml:space="preserve">8,785,375.77 </w:t>
            </w:r>
          </w:p>
        </w:tc>
        <w:tc>
          <w:tcPr>
            <w:tcW w:w="925" w:type="pct"/>
            <w:tcBorders>
              <w:top w:val="nil"/>
              <w:left w:val="nil"/>
              <w:bottom w:val="double" w:sz="5" w:space="0" w:color="85BADC"/>
              <w:right w:val="nil"/>
            </w:tcBorders>
            <w:tcMar>
              <w:top w:w="15" w:type="dxa"/>
              <w:left w:w="15" w:type="dxa"/>
              <w:right w:w="15" w:type="dxa"/>
            </w:tcMar>
            <w:vAlign w:val="bottom"/>
          </w:tcPr>
          <w:p w14:paraId="0C6D1637" w14:textId="4DBD42CC" w:rsidR="2F8AD9B3" w:rsidRPr="0076589C" w:rsidRDefault="2F8AD9B3" w:rsidP="2F8AD9B3">
            <w:pPr>
              <w:spacing w:after="0"/>
            </w:pPr>
            <w:r w:rsidRPr="0076589C">
              <w:rPr>
                <w:rFonts w:ascii="Calibri" w:eastAsia="Calibri" w:hAnsi="Calibri" w:cs="Calibri"/>
                <w:sz w:val="20"/>
                <w:szCs w:val="20"/>
              </w:rPr>
              <w:t xml:space="preserve"> L</w:t>
            </w:r>
            <w:r w:rsidR="00DB1328" w:rsidRPr="0076589C">
              <w:rPr>
                <w:rFonts w:ascii="Calibri" w:eastAsia="Calibri" w:hAnsi="Calibri" w:cs="Calibri"/>
                <w:sz w:val="20"/>
                <w:szCs w:val="20"/>
              </w:rPr>
              <w:t xml:space="preserve"> </w:t>
            </w:r>
            <w:r w:rsidRPr="0076589C">
              <w:rPr>
                <w:rFonts w:ascii="Calibri" w:eastAsia="Calibri" w:hAnsi="Calibri" w:cs="Calibri"/>
                <w:sz w:val="20"/>
                <w:szCs w:val="20"/>
              </w:rPr>
              <w:t xml:space="preserve">6,484,475.63 </w:t>
            </w:r>
          </w:p>
        </w:tc>
      </w:tr>
      <w:tr w:rsidR="00DB1328" w:rsidRPr="0076589C" w14:paraId="78F5A2CF" w14:textId="77777777" w:rsidTr="1C8D6E3A">
        <w:trPr>
          <w:trHeight w:val="270"/>
        </w:trPr>
        <w:tc>
          <w:tcPr>
            <w:tcW w:w="1392" w:type="pct"/>
            <w:tcBorders>
              <w:top w:val="double" w:sz="5" w:space="0" w:color="85BADC"/>
              <w:left w:val="nil"/>
              <w:bottom w:val="nil"/>
              <w:right w:val="nil"/>
            </w:tcBorders>
            <w:tcMar>
              <w:top w:w="15" w:type="dxa"/>
              <w:left w:w="15" w:type="dxa"/>
              <w:right w:w="15" w:type="dxa"/>
            </w:tcMar>
            <w:vAlign w:val="bottom"/>
          </w:tcPr>
          <w:p w14:paraId="311EFBFD" w14:textId="716283E3" w:rsidR="2F8AD9B3" w:rsidRPr="0076589C" w:rsidRDefault="2F8AD9B3" w:rsidP="2F8AD9B3">
            <w:pPr>
              <w:spacing w:after="0"/>
            </w:pPr>
            <w:r w:rsidRPr="0076589C">
              <w:rPr>
                <w:rFonts w:ascii="Calibri" w:eastAsia="Calibri" w:hAnsi="Calibri" w:cs="Calibri"/>
                <w:b/>
                <w:bCs/>
                <w:sz w:val="20"/>
                <w:szCs w:val="20"/>
              </w:rPr>
              <w:t>RCxC  Veces</w:t>
            </w:r>
          </w:p>
        </w:tc>
        <w:tc>
          <w:tcPr>
            <w:tcW w:w="905" w:type="pct"/>
            <w:tcBorders>
              <w:top w:val="double" w:sz="5" w:space="0" w:color="85BADC"/>
              <w:left w:val="nil"/>
              <w:bottom w:val="nil"/>
              <w:right w:val="nil"/>
            </w:tcBorders>
            <w:tcMar>
              <w:top w:w="15" w:type="dxa"/>
              <w:left w:w="15" w:type="dxa"/>
              <w:right w:w="15" w:type="dxa"/>
            </w:tcMar>
            <w:vAlign w:val="bottom"/>
          </w:tcPr>
          <w:p w14:paraId="26A6B1FD" w14:textId="2E28BA6D" w:rsidR="2F8AD9B3" w:rsidRPr="0076589C" w:rsidRDefault="2F8AD9B3" w:rsidP="2F8AD9B3">
            <w:pPr>
              <w:spacing w:after="0"/>
              <w:jc w:val="center"/>
            </w:pPr>
            <w:r w:rsidRPr="0076589C">
              <w:rPr>
                <w:rFonts w:ascii="Calibri" w:eastAsia="Calibri" w:hAnsi="Calibri" w:cs="Calibri"/>
                <w:b/>
                <w:bCs/>
                <w:sz w:val="20"/>
                <w:szCs w:val="20"/>
              </w:rPr>
              <w:t>2.21</w:t>
            </w:r>
          </w:p>
        </w:tc>
        <w:tc>
          <w:tcPr>
            <w:tcW w:w="846" w:type="pct"/>
            <w:tcBorders>
              <w:top w:val="double" w:sz="5" w:space="0" w:color="85BADC"/>
              <w:left w:val="nil"/>
              <w:bottom w:val="nil"/>
              <w:right w:val="nil"/>
            </w:tcBorders>
            <w:tcMar>
              <w:top w:w="15" w:type="dxa"/>
              <w:left w:w="15" w:type="dxa"/>
              <w:right w:w="15" w:type="dxa"/>
            </w:tcMar>
            <w:vAlign w:val="bottom"/>
          </w:tcPr>
          <w:p w14:paraId="69F876BE" w14:textId="138C20F0" w:rsidR="2F8AD9B3" w:rsidRPr="0076589C" w:rsidRDefault="2F8AD9B3" w:rsidP="2F8AD9B3">
            <w:pPr>
              <w:spacing w:after="0"/>
              <w:jc w:val="center"/>
            </w:pPr>
            <w:r w:rsidRPr="0076589C">
              <w:rPr>
                <w:rFonts w:ascii="Calibri" w:eastAsia="Calibri" w:hAnsi="Calibri" w:cs="Calibri"/>
                <w:b/>
                <w:bCs/>
                <w:sz w:val="20"/>
                <w:szCs w:val="20"/>
              </w:rPr>
              <w:t>2.78</w:t>
            </w:r>
          </w:p>
        </w:tc>
        <w:tc>
          <w:tcPr>
            <w:tcW w:w="932" w:type="pct"/>
            <w:tcBorders>
              <w:top w:val="double" w:sz="5" w:space="0" w:color="85BADC"/>
              <w:left w:val="nil"/>
              <w:bottom w:val="nil"/>
              <w:right w:val="nil"/>
            </w:tcBorders>
            <w:tcMar>
              <w:top w:w="15" w:type="dxa"/>
              <w:left w:w="15" w:type="dxa"/>
              <w:right w:w="15" w:type="dxa"/>
            </w:tcMar>
            <w:vAlign w:val="bottom"/>
          </w:tcPr>
          <w:p w14:paraId="043002E8" w14:textId="343110C3" w:rsidR="2F8AD9B3" w:rsidRPr="0076589C" w:rsidRDefault="2F8AD9B3" w:rsidP="2F8AD9B3">
            <w:pPr>
              <w:spacing w:after="0"/>
              <w:jc w:val="center"/>
            </w:pPr>
            <w:r w:rsidRPr="0076589C">
              <w:rPr>
                <w:rFonts w:ascii="Calibri" w:eastAsia="Calibri" w:hAnsi="Calibri" w:cs="Calibri"/>
                <w:b/>
                <w:bCs/>
                <w:sz w:val="20"/>
                <w:szCs w:val="20"/>
              </w:rPr>
              <w:t>2.54</w:t>
            </w:r>
          </w:p>
        </w:tc>
        <w:tc>
          <w:tcPr>
            <w:tcW w:w="925" w:type="pct"/>
            <w:tcBorders>
              <w:top w:val="double" w:sz="5" w:space="0" w:color="85BADC"/>
              <w:left w:val="nil"/>
              <w:bottom w:val="nil"/>
              <w:right w:val="nil"/>
            </w:tcBorders>
            <w:tcMar>
              <w:top w:w="15" w:type="dxa"/>
              <w:left w:w="15" w:type="dxa"/>
              <w:right w:w="15" w:type="dxa"/>
            </w:tcMar>
            <w:vAlign w:val="bottom"/>
          </w:tcPr>
          <w:p w14:paraId="263DD848" w14:textId="38C4556D" w:rsidR="2F8AD9B3" w:rsidRPr="0076589C" w:rsidRDefault="2F8AD9B3" w:rsidP="2F8AD9B3">
            <w:pPr>
              <w:spacing w:after="0"/>
              <w:jc w:val="center"/>
            </w:pPr>
            <w:r w:rsidRPr="0076589C">
              <w:rPr>
                <w:rFonts w:ascii="Calibri" w:eastAsia="Calibri" w:hAnsi="Calibri" w:cs="Calibri"/>
                <w:b/>
                <w:bCs/>
                <w:sz w:val="20"/>
                <w:szCs w:val="20"/>
              </w:rPr>
              <w:t>4.57</w:t>
            </w:r>
          </w:p>
        </w:tc>
      </w:tr>
    </w:tbl>
    <w:p w14:paraId="56A4DB60" w14:textId="77777777" w:rsidR="00D33EF8" w:rsidRPr="0076589C" w:rsidRDefault="1C8D6E3A" w:rsidP="00E71B26">
      <w:pPr>
        <w:pStyle w:val="Fuentes"/>
        <w:rPr>
          <w:lang w:val="es-HN"/>
        </w:rPr>
      </w:pPr>
      <w:r w:rsidRPr="0076589C">
        <w:rPr>
          <w:lang w:val="es-HN"/>
        </w:rPr>
        <w:t>Fuente: Elaboración propia con datos de IPRA (2023).</w:t>
      </w:r>
    </w:p>
    <w:p w14:paraId="61F76A48" w14:textId="3748E339" w:rsidR="00641EE0" w:rsidRPr="0076589C" w:rsidRDefault="00D87F38" w:rsidP="2F8AD9B3">
      <w:pPr>
        <w:pStyle w:val="TextoPrincipal"/>
        <w:rPr>
          <w:lang w:val="es-HN"/>
        </w:rPr>
      </w:pPr>
      <w:r w:rsidRPr="0076589C">
        <w:rPr>
          <w:lang w:val="es-HN"/>
        </w:rPr>
        <w:t>Se identificó</w:t>
      </w:r>
      <w:r w:rsidR="1C8D6E3A" w:rsidRPr="0076589C">
        <w:rPr>
          <w:lang w:val="es-HN"/>
        </w:rPr>
        <w:t xml:space="preserve"> en la </w:t>
      </w:r>
      <w:r w:rsidR="00585884" w:rsidRPr="0076589C">
        <w:rPr>
          <w:b/>
          <w:bCs/>
          <w:lang w:val="es-HN"/>
        </w:rPr>
        <w:t>Tabla 1</w:t>
      </w:r>
      <w:r w:rsidR="1C8D6E3A" w:rsidRPr="0076589C">
        <w:rPr>
          <w:b/>
          <w:bCs/>
          <w:lang w:val="es-HN"/>
        </w:rPr>
        <w:t>4</w:t>
      </w:r>
      <w:r w:rsidR="1C8D6E3A" w:rsidRPr="0076589C">
        <w:rPr>
          <w:lang w:val="es-HN"/>
        </w:rPr>
        <w:t xml:space="preserve">, en el año 2019, la rotación de las cuentas por cobrar fue de 2.21 veces, lo que significa que las ventas anuales fueron 2.21 veces mayores que el promedio de las cuentas por cobrar durante ese año. esta métrica aumentó en el 2020 a 2.78 veces, lo que indica </w:t>
      </w:r>
      <w:r w:rsidR="1C8D6E3A" w:rsidRPr="0076589C">
        <w:rPr>
          <w:lang w:val="es-HN"/>
        </w:rPr>
        <w:lastRenderedPageBreak/>
        <w:t xml:space="preserve">que la empresa mejoró su eficiencia en la gestión de las cuentas por cobrar, ya que pudo cobrar más rápido en relación con sus ventas. </w:t>
      </w:r>
    </w:p>
    <w:p w14:paraId="1EE27649" w14:textId="50495779" w:rsidR="2F8AD9B3" w:rsidRPr="0076589C" w:rsidRDefault="7FAD8741" w:rsidP="00690313">
      <w:pPr>
        <w:pStyle w:val="TextoPrincipal"/>
        <w:spacing w:after="0"/>
        <w:rPr>
          <w:lang w:val="es-HN"/>
        </w:rPr>
      </w:pPr>
      <w:r w:rsidRPr="0076589C">
        <w:rPr>
          <w:lang w:val="es-HN"/>
        </w:rPr>
        <w:t>Para el año 2022 fue el año donde este indicador se elevó a un 4.57, este también pudo ver su impacto en la partida de efectivo del balance general donde aumento en un 197%. Un aumento en la rotación de las cuentas por cobrar es generalmente positivo, ya que implica que la empresa está gestionando de manera más eficiente sus cuentas por cobrar y convirtiendo las ventas en efectivo más rápidamente. Sin embargo, es importante evaluar las razones detrás de estos cambios y asegurarse de que no haya un impacto negativo en la relación con los clientes o en la rentabilidad de la empresa.</w:t>
      </w:r>
    </w:p>
    <w:p w14:paraId="33EB48F1" w14:textId="353C26E4" w:rsidR="00964A07" w:rsidRPr="0076589C" w:rsidRDefault="1C8D6E3A" w:rsidP="0053775F">
      <w:pPr>
        <w:pStyle w:val="Nivel5"/>
        <w:numPr>
          <w:ilvl w:val="0"/>
          <w:numId w:val="37"/>
        </w:numPr>
        <w:ind w:left="1440" w:firstLine="0"/>
      </w:pPr>
      <w:r w:rsidRPr="0076589C">
        <w:t xml:space="preserve"> PERIODO PROMEDIO DE COBRO (PPC)</w:t>
      </w:r>
    </w:p>
    <w:p w14:paraId="10EC5F9E" w14:textId="05B0CAB9" w:rsidR="001707E4" w:rsidRPr="0076589C" w:rsidRDefault="1C8D6E3A" w:rsidP="00984FE5">
      <w:pPr>
        <w:pStyle w:val="TextoPrincipal"/>
        <w:rPr>
          <w:lang w:val="es-HN"/>
        </w:rPr>
      </w:pPr>
      <w:r w:rsidRPr="0076589C">
        <w:rPr>
          <w:lang w:val="es-HN"/>
        </w:rPr>
        <w:t xml:space="preserve">El plazo promedio de cobro es también una medida de eficiencia de la administración relacionada con la concesión de crédito a los clientes y las cobranzas. Es una métrica financiera que mide el tiempo promedio que una empresa tarda en cobrar sus cuentas por cobrar o ingresos una vez que se han generado </w:t>
      </w:r>
      <w:r w:rsidR="4FB0D655" w:rsidRPr="0076589C">
        <w:rPr>
          <w:lang w:val="es-HN"/>
        </w:rPr>
        <w:fldChar w:fldCharType="begin"/>
      </w:r>
      <w:r w:rsidR="0076759B" w:rsidRPr="0076589C">
        <w:rPr>
          <w:lang w:val="es-HN"/>
        </w:rPr>
        <w:instrText xml:space="preserve"> ADDIN ZOTERO_ITEM CSL_CITATION {"citationID":"ES06jvQz","properties":{"formattedCitation":"(Garc\\uc0\\u237{}a, 2023)","plainCitation":"(García, 2023)","dontUpdate":true,"noteIndex":0},"citationItems":[{"id":415,"uris":["http://zotero.org/users/12108825/items/LY4LWBC9"],"itemData":{"id":415,"type":"book","abstract":"Antes de tomar una decisión importante, es necesario tener un conocimiento de las consecuencias que esta tendría en la estructura financiera y en los resultados de operación de la empresa; por ello, debe formularse un objetivo y desarrollar una estrategia. Solo después de haber establecido un contexto lógico puede atreverse a realizar el “salto”, evitando así dar un “salto mortal”.En 13 capítulos, esta obra abarca no solamente la ilustración de la metodología del análisis financiero, sino también la evaluación de las situaciones críticas de la empresa, las deficiencias de la administración y los fenómenos económicos que la afectan. Se describen los métodos de análisis denominados tendencias por cientos integrales, de aumentos y disminuciones, a su vez, incluye la aplicación de los diferentes métodos de análisis en el caso de una importante compañía automotriz de estructura financiera y rendimientos deficientes.Dirigido como un apoyo para los ejecutivos y empresarios en la toma de decisiones basadas en la información financiera, así como para los estudiantes y maestros de las carreras de contaduría pública, finanzas, contabilidad y administración de empresas.","ISBN":"978-958-771-885-0","language":"es","note":"Google-Books-ID: 3svKEAAAQBAJ","number-of-pages":"248","publisher":"Ecoe Ediciones","source":"Google Books","title":"Análisis financiero para la toma de decisiones","author":[{"family":"García","given":"Enrique Zamorano"}],"issued":{"date-parts":[["2023",7,10]]}}}],"schema":"https://github.com/citation-style-language/schema/raw/master/csl-citation.json"} </w:instrText>
      </w:r>
      <w:r w:rsidR="4FB0D655" w:rsidRPr="0076589C">
        <w:rPr>
          <w:lang w:val="es-HN"/>
        </w:rPr>
        <w:fldChar w:fldCharType="separate"/>
      </w:r>
      <w:r w:rsidRPr="0076589C">
        <w:rPr>
          <w:lang w:val="es-HN"/>
        </w:rPr>
        <w:t>(García, 2023, pág.63)</w:t>
      </w:r>
      <w:r w:rsidR="4FB0D655" w:rsidRPr="0076589C">
        <w:rPr>
          <w:lang w:val="es-HN"/>
        </w:rPr>
        <w:fldChar w:fldCharType="end"/>
      </w:r>
      <w:r w:rsidRPr="0076589C">
        <w:rPr>
          <w:lang w:val="es-HN"/>
        </w:rPr>
        <w:t xml:space="preserve">. </w:t>
      </w:r>
    </w:p>
    <w:p w14:paraId="6FCA29E9" w14:textId="2699C00C" w:rsidR="00792269" w:rsidRPr="0076589C" w:rsidRDefault="1C8D6E3A" w:rsidP="00D33EF8">
      <w:pPr>
        <w:pStyle w:val="ImagenyTabla"/>
        <w:rPr>
          <w:noProof w:val="0"/>
        </w:rPr>
      </w:pPr>
      <w:bookmarkStart w:id="269" w:name="_Toc158365563"/>
      <w:r w:rsidRPr="0076589C">
        <w:t xml:space="preserve">Tabla </w:t>
      </w:r>
      <w:r w:rsidR="2F8AD9B3" w:rsidRPr="0076589C">
        <w:rPr>
          <w:noProof w:val="0"/>
        </w:rPr>
        <w:fldChar w:fldCharType="begin"/>
      </w:r>
      <w:r w:rsidR="2F8AD9B3" w:rsidRPr="0076589C">
        <w:rPr>
          <w:noProof w:val="0"/>
        </w:rPr>
        <w:instrText xml:space="preserve"> SEQ Tabla \* ARABIC </w:instrText>
      </w:r>
      <w:r w:rsidR="2F8AD9B3" w:rsidRPr="0076589C">
        <w:rPr>
          <w:noProof w:val="0"/>
        </w:rPr>
        <w:fldChar w:fldCharType="separate"/>
      </w:r>
      <w:r w:rsidR="009F171A">
        <w:t>15</w:t>
      </w:r>
      <w:r w:rsidR="2F8AD9B3" w:rsidRPr="0076589C">
        <w:rPr>
          <w:noProof w:val="0"/>
        </w:rPr>
        <w:fldChar w:fldCharType="end"/>
      </w:r>
      <w:r w:rsidRPr="0076589C">
        <w:t>. Periodo promedio de cobro en IPRA (2019-2022)</w:t>
      </w:r>
      <w:bookmarkEnd w:id="269"/>
    </w:p>
    <w:tbl>
      <w:tblPr>
        <w:tblW w:w="5000" w:type="pct"/>
        <w:tblLook w:val="06A0" w:firstRow="1" w:lastRow="0" w:firstColumn="1" w:lastColumn="0" w:noHBand="1" w:noVBand="1"/>
      </w:tblPr>
      <w:tblGrid>
        <w:gridCol w:w="2591"/>
        <w:gridCol w:w="1680"/>
        <w:gridCol w:w="1640"/>
        <w:gridCol w:w="1731"/>
        <w:gridCol w:w="1718"/>
      </w:tblGrid>
      <w:tr w:rsidR="2F8AD9B3" w:rsidRPr="0076589C" w14:paraId="55440403" w14:textId="77777777" w:rsidTr="1C8D6E3A">
        <w:trPr>
          <w:trHeight w:val="270"/>
        </w:trPr>
        <w:tc>
          <w:tcPr>
            <w:tcW w:w="1392" w:type="pct"/>
            <w:tcBorders>
              <w:top w:val="nil"/>
              <w:left w:val="nil"/>
              <w:bottom w:val="nil"/>
              <w:right w:val="nil"/>
            </w:tcBorders>
            <w:tcMar>
              <w:top w:w="15" w:type="dxa"/>
              <w:left w:w="15" w:type="dxa"/>
              <w:right w:w="15" w:type="dxa"/>
            </w:tcMar>
            <w:vAlign w:val="bottom"/>
          </w:tcPr>
          <w:p w14:paraId="7D93499D" w14:textId="111DFE22" w:rsidR="2F8AD9B3" w:rsidRPr="0076589C" w:rsidRDefault="2F8AD9B3" w:rsidP="2F8AD9B3">
            <w:pPr>
              <w:spacing w:after="0"/>
            </w:pPr>
            <w:r w:rsidRPr="0076589C">
              <w:rPr>
                <w:rFonts w:ascii="Calibri" w:eastAsia="Calibri" w:hAnsi="Calibri" w:cs="Calibri"/>
                <w:b/>
                <w:bCs/>
                <w:i/>
                <w:iCs/>
                <w:color w:val="000000" w:themeColor="text1"/>
                <w:sz w:val="20"/>
                <w:szCs w:val="20"/>
                <w:u w:val="single"/>
              </w:rPr>
              <w:t>Periodo promedio de cobro</w:t>
            </w:r>
          </w:p>
        </w:tc>
        <w:tc>
          <w:tcPr>
            <w:tcW w:w="905" w:type="pct"/>
            <w:tcBorders>
              <w:top w:val="nil"/>
              <w:left w:val="nil"/>
              <w:bottom w:val="nil"/>
              <w:right w:val="nil"/>
            </w:tcBorders>
            <w:tcMar>
              <w:top w:w="15" w:type="dxa"/>
              <w:left w:w="15" w:type="dxa"/>
              <w:right w:w="15" w:type="dxa"/>
            </w:tcMar>
            <w:vAlign w:val="bottom"/>
          </w:tcPr>
          <w:p w14:paraId="13B6940E" w14:textId="25308052" w:rsidR="2F8AD9B3" w:rsidRPr="0076589C" w:rsidRDefault="2F8AD9B3"/>
        </w:tc>
        <w:tc>
          <w:tcPr>
            <w:tcW w:w="846" w:type="pct"/>
            <w:tcBorders>
              <w:top w:val="nil"/>
              <w:left w:val="nil"/>
              <w:bottom w:val="nil"/>
              <w:right w:val="nil"/>
            </w:tcBorders>
            <w:tcMar>
              <w:top w:w="15" w:type="dxa"/>
              <w:left w:w="15" w:type="dxa"/>
              <w:right w:w="15" w:type="dxa"/>
            </w:tcMar>
            <w:vAlign w:val="bottom"/>
          </w:tcPr>
          <w:p w14:paraId="6B09CF7A" w14:textId="2581267B" w:rsidR="2F8AD9B3" w:rsidRPr="0076589C" w:rsidRDefault="2F8AD9B3"/>
        </w:tc>
        <w:tc>
          <w:tcPr>
            <w:tcW w:w="932" w:type="pct"/>
            <w:tcBorders>
              <w:top w:val="nil"/>
              <w:left w:val="nil"/>
              <w:bottom w:val="nil"/>
              <w:right w:val="nil"/>
            </w:tcBorders>
            <w:tcMar>
              <w:top w:w="15" w:type="dxa"/>
              <w:left w:w="15" w:type="dxa"/>
              <w:right w:w="15" w:type="dxa"/>
            </w:tcMar>
            <w:vAlign w:val="bottom"/>
          </w:tcPr>
          <w:p w14:paraId="436D58F9" w14:textId="39645FC1" w:rsidR="2F8AD9B3" w:rsidRPr="0076589C" w:rsidRDefault="2F8AD9B3"/>
        </w:tc>
        <w:tc>
          <w:tcPr>
            <w:tcW w:w="925" w:type="pct"/>
            <w:tcBorders>
              <w:top w:val="nil"/>
              <w:left w:val="nil"/>
              <w:bottom w:val="nil"/>
              <w:right w:val="nil"/>
            </w:tcBorders>
            <w:tcMar>
              <w:top w:w="15" w:type="dxa"/>
              <w:left w:w="15" w:type="dxa"/>
              <w:right w:w="15" w:type="dxa"/>
            </w:tcMar>
            <w:vAlign w:val="bottom"/>
          </w:tcPr>
          <w:p w14:paraId="0A8AC441" w14:textId="099E9222" w:rsidR="2F8AD9B3" w:rsidRPr="0076589C" w:rsidRDefault="2F8AD9B3"/>
        </w:tc>
      </w:tr>
      <w:tr w:rsidR="2F8AD9B3" w:rsidRPr="0076589C" w14:paraId="71F554C6" w14:textId="77777777" w:rsidTr="1C8D6E3A">
        <w:trPr>
          <w:trHeight w:val="270"/>
        </w:trPr>
        <w:tc>
          <w:tcPr>
            <w:tcW w:w="1392" w:type="pct"/>
            <w:tcBorders>
              <w:top w:val="nil"/>
              <w:left w:val="nil"/>
              <w:bottom w:val="nil"/>
              <w:right w:val="nil"/>
            </w:tcBorders>
            <w:tcMar>
              <w:top w:w="15" w:type="dxa"/>
              <w:left w:w="15" w:type="dxa"/>
              <w:right w:w="15" w:type="dxa"/>
            </w:tcMar>
            <w:vAlign w:val="bottom"/>
          </w:tcPr>
          <w:p w14:paraId="74F7E02F" w14:textId="6E5FFBE0" w:rsidR="2F8AD9B3" w:rsidRPr="0076589C" w:rsidRDefault="2F8AD9B3"/>
        </w:tc>
        <w:tc>
          <w:tcPr>
            <w:tcW w:w="905" w:type="pct"/>
            <w:tcBorders>
              <w:top w:val="nil"/>
              <w:left w:val="nil"/>
              <w:bottom w:val="single" w:sz="8" w:space="0" w:color="85BADC"/>
              <w:right w:val="nil"/>
            </w:tcBorders>
            <w:tcMar>
              <w:top w:w="15" w:type="dxa"/>
              <w:left w:w="15" w:type="dxa"/>
              <w:right w:w="15" w:type="dxa"/>
            </w:tcMar>
            <w:vAlign w:val="center"/>
          </w:tcPr>
          <w:p w14:paraId="4DBD7321" w14:textId="2E991035" w:rsidR="2F8AD9B3" w:rsidRPr="0076589C" w:rsidRDefault="2F8AD9B3" w:rsidP="2F8AD9B3">
            <w:pPr>
              <w:spacing w:after="0"/>
              <w:jc w:val="center"/>
            </w:pPr>
            <w:r w:rsidRPr="0076589C">
              <w:rPr>
                <w:rFonts w:ascii="Calibri" w:eastAsia="Calibri" w:hAnsi="Calibri" w:cs="Calibri"/>
                <w:b/>
                <w:bCs/>
                <w:color w:val="000000" w:themeColor="text1"/>
                <w:sz w:val="20"/>
                <w:szCs w:val="20"/>
              </w:rPr>
              <w:t>2019</w:t>
            </w:r>
          </w:p>
        </w:tc>
        <w:tc>
          <w:tcPr>
            <w:tcW w:w="846" w:type="pct"/>
            <w:tcBorders>
              <w:top w:val="nil"/>
              <w:left w:val="nil"/>
              <w:bottom w:val="single" w:sz="8" w:space="0" w:color="85BADC"/>
              <w:right w:val="nil"/>
            </w:tcBorders>
            <w:tcMar>
              <w:top w:w="15" w:type="dxa"/>
              <w:left w:w="15" w:type="dxa"/>
              <w:right w:w="15" w:type="dxa"/>
            </w:tcMar>
            <w:vAlign w:val="center"/>
          </w:tcPr>
          <w:p w14:paraId="60600B83" w14:textId="090911A9" w:rsidR="2F8AD9B3" w:rsidRPr="0076589C" w:rsidRDefault="2F8AD9B3" w:rsidP="2F8AD9B3">
            <w:pPr>
              <w:spacing w:after="0"/>
              <w:jc w:val="center"/>
            </w:pPr>
            <w:r w:rsidRPr="0076589C">
              <w:rPr>
                <w:rFonts w:ascii="Calibri" w:eastAsia="Calibri" w:hAnsi="Calibri" w:cs="Calibri"/>
                <w:b/>
                <w:bCs/>
                <w:color w:val="000000" w:themeColor="text1"/>
                <w:sz w:val="20"/>
                <w:szCs w:val="20"/>
              </w:rPr>
              <w:t>2020</w:t>
            </w:r>
          </w:p>
        </w:tc>
        <w:tc>
          <w:tcPr>
            <w:tcW w:w="932" w:type="pct"/>
            <w:tcBorders>
              <w:top w:val="nil"/>
              <w:left w:val="nil"/>
              <w:bottom w:val="single" w:sz="8" w:space="0" w:color="85BADC"/>
              <w:right w:val="nil"/>
            </w:tcBorders>
            <w:tcMar>
              <w:top w:w="15" w:type="dxa"/>
              <w:left w:w="15" w:type="dxa"/>
              <w:right w:w="15" w:type="dxa"/>
            </w:tcMar>
            <w:vAlign w:val="center"/>
          </w:tcPr>
          <w:p w14:paraId="3FD03EF2" w14:textId="2CC9BD4C" w:rsidR="2F8AD9B3" w:rsidRPr="0076589C" w:rsidRDefault="2F8AD9B3" w:rsidP="2F8AD9B3">
            <w:pPr>
              <w:spacing w:after="0"/>
              <w:jc w:val="center"/>
            </w:pPr>
            <w:r w:rsidRPr="0076589C">
              <w:rPr>
                <w:rFonts w:ascii="Calibri" w:eastAsia="Calibri" w:hAnsi="Calibri" w:cs="Calibri"/>
                <w:b/>
                <w:bCs/>
                <w:color w:val="000000" w:themeColor="text1"/>
                <w:sz w:val="20"/>
                <w:szCs w:val="20"/>
              </w:rPr>
              <w:t>2021</w:t>
            </w:r>
          </w:p>
        </w:tc>
        <w:tc>
          <w:tcPr>
            <w:tcW w:w="925" w:type="pct"/>
            <w:tcBorders>
              <w:top w:val="nil"/>
              <w:left w:val="nil"/>
              <w:bottom w:val="single" w:sz="8" w:space="0" w:color="85BADC"/>
              <w:right w:val="nil"/>
            </w:tcBorders>
            <w:tcMar>
              <w:top w:w="15" w:type="dxa"/>
              <w:left w:w="15" w:type="dxa"/>
              <w:right w:w="15" w:type="dxa"/>
            </w:tcMar>
            <w:vAlign w:val="center"/>
          </w:tcPr>
          <w:p w14:paraId="3677B145" w14:textId="0EF22B28" w:rsidR="2F8AD9B3" w:rsidRPr="0076589C" w:rsidRDefault="2F8AD9B3" w:rsidP="2F8AD9B3">
            <w:pPr>
              <w:spacing w:after="0"/>
              <w:jc w:val="center"/>
            </w:pPr>
            <w:r w:rsidRPr="0076589C">
              <w:rPr>
                <w:rFonts w:ascii="Calibri" w:eastAsia="Calibri" w:hAnsi="Calibri" w:cs="Calibri"/>
                <w:b/>
                <w:bCs/>
                <w:color w:val="000000" w:themeColor="text1"/>
                <w:sz w:val="20"/>
                <w:szCs w:val="20"/>
              </w:rPr>
              <w:t>2022</w:t>
            </w:r>
          </w:p>
        </w:tc>
      </w:tr>
      <w:tr w:rsidR="2F8AD9B3" w:rsidRPr="0076589C" w14:paraId="74FC3CA0" w14:textId="77777777" w:rsidTr="1C8D6E3A">
        <w:trPr>
          <w:trHeight w:val="255"/>
        </w:trPr>
        <w:tc>
          <w:tcPr>
            <w:tcW w:w="1392" w:type="pct"/>
            <w:tcBorders>
              <w:top w:val="nil"/>
              <w:left w:val="nil"/>
              <w:bottom w:val="nil"/>
              <w:right w:val="nil"/>
            </w:tcBorders>
            <w:tcMar>
              <w:top w:w="15" w:type="dxa"/>
              <w:left w:w="15" w:type="dxa"/>
              <w:right w:w="15" w:type="dxa"/>
            </w:tcMar>
            <w:vAlign w:val="bottom"/>
          </w:tcPr>
          <w:p w14:paraId="5D70E16B" w14:textId="559E7FC5" w:rsidR="2F8AD9B3" w:rsidRPr="0076589C" w:rsidRDefault="2F8AD9B3" w:rsidP="2F8AD9B3">
            <w:pPr>
              <w:spacing w:after="0"/>
            </w:pPr>
            <w:r w:rsidRPr="0076589C">
              <w:rPr>
                <w:rFonts w:ascii="Calibri" w:eastAsia="Calibri" w:hAnsi="Calibri" w:cs="Calibri"/>
                <w:color w:val="000000" w:themeColor="text1"/>
                <w:sz w:val="20"/>
                <w:szCs w:val="20"/>
              </w:rPr>
              <w:t>Ventas</w:t>
            </w:r>
          </w:p>
        </w:tc>
        <w:tc>
          <w:tcPr>
            <w:tcW w:w="905" w:type="pct"/>
            <w:tcBorders>
              <w:top w:val="single" w:sz="8" w:space="0" w:color="85BADC"/>
              <w:left w:val="nil"/>
              <w:bottom w:val="nil"/>
              <w:right w:val="nil"/>
            </w:tcBorders>
            <w:tcMar>
              <w:top w:w="15" w:type="dxa"/>
              <w:left w:w="15" w:type="dxa"/>
              <w:right w:w="15" w:type="dxa"/>
            </w:tcMar>
            <w:vAlign w:val="bottom"/>
          </w:tcPr>
          <w:p w14:paraId="51353A8F" w14:textId="1C729772" w:rsidR="2F8AD9B3" w:rsidRPr="0076589C" w:rsidRDefault="2F8AD9B3" w:rsidP="2F8AD9B3">
            <w:pPr>
              <w:spacing w:after="0"/>
              <w:jc w:val="center"/>
            </w:pPr>
            <w:r w:rsidRPr="0076589C">
              <w:rPr>
                <w:rFonts w:ascii="Calibri" w:eastAsia="Calibri" w:hAnsi="Calibri" w:cs="Calibri"/>
                <w:sz w:val="20"/>
                <w:szCs w:val="20"/>
              </w:rPr>
              <w:t xml:space="preserve"> L             26,105,424.64 </w:t>
            </w:r>
          </w:p>
        </w:tc>
        <w:tc>
          <w:tcPr>
            <w:tcW w:w="846" w:type="pct"/>
            <w:tcBorders>
              <w:top w:val="single" w:sz="8" w:space="0" w:color="85BADC"/>
              <w:left w:val="nil"/>
              <w:bottom w:val="nil"/>
              <w:right w:val="nil"/>
            </w:tcBorders>
            <w:tcMar>
              <w:top w:w="15" w:type="dxa"/>
              <w:left w:w="15" w:type="dxa"/>
              <w:right w:w="15" w:type="dxa"/>
            </w:tcMar>
            <w:vAlign w:val="bottom"/>
          </w:tcPr>
          <w:p w14:paraId="4DDFC7EE" w14:textId="3925E7AA" w:rsidR="2F8AD9B3" w:rsidRPr="0076589C" w:rsidRDefault="2F8AD9B3" w:rsidP="2F8AD9B3">
            <w:pPr>
              <w:spacing w:after="0"/>
              <w:jc w:val="center"/>
            </w:pPr>
            <w:r w:rsidRPr="0076589C">
              <w:rPr>
                <w:rFonts w:ascii="Calibri" w:eastAsia="Calibri" w:hAnsi="Calibri" w:cs="Calibri"/>
                <w:sz w:val="20"/>
                <w:szCs w:val="20"/>
              </w:rPr>
              <w:t xml:space="preserve"> L          31,891,032.92 </w:t>
            </w:r>
          </w:p>
        </w:tc>
        <w:tc>
          <w:tcPr>
            <w:tcW w:w="932" w:type="pct"/>
            <w:tcBorders>
              <w:top w:val="single" w:sz="8" w:space="0" w:color="85BADC"/>
              <w:left w:val="nil"/>
              <w:bottom w:val="nil"/>
              <w:right w:val="nil"/>
            </w:tcBorders>
            <w:tcMar>
              <w:top w:w="15" w:type="dxa"/>
              <w:left w:w="15" w:type="dxa"/>
              <w:right w:w="15" w:type="dxa"/>
            </w:tcMar>
            <w:vAlign w:val="bottom"/>
          </w:tcPr>
          <w:p w14:paraId="39E12E0E" w14:textId="13153785" w:rsidR="2F8AD9B3" w:rsidRPr="0076589C" w:rsidRDefault="2F8AD9B3" w:rsidP="2F8AD9B3">
            <w:pPr>
              <w:spacing w:after="0"/>
              <w:jc w:val="center"/>
            </w:pPr>
            <w:r w:rsidRPr="0076589C">
              <w:rPr>
                <w:rFonts w:ascii="Calibri" w:eastAsia="Calibri" w:hAnsi="Calibri" w:cs="Calibri"/>
                <w:sz w:val="20"/>
                <w:szCs w:val="20"/>
              </w:rPr>
              <w:t xml:space="preserve"> L               22,321,755.08 </w:t>
            </w:r>
          </w:p>
        </w:tc>
        <w:tc>
          <w:tcPr>
            <w:tcW w:w="925" w:type="pct"/>
            <w:tcBorders>
              <w:top w:val="single" w:sz="8" w:space="0" w:color="85BADC"/>
              <w:left w:val="nil"/>
              <w:bottom w:val="nil"/>
              <w:right w:val="nil"/>
            </w:tcBorders>
            <w:tcMar>
              <w:top w:w="15" w:type="dxa"/>
              <w:left w:w="15" w:type="dxa"/>
              <w:right w:w="15" w:type="dxa"/>
            </w:tcMar>
            <w:vAlign w:val="bottom"/>
          </w:tcPr>
          <w:p w14:paraId="38DB9706" w14:textId="580BC490" w:rsidR="2F8AD9B3" w:rsidRPr="0076589C" w:rsidRDefault="2F8AD9B3" w:rsidP="2F8AD9B3">
            <w:pPr>
              <w:spacing w:after="0"/>
              <w:jc w:val="center"/>
            </w:pPr>
            <w:r w:rsidRPr="0076589C">
              <w:rPr>
                <w:rFonts w:ascii="Calibri" w:eastAsia="Calibri" w:hAnsi="Calibri" w:cs="Calibri"/>
                <w:sz w:val="20"/>
                <w:szCs w:val="20"/>
              </w:rPr>
              <w:t xml:space="preserve"> L              29,605,010.66 </w:t>
            </w:r>
          </w:p>
        </w:tc>
      </w:tr>
      <w:tr w:rsidR="2F8AD9B3" w:rsidRPr="0076589C" w14:paraId="2566EA41" w14:textId="77777777" w:rsidTr="1C8D6E3A">
        <w:trPr>
          <w:trHeight w:val="270"/>
        </w:trPr>
        <w:tc>
          <w:tcPr>
            <w:tcW w:w="1392" w:type="pct"/>
            <w:tcBorders>
              <w:top w:val="nil"/>
              <w:left w:val="nil"/>
              <w:bottom w:val="double" w:sz="5" w:space="0" w:color="85BADC"/>
              <w:right w:val="nil"/>
            </w:tcBorders>
            <w:tcMar>
              <w:top w:w="15" w:type="dxa"/>
              <w:left w:w="15" w:type="dxa"/>
              <w:right w:w="15" w:type="dxa"/>
            </w:tcMar>
            <w:vAlign w:val="bottom"/>
          </w:tcPr>
          <w:p w14:paraId="119DC6F0" w14:textId="221D6BC1" w:rsidR="2F8AD9B3" w:rsidRPr="0076589C" w:rsidRDefault="2F8AD9B3" w:rsidP="2F8AD9B3">
            <w:pPr>
              <w:spacing w:after="0"/>
            </w:pPr>
            <w:r w:rsidRPr="0076589C">
              <w:rPr>
                <w:rFonts w:ascii="Calibri" w:eastAsia="Calibri" w:hAnsi="Calibri" w:cs="Calibri"/>
                <w:color w:val="000000" w:themeColor="text1"/>
                <w:sz w:val="20"/>
                <w:szCs w:val="20"/>
              </w:rPr>
              <w:t>Promedio de cuentas por cobrar</w:t>
            </w:r>
          </w:p>
        </w:tc>
        <w:tc>
          <w:tcPr>
            <w:tcW w:w="905" w:type="pct"/>
            <w:tcBorders>
              <w:top w:val="nil"/>
              <w:left w:val="nil"/>
              <w:bottom w:val="double" w:sz="5" w:space="0" w:color="85BADC"/>
              <w:right w:val="nil"/>
            </w:tcBorders>
            <w:shd w:val="clear" w:color="auto" w:fill="FFFFFF" w:themeFill="background1"/>
            <w:tcMar>
              <w:top w:w="15" w:type="dxa"/>
              <w:left w:w="15" w:type="dxa"/>
              <w:right w:w="15" w:type="dxa"/>
            </w:tcMar>
            <w:vAlign w:val="bottom"/>
          </w:tcPr>
          <w:p w14:paraId="22781FCF" w14:textId="2A99611D" w:rsidR="2F8AD9B3" w:rsidRPr="0076589C" w:rsidRDefault="2F8AD9B3" w:rsidP="2F8AD9B3">
            <w:pPr>
              <w:spacing w:after="0"/>
            </w:pPr>
            <w:r w:rsidRPr="0076589C">
              <w:rPr>
                <w:rFonts w:ascii="Calibri" w:eastAsia="Calibri" w:hAnsi="Calibri" w:cs="Calibri"/>
                <w:sz w:val="20"/>
                <w:szCs w:val="20"/>
              </w:rPr>
              <w:t xml:space="preserve"> L             11,804,804.12 </w:t>
            </w:r>
          </w:p>
        </w:tc>
        <w:tc>
          <w:tcPr>
            <w:tcW w:w="846" w:type="pct"/>
            <w:tcBorders>
              <w:top w:val="nil"/>
              <w:left w:val="nil"/>
              <w:bottom w:val="double" w:sz="5" w:space="0" w:color="85BADC"/>
              <w:right w:val="nil"/>
            </w:tcBorders>
            <w:tcMar>
              <w:top w:w="15" w:type="dxa"/>
              <w:left w:w="15" w:type="dxa"/>
              <w:right w:w="15" w:type="dxa"/>
            </w:tcMar>
            <w:vAlign w:val="bottom"/>
          </w:tcPr>
          <w:p w14:paraId="23C528D7" w14:textId="3B040C42" w:rsidR="2F8AD9B3" w:rsidRPr="0076589C" w:rsidRDefault="2F8AD9B3" w:rsidP="2F8AD9B3">
            <w:pPr>
              <w:spacing w:after="0"/>
            </w:pPr>
            <w:r w:rsidRPr="0076589C">
              <w:rPr>
                <w:rFonts w:ascii="Calibri" w:eastAsia="Calibri" w:hAnsi="Calibri" w:cs="Calibri"/>
                <w:sz w:val="20"/>
                <w:szCs w:val="20"/>
              </w:rPr>
              <w:t xml:space="preserve"> L          11,467,205.10 </w:t>
            </w:r>
          </w:p>
        </w:tc>
        <w:tc>
          <w:tcPr>
            <w:tcW w:w="932" w:type="pct"/>
            <w:tcBorders>
              <w:top w:val="nil"/>
              <w:left w:val="nil"/>
              <w:bottom w:val="double" w:sz="5" w:space="0" w:color="85BADC"/>
              <w:right w:val="nil"/>
            </w:tcBorders>
            <w:tcMar>
              <w:top w:w="15" w:type="dxa"/>
              <w:left w:w="15" w:type="dxa"/>
              <w:right w:w="15" w:type="dxa"/>
            </w:tcMar>
            <w:vAlign w:val="bottom"/>
          </w:tcPr>
          <w:p w14:paraId="7F2237D5" w14:textId="49E77F05" w:rsidR="2F8AD9B3" w:rsidRPr="0076589C" w:rsidRDefault="2F8AD9B3" w:rsidP="2F8AD9B3">
            <w:pPr>
              <w:spacing w:after="0"/>
            </w:pPr>
            <w:r w:rsidRPr="0076589C">
              <w:rPr>
                <w:rFonts w:ascii="Calibri" w:eastAsia="Calibri" w:hAnsi="Calibri" w:cs="Calibri"/>
                <w:sz w:val="20"/>
                <w:szCs w:val="20"/>
              </w:rPr>
              <w:t xml:space="preserve"> L                 8,785,375.77 </w:t>
            </w:r>
          </w:p>
        </w:tc>
        <w:tc>
          <w:tcPr>
            <w:tcW w:w="925" w:type="pct"/>
            <w:tcBorders>
              <w:top w:val="nil"/>
              <w:left w:val="nil"/>
              <w:bottom w:val="double" w:sz="5" w:space="0" w:color="85BADC"/>
              <w:right w:val="nil"/>
            </w:tcBorders>
            <w:tcMar>
              <w:top w:w="15" w:type="dxa"/>
              <w:left w:w="15" w:type="dxa"/>
              <w:right w:w="15" w:type="dxa"/>
            </w:tcMar>
            <w:vAlign w:val="bottom"/>
          </w:tcPr>
          <w:p w14:paraId="421BDB86" w14:textId="7D542438" w:rsidR="2F8AD9B3" w:rsidRPr="0076589C" w:rsidRDefault="2F8AD9B3" w:rsidP="2F8AD9B3">
            <w:pPr>
              <w:spacing w:after="0"/>
            </w:pPr>
            <w:r w:rsidRPr="0076589C">
              <w:rPr>
                <w:rFonts w:ascii="Calibri" w:eastAsia="Calibri" w:hAnsi="Calibri" w:cs="Calibri"/>
                <w:sz w:val="20"/>
                <w:szCs w:val="20"/>
              </w:rPr>
              <w:t xml:space="preserve"> L                 6,484,475.63 </w:t>
            </w:r>
          </w:p>
        </w:tc>
      </w:tr>
      <w:tr w:rsidR="2F8AD9B3" w:rsidRPr="0076589C" w14:paraId="2490D4EA" w14:textId="77777777" w:rsidTr="1C8D6E3A">
        <w:trPr>
          <w:trHeight w:val="285"/>
        </w:trPr>
        <w:tc>
          <w:tcPr>
            <w:tcW w:w="1392" w:type="pct"/>
            <w:tcBorders>
              <w:top w:val="double" w:sz="5" w:space="0" w:color="85BADC"/>
              <w:left w:val="nil"/>
              <w:bottom w:val="nil"/>
              <w:right w:val="nil"/>
            </w:tcBorders>
            <w:tcMar>
              <w:top w:w="15" w:type="dxa"/>
              <w:left w:w="15" w:type="dxa"/>
              <w:right w:w="15" w:type="dxa"/>
            </w:tcMar>
            <w:vAlign w:val="bottom"/>
          </w:tcPr>
          <w:p w14:paraId="48BBBF9F" w14:textId="0303D8DF" w:rsidR="2F8AD9B3" w:rsidRPr="0076589C" w:rsidRDefault="2F8AD9B3" w:rsidP="2F8AD9B3">
            <w:pPr>
              <w:spacing w:after="0"/>
            </w:pPr>
            <w:r w:rsidRPr="0076589C">
              <w:rPr>
                <w:rFonts w:ascii="Calibri" w:eastAsia="Calibri" w:hAnsi="Calibri" w:cs="Calibri"/>
                <w:b/>
                <w:bCs/>
                <w:color w:val="000000" w:themeColor="text1"/>
                <w:sz w:val="20"/>
                <w:szCs w:val="20"/>
              </w:rPr>
              <w:t>PPC Días</w:t>
            </w:r>
          </w:p>
        </w:tc>
        <w:tc>
          <w:tcPr>
            <w:tcW w:w="905" w:type="pct"/>
            <w:tcBorders>
              <w:top w:val="double" w:sz="5" w:space="0" w:color="85BADC"/>
              <w:left w:val="nil"/>
              <w:bottom w:val="nil"/>
              <w:right w:val="nil"/>
            </w:tcBorders>
            <w:tcMar>
              <w:top w:w="15" w:type="dxa"/>
              <w:left w:w="15" w:type="dxa"/>
              <w:right w:w="15" w:type="dxa"/>
            </w:tcMar>
            <w:vAlign w:val="center"/>
          </w:tcPr>
          <w:p w14:paraId="5FCB98BB" w14:textId="155E2B4A" w:rsidR="2F8AD9B3" w:rsidRPr="0076589C" w:rsidRDefault="2F8AD9B3" w:rsidP="2F8AD9B3">
            <w:pPr>
              <w:spacing w:after="0"/>
              <w:jc w:val="center"/>
            </w:pPr>
            <w:r w:rsidRPr="0076589C">
              <w:rPr>
                <w:rFonts w:ascii="Calibri" w:eastAsia="Calibri" w:hAnsi="Calibri" w:cs="Calibri"/>
                <w:b/>
                <w:bCs/>
                <w:color w:val="000000" w:themeColor="text1"/>
                <w:sz w:val="20"/>
                <w:szCs w:val="20"/>
              </w:rPr>
              <w:t>165</w:t>
            </w:r>
          </w:p>
        </w:tc>
        <w:tc>
          <w:tcPr>
            <w:tcW w:w="846" w:type="pct"/>
            <w:tcBorders>
              <w:top w:val="double" w:sz="5" w:space="0" w:color="85BADC"/>
              <w:left w:val="nil"/>
              <w:bottom w:val="nil"/>
              <w:right w:val="nil"/>
            </w:tcBorders>
            <w:tcMar>
              <w:top w:w="15" w:type="dxa"/>
              <w:left w:w="15" w:type="dxa"/>
              <w:right w:w="15" w:type="dxa"/>
            </w:tcMar>
            <w:vAlign w:val="center"/>
          </w:tcPr>
          <w:p w14:paraId="3BD8561A" w14:textId="09081967" w:rsidR="2F8AD9B3" w:rsidRPr="0076589C" w:rsidRDefault="2F8AD9B3" w:rsidP="2F8AD9B3">
            <w:pPr>
              <w:spacing w:after="0"/>
              <w:jc w:val="center"/>
            </w:pPr>
            <w:r w:rsidRPr="0076589C">
              <w:rPr>
                <w:rFonts w:ascii="Calibri" w:eastAsia="Calibri" w:hAnsi="Calibri" w:cs="Calibri"/>
                <w:b/>
                <w:bCs/>
                <w:color w:val="000000" w:themeColor="text1"/>
                <w:sz w:val="20"/>
                <w:szCs w:val="20"/>
              </w:rPr>
              <w:t>131</w:t>
            </w:r>
          </w:p>
        </w:tc>
        <w:tc>
          <w:tcPr>
            <w:tcW w:w="932" w:type="pct"/>
            <w:tcBorders>
              <w:top w:val="double" w:sz="5" w:space="0" w:color="85BADC"/>
              <w:left w:val="nil"/>
              <w:bottom w:val="nil"/>
              <w:right w:val="nil"/>
            </w:tcBorders>
            <w:tcMar>
              <w:top w:w="15" w:type="dxa"/>
              <w:left w:w="15" w:type="dxa"/>
              <w:right w:w="15" w:type="dxa"/>
            </w:tcMar>
            <w:vAlign w:val="center"/>
          </w:tcPr>
          <w:p w14:paraId="1852AD6D" w14:textId="29865DA7" w:rsidR="2F8AD9B3" w:rsidRPr="0076589C" w:rsidRDefault="2F8AD9B3" w:rsidP="2F8AD9B3">
            <w:pPr>
              <w:spacing w:after="0"/>
              <w:jc w:val="center"/>
            </w:pPr>
            <w:r w:rsidRPr="0076589C">
              <w:rPr>
                <w:rFonts w:ascii="Calibri" w:eastAsia="Calibri" w:hAnsi="Calibri" w:cs="Calibri"/>
                <w:b/>
                <w:bCs/>
                <w:color w:val="000000" w:themeColor="text1"/>
                <w:sz w:val="20"/>
                <w:szCs w:val="20"/>
              </w:rPr>
              <w:t>144</w:t>
            </w:r>
          </w:p>
        </w:tc>
        <w:tc>
          <w:tcPr>
            <w:tcW w:w="925" w:type="pct"/>
            <w:tcBorders>
              <w:top w:val="double" w:sz="5" w:space="0" w:color="85BADC"/>
              <w:left w:val="nil"/>
              <w:bottom w:val="nil"/>
              <w:right w:val="nil"/>
            </w:tcBorders>
            <w:tcMar>
              <w:top w:w="15" w:type="dxa"/>
              <w:left w:w="15" w:type="dxa"/>
              <w:right w:w="15" w:type="dxa"/>
            </w:tcMar>
            <w:vAlign w:val="center"/>
          </w:tcPr>
          <w:p w14:paraId="54800C5E" w14:textId="6741ABCC" w:rsidR="2F8AD9B3" w:rsidRPr="0076589C" w:rsidRDefault="2F8AD9B3" w:rsidP="2F8AD9B3">
            <w:pPr>
              <w:spacing w:after="0"/>
              <w:jc w:val="center"/>
            </w:pPr>
            <w:r w:rsidRPr="0076589C">
              <w:rPr>
                <w:rFonts w:ascii="Calibri" w:eastAsia="Calibri" w:hAnsi="Calibri" w:cs="Calibri"/>
                <w:b/>
                <w:bCs/>
                <w:color w:val="000000" w:themeColor="text1"/>
                <w:sz w:val="20"/>
                <w:szCs w:val="20"/>
              </w:rPr>
              <w:t>80</w:t>
            </w:r>
          </w:p>
        </w:tc>
      </w:tr>
      <w:tr w:rsidR="2F8AD9B3" w:rsidRPr="0076589C" w14:paraId="45E8D888" w14:textId="77777777" w:rsidTr="1C8D6E3A">
        <w:trPr>
          <w:trHeight w:val="270"/>
        </w:trPr>
        <w:tc>
          <w:tcPr>
            <w:tcW w:w="1392" w:type="pct"/>
            <w:tcBorders>
              <w:top w:val="nil"/>
              <w:left w:val="nil"/>
              <w:bottom w:val="nil"/>
              <w:right w:val="nil"/>
            </w:tcBorders>
            <w:tcMar>
              <w:top w:w="15" w:type="dxa"/>
              <w:left w:w="15" w:type="dxa"/>
              <w:right w:w="15" w:type="dxa"/>
            </w:tcMar>
            <w:vAlign w:val="bottom"/>
          </w:tcPr>
          <w:p w14:paraId="191A56FA" w14:textId="3498C0A7" w:rsidR="2F8AD9B3" w:rsidRPr="0076589C" w:rsidRDefault="2F8AD9B3" w:rsidP="2F8AD9B3">
            <w:pPr>
              <w:spacing w:after="0"/>
            </w:pPr>
            <w:r w:rsidRPr="0076589C">
              <w:rPr>
                <w:rFonts w:ascii="Calibri" w:eastAsia="Calibri" w:hAnsi="Calibri" w:cs="Calibri"/>
                <w:b/>
                <w:bCs/>
                <w:color w:val="000000" w:themeColor="text1"/>
                <w:sz w:val="20"/>
                <w:szCs w:val="20"/>
              </w:rPr>
              <w:t>PPC Meses</w:t>
            </w:r>
          </w:p>
        </w:tc>
        <w:tc>
          <w:tcPr>
            <w:tcW w:w="905" w:type="pct"/>
            <w:tcBorders>
              <w:top w:val="nil"/>
              <w:left w:val="nil"/>
              <w:bottom w:val="nil"/>
              <w:right w:val="nil"/>
            </w:tcBorders>
            <w:tcMar>
              <w:top w:w="15" w:type="dxa"/>
              <w:left w:w="15" w:type="dxa"/>
              <w:right w:w="15" w:type="dxa"/>
            </w:tcMar>
            <w:vAlign w:val="bottom"/>
          </w:tcPr>
          <w:p w14:paraId="675F2DBC" w14:textId="0A788BEA" w:rsidR="2F8AD9B3" w:rsidRPr="0076589C" w:rsidRDefault="2F8AD9B3" w:rsidP="2F8AD9B3">
            <w:pPr>
              <w:spacing w:after="0"/>
              <w:jc w:val="center"/>
            </w:pPr>
            <w:r w:rsidRPr="0076589C">
              <w:rPr>
                <w:rFonts w:ascii="Calibri" w:eastAsia="Calibri" w:hAnsi="Calibri" w:cs="Calibri"/>
                <w:b/>
                <w:bCs/>
                <w:color w:val="000000" w:themeColor="text1"/>
                <w:sz w:val="20"/>
                <w:szCs w:val="20"/>
              </w:rPr>
              <w:t>6</w:t>
            </w:r>
          </w:p>
        </w:tc>
        <w:tc>
          <w:tcPr>
            <w:tcW w:w="846" w:type="pct"/>
            <w:tcBorders>
              <w:top w:val="nil"/>
              <w:left w:val="nil"/>
              <w:bottom w:val="nil"/>
              <w:right w:val="nil"/>
            </w:tcBorders>
            <w:tcMar>
              <w:top w:w="15" w:type="dxa"/>
              <w:left w:w="15" w:type="dxa"/>
              <w:right w:w="15" w:type="dxa"/>
            </w:tcMar>
            <w:vAlign w:val="bottom"/>
          </w:tcPr>
          <w:p w14:paraId="42F9B668" w14:textId="7652FF32" w:rsidR="2F8AD9B3" w:rsidRPr="0076589C" w:rsidRDefault="2F8AD9B3" w:rsidP="2F8AD9B3">
            <w:pPr>
              <w:spacing w:after="0"/>
              <w:jc w:val="center"/>
            </w:pPr>
            <w:r w:rsidRPr="0076589C">
              <w:rPr>
                <w:rFonts w:ascii="Calibri" w:eastAsia="Calibri" w:hAnsi="Calibri" w:cs="Calibri"/>
                <w:b/>
                <w:bCs/>
                <w:color w:val="000000" w:themeColor="text1"/>
                <w:sz w:val="20"/>
                <w:szCs w:val="20"/>
              </w:rPr>
              <w:t>4</w:t>
            </w:r>
          </w:p>
        </w:tc>
        <w:tc>
          <w:tcPr>
            <w:tcW w:w="932" w:type="pct"/>
            <w:tcBorders>
              <w:top w:val="nil"/>
              <w:left w:val="nil"/>
              <w:bottom w:val="nil"/>
              <w:right w:val="nil"/>
            </w:tcBorders>
            <w:tcMar>
              <w:top w:w="15" w:type="dxa"/>
              <w:left w:w="15" w:type="dxa"/>
              <w:right w:w="15" w:type="dxa"/>
            </w:tcMar>
            <w:vAlign w:val="bottom"/>
          </w:tcPr>
          <w:p w14:paraId="5A6A5791" w14:textId="070CDAD4" w:rsidR="2F8AD9B3" w:rsidRPr="0076589C" w:rsidRDefault="2F8AD9B3" w:rsidP="2F8AD9B3">
            <w:pPr>
              <w:spacing w:after="0"/>
              <w:jc w:val="center"/>
            </w:pPr>
            <w:r w:rsidRPr="0076589C">
              <w:rPr>
                <w:rFonts w:ascii="Calibri" w:eastAsia="Calibri" w:hAnsi="Calibri" w:cs="Calibri"/>
                <w:b/>
                <w:bCs/>
                <w:color w:val="000000" w:themeColor="text1"/>
                <w:sz w:val="20"/>
                <w:szCs w:val="20"/>
              </w:rPr>
              <w:t>5</w:t>
            </w:r>
          </w:p>
        </w:tc>
        <w:tc>
          <w:tcPr>
            <w:tcW w:w="925" w:type="pct"/>
            <w:tcBorders>
              <w:top w:val="nil"/>
              <w:left w:val="nil"/>
              <w:bottom w:val="nil"/>
              <w:right w:val="nil"/>
            </w:tcBorders>
            <w:tcMar>
              <w:top w:w="15" w:type="dxa"/>
              <w:left w:w="15" w:type="dxa"/>
              <w:right w:w="15" w:type="dxa"/>
            </w:tcMar>
            <w:vAlign w:val="bottom"/>
          </w:tcPr>
          <w:p w14:paraId="1D29C355" w14:textId="7E96ECB4" w:rsidR="2F8AD9B3" w:rsidRPr="0076589C" w:rsidRDefault="2F8AD9B3" w:rsidP="2F8AD9B3">
            <w:pPr>
              <w:spacing w:after="0"/>
              <w:jc w:val="center"/>
            </w:pPr>
            <w:r w:rsidRPr="0076589C">
              <w:rPr>
                <w:rFonts w:ascii="Calibri" w:eastAsia="Calibri" w:hAnsi="Calibri" w:cs="Calibri"/>
                <w:b/>
                <w:bCs/>
                <w:color w:val="000000" w:themeColor="text1"/>
                <w:sz w:val="20"/>
                <w:szCs w:val="20"/>
              </w:rPr>
              <w:t>3</w:t>
            </w:r>
          </w:p>
        </w:tc>
      </w:tr>
    </w:tbl>
    <w:p w14:paraId="25750AB8" w14:textId="77777777" w:rsidR="00D33EF8" w:rsidRPr="0076589C" w:rsidRDefault="1C8D6E3A" w:rsidP="00FA5943">
      <w:pPr>
        <w:pStyle w:val="Fuentes"/>
        <w:ind w:firstLine="446"/>
        <w:rPr>
          <w:lang w:val="es-HN"/>
        </w:rPr>
      </w:pPr>
      <w:r w:rsidRPr="0076589C">
        <w:rPr>
          <w:lang w:val="es-HN"/>
        </w:rPr>
        <w:t>Fuente: Elaboración propia con datos de IPRA (2023).</w:t>
      </w:r>
    </w:p>
    <w:p w14:paraId="585EDC39" w14:textId="54F150B1" w:rsidR="005E30D5" w:rsidRPr="0076589C" w:rsidRDefault="7FAD8741" w:rsidP="2F8AD9B3">
      <w:pPr>
        <w:pStyle w:val="TextoPrincipal"/>
        <w:rPr>
          <w:lang w:val="es-HN"/>
        </w:rPr>
      </w:pPr>
      <w:r w:rsidRPr="0076589C">
        <w:rPr>
          <w:lang w:val="es-HN"/>
        </w:rPr>
        <w:t xml:space="preserve"> En la </w:t>
      </w:r>
      <w:r w:rsidR="00585884" w:rsidRPr="0076589C">
        <w:rPr>
          <w:b/>
          <w:bCs/>
          <w:lang w:val="es-HN"/>
        </w:rPr>
        <w:t>Tabla 1</w:t>
      </w:r>
      <w:r w:rsidRPr="0076589C">
        <w:rPr>
          <w:b/>
          <w:bCs/>
          <w:lang w:val="es-HN"/>
        </w:rPr>
        <w:t>5,</w:t>
      </w:r>
      <w:r w:rsidRPr="0076589C">
        <w:rPr>
          <w:lang w:val="es-HN"/>
        </w:rPr>
        <w:t xml:space="preserve"> se pudo identificar el periodo promedio de cobro (PCC) de los años 2019 al 2022, en cual reflejan que el número de días con que se está cobrando fue disminuyendo significativamente.  en el 2021 hubo un aumento, pero no fue algo que impactara mucho, este indicador se logró contrastar con la rotación de las cuentas por cobrar ya que estas variables son inversamente proporcionales, es decir que, si un RCxC alto y un PPC corto son señales de una buena gestión de cuentas por cobrar, lo que implica que la empresa convierte sus ventas a efectivo de manera eficiente y rápida. Por otro lado, un RCxC bajo y un PPC largo pudo ser indicativos de problemas en la gestión de cuentas por cobrar y afectar negativamente la liquidez de la empresa.</w:t>
      </w:r>
    </w:p>
    <w:p w14:paraId="7813D6EF" w14:textId="46F77EB6" w:rsidR="005E30D5" w:rsidRPr="0076589C" w:rsidRDefault="1C8D6E3A" w:rsidP="2F8AD9B3">
      <w:pPr>
        <w:pStyle w:val="TextoPrincipal"/>
        <w:rPr>
          <w:lang w:val="es-HN"/>
        </w:rPr>
      </w:pPr>
      <w:r w:rsidRPr="0076589C">
        <w:rPr>
          <w:lang w:val="es-HN"/>
        </w:rPr>
        <w:lastRenderedPageBreak/>
        <w:t>El PPC disminuyó significativamente en 2022, alcanzando solo 80 días en promedio para cobrar cuentas por cobrar. Esto muestra que la empresa está cobrando a sus clientes mucho más rápido en comparación con años anteriores. Un PPC más corto es beneficioso porque significa que la empresa está convirtiendo las ventas a efectivo más rápido, lo que mejora la liquidez y la capacidad de reinversión.</w:t>
      </w:r>
    </w:p>
    <w:p w14:paraId="37BC0EBE" w14:textId="7D62A13A" w:rsidR="2F8AD9B3" w:rsidRPr="0076589C" w:rsidRDefault="7FAD8741" w:rsidP="2F8AD9B3">
      <w:pPr>
        <w:pStyle w:val="TextoPrincipal"/>
        <w:rPr>
          <w:lang w:val="es-HN"/>
        </w:rPr>
      </w:pPr>
      <w:r w:rsidRPr="0076589C">
        <w:rPr>
          <w:lang w:val="es-HN"/>
        </w:rPr>
        <w:t>Cabe recalcar que el personal de cobranza debe realizar la gestión de cobro en 60 días, que equivale a dos meses, con el análisis se observó que no lo realizan, esto pudo ser debido a diversos factores, algunos de ellos:</w:t>
      </w:r>
    </w:p>
    <w:p w14:paraId="106C62F4" w14:textId="77777777" w:rsidR="005A6BE0" w:rsidRPr="0076589C" w:rsidRDefault="1C8D6E3A" w:rsidP="00494616">
      <w:pPr>
        <w:pStyle w:val="TextoPrincipal"/>
        <w:numPr>
          <w:ilvl w:val="1"/>
          <w:numId w:val="47"/>
        </w:numPr>
        <w:rPr>
          <w:lang w:val="es-HN"/>
        </w:rPr>
      </w:pPr>
      <w:r w:rsidRPr="0076589C">
        <w:rPr>
          <w:lang w:val="es-HN"/>
        </w:rPr>
        <w:t>La empresa podría haber ajustado su política de crédito en ciertos momentos, ofreciendo plazos más largos o cortos a diferentes grupos de clientes, lo que influiría en el PPC.</w:t>
      </w:r>
    </w:p>
    <w:p w14:paraId="3B9F0D9A" w14:textId="46E80943" w:rsidR="2F8AD9B3" w:rsidRPr="0076589C" w:rsidRDefault="7FAD8741" w:rsidP="00494616">
      <w:pPr>
        <w:pStyle w:val="TextoPrincipal"/>
        <w:numPr>
          <w:ilvl w:val="1"/>
          <w:numId w:val="47"/>
        </w:numPr>
        <w:rPr>
          <w:lang w:val="es-HN"/>
        </w:rPr>
      </w:pPr>
      <w:r w:rsidRPr="0076589C">
        <w:rPr>
          <w:lang w:val="es-HN"/>
        </w:rPr>
        <w:t>Dificultades en la gestión de cuentas por cobrar, como un proceso ineficiente de seguimiento de pagos o problemas de facturación, pudo llevar a retrasos en el cobro y, por lo tanto, a un PPC más largo.</w:t>
      </w:r>
    </w:p>
    <w:p w14:paraId="17A4D7F9" w14:textId="7D709A63" w:rsidR="2F8AD9B3" w:rsidRPr="0076589C" w:rsidRDefault="1C8D6E3A" w:rsidP="008E474A">
      <w:pPr>
        <w:pStyle w:val="Prrafodelista"/>
        <w:spacing w:line="360" w:lineRule="auto"/>
        <w:ind w:left="0" w:firstLine="720"/>
        <w:jc w:val="both"/>
      </w:pPr>
      <w:r w:rsidRPr="0076589C">
        <w:rPr>
          <w:rFonts w:eastAsia="Calibri" w:cs="Times New Roman"/>
        </w:rPr>
        <w:t>Para alinear mejor el PPC con la política de crédito de 60 días, la empresa podría considerar implementar medidas más estrictas en la gestión de cuentas por cobrar, como recordatorios de pago más efectivos, ofrecer descuentos por pronto pago o evaluar y, si es necesario, ajustar los términos de pago con clientes individuales.</w:t>
      </w:r>
    </w:p>
    <w:p w14:paraId="5F9CBB88" w14:textId="63DFBDC0" w:rsidR="2F8AD9B3" w:rsidRPr="0076589C" w:rsidRDefault="008E474A" w:rsidP="008E474A">
      <w:pPr>
        <w:pStyle w:val="TextoPrincipal"/>
        <w:ind w:firstLine="0"/>
        <w:rPr>
          <w:lang w:val="es-HN"/>
        </w:rPr>
      </w:pPr>
      <w:r w:rsidRPr="0076589C">
        <w:rPr>
          <w:noProof/>
          <w:lang w:val="es-HN" w:eastAsia="es-HN"/>
        </w:rPr>
        <w:drawing>
          <wp:inline distT="0" distB="0" distL="0" distR="0" wp14:anchorId="2BBFDABA" wp14:editId="2DCDF69C">
            <wp:extent cx="5922010" cy="1937857"/>
            <wp:effectExtent l="0" t="0" r="2540" b="5715"/>
            <wp:docPr id="1275350789" name="Gráfico 1">
              <a:extLst xmlns:a="http://schemas.openxmlformats.org/drawingml/2006/main">
                <a:ext uri="{FF2B5EF4-FFF2-40B4-BE49-F238E27FC236}">
                  <a16:creationId xmlns:a16="http://schemas.microsoft.com/office/drawing/2014/main" id="{00000000-0008-0000-0A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BDC909C" w14:textId="40C3DE2C" w:rsidR="005571A3" w:rsidRPr="0076589C" w:rsidRDefault="1C8D6E3A" w:rsidP="005571A3">
      <w:pPr>
        <w:pStyle w:val="ImagenyTabla"/>
        <w:rPr>
          <w:noProof w:val="0"/>
        </w:rPr>
      </w:pPr>
      <w:bookmarkStart w:id="270" w:name="_Toc158365592"/>
      <w:r w:rsidRPr="0076589C">
        <w:t xml:space="preserve">Figura </w:t>
      </w:r>
      <w:r w:rsidR="005571A3" w:rsidRPr="0076589C">
        <w:rPr>
          <w:noProof w:val="0"/>
        </w:rPr>
        <w:fldChar w:fldCharType="begin"/>
      </w:r>
      <w:r w:rsidR="005571A3" w:rsidRPr="0076589C">
        <w:rPr>
          <w:noProof w:val="0"/>
        </w:rPr>
        <w:instrText xml:space="preserve"> SEQ Figura \* ARABIC </w:instrText>
      </w:r>
      <w:r w:rsidR="005571A3" w:rsidRPr="0076589C">
        <w:rPr>
          <w:noProof w:val="0"/>
        </w:rPr>
        <w:fldChar w:fldCharType="separate"/>
      </w:r>
      <w:r w:rsidR="009F171A">
        <w:t>7</w:t>
      </w:r>
      <w:r w:rsidR="005571A3" w:rsidRPr="0076589C">
        <w:rPr>
          <w:noProof w:val="0"/>
        </w:rPr>
        <w:fldChar w:fldCharType="end"/>
      </w:r>
      <w:r w:rsidRPr="0076589C">
        <w:t>.   Periodo promedio de cobro en IPRA (2019-2022)</w:t>
      </w:r>
      <w:bookmarkEnd w:id="270"/>
    </w:p>
    <w:p w14:paraId="7F53AF96" w14:textId="51ECA639" w:rsidR="00C90135" w:rsidRPr="0076589C" w:rsidRDefault="1C8D6E3A" w:rsidP="00A67E3C">
      <w:pPr>
        <w:pStyle w:val="Fuentes"/>
        <w:rPr>
          <w:lang w:val="es-HN"/>
        </w:rPr>
      </w:pPr>
      <w:r w:rsidRPr="0076589C">
        <w:rPr>
          <w:lang w:val="es-HN"/>
        </w:rPr>
        <w:t>Fuente: Elaboración propia con datos de IPRA (2023).</w:t>
      </w:r>
    </w:p>
    <w:p w14:paraId="337D1C7B" w14:textId="77777777" w:rsidR="000D7A2B" w:rsidRPr="0076589C" w:rsidRDefault="1C8D6E3A" w:rsidP="006C76BE">
      <w:pPr>
        <w:pStyle w:val="Ttulonivel4"/>
        <w:numPr>
          <w:ilvl w:val="3"/>
          <w:numId w:val="6"/>
        </w:numPr>
        <w:ind w:left="1440" w:firstLine="0"/>
      </w:pPr>
      <w:r w:rsidRPr="0076589C">
        <w:lastRenderedPageBreak/>
        <w:t>DIMENSIÓN CONTABLE</w:t>
      </w:r>
    </w:p>
    <w:p w14:paraId="61BA6C21" w14:textId="77777777" w:rsidR="000D7A2B" w:rsidRPr="0076589C" w:rsidRDefault="1C8D6E3A" w:rsidP="006E1296">
      <w:pPr>
        <w:spacing w:after="0" w:line="360" w:lineRule="auto"/>
        <w:ind w:left="0" w:firstLine="357"/>
        <w:jc w:val="both"/>
        <w:rPr>
          <w:rFonts w:eastAsia="Calibri" w:cs="Times New Roman"/>
        </w:rPr>
      </w:pPr>
      <w:r w:rsidRPr="0076589C">
        <w:rPr>
          <w:rFonts w:eastAsia="Calibri" w:cs="Times New Roman"/>
        </w:rPr>
        <w:t>La dimensión contable constituye un pilar fundamental en la evaluación de la salud financiera de una empresa. Dentro de esta dimensión, el análisis de las cuentas por cobrar en comparación con otros indicadores financieros desempeña un papel esencial. Esta comparación ofrece una visión más completa y holística de la gestión financiera de la empresa, permitiendo evaluar cómo las cuentas por cobrar interactúan con otros aspectos financieros, como la liquidez, la rentabilidad y la eficiencia operativa.</w:t>
      </w:r>
    </w:p>
    <w:p w14:paraId="2A65F491" w14:textId="77777777" w:rsidR="006E1296" w:rsidRPr="0076589C" w:rsidRDefault="006E1296" w:rsidP="006E1296">
      <w:pPr>
        <w:spacing w:after="0" w:line="360" w:lineRule="auto"/>
        <w:ind w:left="0" w:firstLine="357"/>
        <w:jc w:val="both"/>
        <w:rPr>
          <w:rFonts w:eastAsia="Calibri" w:cs="Times New Roman"/>
        </w:rPr>
      </w:pPr>
    </w:p>
    <w:p w14:paraId="47D318D6" w14:textId="77777777" w:rsidR="000D7A2B" w:rsidRPr="0076589C" w:rsidRDefault="7656F0E9" w:rsidP="004F3DA9">
      <w:pPr>
        <w:pStyle w:val="Nivel5"/>
        <w:numPr>
          <w:ilvl w:val="0"/>
          <w:numId w:val="36"/>
        </w:numPr>
        <w:ind w:left="1440" w:firstLine="0"/>
      </w:pPr>
      <w:r w:rsidRPr="0076589C">
        <w:t>CUENTAS POR COBRAR</w:t>
      </w:r>
    </w:p>
    <w:p w14:paraId="086CA456" w14:textId="77777777" w:rsidR="000D7A2B" w:rsidRPr="0076589C" w:rsidRDefault="7656F0E9" w:rsidP="000D7A2B">
      <w:pPr>
        <w:pStyle w:val="TextoPrincipal"/>
        <w:rPr>
          <w:lang w:val="es-HN"/>
        </w:rPr>
      </w:pPr>
      <w:r w:rsidRPr="0076589C">
        <w:rPr>
          <w:lang w:val="es-HN"/>
        </w:rPr>
        <w:t xml:space="preserve">Las cuentas por cobrar son una parte fundamental de la gestión financiera de una empresa, ya que afectan el flujo de efectivo, la rentabilidad y la liquidez. Una gestión efectiva de cuentas por cobrar implica políticas de crédito adecuadas, seguimiento de los saldos pendientes, estrategias de cobranza eficientes y la reducción del riesgo de incumplimiento. </w:t>
      </w:r>
      <w:r w:rsidR="1C8D6E3A" w:rsidRPr="0076589C">
        <w:rPr>
          <w:lang w:val="es-HN"/>
        </w:rPr>
        <w:fldChar w:fldCharType="begin"/>
      </w:r>
      <w:r w:rsidR="1C8D6E3A" w:rsidRPr="0076589C">
        <w:rPr>
          <w:lang w:val="es-HN"/>
        </w:rPr>
        <w:instrText xml:space="preserve"> ADDIN ZOTERO_ITEM CSL_CITATION {"citationID":"dpMhvEAV","properties":{"formattedCitation":"(Meza, 1996)","plainCitation":"(Meza, 1996)","noteIndex":0},"citationItems":[{"id":391,"uris":["http://zotero.org/users/12108825/items/6B57ERLE"],"itemData":{"id":391,"type":"book","ISBN":"978-9977-64-859-0","language":"es","note":"Google-Books-ID: FdcD5qOwcMcC","number-of-pages":"348","publisher":"EUNED","source":"Google Books","title":"Contabilidad. Análisis de Cuentas","author":[{"family":"Meza","given":"Carlos"}],"issued":{"date-parts":[["1996"]]}}}],"schema":"https://github.com/citation-style-language/schema/raw/master/csl-citation.json"} </w:instrText>
      </w:r>
      <w:r w:rsidR="1C8D6E3A" w:rsidRPr="0076589C">
        <w:rPr>
          <w:lang w:val="es-HN"/>
        </w:rPr>
        <w:fldChar w:fldCharType="separate"/>
      </w:r>
      <w:r w:rsidRPr="0076589C">
        <w:rPr>
          <w:lang w:val="es-HN"/>
        </w:rPr>
        <w:t>(Meza, 1996)</w:t>
      </w:r>
      <w:r w:rsidR="1C8D6E3A" w:rsidRPr="0076589C">
        <w:rPr>
          <w:lang w:val="es-HN"/>
        </w:rPr>
        <w:fldChar w:fldCharType="end"/>
      </w:r>
      <w:r w:rsidRPr="0076589C">
        <w:rPr>
          <w:lang w:val="es-HN"/>
        </w:rPr>
        <w:t xml:space="preserve"> </w:t>
      </w:r>
    </w:p>
    <w:p w14:paraId="6237B406" w14:textId="2AD7CCFE" w:rsidR="7656F0E9" w:rsidRPr="0076589C" w:rsidRDefault="7FAD8741" w:rsidP="7656F0E9">
      <w:pPr>
        <w:pStyle w:val="TextoPrincipal"/>
        <w:rPr>
          <w:lang w:val="es-HN"/>
        </w:rPr>
      </w:pPr>
      <w:r w:rsidRPr="0076589C">
        <w:rPr>
          <w:lang w:val="es-HN"/>
        </w:rPr>
        <w:t xml:space="preserve">El indicador de la rotación de cuentas por cobrar impacta en el balance general y estado de resultado de la empresa, donde un aumento en la rotación de cuentas por cobrar implica que la empresa está convirtiendo sus cuentas por cobrar en efectivo más rápidamente. Esto reduce la cantidad de efectivo atado en cuentas por cobrar y, por lo tanto, pudo aumentar la liquidez de la empresa. En este caso se observó que la rotación de las cuentas por cobrar fue en aumento de 2.21 en el año 2019 a 4.57 en el año 2022, donde se pudo ver que el efectivo de la empresa aumento a un 197% lo que es beneficioso para la salud financiera de la empresa. </w:t>
      </w:r>
    </w:p>
    <w:p w14:paraId="699CD2F2" w14:textId="7085CE4A" w:rsidR="7656F0E9" w:rsidRPr="0076589C" w:rsidRDefault="7FAD8741" w:rsidP="7656F0E9">
      <w:pPr>
        <w:pStyle w:val="TextoPrincipal"/>
        <w:rPr>
          <w:lang w:val="es-HN"/>
        </w:rPr>
      </w:pPr>
      <w:r w:rsidRPr="0076589C">
        <w:rPr>
          <w:lang w:val="es-HN"/>
        </w:rPr>
        <w:t xml:space="preserve">Así mismo, se evaluó el indicador del período promedio de cobro PPC en las cuentas por cobrar de su balance general, al analizarse este PPC ha tenido mucha fluctuación durante el periodo evaluado, si bien IPRA ha logrado disminuir su PPC de un 6 a un 3, hay que realizar un análisis más exhaustivo del porque tanta variación y si en la actualidad se ha mantenido en un 3, si bien al tener un PPC más corto la empresa tiene menos riesgos de cuentas incobrable y pudo reinvertir ese efectivo más rápido. IPRA tiene una política de crédito de 60 días y cuando el PPC es consistentemente más largo, indicando que la política de crédito debe ser revisada. Esto podría ayudar a evitar problemas de liquidez futuros. </w:t>
      </w:r>
    </w:p>
    <w:p w14:paraId="4EAADBE3" w14:textId="59AFA050" w:rsidR="58635CE4" w:rsidRPr="0076589C" w:rsidRDefault="7FAD8741" w:rsidP="006E1296">
      <w:pPr>
        <w:pStyle w:val="TextoPrincipal"/>
        <w:spacing w:after="0"/>
        <w:rPr>
          <w:rFonts w:eastAsia="Times New Roman"/>
          <w:lang w:val="es-HN"/>
        </w:rPr>
      </w:pPr>
      <w:r w:rsidRPr="0076589C">
        <w:rPr>
          <w:lang w:val="es-HN"/>
        </w:rPr>
        <w:t xml:space="preserve">Así mismo al acortar el PPC, la empresa pudo reducir los costos financieros asociados con la financiación de cuentas por cobrar. Menos días de cobro significan menos tiempo en el que la </w:t>
      </w:r>
      <w:r w:rsidRPr="0076589C">
        <w:rPr>
          <w:lang w:val="es-HN"/>
        </w:rPr>
        <w:lastRenderedPageBreak/>
        <w:t>empresa necesita financiamiento externo para mantener sus operaciones. Esto se observó en los análisis verticales del Balance General donde se identificó que IPRA no tiene muchas deudas a largo plazo, ya que</w:t>
      </w:r>
      <w:r w:rsidRPr="0076589C">
        <w:rPr>
          <w:rFonts w:eastAsia="Times New Roman"/>
          <w:lang w:val="es-HN"/>
        </w:rPr>
        <w:t xml:space="preserve"> la empresa cuenta con un capital propio grande, el cual tiene el mayor porcentaje en representación en sus Balances Generales denotando una estructura financiera más sólida y menos apalancada, ya que, al financiar sus inversiones con su capital propio, la empresa tiene un mayor control sobre su dirección  no está sujeta a las obligaciones y restricciones asociadas con la deuda.</w:t>
      </w:r>
    </w:p>
    <w:p w14:paraId="2E4090E8" w14:textId="0ACE48D1" w:rsidR="00507179" w:rsidRPr="0076589C" w:rsidRDefault="00507179" w:rsidP="006E1296">
      <w:pPr>
        <w:pStyle w:val="TextoPrincipal"/>
        <w:spacing w:after="0"/>
        <w:rPr>
          <w:rFonts w:eastAsia="Times New Roman"/>
          <w:lang w:val="es-HN"/>
        </w:rPr>
      </w:pPr>
      <w:r w:rsidRPr="0076589C">
        <w:rPr>
          <w:rFonts w:eastAsia="Times New Roman"/>
          <w:lang w:val="es-HN"/>
        </w:rPr>
        <w:t xml:space="preserve">Una vez que ya hemos realizado un </w:t>
      </w:r>
      <w:r w:rsidR="007268A8" w:rsidRPr="0076589C">
        <w:rPr>
          <w:rFonts w:eastAsia="Times New Roman"/>
          <w:lang w:val="es-HN"/>
        </w:rPr>
        <w:t>análisis</w:t>
      </w:r>
      <w:r w:rsidRPr="0076589C">
        <w:rPr>
          <w:rFonts w:eastAsia="Times New Roman"/>
          <w:lang w:val="es-HN"/>
        </w:rPr>
        <w:t xml:space="preserve"> </w:t>
      </w:r>
      <w:r w:rsidR="007268A8" w:rsidRPr="0076589C">
        <w:rPr>
          <w:rFonts w:eastAsia="Times New Roman"/>
          <w:lang w:val="es-HN"/>
        </w:rPr>
        <w:t>en la política de crédito y cobros de IPRA, se debe tener en cuenta el impacto que pueden tener en las siguientes variables:</w:t>
      </w:r>
    </w:p>
    <w:p w14:paraId="2EDA55DF" w14:textId="022AAD72" w:rsidR="007268A8" w:rsidRPr="0076589C" w:rsidRDefault="007268A8" w:rsidP="006E1296">
      <w:pPr>
        <w:pStyle w:val="TextoPrincipal"/>
        <w:spacing w:after="0"/>
        <w:rPr>
          <w:rFonts w:eastAsia="Times New Roman"/>
          <w:lang w:val="es-HN"/>
        </w:rPr>
      </w:pPr>
      <w:r w:rsidRPr="0076589C">
        <w:rPr>
          <w:rFonts w:eastAsia="Times New Roman"/>
          <w:lang w:val="es-HN"/>
        </w:rPr>
        <w:t xml:space="preserve">1. Cambios marginales en margen bruto: </w:t>
      </w:r>
    </w:p>
    <w:p w14:paraId="2BC09B4B" w14:textId="77A7952A" w:rsidR="007268A8" w:rsidRPr="0076589C" w:rsidRDefault="007268A8" w:rsidP="007268A8">
      <w:pPr>
        <w:pStyle w:val="TextoPrincipal"/>
        <w:spacing w:after="0"/>
        <w:rPr>
          <w:rFonts w:eastAsia="Times New Roman"/>
          <w:lang w:val="es-HN"/>
        </w:rPr>
      </w:pPr>
      <w:r w:rsidRPr="0076589C">
        <w:rPr>
          <w:rFonts w:eastAsia="Times New Roman"/>
          <w:lang w:val="es-HN"/>
        </w:rPr>
        <w:t>Debido a que la política de crédito y cobranza puede influir en las ventas, ya que afecta la capacidad de los clientes para comprar productos al crédito. Un cambio en la política que hace más estrictas las condiciones de crédito puede reducir las ventas, lo que a su vez podría disminuir el margen bruto.</w:t>
      </w:r>
    </w:p>
    <w:p w14:paraId="04C819A2" w14:textId="17124C50" w:rsidR="007268A8" w:rsidRPr="0076589C" w:rsidRDefault="007268A8" w:rsidP="007268A8">
      <w:pPr>
        <w:pStyle w:val="TextoPrincipal"/>
        <w:spacing w:after="0"/>
        <w:rPr>
          <w:rFonts w:eastAsia="Times New Roman"/>
          <w:lang w:val="es-HN"/>
        </w:rPr>
      </w:pPr>
      <w:r w:rsidRPr="0076589C">
        <w:rPr>
          <w:rFonts w:eastAsia="Times New Roman"/>
          <w:lang w:val="es-HN"/>
        </w:rPr>
        <w:t>Por otro lado, una política más flexible podría aumentar las ventas, pero también podría aumentar el riesgo de incumplimiento y, por lo tanto, las deudas incobrables. El impacto neto en el margen bruto dependerá del equilibrio entre estas variables.</w:t>
      </w:r>
    </w:p>
    <w:p w14:paraId="2AD42385" w14:textId="0D58AD8D" w:rsidR="007268A8" w:rsidRPr="0076589C" w:rsidRDefault="007268A8" w:rsidP="006E1296">
      <w:pPr>
        <w:pStyle w:val="TextoPrincipal"/>
        <w:spacing w:after="0"/>
        <w:rPr>
          <w:rFonts w:eastAsia="Times New Roman"/>
          <w:lang w:val="es-HN"/>
        </w:rPr>
      </w:pPr>
      <w:r w:rsidRPr="0076589C">
        <w:rPr>
          <w:rFonts w:eastAsia="Times New Roman"/>
          <w:lang w:val="es-HN"/>
        </w:rPr>
        <w:t>2. Cambios en el costo de inversión de cuentas por cobrar:</w:t>
      </w:r>
    </w:p>
    <w:p w14:paraId="24538291" w14:textId="74A7B316" w:rsidR="007268A8" w:rsidRPr="0076589C" w:rsidRDefault="007268A8" w:rsidP="007268A8">
      <w:pPr>
        <w:pStyle w:val="TextoPrincipal"/>
        <w:spacing w:after="0"/>
        <w:rPr>
          <w:rFonts w:eastAsia="Times New Roman"/>
          <w:lang w:val="es-HN"/>
        </w:rPr>
      </w:pPr>
      <w:r w:rsidRPr="0076589C">
        <w:rPr>
          <w:rFonts w:eastAsia="Times New Roman"/>
          <w:lang w:val="es-HN"/>
        </w:rPr>
        <w:t>Una política de cobranza más estricta podría reducir el tiempo promedio que tardan los clientes en pagar, lo que a su vez disminuiría el costo de la inversión de cuentas por cobrar al reducir el capital atado en cuentas por cobrar. Por el contrario, una política de crédito más suave podría aumentar el tiempo promedio de cobro y, por lo tanto, aumentar el costo de la inversión de cuentas por cobrar.</w:t>
      </w:r>
    </w:p>
    <w:p w14:paraId="0DEF0CCC" w14:textId="77777777" w:rsidR="00731C82" w:rsidRPr="0076589C" w:rsidRDefault="007268A8" w:rsidP="00731C82">
      <w:pPr>
        <w:pStyle w:val="TextoPrincipal"/>
        <w:spacing w:after="0"/>
        <w:rPr>
          <w:lang w:val="es-HN"/>
        </w:rPr>
      </w:pPr>
      <w:r w:rsidRPr="0076589C">
        <w:rPr>
          <w:rFonts w:eastAsia="Times New Roman"/>
          <w:lang w:val="es-HN"/>
        </w:rPr>
        <w:t>3. Cambios marginales en deudas incobrables:</w:t>
      </w:r>
    </w:p>
    <w:p w14:paraId="51A10A1D" w14:textId="49A82681" w:rsidR="00731C82" w:rsidRPr="0076589C" w:rsidRDefault="00731C82" w:rsidP="00731C82">
      <w:pPr>
        <w:pStyle w:val="TextoPrincipal"/>
        <w:spacing w:after="0"/>
        <w:rPr>
          <w:rFonts w:eastAsia="Times New Roman"/>
          <w:lang w:val="es-HN"/>
        </w:rPr>
      </w:pPr>
      <w:r w:rsidRPr="0076589C">
        <w:rPr>
          <w:rFonts w:eastAsia="Times New Roman"/>
          <w:lang w:val="es-HN"/>
        </w:rPr>
        <w:t>Una política de crédito más estricta podría reducir el riesgo de incumplimiento y, por lo tanto, disminuir las deudas incobrables. Sin embargo, una política de crédito más flexible podría aumentar el riesgo de incumplimiento y, por lo tanto, aumentar las deudas incobrables.</w:t>
      </w:r>
    </w:p>
    <w:p w14:paraId="04D567DC" w14:textId="50E70B0D" w:rsidR="007268A8" w:rsidRPr="0076589C" w:rsidRDefault="00731C82" w:rsidP="00731C82">
      <w:pPr>
        <w:pStyle w:val="TextoPrincipal"/>
        <w:spacing w:after="0"/>
        <w:rPr>
          <w:rFonts w:eastAsia="Times New Roman"/>
          <w:lang w:val="es-HN"/>
        </w:rPr>
      </w:pPr>
      <w:r w:rsidRPr="0076589C">
        <w:rPr>
          <w:rFonts w:eastAsia="Times New Roman"/>
          <w:lang w:val="es-HN"/>
        </w:rPr>
        <w:t>Los cambios en la política de crédito y cobranza pueden tener un impacto significativo en estas tres variables clave. El desafío radica en encontrar el equilibrio adecuado que maximice el margen bruto mientras se minimizan los costos asociados con la inversión de cuentas por cobrar y las deudas incobrables.</w:t>
      </w:r>
    </w:p>
    <w:p w14:paraId="1D4B41EC" w14:textId="77777777" w:rsidR="00731C82" w:rsidRPr="0076589C" w:rsidRDefault="00731C82" w:rsidP="00731C82">
      <w:pPr>
        <w:pStyle w:val="TextoPrincipal"/>
        <w:spacing w:after="0"/>
        <w:ind w:firstLine="0"/>
        <w:rPr>
          <w:lang w:val="es-HN"/>
        </w:rPr>
      </w:pPr>
    </w:p>
    <w:p w14:paraId="7849AC10" w14:textId="77777777" w:rsidR="006978F4" w:rsidRPr="0076589C" w:rsidRDefault="1C8D6E3A" w:rsidP="006C76BE">
      <w:pPr>
        <w:pStyle w:val="Ttulonivel3"/>
        <w:numPr>
          <w:ilvl w:val="2"/>
          <w:numId w:val="6"/>
        </w:numPr>
        <w:ind w:left="720" w:firstLine="0"/>
      </w:pPr>
      <w:bookmarkStart w:id="271" w:name="_Toc158365525"/>
      <w:r w:rsidRPr="0076589C">
        <w:t>ANÁLISIS DE INDICADORES FINANCIERO</w:t>
      </w:r>
      <w:bookmarkEnd w:id="271"/>
    </w:p>
    <w:p w14:paraId="1A04E269" w14:textId="3575CA3D" w:rsidR="008E390F" w:rsidRPr="0076589C" w:rsidRDefault="1E72B905" w:rsidP="0097136F">
      <w:pPr>
        <w:pStyle w:val="TextoPrincipal"/>
        <w:rPr>
          <w:lang w:val="es-HN"/>
        </w:rPr>
      </w:pPr>
      <w:r w:rsidRPr="0076589C">
        <w:rPr>
          <w:lang w:val="es-HN"/>
        </w:rPr>
        <w:t xml:space="preserve">El análisis de los indicadores es de gran importancia para la evaluación de la salud financiera de una empresa. Los indicadores o ratios son índices, razones, divisiones que comparan dos partidas de los estados financieros. Se pueden dividir como: Índices de Rentabilidad, Índices de Liquidez e Índices de Solvencia o Estructura de capital. </w:t>
      </w:r>
      <w:r w:rsidR="007157F8" w:rsidRPr="0076589C">
        <w:rPr>
          <w:lang w:val="es-HN"/>
        </w:rPr>
        <w:fldChar w:fldCharType="begin"/>
      </w:r>
      <w:r w:rsidR="007157F8" w:rsidRPr="0076589C">
        <w:rPr>
          <w:lang w:val="es-HN"/>
        </w:rPr>
        <w:instrText xml:space="preserve"> ADDIN ZOTERO_ITEM CSL_CITATION {"citationID":"cbdExJK8","properties":{"formattedCitation":"(Nakasone, 2001)","plainCitation":"(Nakasone, 2001)","noteIndex":0},"citationItems":[{"id":369,"uris":["http://zotero.org/users/12108825/items/2AP7YWKL"],"itemData":{"id":369,"type":"book","ISBN":"978-9972-42-403-8","language":"es","note":"Google-Books-ID: LH4fWKr2Cs4C","number-of-pages":"566","publisher":"Fondo Editorial PUCP","source":"Google Books","title":"Análisis de Estados Financieros Para la Toma de Decisiones","author":[{"family":"Nakasone","given":"Gustavo Tanaka"}],"issued":{"date-parts":[["2001"]]}}}],"schema":"https://github.com/citation-style-language/schema/raw/master/csl-citation.json"} </w:instrText>
      </w:r>
      <w:r w:rsidR="007157F8" w:rsidRPr="0076589C">
        <w:rPr>
          <w:lang w:val="es-HN"/>
        </w:rPr>
        <w:fldChar w:fldCharType="separate"/>
      </w:r>
      <w:r w:rsidRPr="0076589C">
        <w:rPr>
          <w:lang w:val="es-HN"/>
        </w:rPr>
        <w:t>(Nakasone, 2001)</w:t>
      </w:r>
      <w:r w:rsidR="007157F8" w:rsidRPr="0076589C">
        <w:rPr>
          <w:lang w:val="es-HN"/>
        </w:rPr>
        <w:fldChar w:fldCharType="end"/>
      </w:r>
    </w:p>
    <w:p w14:paraId="52E70668" w14:textId="72F37393" w:rsidR="00A94485" w:rsidRPr="0076589C" w:rsidRDefault="7FAD8741" w:rsidP="0097136F">
      <w:pPr>
        <w:pStyle w:val="TextoPrincipal"/>
        <w:rPr>
          <w:lang w:val="es-HN"/>
        </w:rPr>
      </w:pPr>
      <w:r w:rsidRPr="0076589C">
        <w:rPr>
          <w:lang w:val="es-HN"/>
        </w:rPr>
        <w:t xml:space="preserve">Los indicadores se utilizan para evaluar diversos aspectos de la situación financiera, el rendimiento y la eficiencia de una empresa. Con un análisis adecuado de los indicadores financieros se pudo proporcionar una visión completa de la situación financiera de la empresa y así tomar las decisiones informadas en el área. </w:t>
      </w:r>
    </w:p>
    <w:p w14:paraId="2DE69D30" w14:textId="5598B747" w:rsidR="000176EF" w:rsidRPr="0076589C" w:rsidRDefault="1C8D6E3A" w:rsidP="00DF0C63">
      <w:pPr>
        <w:pStyle w:val="TextoPrincipal"/>
        <w:spacing w:after="0"/>
        <w:rPr>
          <w:lang w:val="es-HN"/>
        </w:rPr>
      </w:pPr>
      <w:r w:rsidRPr="0076589C">
        <w:rPr>
          <w:lang w:val="es-HN"/>
        </w:rPr>
        <w:t>A continuación, se analiz</w:t>
      </w:r>
      <w:r w:rsidR="00885F8F" w:rsidRPr="0076589C">
        <w:rPr>
          <w:lang w:val="es-HN"/>
        </w:rPr>
        <w:t>ó</w:t>
      </w:r>
      <w:r w:rsidRPr="0076589C">
        <w:rPr>
          <w:lang w:val="es-HN"/>
        </w:rPr>
        <w:t xml:space="preserve"> los indicadores financieros de: rentabilidad, liquidez y endeudamiento para la empresa IPRA en el periodo 2019-2022.</w:t>
      </w:r>
    </w:p>
    <w:p w14:paraId="6D88937D" w14:textId="77777777" w:rsidR="00DF0C63" w:rsidRPr="0076589C" w:rsidRDefault="00DF0C63" w:rsidP="00DF0C63">
      <w:pPr>
        <w:pStyle w:val="TextoPrincipal"/>
        <w:spacing w:after="0"/>
        <w:rPr>
          <w:lang w:val="es-HN"/>
        </w:rPr>
      </w:pPr>
    </w:p>
    <w:p w14:paraId="59A29017" w14:textId="504E7CF4" w:rsidR="00BA18FE" w:rsidRPr="0076589C" w:rsidRDefault="1C8D6E3A" w:rsidP="00D51FF0">
      <w:pPr>
        <w:pStyle w:val="Ttulonivel4"/>
        <w:numPr>
          <w:ilvl w:val="0"/>
          <w:numId w:val="26"/>
        </w:numPr>
        <w:ind w:left="1440" w:firstLine="0"/>
      </w:pPr>
      <w:r w:rsidRPr="0076589C">
        <w:t>DIMENSIÓN RENTABILIDAD</w:t>
      </w:r>
    </w:p>
    <w:p w14:paraId="4B35CA17" w14:textId="3FEA74BC" w:rsidR="00257C5D" w:rsidRPr="0076589C" w:rsidRDefault="1C8D6E3A" w:rsidP="00AD2EC7">
      <w:pPr>
        <w:pStyle w:val="TextoPrincipal"/>
        <w:rPr>
          <w:lang w:val="es-HN"/>
        </w:rPr>
      </w:pPr>
      <w:r w:rsidRPr="0076589C">
        <w:rPr>
          <w:lang w:val="es-HN"/>
        </w:rPr>
        <w:t xml:space="preserve">La rentabilidad es una noción que se aplica a toda acción económica donde se movilizan medios materiales, humanos y financiaros con la finalidad de obtener resultados. En sentido general se denomina la rentabilidad como la medida del rendimiento que en un determinado periodo de tiempo producen los capitales que se utilizan en el mismo. Toda empresa la traza como objetivo para conocer el rendimiento de lo invertido al realizar una serie de actividades en un determinado periodo de tiempo. </w:t>
      </w:r>
      <w:r w:rsidR="00257C5D" w:rsidRPr="0076589C">
        <w:rPr>
          <w:lang w:val="es-HN"/>
        </w:rPr>
        <w:fldChar w:fldCharType="begin"/>
      </w:r>
      <w:r w:rsidR="00257C5D" w:rsidRPr="0076589C">
        <w:rPr>
          <w:lang w:val="es-HN"/>
        </w:rPr>
        <w:instrText xml:space="preserve"> ADDIN ZOTERO_ITEM CSL_CITATION {"citationID":"9idjOCCa","properties":{"formattedCitation":"(De La Hoz Su\\uc0\\u225{}rez et\\uc0\\u160{}al., 2008)","plainCitation":"(De La Hoz Suárez et al., 2008)","noteIndex":0},"citationItems":[{"id":170,"uris":["http://zotero.org/users/12108825/items/Y3WKTK8U"],"itemData":{"id":170,"type":"article-journal","container-title":"Revista de Ciencias Sociales","ISSN":"1315-9518","issue":"1","language":"es","note":"publisher: Instittuto de Investigación Universidad del Zulia (LUZ) Maracaibo- Venezuela","page":"88-109","source":"ve.scielo.org","title":"Indicadores de rentabilidad: herramientas para la toma decisiones financieras en hoteles de categoría media ubicados en Maracaibo","title-short":"Indicadores de rentabilidad","volume":"14","author":[{"family":"De La Hoz Suárez","given":"Betty"},{"family":"Ferrer","given":"María Alejandra"},{"family":"De La Hoz Suárez","given":"Aminta"}],"issued":{"date-parts":[["2008",4]]}}}],"schema":"https://github.com/citation-style-language/schema/raw/master/csl-citation.json"} </w:instrText>
      </w:r>
      <w:r w:rsidR="00257C5D" w:rsidRPr="0076589C">
        <w:rPr>
          <w:lang w:val="es-HN"/>
        </w:rPr>
        <w:fldChar w:fldCharType="separate"/>
      </w:r>
      <w:r w:rsidRPr="0076589C">
        <w:rPr>
          <w:lang w:val="es-HN"/>
        </w:rPr>
        <w:t>(De La Hoz Suárez et al., 2008)</w:t>
      </w:r>
      <w:r w:rsidR="00257C5D" w:rsidRPr="0076589C">
        <w:rPr>
          <w:lang w:val="es-HN"/>
        </w:rPr>
        <w:fldChar w:fldCharType="end"/>
      </w:r>
    </w:p>
    <w:p w14:paraId="44A6A9E7" w14:textId="6BA9EE35" w:rsidR="00AD2EC7" w:rsidRPr="0076589C" w:rsidRDefault="1C8D6E3A" w:rsidP="00AD2EC7">
      <w:pPr>
        <w:pStyle w:val="TextoPrincipal"/>
        <w:rPr>
          <w:lang w:val="es-HN"/>
        </w:rPr>
      </w:pPr>
      <w:r w:rsidRPr="0076589C">
        <w:rPr>
          <w:lang w:val="es-HN"/>
        </w:rPr>
        <w:t>Estas razones permiten el análisis y valoración de las ganancias de la entidad con relación a un nivel dado de ventas, de activos o la inversión de los dueños. También se puede definir como el resultado de la toma de decisiones sobre la administración de una empresa.</w:t>
      </w:r>
    </w:p>
    <w:p w14:paraId="7254D468" w14:textId="522C2877" w:rsidR="000176EF" w:rsidRPr="0076589C" w:rsidRDefault="1C8D6E3A" w:rsidP="00207EAF">
      <w:pPr>
        <w:pStyle w:val="TextoPrincipal"/>
        <w:spacing w:after="0"/>
        <w:rPr>
          <w:lang w:val="es-HN"/>
        </w:rPr>
      </w:pPr>
      <w:r w:rsidRPr="0076589C">
        <w:rPr>
          <w:lang w:val="es-HN"/>
        </w:rPr>
        <w:t>Como indicadores de rentabilidad se analiz</w:t>
      </w:r>
      <w:r w:rsidR="00885F8F" w:rsidRPr="0076589C">
        <w:rPr>
          <w:lang w:val="es-HN"/>
        </w:rPr>
        <w:t>ó</w:t>
      </w:r>
      <w:r w:rsidRPr="0076589C">
        <w:rPr>
          <w:lang w:val="es-HN"/>
        </w:rPr>
        <w:t>: el margen de utilidad bruta, margen de utilidad neta, EBITDA, ROA y ROE.</w:t>
      </w:r>
    </w:p>
    <w:p w14:paraId="6318D2FB" w14:textId="77777777" w:rsidR="00207EAF" w:rsidRPr="0076589C" w:rsidRDefault="00207EAF" w:rsidP="00207EAF">
      <w:pPr>
        <w:pStyle w:val="TextoPrincipal"/>
        <w:spacing w:after="0"/>
        <w:rPr>
          <w:lang w:val="es-HN"/>
        </w:rPr>
      </w:pPr>
    </w:p>
    <w:p w14:paraId="652F8A24" w14:textId="7E3420DA" w:rsidR="003707BF" w:rsidRPr="0076589C" w:rsidRDefault="1C8D6E3A" w:rsidP="004F3DA9">
      <w:pPr>
        <w:pStyle w:val="Ttulonivel4"/>
        <w:numPr>
          <w:ilvl w:val="0"/>
          <w:numId w:val="27"/>
        </w:numPr>
        <w:ind w:left="1440" w:firstLine="0"/>
        <w:outlineLvl w:val="4"/>
      </w:pPr>
      <w:r w:rsidRPr="0076589C">
        <w:lastRenderedPageBreak/>
        <w:t>MARGEN DE UTILIDAD BRUTA</w:t>
      </w:r>
    </w:p>
    <w:p w14:paraId="7A3AB461" w14:textId="6A284252" w:rsidR="00D21F22" w:rsidRPr="0076589C" w:rsidRDefault="1C8D6E3A" w:rsidP="0049532C">
      <w:pPr>
        <w:pStyle w:val="TextoPrincipal"/>
        <w:rPr>
          <w:lang w:val="es-HN"/>
        </w:rPr>
      </w:pPr>
      <w:r w:rsidRPr="0076589C">
        <w:rPr>
          <w:lang w:val="es-HN"/>
        </w:rPr>
        <w:t xml:space="preserve">Según </w:t>
      </w:r>
      <w:r w:rsidR="004B6E48" w:rsidRPr="0076589C">
        <w:rPr>
          <w:lang w:val="es-HN"/>
        </w:rPr>
        <w:fldChar w:fldCharType="begin"/>
      </w:r>
      <w:r w:rsidR="004B6E48" w:rsidRPr="0076589C">
        <w:rPr>
          <w:lang w:val="es-HN"/>
        </w:rPr>
        <w:instrText xml:space="preserve"> ADDIN ZOTERO_ITEM CSL_CITATION {"citationID":"FrfZkR8a","properties":{"formattedCitation":"(Gitman et\\uc0\\u160{}al., 2012)","plainCitation":"(Gitman et al., 2012)","dontUpdate":true,"noteIndex":0},"citationItems":[{"id":372,"uris":["http://zotero.org/users/12108825/items/2KX4SQXA"],"itemData":{"id":372,"type":"book","abstract":"\" ... se basa en un sistema de aprendizaje probado, el cual integra la didáctica con conceptos y aplicaciones prácticas. Asimismo, se enfoca en el conocimiento que se requiere para tomar buenas decisiones financieras en un ambiente de negocios cada vez más competitivo. Su orientación pedagógica y el uso de numerosos ejemplos convierten al texto en un recurso accesible de aprendizaje dentro y fuera del salón de clases. Los capítulos están organizados desde la perspectiva de la toma de decisiones en los niveles gerenciales, teniendo presente en todo momento su relación con el objetivo general de las empresas de incrementar la rentabilidad. Una vez que se desarrolla un concepto específico, se presentan ejemplos que ilustran su aplicación y consolidan en la mente del estudiante los conceptos financieros necesarios en la toma de decisiones, así como sus consecuencias. \" --Contratapa","edition":"12. ed","event-place":"México","ISBN":"978-607-32-0983-0","language":"es","number-of-pages":"611","publisher":"Pearson Educación","publisher-place":"México","source":"K10plus ISBN","title":"Principios de administración financiera","author":[{"family":"Gitman","given":"Lawrence J."},{"family":"Zutter","given":"Chad J."},{"family":"Gitman","given":"Lawrence J."}],"issued":{"date-parts":[["2012"]]}}}],"schema":"https://github.com/citation-style-language/schema/raw/master/csl-citation.json"} </w:instrText>
      </w:r>
      <w:r w:rsidR="004B6E48" w:rsidRPr="0076589C">
        <w:rPr>
          <w:lang w:val="es-HN"/>
        </w:rPr>
        <w:fldChar w:fldCharType="separate"/>
      </w:r>
      <w:r w:rsidRPr="0076589C">
        <w:rPr>
          <w:lang w:val="es-HN"/>
        </w:rPr>
        <w:t>Gitman et al., (2012)</w:t>
      </w:r>
      <w:r w:rsidR="004B6E48" w:rsidRPr="0076589C">
        <w:rPr>
          <w:lang w:val="es-HN"/>
        </w:rPr>
        <w:fldChar w:fldCharType="end"/>
      </w:r>
      <w:r w:rsidRPr="0076589C">
        <w:rPr>
          <w:lang w:val="es-HN"/>
        </w:rPr>
        <w:t>: “El margen de utilidad bruta mide el porcentaje que queda de cada dolara de ventas después de que la empresa pagó sus bienes. Cuanto más alto es el margen de utilidad brutas, mejor (ya que es menor el costo relativo de la mercancía vendida)” (pág.74)</w:t>
      </w:r>
    </w:p>
    <w:p w14:paraId="670EA498" w14:textId="586E7030" w:rsidR="00D21F22" w:rsidRPr="0076589C" w:rsidRDefault="1C8D6E3A" w:rsidP="003212E7">
      <w:pPr>
        <w:pStyle w:val="TextoPrincipal"/>
        <w:rPr>
          <w:lang w:val="es-HN"/>
        </w:rPr>
      </w:pPr>
      <w:r w:rsidRPr="0076589C">
        <w:rPr>
          <w:lang w:val="es-HN"/>
        </w:rPr>
        <w:t xml:space="preserve">También conocido como margen bruto o margen de beneficio bruto, es un indicador financiero que mide la rentabilidad de una empresa en relación con sus ventas y costos de producción. Consiste en calcular la diferencia entre la utilidad bruta y las ventas de la empresa un periodo determinado de tiempo. </w:t>
      </w:r>
    </w:p>
    <w:p w14:paraId="66EBBB5A" w14:textId="0941D91E" w:rsidR="001C4C00" w:rsidRPr="0076589C" w:rsidRDefault="1C8D6E3A" w:rsidP="003212E7">
      <w:pPr>
        <w:pStyle w:val="TextoPrincipal"/>
        <w:rPr>
          <w:lang w:val="es-HN"/>
        </w:rPr>
      </w:pPr>
      <w:r w:rsidRPr="0076589C">
        <w:rPr>
          <w:lang w:val="es-HN"/>
        </w:rPr>
        <w:t xml:space="preserve">En la </w:t>
      </w:r>
      <w:r w:rsidR="00585884" w:rsidRPr="0076589C">
        <w:rPr>
          <w:b/>
          <w:bCs/>
          <w:i/>
          <w:iCs/>
          <w:lang w:val="es-HN"/>
        </w:rPr>
        <w:t>Tabla 1</w:t>
      </w:r>
      <w:r w:rsidRPr="0076589C">
        <w:rPr>
          <w:b/>
          <w:bCs/>
          <w:i/>
          <w:iCs/>
          <w:lang w:val="es-HN"/>
        </w:rPr>
        <w:t>6</w:t>
      </w:r>
      <w:r w:rsidRPr="0076589C">
        <w:rPr>
          <w:lang w:val="es-HN"/>
        </w:rPr>
        <w:t>, se presentan las utilidades brutas, las ventas y la diferencia de ambas para ser el margen de utilidad bruta de IPRA para el periodo de 2019-2022.</w:t>
      </w:r>
    </w:p>
    <w:p w14:paraId="470F49F9" w14:textId="690FA642" w:rsidR="00D33EF8" w:rsidRPr="0076589C" w:rsidRDefault="1C8D6E3A" w:rsidP="00FB5049">
      <w:pPr>
        <w:pStyle w:val="ImagenyTabla"/>
        <w:rPr>
          <w:noProof w:val="0"/>
        </w:rPr>
      </w:pPr>
      <w:bookmarkStart w:id="272" w:name="_Hlk149754020"/>
      <w:bookmarkStart w:id="273" w:name="_Toc158365564"/>
      <w:r w:rsidRPr="0076589C">
        <w:t xml:space="preserve">Tabla </w:t>
      </w:r>
      <w:r w:rsidR="00BE6CF9" w:rsidRPr="0076589C">
        <w:rPr>
          <w:noProof w:val="0"/>
        </w:rPr>
        <w:fldChar w:fldCharType="begin"/>
      </w:r>
      <w:r w:rsidR="00BE6CF9" w:rsidRPr="0076589C">
        <w:rPr>
          <w:noProof w:val="0"/>
        </w:rPr>
        <w:instrText xml:space="preserve"> SEQ Tabla \* ARABIC </w:instrText>
      </w:r>
      <w:r w:rsidR="00BE6CF9" w:rsidRPr="0076589C">
        <w:rPr>
          <w:noProof w:val="0"/>
        </w:rPr>
        <w:fldChar w:fldCharType="separate"/>
      </w:r>
      <w:r w:rsidR="009F171A">
        <w:t>16</w:t>
      </w:r>
      <w:r w:rsidR="00BE6CF9" w:rsidRPr="0076589C">
        <w:rPr>
          <w:noProof w:val="0"/>
        </w:rPr>
        <w:fldChar w:fldCharType="end"/>
      </w:r>
      <w:r w:rsidRPr="0076589C">
        <w:t>. Margen de utilidad bruta en IPRA (2019-2022)</w:t>
      </w:r>
      <w:bookmarkEnd w:id="272"/>
      <w:bookmarkEnd w:id="273"/>
    </w:p>
    <w:tbl>
      <w:tblPr>
        <w:tblW w:w="9200" w:type="dxa"/>
        <w:tblLook w:val="04A0" w:firstRow="1" w:lastRow="0" w:firstColumn="1" w:lastColumn="0" w:noHBand="0" w:noVBand="1"/>
      </w:tblPr>
      <w:tblGrid>
        <w:gridCol w:w="1530"/>
        <w:gridCol w:w="1980"/>
        <w:gridCol w:w="1890"/>
        <w:gridCol w:w="1890"/>
        <w:gridCol w:w="1910"/>
      </w:tblGrid>
      <w:tr w:rsidR="00167985" w:rsidRPr="0076589C" w14:paraId="155444C1" w14:textId="77777777" w:rsidTr="1C8D6E3A">
        <w:trPr>
          <w:trHeight w:val="260"/>
        </w:trPr>
        <w:tc>
          <w:tcPr>
            <w:tcW w:w="5400" w:type="dxa"/>
            <w:gridSpan w:val="3"/>
            <w:tcBorders>
              <w:top w:val="nil"/>
              <w:left w:val="nil"/>
              <w:bottom w:val="nil"/>
              <w:right w:val="nil"/>
            </w:tcBorders>
            <w:shd w:val="clear" w:color="auto" w:fill="auto"/>
            <w:noWrap/>
            <w:vAlign w:val="bottom"/>
            <w:hideMark/>
          </w:tcPr>
          <w:p w14:paraId="1CCA85A3" w14:textId="77777777" w:rsidR="00167985" w:rsidRPr="0076589C" w:rsidRDefault="1C8D6E3A" w:rsidP="1C8D6E3A">
            <w:pPr>
              <w:spacing w:after="0" w:line="240" w:lineRule="auto"/>
              <w:ind w:left="0"/>
              <w:rPr>
                <w:rFonts w:ascii="Calibri" w:eastAsia="Times New Roman" w:hAnsi="Calibri" w:cs="Calibri"/>
                <w:b/>
                <w:bCs/>
                <w:i/>
                <w:iCs/>
                <w:color w:val="000000"/>
                <w:sz w:val="20"/>
                <w:szCs w:val="20"/>
                <w:u w:val="single"/>
              </w:rPr>
            </w:pPr>
            <w:r w:rsidRPr="0076589C">
              <w:rPr>
                <w:rFonts w:ascii="Calibri" w:eastAsia="Times New Roman" w:hAnsi="Calibri" w:cs="Calibri"/>
                <w:b/>
                <w:bCs/>
                <w:i/>
                <w:iCs/>
                <w:color w:val="000000" w:themeColor="text1"/>
                <w:sz w:val="20"/>
                <w:szCs w:val="20"/>
                <w:u w:val="single"/>
              </w:rPr>
              <w:t>Margen de utilidad bruta</w:t>
            </w:r>
          </w:p>
        </w:tc>
        <w:tc>
          <w:tcPr>
            <w:tcW w:w="1890" w:type="dxa"/>
            <w:tcBorders>
              <w:top w:val="nil"/>
              <w:left w:val="nil"/>
              <w:bottom w:val="nil"/>
              <w:right w:val="nil"/>
            </w:tcBorders>
            <w:shd w:val="clear" w:color="auto" w:fill="auto"/>
            <w:noWrap/>
            <w:vAlign w:val="center"/>
            <w:hideMark/>
          </w:tcPr>
          <w:p w14:paraId="207589BF" w14:textId="77777777" w:rsidR="00167985" w:rsidRPr="0076589C" w:rsidRDefault="00167985" w:rsidP="1C8D6E3A">
            <w:pPr>
              <w:spacing w:after="0" w:line="240" w:lineRule="auto"/>
              <w:ind w:left="0"/>
              <w:rPr>
                <w:rFonts w:ascii="Calibri" w:eastAsia="Times New Roman" w:hAnsi="Calibri" w:cs="Calibri"/>
                <w:b/>
                <w:bCs/>
                <w:i/>
                <w:iCs/>
                <w:color w:val="000000"/>
                <w:sz w:val="20"/>
                <w:szCs w:val="20"/>
                <w:u w:val="single"/>
              </w:rPr>
            </w:pPr>
          </w:p>
        </w:tc>
        <w:tc>
          <w:tcPr>
            <w:tcW w:w="1910" w:type="dxa"/>
            <w:tcBorders>
              <w:top w:val="nil"/>
              <w:left w:val="nil"/>
              <w:bottom w:val="nil"/>
              <w:right w:val="nil"/>
            </w:tcBorders>
            <w:shd w:val="clear" w:color="auto" w:fill="auto"/>
            <w:noWrap/>
            <w:vAlign w:val="center"/>
            <w:hideMark/>
          </w:tcPr>
          <w:p w14:paraId="58321B75" w14:textId="77777777" w:rsidR="00167985" w:rsidRPr="0076589C" w:rsidRDefault="00167985" w:rsidP="00167985">
            <w:pPr>
              <w:spacing w:after="0" w:line="240" w:lineRule="auto"/>
              <w:ind w:left="0"/>
              <w:jc w:val="center"/>
              <w:rPr>
                <w:rFonts w:eastAsia="Times New Roman" w:cs="Times New Roman"/>
                <w:sz w:val="20"/>
                <w:szCs w:val="20"/>
              </w:rPr>
            </w:pPr>
          </w:p>
        </w:tc>
      </w:tr>
      <w:tr w:rsidR="00167985" w:rsidRPr="0076589C" w14:paraId="71D9C1D7" w14:textId="77777777" w:rsidTr="1C8D6E3A">
        <w:trPr>
          <w:trHeight w:val="270"/>
        </w:trPr>
        <w:tc>
          <w:tcPr>
            <w:tcW w:w="1530" w:type="dxa"/>
            <w:tcBorders>
              <w:top w:val="nil"/>
              <w:left w:val="nil"/>
              <w:bottom w:val="nil"/>
              <w:right w:val="nil"/>
            </w:tcBorders>
            <w:shd w:val="clear" w:color="auto" w:fill="auto"/>
            <w:noWrap/>
            <w:vAlign w:val="bottom"/>
            <w:hideMark/>
          </w:tcPr>
          <w:p w14:paraId="5CDE4D25" w14:textId="77777777" w:rsidR="00167985" w:rsidRPr="0076589C" w:rsidRDefault="00167985" w:rsidP="00167985">
            <w:pPr>
              <w:spacing w:after="0" w:line="240" w:lineRule="auto"/>
              <w:ind w:left="0"/>
              <w:jc w:val="center"/>
              <w:rPr>
                <w:rFonts w:eastAsia="Times New Roman" w:cs="Times New Roman"/>
                <w:sz w:val="20"/>
                <w:szCs w:val="20"/>
              </w:rPr>
            </w:pPr>
          </w:p>
        </w:tc>
        <w:tc>
          <w:tcPr>
            <w:tcW w:w="1980" w:type="dxa"/>
            <w:tcBorders>
              <w:top w:val="nil"/>
              <w:left w:val="nil"/>
              <w:bottom w:val="single" w:sz="8" w:space="0" w:color="85BADC"/>
              <w:right w:val="nil"/>
            </w:tcBorders>
            <w:shd w:val="clear" w:color="auto" w:fill="auto"/>
            <w:noWrap/>
            <w:vAlign w:val="center"/>
            <w:hideMark/>
          </w:tcPr>
          <w:p w14:paraId="574264A6" w14:textId="77777777" w:rsidR="00167985" w:rsidRPr="0076589C" w:rsidRDefault="1C8D6E3A" w:rsidP="00167985">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2019</w:t>
            </w:r>
          </w:p>
        </w:tc>
        <w:tc>
          <w:tcPr>
            <w:tcW w:w="1890" w:type="dxa"/>
            <w:tcBorders>
              <w:top w:val="nil"/>
              <w:left w:val="nil"/>
              <w:bottom w:val="single" w:sz="8" w:space="0" w:color="85BADC"/>
              <w:right w:val="nil"/>
            </w:tcBorders>
            <w:shd w:val="clear" w:color="auto" w:fill="auto"/>
            <w:noWrap/>
            <w:vAlign w:val="center"/>
            <w:hideMark/>
          </w:tcPr>
          <w:p w14:paraId="291C16D6" w14:textId="77777777" w:rsidR="00167985" w:rsidRPr="0076589C" w:rsidRDefault="1C8D6E3A" w:rsidP="00167985">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2020</w:t>
            </w:r>
          </w:p>
        </w:tc>
        <w:tc>
          <w:tcPr>
            <w:tcW w:w="1890" w:type="dxa"/>
            <w:tcBorders>
              <w:top w:val="nil"/>
              <w:left w:val="nil"/>
              <w:bottom w:val="single" w:sz="8" w:space="0" w:color="85BADC"/>
              <w:right w:val="nil"/>
            </w:tcBorders>
            <w:shd w:val="clear" w:color="auto" w:fill="auto"/>
            <w:noWrap/>
            <w:vAlign w:val="center"/>
            <w:hideMark/>
          </w:tcPr>
          <w:p w14:paraId="35A4E41D" w14:textId="77777777" w:rsidR="00167985" w:rsidRPr="0076589C" w:rsidRDefault="1C8D6E3A" w:rsidP="00167985">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2021</w:t>
            </w:r>
          </w:p>
        </w:tc>
        <w:tc>
          <w:tcPr>
            <w:tcW w:w="1910" w:type="dxa"/>
            <w:tcBorders>
              <w:top w:val="nil"/>
              <w:left w:val="nil"/>
              <w:bottom w:val="single" w:sz="8" w:space="0" w:color="85BADC"/>
              <w:right w:val="nil"/>
            </w:tcBorders>
            <w:shd w:val="clear" w:color="auto" w:fill="auto"/>
            <w:noWrap/>
            <w:vAlign w:val="center"/>
            <w:hideMark/>
          </w:tcPr>
          <w:p w14:paraId="11CFF43F" w14:textId="77777777" w:rsidR="00167985" w:rsidRPr="0076589C" w:rsidRDefault="1C8D6E3A" w:rsidP="00167985">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2022</w:t>
            </w:r>
          </w:p>
        </w:tc>
      </w:tr>
      <w:tr w:rsidR="00167985" w:rsidRPr="0076589C" w14:paraId="23C7B343" w14:textId="77777777" w:rsidTr="1C8D6E3A">
        <w:trPr>
          <w:trHeight w:val="260"/>
        </w:trPr>
        <w:tc>
          <w:tcPr>
            <w:tcW w:w="1530" w:type="dxa"/>
            <w:tcBorders>
              <w:top w:val="nil"/>
              <w:left w:val="nil"/>
              <w:bottom w:val="nil"/>
              <w:right w:val="nil"/>
            </w:tcBorders>
            <w:shd w:val="clear" w:color="auto" w:fill="auto"/>
            <w:noWrap/>
            <w:vAlign w:val="bottom"/>
            <w:hideMark/>
          </w:tcPr>
          <w:p w14:paraId="49EE54B5" w14:textId="77777777" w:rsidR="00167985" w:rsidRPr="0076589C" w:rsidRDefault="1C8D6E3A" w:rsidP="1C8D6E3A">
            <w:pPr>
              <w:spacing w:after="0" w:line="240" w:lineRule="auto"/>
              <w:ind w:left="0"/>
              <w:rPr>
                <w:rFonts w:ascii="Calibri" w:eastAsia="Times New Roman" w:hAnsi="Calibri" w:cs="Calibri"/>
                <w:i/>
                <w:iCs/>
                <w:color w:val="000000"/>
                <w:sz w:val="20"/>
                <w:szCs w:val="20"/>
              </w:rPr>
            </w:pPr>
            <w:r w:rsidRPr="0076589C">
              <w:rPr>
                <w:rFonts w:ascii="Calibri" w:eastAsia="Times New Roman" w:hAnsi="Calibri" w:cs="Calibri"/>
                <w:i/>
                <w:iCs/>
                <w:color w:val="000000" w:themeColor="text1"/>
                <w:sz w:val="20"/>
                <w:szCs w:val="20"/>
              </w:rPr>
              <w:t>Utilidad bruta</w:t>
            </w:r>
          </w:p>
        </w:tc>
        <w:tc>
          <w:tcPr>
            <w:tcW w:w="1980" w:type="dxa"/>
            <w:tcBorders>
              <w:top w:val="nil"/>
              <w:left w:val="nil"/>
              <w:bottom w:val="nil"/>
              <w:right w:val="nil"/>
            </w:tcBorders>
            <w:shd w:val="clear" w:color="auto" w:fill="auto"/>
            <w:noWrap/>
            <w:vAlign w:val="center"/>
            <w:hideMark/>
          </w:tcPr>
          <w:p w14:paraId="57348A7B" w14:textId="77777777" w:rsidR="00167985" w:rsidRPr="0076589C" w:rsidRDefault="1C8D6E3A" w:rsidP="00167985">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9,408,278.03 </w:t>
            </w:r>
          </w:p>
        </w:tc>
        <w:tc>
          <w:tcPr>
            <w:tcW w:w="1890" w:type="dxa"/>
            <w:tcBorders>
              <w:top w:val="nil"/>
              <w:left w:val="nil"/>
              <w:bottom w:val="nil"/>
              <w:right w:val="nil"/>
            </w:tcBorders>
            <w:shd w:val="clear" w:color="auto" w:fill="auto"/>
            <w:noWrap/>
            <w:vAlign w:val="center"/>
            <w:hideMark/>
          </w:tcPr>
          <w:p w14:paraId="15B16BA6" w14:textId="77777777" w:rsidR="00167985" w:rsidRPr="0076589C" w:rsidRDefault="1C8D6E3A" w:rsidP="00167985">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8,443,526.71 </w:t>
            </w:r>
          </w:p>
        </w:tc>
        <w:tc>
          <w:tcPr>
            <w:tcW w:w="1890" w:type="dxa"/>
            <w:tcBorders>
              <w:top w:val="nil"/>
              <w:left w:val="nil"/>
              <w:bottom w:val="nil"/>
              <w:right w:val="nil"/>
            </w:tcBorders>
            <w:shd w:val="clear" w:color="auto" w:fill="auto"/>
            <w:noWrap/>
            <w:vAlign w:val="center"/>
            <w:hideMark/>
          </w:tcPr>
          <w:p w14:paraId="527B8669" w14:textId="77777777" w:rsidR="00167985" w:rsidRPr="0076589C" w:rsidRDefault="1C8D6E3A" w:rsidP="00167985">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8,010,294.13 </w:t>
            </w:r>
          </w:p>
        </w:tc>
        <w:tc>
          <w:tcPr>
            <w:tcW w:w="1910" w:type="dxa"/>
            <w:tcBorders>
              <w:top w:val="nil"/>
              <w:left w:val="nil"/>
              <w:bottom w:val="nil"/>
              <w:right w:val="nil"/>
            </w:tcBorders>
            <w:shd w:val="clear" w:color="auto" w:fill="auto"/>
            <w:noWrap/>
            <w:vAlign w:val="center"/>
            <w:hideMark/>
          </w:tcPr>
          <w:p w14:paraId="67E05271" w14:textId="77777777" w:rsidR="00167985" w:rsidRPr="0076589C" w:rsidRDefault="1C8D6E3A" w:rsidP="00167985">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10,009,298.22 </w:t>
            </w:r>
          </w:p>
        </w:tc>
      </w:tr>
      <w:tr w:rsidR="00167985" w:rsidRPr="0076589C" w14:paraId="0521E33E" w14:textId="77777777" w:rsidTr="1C8D6E3A">
        <w:trPr>
          <w:trHeight w:val="270"/>
        </w:trPr>
        <w:tc>
          <w:tcPr>
            <w:tcW w:w="1530" w:type="dxa"/>
            <w:tcBorders>
              <w:top w:val="nil"/>
              <w:left w:val="nil"/>
              <w:bottom w:val="double" w:sz="6" w:space="0" w:color="85BADC"/>
              <w:right w:val="nil"/>
            </w:tcBorders>
            <w:shd w:val="clear" w:color="auto" w:fill="auto"/>
            <w:noWrap/>
            <w:vAlign w:val="bottom"/>
            <w:hideMark/>
          </w:tcPr>
          <w:p w14:paraId="3F34CEA2" w14:textId="77777777" w:rsidR="00167985" w:rsidRPr="0076589C" w:rsidRDefault="1C8D6E3A" w:rsidP="1C8D6E3A">
            <w:pPr>
              <w:spacing w:after="0" w:line="240" w:lineRule="auto"/>
              <w:ind w:left="0"/>
              <w:rPr>
                <w:rFonts w:ascii="Calibri" w:eastAsia="Times New Roman" w:hAnsi="Calibri" w:cs="Calibri"/>
                <w:i/>
                <w:iCs/>
                <w:color w:val="000000"/>
                <w:sz w:val="20"/>
                <w:szCs w:val="20"/>
              </w:rPr>
            </w:pPr>
            <w:r w:rsidRPr="0076589C">
              <w:rPr>
                <w:rFonts w:ascii="Calibri" w:eastAsia="Times New Roman" w:hAnsi="Calibri" w:cs="Calibri"/>
                <w:i/>
                <w:iCs/>
                <w:color w:val="000000" w:themeColor="text1"/>
                <w:sz w:val="20"/>
                <w:szCs w:val="20"/>
              </w:rPr>
              <w:t>Ventas</w:t>
            </w:r>
          </w:p>
        </w:tc>
        <w:tc>
          <w:tcPr>
            <w:tcW w:w="1980" w:type="dxa"/>
            <w:tcBorders>
              <w:top w:val="nil"/>
              <w:left w:val="nil"/>
              <w:bottom w:val="double" w:sz="6" w:space="0" w:color="85BADC"/>
              <w:right w:val="nil"/>
            </w:tcBorders>
            <w:shd w:val="clear" w:color="auto" w:fill="auto"/>
            <w:noWrap/>
            <w:vAlign w:val="center"/>
            <w:hideMark/>
          </w:tcPr>
          <w:p w14:paraId="67E7E6A7" w14:textId="77777777" w:rsidR="00167985" w:rsidRPr="0076589C" w:rsidRDefault="1C8D6E3A" w:rsidP="00167985">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26,105,424.64 </w:t>
            </w:r>
          </w:p>
        </w:tc>
        <w:tc>
          <w:tcPr>
            <w:tcW w:w="1890" w:type="dxa"/>
            <w:tcBorders>
              <w:top w:val="nil"/>
              <w:left w:val="nil"/>
              <w:bottom w:val="double" w:sz="6" w:space="0" w:color="85BADC"/>
              <w:right w:val="nil"/>
            </w:tcBorders>
            <w:shd w:val="clear" w:color="auto" w:fill="auto"/>
            <w:noWrap/>
            <w:vAlign w:val="center"/>
            <w:hideMark/>
          </w:tcPr>
          <w:p w14:paraId="468891A6" w14:textId="77777777" w:rsidR="00167985" w:rsidRPr="0076589C" w:rsidRDefault="1C8D6E3A" w:rsidP="00167985">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31,891,032.92 </w:t>
            </w:r>
          </w:p>
        </w:tc>
        <w:tc>
          <w:tcPr>
            <w:tcW w:w="1890" w:type="dxa"/>
            <w:tcBorders>
              <w:top w:val="nil"/>
              <w:left w:val="nil"/>
              <w:bottom w:val="double" w:sz="6" w:space="0" w:color="85BADC"/>
              <w:right w:val="nil"/>
            </w:tcBorders>
            <w:shd w:val="clear" w:color="auto" w:fill="auto"/>
            <w:noWrap/>
            <w:vAlign w:val="center"/>
            <w:hideMark/>
          </w:tcPr>
          <w:p w14:paraId="00486640" w14:textId="77777777" w:rsidR="00167985" w:rsidRPr="0076589C" w:rsidRDefault="1C8D6E3A" w:rsidP="00167985">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22,321,755.08 </w:t>
            </w:r>
          </w:p>
        </w:tc>
        <w:tc>
          <w:tcPr>
            <w:tcW w:w="1910" w:type="dxa"/>
            <w:tcBorders>
              <w:top w:val="nil"/>
              <w:left w:val="nil"/>
              <w:bottom w:val="double" w:sz="6" w:space="0" w:color="85BADC"/>
              <w:right w:val="nil"/>
            </w:tcBorders>
            <w:shd w:val="clear" w:color="auto" w:fill="auto"/>
            <w:noWrap/>
            <w:vAlign w:val="center"/>
            <w:hideMark/>
          </w:tcPr>
          <w:p w14:paraId="748749AA" w14:textId="77777777" w:rsidR="00167985" w:rsidRPr="0076589C" w:rsidRDefault="1C8D6E3A" w:rsidP="00167985">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29,605,010.66 </w:t>
            </w:r>
          </w:p>
        </w:tc>
      </w:tr>
      <w:tr w:rsidR="00167985" w:rsidRPr="0076589C" w14:paraId="6044CE29" w14:textId="77777777" w:rsidTr="1C8D6E3A">
        <w:trPr>
          <w:trHeight w:val="270"/>
        </w:trPr>
        <w:tc>
          <w:tcPr>
            <w:tcW w:w="1530" w:type="dxa"/>
            <w:tcBorders>
              <w:top w:val="nil"/>
              <w:left w:val="nil"/>
              <w:bottom w:val="nil"/>
              <w:right w:val="nil"/>
            </w:tcBorders>
            <w:shd w:val="clear" w:color="auto" w:fill="auto"/>
            <w:noWrap/>
            <w:vAlign w:val="bottom"/>
            <w:hideMark/>
          </w:tcPr>
          <w:p w14:paraId="0017735B" w14:textId="77777777" w:rsidR="00167985" w:rsidRPr="0076589C" w:rsidRDefault="1C8D6E3A" w:rsidP="00167985">
            <w:pPr>
              <w:spacing w:after="0" w:line="240" w:lineRule="auto"/>
              <w:ind w:left="0"/>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Margen de utilidad bruta</w:t>
            </w:r>
          </w:p>
        </w:tc>
        <w:tc>
          <w:tcPr>
            <w:tcW w:w="1980" w:type="dxa"/>
            <w:tcBorders>
              <w:top w:val="nil"/>
              <w:left w:val="nil"/>
              <w:bottom w:val="nil"/>
              <w:right w:val="nil"/>
            </w:tcBorders>
            <w:shd w:val="clear" w:color="auto" w:fill="auto"/>
            <w:noWrap/>
            <w:vAlign w:val="center"/>
            <w:hideMark/>
          </w:tcPr>
          <w:p w14:paraId="1EB11585" w14:textId="4E417ACB" w:rsidR="00167985" w:rsidRPr="0076589C" w:rsidRDefault="1C8D6E3A" w:rsidP="00167985">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36%</w:t>
            </w:r>
          </w:p>
        </w:tc>
        <w:tc>
          <w:tcPr>
            <w:tcW w:w="1890" w:type="dxa"/>
            <w:tcBorders>
              <w:top w:val="nil"/>
              <w:left w:val="nil"/>
              <w:bottom w:val="nil"/>
              <w:right w:val="nil"/>
            </w:tcBorders>
            <w:shd w:val="clear" w:color="auto" w:fill="auto"/>
            <w:noWrap/>
            <w:vAlign w:val="center"/>
            <w:hideMark/>
          </w:tcPr>
          <w:p w14:paraId="0A935049" w14:textId="289149CC" w:rsidR="00167985" w:rsidRPr="0076589C" w:rsidRDefault="1C8D6E3A" w:rsidP="00167985">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26%</w:t>
            </w:r>
          </w:p>
        </w:tc>
        <w:tc>
          <w:tcPr>
            <w:tcW w:w="1890" w:type="dxa"/>
            <w:tcBorders>
              <w:top w:val="nil"/>
              <w:left w:val="nil"/>
              <w:bottom w:val="nil"/>
              <w:right w:val="nil"/>
            </w:tcBorders>
            <w:shd w:val="clear" w:color="auto" w:fill="auto"/>
            <w:noWrap/>
            <w:vAlign w:val="center"/>
            <w:hideMark/>
          </w:tcPr>
          <w:p w14:paraId="507BADC7" w14:textId="68EA584E" w:rsidR="00167985" w:rsidRPr="0076589C" w:rsidRDefault="1C8D6E3A" w:rsidP="00167985">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36%</w:t>
            </w:r>
          </w:p>
        </w:tc>
        <w:tc>
          <w:tcPr>
            <w:tcW w:w="1910" w:type="dxa"/>
            <w:tcBorders>
              <w:top w:val="nil"/>
              <w:left w:val="nil"/>
              <w:bottom w:val="nil"/>
              <w:right w:val="nil"/>
            </w:tcBorders>
            <w:shd w:val="clear" w:color="auto" w:fill="auto"/>
            <w:noWrap/>
            <w:vAlign w:val="center"/>
            <w:hideMark/>
          </w:tcPr>
          <w:p w14:paraId="33C67A0B" w14:textId="716B3C56" w:rsidR="00167985" w:rsidRPr="0076589C" w:rsidRDefault="1C8D6E3A" w:rsidP="00167985">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34%</w:t>
            </w:r>
          </w:p>
        </w:tc>
      </w:tr>
    </w:tbl>
    <w:p w14:paraId="38BFCC6E" w14:textId="77777777" w:rsidR="00D33EF8" w:rsidRPr="0076589C" w:rsidRDefault="1C8D6E3A" w:rsidP="00D33EF8">
      <w:pPr>
        <w:pStyle w:val="Fuentes"/>
        <w:rPr>
          <w:lang w:val="es-HN"/>
        </w:rPr>
      </w:pPr>
      <w:r w:rsidRPr="0076589C">
        <w:rPr>
          <w:lang w:val="es-HN"/>
        </w:rPr>
        <w:t>Fuente: Elaboración propia con datos de IPRA (2023).</w:t>
      </w:r>
    </w:p>
    <w:p w14:paraId="0AC3030A" w14:textId="075187A2" w:rsidR="0045710B" w:rsidRPr="0076589C" w:rsidRDefault="7FAD8741" w:rsidP="004B57AC">
      <w:pPr>
        <w:pStyle w:val="TextoPrincipal"/>
        <w:rPr>
          <w:lang w:val="es-HN"/>
        </w:rPr>
      </w:pPr>
      <w:r w:rsidRPr="0076589C">
        <w:rPr>
          <w:lang w:val="es-HN"/>
        </w:rPr>
        <w:t xml:space="preserve">En IPRA el margen de utilidad bruta ha presentado variabilidad durante estos años, oscilando entre un 26% a un 36%, dicha variabilidad pudo deberse a varios factores, así como los cambios en los costos de los productos vendidos, la competencia en el mercado y las estrategias de la empresa para la fijación de precios. Para los años 2019 y 2021, el margen de utilidad bruta fue del 36%, lo que indica que la empresa tuvo la retención del 36% de sus ventas como ganancia después de cubrir los costos de producción. </w:t>
      </w:r>
    </w:p>
    <w:p w14:paraId="5381ACA8" w14:textId="525B3BAA" w:rsidR="00C71362" w:rsidRPr="0076589C" w:rsidRDefault="1C8D6E3A" w:rsidP="004B57AC">
      <w:pPr>
        <w:pStyle w:val="TextoPrincipal"/>
        <w:rPr>
          <w:lang w:val="es-HN"/>
        </w:rPr>
      </w:pPr>
      <w:r w:rsidRPr="0076589C">
        <w:rPr>
          <w:lang w:val="es-HN"/>
        </w:rPr>
        <w:t xml:space="preserve">Para el año 2020 y 2022, el margen de utilidad bruta disminuyó al 26% y 34%, lo que puede indicar que la empresa enfrentó desafíos económicos en dichos años, uno de ellos fue que para el año 2020 con el COVID-19 fue el año donde proyectó mayores ventas y así mismo incrementaron los costos en materia prima ya que la empresa IPRA comenzó a ser pionera en productos de higiene personal. </w:t>
      </w:r>
    </w:p>
    <w:p w14:paraId="33479CD2" w14:textId="4067F4E9" w:rsidR="008C1746" w:rsidRPr="0076589C" w:rsidRDefault="00373D8D" w:rsidP="00920262">
      <w:pPr>
        <w:pStyle w:val="TextoPrincipal"/>
        <w:ind w:firstLine="0"/>
        <w:jc w:val="center"/>
        <w:rPr>
          <w:lang w:val="es-HN"/>
        </w:rPr>
      </w:pPr>
      <w:r w:rsidRPr="0076589C">
        <w:rPr>
          <w:noProof/>
          <w:lang w:val="es-HN" w:eastAsia="es-HN"/>
        </w:rPr>
        <w:lastRenderedPageBreak/>
        <w:drawing>
          <wp:inline distT="0" distB="0" distL="0" distR="0" wp14:anchorId="1CBFDA5E" wp14:editId="4ADDFF4C">
            <wp:extent cx="5832475" cy="2734322"/>
            <wp:effectExtent l="0" t="0" r="15875" b="8890"/>
            <wp:docPr id="1246141980" name="Gráfico 1">
              <a:extLst xmlns:a="http://schemas.openxmlformats.org/drawingml/2006/main">
                <a:ext uri="{FF2B5EF4-FFF2-40B4-BE49-F238E27FC236}">
                  <a16:creationId xmlns:a16="http://schemas.microsoft.com/office/drawing/2014/main" id="{A77F4153-DFD0-046B-3EE0-EC12317237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ECC7241" w14:textId="004E6269" w:rsidR="005841F2" w:rsidRPr="0076589C" w:rsidRDefault="1C8D6E3A" w:rsidP="005841F2">
      <w:pPr>
        <w:pStyle w:val="ImagenyTabla"/>
        <w:rPr>
          <w:noProof w:val="0"/>
        </w:rPr>
      </w:pPr>
      <w:bookmarkStart w:id="274" w:name="_Toc158365593"/>
      <w:r w:rsidRPr="0076589C">
        <w:t xml:space="preserve">Figura </w:t>
      </w:r>
      <w:r w:rsidR="005841F2" w:rsidRPr="0076589C">
        <w:rPr>
          <w:noProof w:val="0"/>
        </w:rPr>
        <w:fldChar w:fldCharType="begin"/>
      </w:r>
      <w:r w:rsidR="005841F2" w:rsidRPr="0076589C">
        <w:rPr>
          <w:noProof w:val="0"/>
        </w:rPr>
        <w:instrText xml:space="preserve"> SEQ Figura \* ARABIC </w:instrText>
      </w:r>
      <w:r w:rsidR="005841F2" w:rsidRPr="0076589C">
        <w:rPr>
          <w:noProof w:val="0"/>
        </w:rPr>
        <w:fldChar w:fldCharType="separate"/>
      </w:r>
      <w:r w:rsidR="009F171A">
        <w:t>8</w:t>
      </w:r>
      <w:r w:rsidR="005841F2" w:rsidRPr="0076589C">
        <w:rPr>
          <w:noProof w:val="0"/>
        </w:rPr>
        <w:fldChar w:fldCharType="end"/>
      </w:r>
      <w:r w:rsidRPr="0076589C">
        <w:t>. Margen de utilidad bruta en IPRA (2019-2022)</w:t>
      </w:r>
      <w:bookmarkEnd w:id="274"/>
    </w:p>
    <w:p w14:paraId="3F28C6D8" w14:textId="4E353C2D" w:rsidR="00346DBF" w:rsidRPr="0076589C" w:rsidRDefault="1C8D6E3A" w:rsidP="00346DBF">
      <w:pPr>
        <w:pStyle w:val="Fuentes"/>
        <w:rPr>
          <w:lang w:val="es-HN"/>
        </w:rPr>
      </w:pPr>
      <w:r w:rsidRPr="0076589C">
        <w:rPr>
          <w:lang w:val="es-HN"/>
        </w:rPr>
        <w:t>Fuente: Elaboración propia con datos de IPRA (2023).</w:t>
      </w:r>
    </w:p>
    <w:p w14:paraId="3E34F029" w14:textId="175B8FF9" w:rsidR="009D40A8" w:rsidRPr="0076589C" w:rsidRDefault="7FAD8741" w:rsidP="00207EAF">
      <w:pPr>
        <w:pStyle w:val="TextoPrincipal"/>
        <w:spacing w:after="0"/>
        <w:rPr>
          <w:lang w:val="es-HN"/>
        </w:rPr>
      </w:pPr>
      <w:r w:rsidRPr="0076589C">
        <w:rPr>
          <w:lang w:val="es-HN"/>
        </w:rPr>
        <w:t xml:space="preserve">En la </w:t>
      </w:r>
      <w:r w:rsidRPr="0076589C">
        <w:rPr>
          <w:b/>
          <w:bCs/>
          <w:i/>
          <w:iCs/>
          <w:lang w:val="es-HN"/>
        </w:rPr>
        <w:t>Figura 8,</w:t>
      </w:r>
      <w:r w:rsidRPr="0076589C">
        <w:rPr>
          <w:lang w:val="es-HN"/>
        </w:rPr>
        <w:t xml:space="preserve"> se pudo observar el comportamiento del margen de utilidad bruta en IPRA.  En comparación con los márgenes de utilidad bruta en la industria, un margen del 26% podría ser aceptable en ciertas industrias, mientras que en otras podría considerarse bajo. </w:t>
      </w:r>
    </w:p>
    <w:p w14:paraId="0B5DD580" w14:textId="77777777" w:rsidR="00207EAF" w:rsidRPr="0076589C" w:rsidRDefault="00207EAF" w:rsidP="00207EAF">
      <w:pPr>
        <w:pStyle w:val="TextoPrincipal"/>
        <w:spacing w:after="0"/>
        <w:rPr>
          <w:lang w:val="es-HN"/>
        </w:rPr>
      </w:pPr>
    </w:p>
    <w:p w14:paraId="0B0E6C1B" w14:textId="6044E875" w:rsidR="00C75906" w:rsidRPr="0076589C" w:rsidRDefault="1C8D6E3A" w:rsidP="004F3DA9">
      <w:pPr>
        <w:pStyle w:val="Ttulonivel4"/>
        <w:numPr>
          <w:ilvl w:val="0"/>
          <w:numId w:val="27"/>
        </w:numPr>
        <w:ind w:left="1440" w:firstLine="0"/>
        <w:outlineLvl w:val="4"/>
      </w:pPr>
      <w:bookmarkStart w:id="275" w:name="_Hlk149479471"/>
      <w:r w:rsidRPr="0076589C">
        <w:t xml:space="preserve">MARGEN </w:t>
      </w:r>
      <w:bookmarkEnd w:id="275"/>
      <w:r w:rsidRPr="0076589C">
        <w:t>DE UTILIDAD NETA</w:t>
      </w:r>
    </w:p>
    <w:p w14:paraId="50BCE775" w14:textId="35E3ACDA" w:rsidR="00296DF6" w:rsidRPr="0076589C" w:rsidRDefault="1C8D6E3A" w:rsidP="00296DF6">
      <w:pPr>
        <w:pStyle w:val="TextoPrincipal"/>
        <w:rPr>
          <w:lang w:val="es-HN"/>
        </w:rPr>
      </w:pPr>
      <w:r w:rsidRPr="0076589C">
        <w:rPr>
          <w:lang w:val="es-HN"/>
        </w:rPr>
        <w:t xml:space="preserve">Según </w:t>
      </w:r>
      <w:r w:rsidR="00411185" w:rsidRPr="0076589C">
        <w:rPr>
          <w:lang w:val="es-HN"/>
        </w:rPr>
        <w:fldChar w:fldCharType="begin"/>
      </w:r>
      <w:r w:rsidR="00411185" w:rsidRPr="0076589C">
        <w:rPr>
          <w:lang w:val="es-HN"/>
        </w:rPr>
        <w:instrText xml:space="preserve"> ADDIN ZOTERO_ITEM CSL_CITATION {"citationID":"RIp3Ihqd","properties":{"formattedCitation":"(Gitman et\\uc0\\u160{}al., 2012)","plainCitation":"(Gitman et al., 2012)","dontUpdate":true,"noteIndex":0},"citationItems":[{"id":372,"uris":["http://zotero.org/users/12108825/items/2KX4SQXA"],"itemData":{"id":372,"type":"book","abstract":"\" ... se basa en un sistema de aprendizaje probado, el cual integra la didáctica con conceptos y aplicaciones prácticas. Asimismo, se enfoca en el conocimiento que se requiere para tomar buenas decisiones financieras en un ambiente de negocios cada vez más competitivo. Su orientación pedagógica y el uso de numerosos ejemplos convierten al texto en un recurso accesible de aprendizaje dentro y fuera del salón de clases. Los capítulos están organizados desde la perspectiva de la toma de decisiones en los niveles gerenciales, teniendo presente en todo momento su relación con el objetivo general de las empresas de incrementar la rentabilidad. Una vez que se desarrolla un concepto específico, se presentan ejemplos que ilustran su aplicación y consolidan en la mente del estudiante los conceptos financieros necesarios en la toma de decisiones, así como sus consecuencias. \" --Contratapa","edition":"12. ed","event-place":"México","ISBN":"978-607-32-0983-0","language":"es","number-of-pages":"611","publisher":"Pearson Educación","publisher-place":"México","source":"K10plus ISBN","title":"Principios de administración financiera","author":[{"family":"Gitman","given":"Lawrence J."},{"family":"Zutter","given":"Chad J."},{"family":"Gitman","given":"Lawrence J."}],"issued":{"date-parts":[["2012"]]}}}],"schema":"https://github.com/citation-style-language/schema/raw/master/csl-citation.json"} </w:instrText>
      </w:r>
      <w:r w:rsidR="00411185" w:rsidRPr="0076589C">
        <w:rPr>
          <w:lang w:val="es-HN"/>
        </w:rPr>
        <w:fldChar w:fldCharType="separate"/>
      </w:r>
      <w:r w:rsidRPr="0076589C">
        <w:rPr>
          <w:lang w:val="es-HN"/>
        </w:rPr>
        <w:t>Gitman et al., (2012)</w:t>
      </w:r>
      <w:r w:rsidR="00411185" w:rsidRPr="0076589C">
        <w:rPr>
          <w:lang w:val="es-HN"/>
        </w:rPr>
        <w:fldChar w:fldCharType="end"/>
      </w:r>
      <w:r w:rsidRPr="0076589C">
        <w:rPr>
          <w:lang w:val="es-HN"/>
        </w:rPr>
        <w:t>: “El margen de utilidad neta nos indica el porcentaje que queda de cada dólar de ventas después de que se dedujeron todos los costos y gastos, incluyendo intereses, impuestos y dividendos de acciones preferentes” (pág.75)</w:t>
      </w:r>
    </w:p>
    <w:p w14:paraId="6D70A3F4" w14:textId="1D8506C5" w:rsidR="00B14013" w:rsidRPr="0076589C" w:rsidRDefault="1C8D6E3A" w:rsidP="00296DF6">
      <w:pPr>
        <w:pStyle w:val="TextoPrincipal"/>
        <w:rPr>
          <w:lang w:val="es-HN"/>
        </w:rPr>
      </w:pPr>
      <w:r w:rsidRPr="0076589C">
        <w:rPr>
          <w:lang w:val="es-HN"/>
        </w:rPr>
        <w:t>El margen de utilidad neta representa la ganancia final de una empresa después de tener en cuenta todos los costos y obligaciones financiera. Para calcular consiste en la diferencia de la utilidad neta y las ventas totales en un periodo determinado de tiempo.</w:t>
      </w:r>
    </w:p>
    <w:p w14:paraId="6C48E013" w14:textId="52111092" w:rsidR="00E93347" w:rsidRPr="0076589C" w:rsidRDefault="1C8D6E3A" w:rsidP="00296DF6">
      <w:pPr>
        <w:pStyle w:val="TextoPrincipal"/>
        <w:rPr>
          <w:lang w:val="es-HN"/>
        </w:rPr>
      </w:pPr>
      <w:r w:rsidRPr="0076589C">
        <w:rPr>
          <w:lang w:val="es-HN"/>
        </w:rPr>
        <w:t xml:space="preserve">En </w:t>
      </w:r>
      <w:r w:rsidR="00585884" w:rsidRPr="0076589C">
        <w:rPr>
          <w:b/>
          <w:bCs/>
          <w:i/>
          <w:iCs/>
          <w:lang w:val="es-HN"/>
        </w:rPr>
        <w:t>Tabla 1</w:t>
      </w:r>
      <w:r w:rsidRPr="0076589C">
        <w:rPr>
          <w:b/>
          <w:bCs/>
          <w:i/>
          <w:iCs/>
          <w:lang w:val="es-HN"/>
        </w:rPr>
        <w:t>7,</w:t>
      </w:r>
      <w:r w:rsidRPr="0076589C">
        <w:rPr>
          <w:lang w:val="es-HN"/>
        </w:rPr>
        <w:t xml:space="preserve"> se </w:t>
      </w:r>
      <w:r w:rsidR="00A7642D" w:rsidRPr="0076589C">
        <w:rPr>
          <w:lang w:val="es-HN"/>
        </w:rPr>
        <w:t>realizó</w:t>
      </w:r>
      <w:r w:rsidRPr="0076589C">
        <w:rPr>
          <w:lang w:val="es-HN"/>
        </w:rPr>
        <w:t xml:space="preserve"> los márgenes de utilidad neta para la empresa IPRA en el periodo de 2019-2022. </w:t>
      </w:r>
    </w:p>
    <w:p w14:paraId="3D876524" w14:textId="66642809" w:rsidR="00D33EF8" w:rsidRPr="0076589C" w:rsidRDefault="1C8D6E3A" w:rsidP="00CD112B">
      <w:pPr>
        <w:pStyle w:val="ImagenyTabla"/>
        <w:rPr>
          <w:noProof w:val="0"/>
        </w:rPr>
      </w:pPr>
      <w:bookmarkStart w:id="276" w:name="_Toc158365565"/>
      <w:r w:rsidRPr="0076589C">
        <w:t xml:space="preserve">Tabla </w:t>
      </w:r>
      <w:r w:rsidR="00BE6CF9" w:rsidRPr="0076589C">
        <w:rPr>
          <w:noProof w:val="0"/>
        </w:rPr>
        <w:fldChar w:fldCharType="begin"/>
      </w:r>
      <w:r w:rsidR="00BE6CF9" w:rsidRPr="0076589C">
        <w:rPr>
          <w:noProof w:val="0"/>
        </w:rPr>
        <w:instrText xml:space="preserve"> SEQ Tabla \* ARABIC </w:instrText>
      </w:r>
      <w:r w:rsidR="00BE6CF9" w:rsidRPr="0076589C">
        <w:rPr>
          <w:noProof w:val="0"/>
        </w:rPr>
        <w:fldChar w:fldCharType="separate"/>
      </w:r>
      <w:r w:rsidR="009F171A">
        <w:t>17</w:t>
      </w:r>
      <w:r w:rsidR="00BE6CF9" w:rsidRPr="0076589C">
        <w:rPr>
          <w:noProof w:val="0"/>
        </w:rPr>
        <w:fldChar w:fldCharType="end"/>
      </w:r>
      <w:r w:rsidRPr="0076589C">
        <w:t>. Margen de utilidad neta en IPRA (2019-2022)</w:t>
      </w:r>
      <w:bookmarkEnd w:id="276"/>
    </w:p>
    <w:tbl>
      <w:tblPr>
        <w:tblW w:w="5000" w:type="pct"/>
        <w:tblLook w:val="04A0" w:firstRow="1" w:lastRow="0" w:firstColumn="1" w:lastColumn="0" w:noHBand="0" w:noVBand="1"/>
      </w:tblPr>
      <w:tblGrid>
        <w:gridCol w:w="2236"/>
        <w:gridCol w:w="1781"/>
        <w:gridCol w:w="1781"/>
        <w:gridCol w:w="1781"/>
        <w:gridCol w:w="1781"/>
      </w:tblGrid>
      <w:tr w:rsidR="00296DF6" w:rsidRPr="0076589C" w14:paraId="4BBEEA6E" w14:textId="77777777" w:rsidTr="1C8D6E3A">
        <w:trPr>
          <w:trHeight w:val="260"/>
        </w:trPr>
        <w:tc>
          <w:tcPr>
            <w:tcW w:w="1194" w:type="pct"/>
            <w:tcBorders>
              <w:top w:val="nil"/>
              <w:left w:val="nil"/>
              <w:bottom w:val="nil"/>
              <w:right w:val="nil"/>
            </w:tcBorders>
            <w:shd w:val="clear" w:color="auto" w:fill="auto"/>
            <w:noWrap/>
            <w:vAlign w:val="bottom"/>
            <w:hideMark/>
          </w:tcPr>
          <w:p w14:paraId="0A15886D" w14:textId="77777777" w:rsidR="00296DF6" w:rsidRPr="0076589C" w:rsidRDefault="1C8D6E3A" w:rsidP="1C8D6E3A">
            <w:pPr>
              <w:spacing w:after="0" w:line="240" w:lineRule="auto"/>
              <w:ind w:left="0"/>
              <w:rPr>
                <w:rFonts w:ascii="Calibri" w:eastAsia="Times New Roman" w:hAnsi="Calibri" w:cs="Calibri"/>
                <w:b/>
                <w:bCs/>
                <w:i/>
                <w:iCs/>
                <w:color w:val="000000"/>
                <w:sz w:val="20"/>
                <w:szCs w:val="20"/>
                <w:u w:val="single"/>
              </w:rPr>
            </w:pPr>
            <w:r w:rsidRPr="0076589C">
              <w:rPr>
                <w:rFonts w:ascii="Calibri" w:eastAsia="Times New Roman" w:hAnsi="Calibri" w:cs="Calibri"/>
                <w:b/>
                <w:bCs/>
                <w:i/>
                <w:iCs/>
                <w:color w:val="000000" w:themeColor="text1"/>
                <w:sz w:val="20"/>
                <w:szCs w:val="20"/>
                <w:u w:val="single"/>
              </w:rPr>
              <w:t>Margen de utilidad neta</w:t>
            </w:r>
          </w:p>
        </w:tc>
        <w:tc>
          <w:tcPr>
            <w:tcW w:w="951" w:type="pct"/>
            <w:tcBorders>
              <w:top w:val="nil"/>
              <w:left w:val="nil"/>
              <w:bottom w:val="nil"/>
              <w:right w:val="nil"/>
            </w:tcBorders>
            <w:shd w:val="clear" w:color="auto" w:fill="auto"/>
            <w:noWrap/>
            <w:vAlign w:val="center"/>
            <w:hideMark/>
          </w:tcPr>
          <w:p w14:paraId="771F6528" w14:textId="77777777" w:rsidR="00296DF6" w:rsidRPr="0076589C" w:rsidRDefault="00296DF6" w:rsidP="1C8D6E3A">
            <w:pPr>
              <w:spacing w:after="0" w:line="240" w:lineRule="auto"/>
              <w:ind w:left="0"/>
              <w:rPr>
                <w:rFonts w:ascii="Calibri" w:eastAsia="Times New Roman" w:hAnsi="Calibri" w:cs="Calibri"/>
                <w:b/>
                <w:bCs/>
                <w:i/>
                <w:iCs/>
                <w:color w:val="000000"/>
                <w:sz w:val="20"/>
                <w:szCs w:val="20"/>
                <w:u w:val="single"/>
              </w:rPr>
            </w:pPr>
          </w:p>
        </w:tc>
        <w:tc>
          <w:tcPr>
            <w:tcW w:w="951" w:type="pct"/>
            <w:tcBorders>
              <w:top w:val="nil"/>
              <w:left w:val="nil"/>
              <w:bottom w:val="nil"/>
              <w:right w:val="nil"/>
            </w:tcBorders>
            <w:shd w:val="clear" w:color="auto" w:fill="auto"/>
            <w:noWrap/>
            <w:vAlign w:val="center"/>
            <w:hideMark/>
          </w:tcPr>
          <w:p w14:paraId="0A78AC24" w14:textId="77777777" w:rsidR="00296DF6" w:rsidRPr="0076589C" w:rsidRDefault="00296DF6" w:rsidP="00296DF6">
            <w:pPr>
              <w:spacing w:after="0" w:line="240" w:lineRule="auto"/>
              <w:ind w:left="0"/>
              <w:jc w:val="center"/>
              <w:rPr>
                <w:rFonts w:eastAsia="Times New Roman" w:cs="Times New Roman"/>
                <w:sz w:val="20"/>
                <w:szCs w:val="20"/>
              </w:rPr>
            </w:pPr>
          </w:p>
        </w:tc>
        <w:tc>
          <w:tcPr>
            <w:tcW w:w="951" w:type="pct"/>
            <w:tcBorders>
              <w:top w:val="nil"/>
              <w:left w:val="nil"/>
              <w:bottom w:val="nil"/>
              <w:right w:val="nil"/>
            </w:tcBorders>
            <w:shd w:val="clear" w:color="auto" w:fill="auto"/>
            <w:noWrap/>
            <w:vAlign w:val="center"/>
            <w:hideMark/>
          </w:tcPr>
          <w:p w14:paraId="52709740" w14:textId="77777777" w:rsidR="00296DF6" w:rsidRPr="0076589C" w:rsidRDefault="00296DF6" w:rsidP="00296DF6">
            <w:pPr>
              <w:spacing w:after="0" w:line="240" w:lineRule="auto"/>
              <w:ind w:left="0"/>
              <w:jc w:val="center"/>
              <w:rPr>
                <w:rFonts w:eastAsia="Times New Roman" w:cs="Times New Roman"/>
                <w:sz w:val="20"/>
                <w:szCs w:val="20"/>
              </w:rPr>
            </w:pPr>
          </w:p>
        </w:tc>
        <w:tc>
          <w:tcPr>
            <w:tcW w:w="951" w:type="pct"/>
            <w:tcBorders>
              <w:top w:val="nil"/>
              <w:left w:val="nil"/>
              <w:bottom w:val="nil"/>
              <w:right w:val="nil"/>
            </w:tcBorders>
            <w:shd w:val="clear" w:color="auto" w:fill="auto"/>
            <w:noWrap/>
            <w:vAlign w:val="center"/>
            <w:hideMark/>
          </w:tcPr>
          <w:p w14:paraId="4467589A" w14:textId="77777777" w:rsidR="00296DF6" w:rsidRPr="0076589C" w:rsidRDefault="00296DF6" w:rsidP="00296DF6">
            <w:pPr>
              <w:spacing w:after="0" w:line="240" w:lineRule="auto"/>
              <w:ind w:left="0"/>
              <w:jc w:val="center"/>
              <w:rPr>
                <w:rFonts w:eastAsia="Times New Roman" w:cs="Times New Roman"/>
                <w:sz w:val="20"/>
                <w:szCs w:val="20"/>
              </w:rPr>
            </w:pPr>
          </w:p>
        </w:tc>
      </w:tr>
      <w:tr w:rsidR="00296DF6" w:rsidRPr="0076589C" w14:paraId="0BEAA2A8" w14:textId="77777777" w:rsidTr="1C8D6E3A">
        <w:trPr>
          <w:trHeight w:val="270"/>
        </w:trPr>
        <w:tc>
          <w:tcPr>
            <w:tcW w:w="1194" w:type="pct"/>
            <w:tcBorders>
              <w:top w:val="nil"/>
              <w:left w:val="nil"/>
              <w:bottom w:val="nil"/>
              <w:right w:val="nil"/>
            </w:tcBorders>
            <w:shd w:val="clear" w:color="auto" w:fill="auto"/>
            <w:noWrap/>
            <w:vAlign w:val="bottom"/>
            <w:hideMark/>
          </w:tcPr>
          <w:p w14:paraId="763459AC" w14:textId="77777777" w:rsidR="00296DF6" w:rsidRPr="0076589C" w:rsidRDefault="00296DF6" w:rsidP="00296DF6">
            <w:pPr>
              <w:spacing w:after="0" w:line="240" w:lineRule="auto"/>
              <w:ind w:left="0"/>
              <w:jc w:val="center"/>
              <w:rPr>
                <w:rFonts w:eastAsia="Times New Roman" w:cs="Times New Roman"/>
                <w:sz w:val="20"/>
                <w:szCs w:val="20"/>
              </w:rPr>
            </w:pPr>
          </w:p>
        </w:tc>
        <w:tc>
          <w:tcPr>
            <w:tcW w:w="951" w:type="pct"/>
            <w:tcBorders>
              <w:top w:val="nil"/>
              <w:left w:val="nil"/>
              <w:bottom w:val="single" w:sz="8" w:space="0" w:color="85BADC"/>
              <w:right w:val="nil"/>
            </w:tcBorders>
            <w:shd w:val="clear" w:color="auto" w:fill="auto"/>
            <w:noWrap/>
            <w:vAlign w:val="center"/>
            <w:hideMark/>
          </w:tcPr>
          <w:p w14:paraId="516101E9" w14:textId="77777777" w:rsidR="00296DF6" w:rsidRPr="0076589C" w:rsidRDefault="1C8D6E3A" w:rsidP="00296DF6">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2019</w:t>
            </w:r>
          </w:p>
        </w:tc>
        <w:tc>
          <w:tcPr>
            <w:tcW w:w="951" w:type="pct"/>
            <w:tcBorders>
              <w:top w:val="nil"/>
              <w:left w:val="nil"/>
              <w:bottom w:val="single" w:sz="8" w:space="0" w:color="85BADC"/>
              <w:right w:val="nil"/>
            </w:tcBorders>
            <w:shd w:val="clear" w:color="auto" w:fill="auto"/>
            <w:noWrap/>
            <w:vAlign w:val="center"/>
            <w:hideMark/>
          </w:tcPr>
          <w:p w14:paraId="11932D2D" w14:textId="77777777" w:rsidR="00296DF6" w:rsidRPr="0076589C" w:rsidRDefault="1C8D6E3A" w:rsidP="00296DF6">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2020</w:t>
            </w:r>
          </w:p>
        </w:tc>
        <w:tc>
          <w:tcPr>
            <w:tcW w:w="951" w:type="pct"/>
            <w:tcBorders>
              <w:top w:val="nil"/>
              <w:left w:val="nil"/>
              <w:bottom w:val="single" w:sz="8" w:space="0" w:color="85BADC"/>
              <w:right w:val="nil"/>
            </w:tcBorders>
            <w:shd w:val="clear" w:color="auto" w:fill="auto"/>
            <w:noWrap/>
            <w:vAlign w:val="center"/>
            <w:hideMark/>
          </w:tcPr>
          <w:p w14:paraId="5638CF8B" w14:textId="77777777" w:rsidR="00296DF6" w:rsidRPr="0076589C" w:rsidRDefault="1C8D6E3A" w:rsidP="00296DF6">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2021</w:t>
            </w:r>
          </w:p>
        </w:tc>
        <w:tc>
          <w:tcPr>
            <w:tcW w:w="951" w:type="pct"/>
            <w:tcBorders>
              <w:top w:val="nil"/>
              <w:left w:val="nil"/>
              <w:bottom w:val="single" w:sz="8" w:space="0" w:color="85BADC"/>
              <w:right w:val="nil"/>
            </w:tcBorders>
            <w:shd w:val="clear" w:color="auto" w:fill="auto"/>
            <w:noWrap/>
            <w:vAlign w:val="center"/>
            <w:hideMark/>
          </w:tcPr>
          <w:p w14:paraId="5C7EEA2D" w14:textId="77777777" w:rsidR="00296DF6" w:rsidRPr="0076589C" w:rsidRDefault="1C8D6E3A" w:rsidP="00296DF6">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2022</w:t>
            </w:r>
          </w:p>
        </w:tc>
      </w:tr>
      <w:tr w:rsidR="00296DF6" w:rsidRPr="0076589C" w14:paraId="221BE864" w14:textId="77777777" w:rsidTr="1C8D6E3A">
        <w:trPr>
          <w:trHeight w:val="260"/>
        </w:trPr>
        <w:tc>
          <w:tcPr>
            <w:tcW w:w="1194" w:type="pct"/>
            <w:tcBorders>
              <w:top w:val="nil"/>
              <w:left w:val="nil"/>
              <w:bottom w:val="nil"/>
              <w:right w:val="nil"/>
            </w:tcBorders>
            <w:shd w:val="clear" w:color="auto" w:fill="auto"/>
            <w:noWrap/>
            <w:vAlign w:val="bottom"/>
            <w:hideMark/>
          </w:tcPr>
          <w:p w14:paraId="436EC67F" w14:textId="77777777" w:rsidR="00296DF6" w:rsidRPr="0076589C" w:rsidRDefault="1C8D6E3A" w:rsidP="1C8D6E3A">
            <w:pPr>
              <w:spacing w:after="0" w:line="240" w:lineRule="auto"/>
              <w:ind w:left="0"/>
              <w:rPr>
                <w:rFonts w:ascii="Calibri" w:eastAsia="Times New Roman" w:hAnsi="Calibri" w:cs="Calibri"/>
                <w:i/>
                <w:iCs/>
                <w:color w:val="000000"/>
                <w:sz w:val="20"/>
                <w:szCs w:val="20"/>
              </w:rPr>
            </w:pPr>
            <w:r w:rsidRPr="0076589C">
              <w:rPr>
                <w:rFonts w:ascii="Calibri" w:eastAsia="Times New Roman" w:hAnsi="Calibri" w:cs="Calibri"/>
                <w:i/>
                <w:iCs/>
                <w:color w:val="000000" w:themeColor="text1"/>
                <w:sz w:val="20"/>
                <w:szCs w:val="20"/>
              </w:rPr>
              <w:t>Utilidad neta</w:t>
            </w:r>
          </w:p>
        </w:tc>
        <w:tc>
          <w:tcPr>
            <w:tcW w:w="951" w:type="pct"/>
            <w:tcBorders>
              <w:top w:val="nil"/>
              <w:left w:val="nil"/>
              <w:bottom w:val="nil"/>
              <w:right w:val="nil"/>
            </w:tcBorders>
            <w:shd w:val="clear" w:color="auto" w:fill="auto"/>
            <w:noWrap/>
            <w:vAlign w:val="center"/>
            <w:hideMark/>
          </w:tcPr>
          <w:p w14:paraId="0BC1CA36" w14:textId="77777777" w:rsidR="00296DF6" w:rsidRPr="0076589C" w:rsidRDefault="1C8D6E3A" w:rsidP="00296DF6">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1,930,287.85 </w:t>
            </w:r>
          </w:p>
        </w:tc>
        <w:tc>
          <w:tcPr>
            <w:tcW w:w="951" w:type="pct"/>
            <w:tcBorders>
              <w:top w:val="nil"/>
              <w:left w:val="nil"/>
              <w:bottom w:val="nil"/>
              <w:right w:val="nil"/>
            </w:tcBorders>
            <w:shd w:val="clear" w:color="auto" w:fill="auto"/>
            <w:noWrap/>
            <w:vAlign w:val="center"/>
            <w:hideMark/>
          </w:tcPr>
          <w:p w14:paraId="24772574" w14:textId="77777777" w:rsidR="00296DF6" w:rsidRPr="0076589C" w:rsidRDefault="1C8D6E3A" w:rsidP="00296DF6">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886,700.26 </w:t>
            </w:r>
          </w:p>
        </w:tc>
        <w:tc>
          <w:tcPr>
            <w:tcW w:w="951" w:type="pct"/>
            <w:tcBorders>
              <w:top w:val="nil"/>
              <w:left w:val="nil"/>
              <w:bottom w:val="nil"/>
              <w:right w:val="nil"/>
            </w:tcBorders>
            <w:shd w:val="clear" w:color="auto" w:fill="auto"/>
            <w:noWrap/>
            <w:vAlign w:val="center"/>
            <w:hideMark/>
          </w:tcPr>
          <w:p w14:paraId="09E49096" w14:textId="77777777" w:rsidR="00296DF6" w:rsidRPr="0076589C" w:rsidRDefault="1C8D6E3A" w:rsidP="00296DF6">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1,758,748.50 </w:t>
            </w:r>
          </w:p>
        </w:tc>
        <w:tc>
          <w:tcPr>
            <w:tcW w:w="951" w:type="pct"/>
            <w:tcBorders>
              <w:top w:val="nil"/>
              <w:left w:val="nil"/>
              <w:bottom w:val="nil"/>
              <w:right w:val="nil"/>
            </w:tcBorders>
            <w:shd w:val="clear" w:color="auto" w:fill="auto"/>
            <w:noWrap/>
            <w:vAlign w:val="center"/>
            <w:hideMark/>
          </w:tcPr>
          <w:p w14:paraId="208B7BDF" w14:textId="77777777" w:rsidR="00296DF6" w:rsidRPr="0076589C" w:rsidRDefault="1C8D6E3A" w:rsidP="00296DF6">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1,894,061.91 </w:t>
            </w:r>
          </w:p>
        </w:tc>
      </w:tr>
      <w:tr w:rsidR="00296DF6" w:rsidRPr="0076589C" w14:paraId="0F8A20E8" w14:textId="77777777" w:rsidTr="1C8D6E3A">
        <w:trPr>
          <w:trHeight w:val="270"/>
        </w:trPr>
        <w:tc>
          <w:tcPr>
            <w:tcW w:w="1194" w:type="pct"/>
            <w:tcBorders>
              <w:top w:val="nil"/>
              <w:left w:val="nil"/>
              <w:bottom w:val="double" w:sz="6" w:space="0" w:color="85BADC"/>
              <w:right w:val="nil"/>
            </w:tcBorders>
            <w:shd w:val="clear" w:color="auto" w:fill="auto"/>
            <w:noWrap/>
            <w:vAlign w:val="bottom"/>
            <w:hideMark/>
          </w:tcPr>
          <w:p w14:paraId="23AEF7A8" w14:textId="77777777" w:rsidR="00296DF6" w:rsidRPr="0076589C" w:rsidRDefault="1C8D6E3A" w:rsidP="1C8D6E3A">
            <w:pPr>
              <w:spacing w:after="0" w:line="240" w:lineRule="auto"/>
              <w:ind w:left="0"/>
              <w:rPr>
                <w:rFonts w:ascii="Calibri" w:eastAsia="Times New Roman" w:hAnsi="Calibri" w:cs="Calibri"/>
                <w:i/>
                <w:iCs/>
                <w:color w:val="000000"/>
                <w:sz w:val="20"/>
                <w:szCs w:val="20"/>
              </w:rPr>
            </w:pPr>
            <w:r w:rsidRPr="0076589C">
              <w:rPr>
                <w:rFonts w:ascii="Calibri" w:eastAsia="Times New Roman" w:hAnsi="Calibri" w:cs="Calibri"/>
                <w:i/>
                <w:iCs/>
                <w:color w:val="000000" w:themeColor="text1"/>
                <w:sz w:val="20"/>
                <w:szCs w:val="20"/>
              </w:rPr>
              <w:t>Ventas</w:t>
            </w:r>
          </w:p>
        </w:tc>
        <w:tc>
          <w:tcPr>
            <w:tcW w:w="951" w:type="pct"/>
            <w:tcBorders>
              <w:top w:val="nil"/>
              <w:left w:val="nil"/>
              <w:bottom w:val="double" w:sz="6" w:space="0" w:color="85BADC"/>
              <w:right w:val="nil"/>
            </w:tcBorders>
            <w:shd w:val="clear" w:color="auto" w:fill="auto"/>
            <w:noWrap/>
            <w:vAlign w:val="center"/>
            <w:hideMark/>
          </w:tcPr>
          <w:p w14:paraId="0A5FABC5" w14:textId="77777777" w:rsidR="00296DF6" w:rsidRPr="0076589C" w:rsidRDefault="1C8D6E3A" w:rsidP="00296DF6">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26,105,424.64 </w:t>
            </w:r>
          </w:p>
        </w:tc>
        <w:tc>
          <w:tcPr>
            <w:tcW w:w="951" w:type="pct"/>
            <w:tcBorders>
              <w:top w:val="nil"/>
              <w:left w:val="nil"/>
              <w:bottom w:val="double" w:sz="6" w:space="0" w:color="85BADC"/>
              <w:right w:val="nil"/>
            </w:tcBorders>
            <w:shd w:val="clear" w:color="auto" w:fill="auto"/>
            <w:noWrap/>
            <w:vAlign w:val="center"/>
            <w:hideMark/>
          </w:tcPr>
          <w:p w14:paraId="134D5FD6" w14:textId="77777777" w:rsidR="00296DF6" w:rsidRPr="0076589C" w:rsidRDefault="1C8D6E3A" w:rsidP="00296DF6">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31,891,032.92 </w:t>
            </w:r>
          </w:p>
        </w:tc>
        <w:tc>
          <w:tcPr>
            <w:tcW w:w="951" w:type="pct"/>
            <w:tcBorders>
              <w:top w:val="nil"/>
              <w:left w:val="nil"/>
              <w:bottom w:val="double" w:sz="6" w:space="0" w:color="85BADC"/>
              <w:right w:val="nil"/>
            </w:tcBorders>
            <w:shd w:val="clear" w:color="auto" w:fill="auto"/>
            <w:noWrap/>
            <w:vAlign w:val="center"/>
            <w:hideMark/>
          </w:tcPr>
          <w:p w14:paraId="1A626238" w14:textId="77777777" w:rsidR="00296DF6" w:rsidRPr="0076589C" w:rsidRDefault="1C8D6E3A" w:rsidP="00296DF6">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22,321,755.08 </w:t>
            </w:r>
          </w:p>
        </w:tc>
        <w:tc>
          <w:tcPr>
            <w:tcW w:w="951" w:type="pct"/>
            <w:tcBorders>
              <w:top w:val="nil"/>
              <w:left w:val="nil"/>
              <w:bottom w:val="double" w:sz="6" w:space="0" w:color="85BADC"/>
              <w:right w:val="nil"/>
            </w:tcBorders>
            <w:shd w:val="clear" w:color="auto" w:fill="auto"/>
            <w:noWrap/>
            <w:vAlign w:val="center"/>
            <w:hideMark/>
          </w:tcPr>
          <w:p w14:paraId="4B5ED124" w14:textId="77777777" w:rsidR="00296DF6" w:rsidRPr="0076589C" w:rsidRDefault="1C8D6E3A" w:rsidP="00296DF6">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29,605,010.66 </w:t>
            </w:r>
          </w:p>
        </w:tc>
      </w:tr>
      <w:tr w:rsidR="00296DF6" w:rsidRPr="0076589C" w14:paraId="5C2CEB7D" w14:textId="77777777" w:rsidTr="1C8D6E3A">
        <w:trPr>
          <w:trHeight w:val="270"/>
        </w:trPr>
        <w:tc>
          <w:tcPr>
            <w:tcW w:w="1194" w:type="pct"/>
            <w:tcBorders>
              <w:top w:val="nil"/>
              <w:left w:val="nil"/>
              <w:bottom w:val="nil"/>
              <w:right w:val="nil"/>
            </w:tcBorders>
            <w:shd w:val="clear" w:color="auto" w:fill="auto"/>
            <w:noWrap/>
            <w:vAlign w:val="bottom"/>
            <w:hideMark/>
          </w:tcPr>
          <w:p w14:paraId="411D1B0E" w14:textId="77777777" w:rsidR="00296DF6" w:rsidRPr="0076589C" w:rsidRDefault="1C8D6E3A" w:rsidP="00296DF6">
            <w:pPr>
              <w:spacing w:after="0" w:line="240" w:lineRule="auto"/>
              <w:ind w:left="0"/>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lastRenderedPageBreak/>
              <w:t>Margen de utilidad neta</w:t>
            </w:r>
          </w:p>
        </w:tc>
        <w:tc>
          <w:tcPr>
            <w:tcW w:w="951" w:type="pct"/>
            <w:tcBorders>
              <w:top w:val="nil"/>
              <w:left w:val="nil"/>
              <w:bottom w:val="nil"/>
              <w:right w:val="nil"/>
            </w:tcBorders>
            <w:shd w:val="clear" w:color="auto" w:fill="auto"/>
            <w:noWrap/>
            <w:vAlign w:val="center"/>
            <w:hideMark/>
          </w:tcPr>
          <w:p w14:paraId="14A3B976" w14:textId="27AAAFB8" w:rsidR="00296DF6" w:rsidRPr="0076589C" w:rsidRDefault="1C8D6E3A" w:rsidP="00296DF6">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7%</w:t>
            </w:r>
          </w:p>
        </w:tc>
        <w:tc>
          <w:tcPr>
            <w:tcW w:w="951" w:type="pct"/>
            <w:tcBorders>
              <w:top w:val="nil"/>
              <w:left w:val="nil"/>
              <w:bottom w:val="nil"/>
              <w:right w:val="nil"/>
            </w:tcBorders>
            <w:shd w:val="clear" w:color="auto" w:fill="auto"/>
            <w:noWrap/>
            <w:vAlign w:val="center"/>
            <w:hideMark/>
          </w:tcPr>
          <w:p w14:paraId="680EA162" w14:textId="66333EE7" w:rsidR="00296DF6" w:rsidRPr="0076589C" w:rsidRDefault="1C8D6E3A" w:rsidP="00296DF6">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3%</w:t>
            </w:r>
          </w:p>
        </w:tc>
        <w:tc>
          <w:tcPr>
            <w:tcW w:w="951" w:type="pct"/>
            <w:tcBorders>
              <w:top w:val="nil"/>
              <w:left w:val="nil"/>
              <w:bottom w:val="nil"/>
              <w:right w:val="nil"/>
            </w:tcBorders>
            <w:shd w:val="clear" w:color="auto" w:fill="auto"/>
            <w:noWrap/>
            <w:vAlign w:val="center"/>
            <w:hideMark/>
          </w:tcPr>
          <w:p w14:paraId="14520B50" w14:textId="2C069237" w:rsidR="00296DF6" w:rsidRPr="0076589C" w:rsidRDefault="1C8D6E3A" w:rsidP="00296DF6">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8%</w:t>
            </w:r>
          </w:p>
        </w:tc>
        <w:tc>
          <w:tcPr>
            <w:tcW w:w="951" w:type="pct"/>
            <w:tcBorders>
              <w:top w:val="nil"/>
              <w:left w:val="nil"/>
              <w:bottom w:val="nil"/>
              <w:right w:val="nil"/>
            </w:tcBorders>
            <w:shd w:val="clear" w:color="auto" w:fill="auto"/>
            <w:noWrap/>
            <w:vAlign w:val="center"/>
            <w:hideMark/>
          </w:tcPr>
          <w:p w14:paraId="2A88C651" w14:textId="61E0F0C7" w:rsidR="00296DF6" w:rsidRPr="0076589C" w:rsidRDefault="1C8D6E3A" w:rsidP="00296DF6">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6%</w:t>
            </w:r>
          </w:p>
        </w:tc>
      </w:tr>
    </w:tbl>
    <w:p w14:paraId="1B1A2A19" w14:textId="77777777" w:rsidR="00D33EF8" w:rsidRPr="0076589C" w:rsidRDefault="1C8D6E3A" w:rsidP="00D33EF8">
      <w:pPr>
        <w:pStyle w:val="Fuentes"/>
        <w:rPr>
          <w:lang w:val="es-HN"/>
        </w:rPr>
      </w:pPr>
      <w:r w:rsidRPr="0076589C">
        <w:rPr>
          <w:lang w:val="es-HN"/>
        </w:rPr>
        <w:t>Fuente: Elaboración propia con datos de IPRA (2023).</w:t>
      </w:r>
    </w:p>
    <w:p w14:paraId="01382DDA" w14:textId="5A497B11" w:rsidR="00167985" w:rsidRPr="0076589C" w:rsidRDefault="1C8D6E3A" w:rsidP="003707BF">
      <w:pPr>
        <w:pStyle w:val="TextoPrincipal"/>
        <w:rPr>
          <w:lang w:val="es-HN"/>
        </w:rPr>
      </w:pPr>
      <w:r w:rsidRPr="0076589C">
        <w:rPr>
          <w:lang w:val="es-HN"/>
        </w:rPr>
        <w:t>El margen de utilidad neta ha evolucionado a lo largo de los años, pasando del 7% en 2019, a un 3% en el 2020, luego aumento a un 8% en el 2021 y por último disminuyó a un 6% en el 2022. La disminución general indica que la empresa enfrenta desafíos en términos de rentabilidad, en especial para el año 2020 que se vio influencia por la pandemia de COVID-19, la cual tuvo un impacto grande en la economía global y en muchas empresas alrededor de todo el mundo, IPRA no fue la excepción. La mejora significativa en el 2021 se puede deber a distintos factores, uno de los más relevantes es la reactivación económica a nivel nacional postpandemia.</w:t>
      </w:r>
    </w:p>
    <w:p w14:paraId="3CFC9E2C" w14:textId="2785ABB0" w:rsidR="00296DF6" w:rsidRPr="0076589C" w:rsidRDefault="00435FB6" w:rsidP="00D91B62">
      <w:pPr>
        <w:pStyle w:val="TextoPrincipal"/>
        <w:ind w:firstLine="0"/>
        <w:jc w:val="center"/>
        <w:rPr>
          <w:lang w:val="es-HN"/>
        </w:rPr>
      </w:pPr>
      <w:r w:rsidRPr="0076589C">
        <w:rPr>
          <w:noProof/>
          <w:lang w:val="es-HN" w:eastAsia="es-HN"/>
        </w:rPr>
        <w:drawing>
          <wp:inline distT="0" distB="0" distL="0" distR="0" wp14:anchorId="4E184119" wp14:editId="0F9907AD">
            <wp:extent cx="5974671" cy="2806065"/>
            <wp:effectExtent l="0" t="0" r="7620" b="13335"/>
            <wp:docPr id="531151108" name="Gráfico 1">
              <a:extLst xmlns:a="http://schemas.openxmlformats.org/drawingml/2006/main">
                <a:ext uri="{FF2B5EF4-FFF2-40B4-BE49-F238E27FC236}">
                  <a16:creationId xmlns:a16="http://schemas.microsoft.com/office/drawing/2014/main" id="{A82F6FFF-1CBA-D263-C8B9-A434164256C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80E51BC" w14:textId="3EA261F8" w:rsidR="005841F2" w:rsidRPr="0076589C" w:rsidRDefault="1C8D6E3A" w:rsidP="005841F2">
      <w:pPr>
        <w:pStyle w:val="ImagenyTabla"/>
        <w:rPr>
          <w:noProof w:val="0"/>
        </w:rPr>
      </w:pPr>
      <w:bookmarkStart w:id="277" w:name="_Toc158365594"/>
      <w:r w:rsidRPr="0076589C">
        <w:t xml:space="preserve">Figura </w:t>
      </w:r>
      <w:r w:rsidR="005841F2" w:rsidRPr="0076589C">
        <w:rPr>
          <w:noProof w:val="0"/>
        </w:rPr>
        <w:fldChar w:fldCharType="begin"/>
      </w:r>
      <w:r w:rsidR="005841F2" w:rsidRPr="0076589C">
        <w:rPr>
          <w:noProof w:val="0"/>
        </w:rPr>
        <w:instrText xml:space="preserve"> SEQ Figura \* ARABIC </w:instrText>
      </w:r>
      <w:r w:rsidR="005841F2" w:rsidRPr="0076589C">
        <w:rPr>
          <w:noProof w:val="0"/>
        </w:rPr>
        <w:fldChar w:fldCharType="separate"/>
      </w:r>
      <w:r w:rsidR="009F171A">
        <w:t>9</w:t>
      </w:r>
      <w:r w:rsidR="005841F2" w:rsidRPr="0076589C">
        <w:rPr>
          <w:noProof w:val="0"/>
        </w:rPr>
        <w:fldChar w:fldCharType="end"/>
      </w:r>
      <w:r w:rsidRPr="0076589C">
        <w:t>. Margen de utilidad neta en IPRA (2019-2022)</w:t>
      </w:r>
      <w:bookmarkEnd w:id="277"/>
    </w:p>
    <w:p w14:paraId="4686B8B9" w14:textId="77777777" w:rsidR="00D33EF8" w:rsidRPr="0076589C" w:rsidRDefault="1C8D6E3A" w:rsidP="00D33EF8">
      <w:pPr>
        <w:pStyle w:val="Fuentes"/>
        <w:rPr>
          <w:lang w:val="es-HN"/>
        </w:rPr>
      </w:pPr>
      <w:r w:rsidRPr="0076589C">
        <w:rPr>
          <w:lang w:val="es-HN"/>
        </w:rPr>
        <w:t>Fuente: Elaboración propia con datos de IPRA (2023).</w:t>
      </w:r>
    </w:p>
    <w:p w14:paraId="38CB541E" w14:textId="77777777" w:rsidR="008842BE" w:rsidRPr="0076589C" w:rsidRDefault="1C8D6E3A" w:rsidP="00A5397F">
      <w:pPr>
        <w:pStyle w:val="TextoPrincipal"/>
        <w:rPr>
          <w:lang w:val="es-HN"/>
        </w:rPr>
      </w:pPr>
      <w:r w:rsidRPr="0076589C">
        <w:rPr>
          <w:lang w:val="es-HN"/>
        </w:rPr>
        <w:t xml:space="preserve">En la </w:t>
      </w:r>
      <w:r w:rsidRPr="0076589C">
        <w:rPr>
          <w:b/>
          <w:bCs/>
          <w:i/>
          <w:iCs/>
          <w:lang w:val="es-HN"/>
        </w:rPr>
        <w:t>Figura 9</w:t>
      </w:r>
      <w:r w:rsidRPr="0076589C">
        <w:rPr>
          <w:i/>
          <w:iCs/>
          <w:lang w:val="es-HN"/>
        </w:rPr>
        <w:t>,</w:t>
      </w:r>
      <w:r w:rsidRPr="0076589C">
        <w:rPr>
          <w:lang w:val="es-HN"/>
        </w:rPr>
        <w:t xml:space="preserve"> se observó cómo fue la evolución del margen de utilidad neta en IPRA en el periodo de 2019-2022. </w:t>
      </w:r>
    </w:p>
    <w:p w14:paraId="39F93260" w14:textId="74493AFB" w:rsidR="005841F2" w:rsidRPr="0076589C" w:rsidRDefault="1C8D6E3A" w:rsidP="00207EAF">
      <w:pPr>
        <w:pStyle w:val="TextoPrincipal"/>
        <w:spacing w:after="0"/>
        <w:rPr>
          <w:lang w:val="es-HN"/>
        </w:rPr>
      </w:pPr>
      <w:r w:rsidRPr="0076589C">
        <w:rPr>
          <w:lang w:val="es-HN"/>
        </w:rPr>
        <w:t>Un margen de utilidad neta del 6-8% es un valor relativamente bajo en comparación con algunas industria</w:t>
      </w:r>
      <w:r w:rsidR="009C3743" w:rsidRPr="0076589C">
        <w:rPr>
          <w:lang w:val="es-HN"/>
        </w:rPr>
        <w:t xml:space="preserve"> según </w:t>
      </w:r>
      <w:r w:rsidR="009C3743" w:rsidRPr="0076589C">
        <w:rPr>
          <w:lang w:val="es-HN"/>
        </w:rPr>
        <w:fldChar w:fldCharType="begin"/>
      </w:r>
      <w:r w:rsidR="009C3743" w:rsidRPr="0076589C">
        <w:rPr>
          <w:lang w:val="es-HN"/>
        </w:rPr>
        <w:instrText xml:space="preserve"> ADDIN ZOTERO_ITEM CSL_CITATION {"citationID":"BQqaGL2H","properties":{"formattedCitation":"(Allen, 2010)","plainCitation":"(Allen, 2010)","noteIndex":0},"citationItems":[{"id":204,"uris":["http://zotero.org/users/12108825/items/CHITNJEP"],"itemData":{"id":204,"type":"article-journal","source":"Zotero","title":"Principios de Finanzas Corporativas","author":[{"family":"Allen","given":"Brealey Myers"}],"issued":{"date-parts":[["2010"]]}}}],"schema":"https://github.com/citation-style-language/schema/raw/master/csl-citation.json"} </w:instrText>
      </w:r>
      <w:r w:rsidR="009C3743" w:rsidRPr="0076589C">
        <w:rPr>
          <w:lang w:val="es-HN"/>
        </w:rPr>
        <w:fldChar w:fldCharType="separate"/>
      </w:r>
      <w:r w:rsidR="00E77DDB" w:rsidRPr="0076589C">
        <w:rPr>
          <w:lang w:val="es-HN"/>
        </w:rPr>
        <w:t>(Allen, 2010)</w:t>
      </w:r>
      <w:r w:rsidR="009C3743" w:rsidRPr="0076589C">
        <w:rPr>
          <w:lang w:val="es-HN"/>
        </w:rPr>
        <w:fldChar w:fldCharType="end"/>
      </w:r>
      <w:r w:rsidRPr="0076589C">
        <w:rPr>
          <w:lang w:val="es-HN"/>
        </w:rPr>
        <w:t>, por lo tanto, podría indicar que la empresa enfrenta desafíos para mantener una rentabilidad solida después de todos los gastos de operación.</w:t>
      </w:r>
      <w:r w:rsidR="00485A86" w:rsidRPr="0076589C">
        <w:rPr>
          <w:lang w:val="es-HN"/>
        </w:rPr>
        <w:t xml:space="preserve"> </w:t>
      </w:r>
    </w:p>
    <w:p w14:paraId="140CF13D" w14:textId="77777777" w:rsidR="00207EAF" w:rsidRPr="0076589C" w:rsidRDefault="00207EAF" w:rsidP="00207EAF">
      <w:pPr>
        <w:pStyle w:val="TextoPrincipal"/>
        <w:spacing w:after="0"/>
        <w:rPr>
          <w:lang w:val="es-HN"/>
        </w:rPr>
      </w:pPr>
    </w:p>
    <w:p w14:paraId="3569B57E" w14:textId="188CAC6E" w:rsidR="008E390F" w:rsidRPr="0076589C" w:rsidRDefault="1C8D6E3A" w:rsidP="004F3DA9">
      <w:pPr>
        <w:pStyle w:val="Ttulonivel4"/>
        <w:numPr>
          <w:ilvl w:val="0"/>
          <w:numId w:val="27"/>
        </w:numPr>
        <w:ind w:left="1440" w:firstLine="0"/>
        <w:outlineLvl w:val="4"/>
      </w:pPr>
      <w:r w:rsidRPr="0076589C">
        <w:lastRenderedPageBreak/>
        <w:t>EBITDA</w:t>
      </w:r>
    </w:p>
    <w:p w14:paraId="6F2E42A4" w14:textId="68AC71BC" w:rsidR="003200C7" w:rsidRPr="0076589C" w:rsidRDefault="1C8D6E3A" w:rsidP="004F461A">
      <w:pPr>
        <w:pStyle w:val="TextoPrincipal"/>
        <w:rPr>
          <w:lang w:val="es-HN"/>
        </w:rPr>
      </w:pPr>
      <w:r w:rsidRPr="0076589C">
        <w:rPr>
          <w:lang w:val="es-HN"/>
        </w:rPr>
        <w:t xml:space="preserve">EBITDA es un indicador financia cuyo nombre proviene de las palabras en inglés “Earnings (utilidad) Before Interest (antes de intereses), Taxes (impuestos), Depreciation (depreciación) and Amortization (amortización)”. Lo que se refiere es que expresa las ganancias antes del pago de intereses, impuestos, depreciación y amortización. Es una herramienta sacada a partir de los estados financieros para medir del desempeño económico financiero del negocio, ya que es una aproximación al flujo de caja de efectivo de fondos. </w:t>
      </w:r>
      <w:r w:rsidR="00467B40" w:rsidRPr="0076589C">
        <w:rPr>
          <w:lang w:val="es-HN"/>
        </w:rPr>
        <w:fldChar w:fldCharType="begin"/>
      </w:r>
      <w:r w:rsidR="00467B40" w:rsidRPr="0076589C">
        <w:rPr>
          <w:lang w:val="es-HN"/>
        </w:rPr>
        <w:instrText xml:space="preserve"> ADDIN ZOTERO_ITEM CSL_CITATION {"citationID":"apBm3bLN","properties":{"formattedCitation":"(Ronco, 2017)","plainCitation":"(Ronco, 2017)","noteIndex":0},"citationItems":[{"id":377,"uris":["http://zotero.org/users/12108825/items/P5GIP4VB"],"itemData":{"id":377,"type":"book","abstract":"El libro que usted tiene en sus manos es el resultado de un vínculo cercano con el quehacer emprendedor, a través de más de diez años entendiendo y conociendo de cerca las experiencias de muchos emprendedores y enseñando estas materias en la universidad. De ellos he aprendido notables lecciones de persistencia, valentía y optimismo, las que he intentado plasmar para que puedan ser aprovechadas por cualquier persona que desee iniciar una empresa o desarrollar un nuevo proyecto.","ISBN":"978-958-778-312-4","language":"es","note":"Google-Books-ID: c6FxEAAAQBAJ","number-of-pages":"324","publisher":"Alpha Editorial","source":"Google Books","title":"Impacto Emprendedor: La fuerza que mueve el mundo","title-short":"Impacto Emprendedor","author":[{"family":"Ronco","given":"Jorge Herrera"}],"issued":{"date-parts":[["2017",2,10]]}}}],"schema":"https://github.com/citation-style-language/schema/raw/master/csl-citation.json"} </w:instrText>
      </w:r>
      <w:r w:rsidR="00467B40" w:rsidRPr="0076589C">
        <w:rPr>
          <w:lang w:val="es-HN"/>
        </w:rPr>
        <w:fldChar w:fldCharType="separate"/>
      </w:r>
      <w:r w:rsidRPr="0076589C">
        <w:rPr>
          <w:lang w:val="es-HN"/>
        </w:rPr>
        <w:t>(Ronco, 2017)</w:t>
      </w:r>
      <w:r w:rsidR="00467B40" w:rsidRPr="0076589C">
        <w:rPr>
          <w:lang w:val="es-HN"/>
        </w:rPr>
        <w:fldChar w:fldCharType="end"/>
      </w:r>
    </w:p>
    <w:p w14:paraId="56CD0256" w14:textId="54ABEB7E" w:rsidR="00545CA4" w:rsidRPr="0076589C" w:rsidRDefault="1C8D6E3A" w:rsidP="004F461A">
      <w:pPr>
        <w:pStyle w:val="TextoPrincipal"/>
        <w:rPr>
          <w:lang w:val="es-HN"/>
        </w:rPr>
      </w:pPr>
      <w:r w:rsidRPr="0076589C">
        <w:rPr>
          <w:lang w:val="es-HN"/>
        </w:rPr>
        <w:t>El EBITDA es de gran importancia porque refleja la capacidad de la empresa para generar ganancias a través de sus operaciones, sin tomar en cuenta los efectos de los costos de financiamiento, los impuestos y la depreciación de activo. Entre más alto el EBITDA se considera positivo, ya que indica una mejor eficiencia operativa y una mayor rentabilidad.</w:t>
      </w:r>
    </w:p>
    <w:p w14:paraId="59AC9A20" w14:textId="5857EAA0" w:rsidR="00DE09AA" w:rsidRPr="0076589C" w:rsidRDefault="1C8D6E3A" w:rsidP="00313681">
      <w:pPr>
        <w:pStyle w:val="TextoPrincipal"/>
        <w:rPr>
          <w:lang w:val="es-HN"/>
        </w:rPr>
      </w:pPr>
      <w:r w:rsidRPr="0076589C">
        <w:rPr>
          <w:lang w:val="es-HN"/>
        </w:rPr>
        <w:t xml:space="preserve">En la </w:t>
      </w:r>
      <w:r w:rsidR="00585884" w:rsidRPr="0076589C">
        <w:rPr>
          <w:b/>
          <w:bCs/>
          <w:i/>
          <w:iCs/>
          <w:lang w:val="es-HN"/>
        </w:rPr>
        <w:t>Tabla 1</w:t>
      </w:r>
      <w:r w:rsidRPr="0076589C">
        <w:rPr>
          <w:b/>
          <w:bCs/>
          <w:i/>
          <w:iCs/>
          <w:lang w:val="es-HN"/>
        </w:rPr>
        <w:t>8</w:t>
      </w:r>
      <w:r w:rsidRPr="0076589C">
        <w:rPr>
          <w:i/>
          <w:iCs/>
          <w:lang w:val="es-HN"/>
        </w:rPr>
        <w:t>,</w:t>
      </w:r>
      <w:r w:rsidRPr="0076589C">
        <w:rPr>
          <w:lang w:val="es-HN"/>
        </w:rPr>
        <w:t xml:space="preserve"> se presenta el EBITDA y su evolución a través de los años para la empresa IPRA en el periodo de 2019-2022.</w:t>
      </w:r>
    </w:p>
    <w:p w14:paraId="5D633832" w14:textId="5DF196C1" w:rsidR="00D33EF8" w:rsidRPr="0076589C" w:rsidRDefault="1C8D6E3A" w:rsidP="000403B6">
      <w:pPr>
        <w:pStyle w:val="ImagenyTabla"/>
        <w:rPr>
          <w:noProof w:val="0"/>
        </w:rPr>
      </w:pPr>
      <w:bookmarkStart w:id="278" w:name="_Toc158365566"/>
      <w:r w:rsidRPr="0076589C">
        <w:t xml:space="preserve">Tabla </w:t>
      </w:r>
      <w:r w:rsidR="00BE6CF9" w:rsidRPr="0076589C">
        <w:rPr>
          <w:noProof w:val="0"/>
        </w:rPr>
        <w:fldChar w:fldCharType="begin"/>
      </w:r>
      <w:r w:rsidR="00BE6CF9" w:rsidRPr="0076589C">
        <w:rPr>
          <w:noProof w:val="0"/>
        </w:rPr>
        <w:instrText xml:space="preserve"> SEQ Tabla \* ARABIC </w:instrText>
      </w:r>
      <w:r w:rsidR="00BE6CF9" w:rsidRPr="0076589C">
        <w:rPr>
          <w:noProof w:val="0"/>
        </w:rPr>
        <w:fldChar w:fldCharType="separate"/>
      </w:r>
      <w:r w:rsidR="009F171A">
        <w:t>18</w:t>
      </w:r>
      <w:r w:rsidR="00BE6CF9" w:rsidRPr="0076589C">
        <w:rPr>
          <w:noProof w:val="0"/>
        </w:rPr>
        <w:fldChar w:fldCharType="end"/>
      </w:r>
      <w:r w:rsidRPr="0076589C">
        <w:t>. EBITDA en IPRA (2019-2022)</w:t>
      </w:r>
      <w:bookmarkEnd w:id="278"/>
    </w:p>
    <w:tbl>
      <w:tblPr>
        <w:tblW w:w="5000" w:type="pct"/>
        <w:tblLook w:val="04A0" w:firstRow="1" w:lastRow="0" w:firstColumn="1" w:lastColumn="0" w:noHBand="0" w:noVBand="1"/>
      </w:tblPr>
      <w:tblGrid>
        <w:gridCol w:w="2342"/>
        <w:gridCol w:w="1752"/>
        <w:gridCol w:w="1752"/>
        <w:gridCol w:w="1752"/>
        <w:gridCol w:w="1762"/>
      </w:tblGrid>
      <w:tr w:rsidR="00363424" w:rsidRPr="0076589C" w14:paraId="009DD367" w14:textId="77777777" w:rsidTr="1C8D6E3A">
        <w:trPr>
          <w:trHeight w:val="260"/>
        </w:trPr>
        <w:tc>
          <w:tcPr>
            <w:tcW w:w="5000" w:type="pct"/>
            <w:gridSpan w:val="5"/>
            <w:tcBorders>
              <w:top w:val="nil"/>
              <w:left w:val="nil"/>
              <w:bottom w:val="nil"/>
              <w:right w:val="nil"/>
            </w:tcBorders>
            <w:shd w:val="clear" w:color="auto" w:fill="auto"/>
            <w:noWrap/>
            <w:vAlign w:val="bottom"/>
            <w:hideMark/>
          </w:tcPr>
          <w:p w14:paraId="7DC81A17" w14:textId="77777777" w:rsidR="00363424" w:rsidRPr="0076589C" w:rsidRDefault="1C8D6E3A" w:rsidP="1C8D6E3A">
            <w:pPr>
              <w:spacing w:after="0" w:line="240" w:lineRule="auto"/>
              <w:ind w:left="0"/>
              <w:rPr>
                <w:rFonts w:ascii="Calibri" w:eastAsia="Times New Roman" w:hAnsi="Calibri" w:cs="Calibri"/>
                <w:b/>
                <w:bCs/>
                <w:i/>
                <w:iCs/>
                <w:color w:val="000000"/>
                <w:sz w:val="18"/>
                <w:szCs w:val="18"/>
                <w:u w:val="single"/>
              </w:rPr>
            </w:pPr>
            <w:r w:rsidRPr="0076589C">
              <w:rPr>
                <w:rFonts w:ascii="Calibri" w:eastAsia="Times New Roman" w:hAnsi="Calibri" w:cs="Calibri"/>
                <w:b/>
                <w:bCs/>
                <w:i/>
                <w:iCs/>
                <w:color w:val="000000" w:themeColor="text1"/>
                <w:sz w:val="18"/>
                <w:szCs w:val="18"/>
                <w:u w:val="single"/>
              </w:rPr>
              <w:t>EBITDA</w:t>
            </w:r>
          </w:p>
        </w:tc>
      </w:tr>
      <w:tr w:rsidR="00363424" w:rsidRPr="0076589C" w14:paraId="27161BAD" w14:textId="77777777" w:rsidTr="1C8D6E3A">
        <w:trPr>
          <w:trHeight w:val="270"/>
        </w:trPr>
        <w:tc>
          <w:tcPr>
            <w:tcW w:w="1251" w:type="pct"/>
            <w:tcBorders>
              <w:top w:val="nil"/>
              <w:left w:val="nil"/>
              <w:bottom w:val="nil"/>
              <w:right w:val="nil"/>
            </w:tcBorders>
            <w:shd w:val="clear" w:color="auto" w:fill="auto"/>
            <w:noWrap/>
            <w:vAlign w:val="bottom"/>
            <w:hideMark/>
          </w:tcPr>
          <w:p w14:paraId="41C3D163" w14:textId="77777777" w:rsidR="00363424" w:rsidRPr="0076589C" w:rsidRDefault="00363424" w:rsidP="1C8D6E3A">
            <w:pPr>
              <w:spacing w:after="0" w:line="240" w:lineRule="auto"/>
              <w:ind w:left="0"/>
              <w:rPr>
                <w:rFonts w:ascii="Calibri" w:eastAsia="Times New Roman" w:hAnsi="Calibri" w:cs="Calibri"/>
                <w:b/>
                <w:bCs/>
                <w:i/>
                <w:iCs/>
                <w:color w:val="000000"/>
                <w:sz w:val="18"/>
                <w:szCs w:val="18"/>
                <w:u w:val="single"/>
              </w:rPr>
            </w:pPr>
          </w:p>
        </w:tc>
        <w:tc>
          <w:tcPr>
            <w:tcW w:w="936" w:type="pct"/>
            <w:tcBorders>
              <w:top w:val="nil"/>
              <w:left w:val="nil"/>
              <w:bottom w:val="single" w:sz="8" w:space="0" w:color="85BADC"/>
              <w:right w:val="nil"/>
            </w:tcBorders>
            <w:shd w:val="clear" w:color="auto" w:fill="auto"/>
            <w:noWrap/>
            <w:vAlign w:val="center"/>
            <w:hideMark/>
          </w:tcPr>
          <w:p w14:paraId="10449AEF" w14:textId="77777777" w:rsidR="00363424" w:rsidRPr="0076589C" w:rsidRDefault="1C8D6E3A" w:rsidP="00363424">
            <w:pPr>
              <w:spacing w:after="0" w:line="240" w:lineRule="auto"/>
              <w:ind w:left="0"/>
              <w:jc w:val="center"/>
              <w:rPr>
                <w:rFonts w:ascii="Calibri" w:eastAsia="Times New Roman" w:hAnsi="Calibri" w:cs="Calibri"/>
                <w:b/>
                <w:bCs/>
                <w:color w:val="000000"/>
                <w:sz w:val="16"/>
                <w:szCs w:val="16"/>
              </w:rPr>
            </w:pPr>
            <w:r w:rsidRPr="0076589C">
              <w:rPr>
                <w:rFonts w:ascii="Calibri" w:eastAsia="Times New Roman" w:hAnsi="Calibri" w:cs="Calibri"/>
                <w:b/>
                <w:bCs/>
                <w:color w:val="000000" w:themeColor="text1"/>
                <w:sz w:val="16"/>
                <w:szCs w:val="16"/>
              </w:rPr>
              <w:t>2019</w:t>
            </w:r>
          </w:p>
        </w:tc>
        <w:tc>
          <w:tcPr>
            <w:tcW w:w="936" w:type="pct"/>
            <w:tcBorders>
              <w:top w:val="nil"/>
              <w:left w:val="nil"/>
              <w:bottom w:val="single" w:sz="8" w:space="0" w:color="85BADC"/>
              <w:right w:val="nil"/>
            </w:tcBorders>
            <w:shd w:val="clear" w:color="auto" w:fill="auto"/>
            <w:noWrap/>
            <w:vAlign w:val="center"/>
            <w:hideMark/>
          </w:tcPr>
          <w:p w14:paraId="32F88B35" w14:textId="77777777" w:rsidR="00363424" w:rsidRPr="0076589C" w:rsidRDefault="1C8D6E3A" w:rsidP="00363424">
            <w:pPr>
              <w:spacing w:after="0" w:line="240" w:lineRule="auto"/>
              <w:ind w:left="0"/>
              <w:jc w:val="center"/>
              <w:rPr>
                <w:rFonts w:ascii="Calibri" w:eastAsia="Times New Roman" w:hAnsi="Calibri" w:cs="Calibri"/>
                <w:b/>
                <w:bCs/>
                <w:color w:val="000000"/>
                <w:sz w:val="16"/>
                <w:szCs w:val="16"/>
              </w:rPr>
            </w:pPr>
            <w:r w:rsidRPr="0076589C">
              <w:rPr>
                <w:rFonts w:ascii="Calibri" w:eastAsia="Times New Roman" w:hAnsi="Calibri" w:cs="Calibri"/>
                <w:b/>
                <w:bCs/>
                <w:color w:val="000000" w:themeColor="text1"/>
                <w:sz w:val="16"/>
                <w:szCs w:val="16"/>
              </w:rPr>
              <w:t>2020</w:t>
            </w:r>
          </w:p>
        </w:tc>
        <w:tc>
          <w:tcPr>
            <w:tcW w:w="936" w:type="pct"/>
            <w:tcBorders>
              <w:top w:val="nil"/>
              <w:left w:val="nil"/>
              <w:bottom w:val="single" w:sz="8" w:space="0" w:color="85BADC"/>
              <w:right w:val="nil"/>
            </w:tcBorders>
            <w:shd w:val="clear" w:color="auto" w:fill="auto"/>
            <w:noWrap/>
            <w:vAlign w:val="center"/>
            <w:hideMark/>
          </w:tcPr>
          <w:p w14:paraId="04013591" w14:textId="77777777" w:rsidR="00363424" w:rsidRPr="0076589C" w:rsidRDefault="1C8D6E3A" w:rsidP="00363424">
            <w:pPr>
              <w:spacing w:after="0" w:line="240" w:lineRule="auto"/>
              <w:ind w:left="0"/>
              <w:jc w:val="center"/>
              <w:rPr>
                <w:rFonts w:ascii="Calibri" w:eastAsia="Times New Roman" w:hAnsi="Calibri" w:cs="Calibri"/>
                <w:b/>
                <w:bCs/>
                <w:color w:val="000000"/>
                <w:sz w:val="16"/>
                <w:szCs w:val="16"/>
              </w:rPr>
            </w:pPr>
            <w:r w:rsidRPr="0076589C">
              <w:rPr>
                <w:rFonts w:ascii="Calibri" w:eastAsia="Times New Roman" w:hAnsi="Calibri" w:cs="Calibri"/>
                <w:b/>
                <w:bCs/>
                <w:color w:val="000000" w:themeColor="text1"/>
                <w:sz w:val="16"/>
                <w:szCs w:val="16"/>
              </w:rPr>
              <w:t>2021</w:t>
            </w:r>
          </w:p>
        </w:tc>
        <w:tc>
          <w:tcPr>
            <w:tcW w:w="942" w:type="pct"/>
            <w:tcBorders>
              <w:top w:val="nil"/>
              <w:left w:val="nil"/>
              <w:bottom w:val="single" w:sz="8" w:space="0" w:color="85BADC"/>
              <w:right w:val="nil"/>
            </w:tcBorders>
            <w:shd w:val="clear" w:color="auto" w:fill="auto"/>
            <w:noWrap/>
            <w:vAlign w:val="center"/>
            <w:hideMark/>
          </w:tcPr>
          <w:p w14:paraId="3D70AFD4" w14:textId="77777777" w:rsidR="00363424" w:rsidRPr="0076589C" w:rsidRDefault="1C8D6E3A" w:rsidP="00363424">
            <w:pPr>
              <w:spacing w:after="0" w:line="240" w:lineRule="auto"/>
              <w:ind w:left="0"/>
              <w:jc w:val="center"/>
              <w:rPr>
                <w:rFonts w:ascii="Calibri" w:eastAsia="Times New Roman" w:hAnsi="Calibri" w:cs="Calibri"/>
                <w:b/>
                <w:bCs/>
                <w:color w:val="000000"/>
                <w:sz w:val="16"/>
                <w:szCs w:val="16"/>
              </w:rPr>
            </w:pPr>
            <w:r w:rsidRPr="0076589C">
              <w:rPr>
                <w:rFonts w:ascii="Calibri" w:eastAsia="Times New Roman" w:hAnsi="Calibri" w:cs="Calibri"/>
                <w:b/>
                <w:bCs/>
                <w:color w:val="000000" w:themeColor="text1"/>
                <w:sz w:val="16"/>
                <w:szCs w:val="16"/>
              </w:rPr>
              <w:t>2022</w:t>
            </w:r>
          </w:p>
        </w:tc>
      </w:tr>
      <w:tr w:rsidR="00363424" w:rsidRPr="0076589C" w14:paraId="204B88DC" w14:textId="77777777" w:rsidTr="1C8D6E3A">
        <w:trPr>
          <w:trHeight w:val="260"/>
        </w:trPr>
        <w:tc>
          <w:tcPr>
            <w:tcW w:w="1251" w:type="pct"/>
            <w:tcBorders>
              <w:top w:val="nil"/>
              <w:left w:val="nil"/>
              <w:bottom w:val="nil"/>
              <w:right w:val="nil"/>
            </w:tcBorders>
            <w:shd w:val="clear" w:color="auto" w:fill="auto"/>
            <w:noWrap/>
            <w:vAlign w:val="bottom"/>
            <w:hideMark/>
          </w:tcPr>
          <w:p w14:paraId="16309684" w14:textId="77777777" w:rsidR="00363424" w:rsidRPr="0076589C" w:rsidRDefault="1C8D6E3A" w:rsidP="1C8D6E3A">
            <w:pPr>
              <w:spacing w:after="0" w:line="240" w:lineRule="auto"/>
              <w:ind w:left="0"/>
              <w:rPr>
                <w:rFonts w:ascii="Calibri" w:eastAsia="Times New Roman" w:hAnsi="Calibri" w:cs="Calibri"/>
                <w:i/>
                <w:iCs/>
                <w:color w:val="000000"/>
                <w:sz w:val="18"/>
                <w:szCs w:val="18"/>
              </w:rPr>
            </w:pPr>
            <w:r w:rsidRPr="0076589C">
              <w:rPr>
                <w:rFonts w:ascii="Calibri" w:eastAsia="Times New Roman" w:hAnsi="Calibri" w:cs="Calibri"/>
                <w:i/>
                <w:iCs/>
                <w:color w:val="000000" w:themeColor="text1"/>
                <w:sz w:val="18"/>
                <w:szCs w:val="18"/>
              </w:rPr>
              <w:t>Utilidad bruta</w:t>
            </w:r>
          </w:p>
        </w:tc>
        <w:tc>
          <w:tcPr>
            <w:tcW w:w="936" w:type="pct"/>
            <w:tcBorders>
              <w:top w:val="nil"/>
              <w:left w:val="nil"/>
              <w:bottom w:val="nil"/>
              <w:right w:val="nil"/>
            </w:tcBorders>
            <w:shd w:val="clear" w:color="auto" w:fill="auto"/>
            <w:noWrap/>
            <w:vAlign w:val="center"/>
            <w:hideMark/>
          </w:tcPr>
          <w:p w14:paraId="610AF12F" w14:textId="77777777" w:rsidR="00363424" w:rsidRPr="0076589C" w:rsidRDefault="1C8D6E3A" w:rsidP="00363424">
            <w:pPr>
              <w:spacing w:after="0" w:line="240" w:lineRule="auto"/>
              <w:ind w:left="0"/>
              <w:jc w:val="center"/>
              <w:rPr>
                <w:rFonts w:ascii="Calibri" w:eastAsia="Times New Roman" w:hAnsi="Calibri" w:cs="Calibri"/>
                <w:color w:val="000000"/>
                <w:sz w:val="16"/>
                <w:szCs w:val="16"/>
              </w:rPr>
            </w:pPr>
            <w:r w:rsidRPr="0076589C">
              <w:rPr>
                <w:rFonts w:ascii="Calibri" w:eastAsia="Times New Roman" w:hAnsi="Calibri" w:cs="Calibri"/>
                <w:color w:val="000000" w:themeColor="text1"/>
                <w:sz w:val="16"/>
                <w:szCs w:val="16"/>
              </w:rPr>
              <w:t xml:space="preserve"> L        9,408,278.03 </w:t>
            </w:r>
          </w:p>
        </w:tc>
        <w:tc>
          <w:tcPr>
            <w:tcW w:w="936" w:type="pct"/>
            <w:tcBorders>
              <w:top w:val="nil"/>
              <w:left w:val="nil"/>
              <w:bottom w:val="nil"/>
              <w:right w:val="nil"/>
            </w:tcBorders>
            <w:shd w:val="clear" w:color="auto" w:fill="auto"/>
            <w:noWrap/>
            <w:vAlign w:val="center"/>
            <w:hideMark/>
          </w:tcPr>
          <w:p w14:paraId="7BD390DB" w14:textId="77777777" w:rsidR="00363424" w:rsidRPr="0076589C" w:rsidRDefault="1C8D6E3A" w:rsidP="00363424">
            <w:pPr>
              <w:spacing w:after="0" w:line="240" w:lineRule="auto"/>
              <w:ind w:left="0"/>
              <w:jc w:val="center"/>
              <w:rPr>
                <w:rFonts w:ascii="Calibri" w:eastAsia="Times New Roman" w:hAnsi="Calibri" w:cs="Calibri"/>
                <w:color w:val="000000"/>
                <w:sz w:val="16"/>
                <w:szCs w:val="16"/>
              </w:rPr>
            </w:pPr>
            <w:r w:rsidRPr="0076589C">
              <w:rPr>
                <w:rFonts w:ascii="Calibri" w:eastAsia="Times New Roman" w:hAnsi="Calibri" w:cs="Calibri"/>
                <w:color w:val="000000" w:themeColor="text1"/>
                <w:sz w:val="16"/>
                <w:szCs w:val="16"/>
              </w:rPr>
              <w:t xml:space="preserve"> L        8,443,526.71 </w:t>
            </w:r>
          </w:p>
        </w:tc>
        <w:tc>
          <w:tcPr>
            <w:tcW w:w="936" w:type="pct"/>
            <w:tcBorders>
              <w:top w:val="nil"/>
              <w:left w:val="nil"/>
              <w:bottom w:val="nil"/>
              <w:right w:val="nil"/>
            </w:tcBorders>
            <w:shd w:val="clear" w:color="auto" w:fill="auto"/>
            <w:noWrap/>
            <w:vAlign w:val="center"/>
            <w:hideMark/>
          </w:tcPr>
          <w:p w14:paraId="7E691A44" w14:textId="77777777" w:rsidR="00363424" w:rsidRPr="0076589C" w:rsidRDefault="1C8D6E3A" w:rsidP="00363424">
            <w:pPr>
              <w:spacing w:after="0" w:line="240" w:lineRule="auto"/>
              <w:ind w:left="0"/>
              <w:jc w:val="center"/>
              <w:rPr>
                <w:rFonts w:ascii="Calibri" w:eastAsia="Times New Roman" w:hAnsi="Calibri" w:cs="Calibri"/>
                <w:color w:val="000000"/>
                <w:sz w:val="16"/>
                <w:szCs w:val="16"/>
              </w:rPr>
            </w:pPr>
            <w:r w:rsidRPr="0076589C">
              <w:rPr>
                <w:rFonts w:ascii="Calibri" w:eastAsia="Times New Roman" w:hAnsi="Calibri" w:cs="Calibri"/>
                <w:color w:val="000000" w:themeColor="text1"/>
                <w:sz w:val="16"/>
                <w:szCs w:val="16"/>
              </w:rPr>
              <w:t xml:space="preserve"> L        8,010,294.13 </w:t>
            </w:r>
          </w:p>
        </w:tc>
        <w:tc>
          <w:tcPr>
            <w:tcW w:w="942" w:type="pct"/>
            <w:tcBorders>
              <w:top w:val="nil"/>
              <w:left w:val="nil"/>
              <w:bottom w:val="nil"/>
              <w:right w:val="nil"/>
            </w:tcBorders>
            <w:shd w:val="clear" w:color="auto" w:fill="auto"/>
            <w:noWrap/>
            <w:vAlign w:val="center"/>
            <w:hideMark/>
          </w:tcPr>
          <w:p w14:paraId="21219485" w14:textId="77777777" w:rsidR="00363424" w:rsidRPr="0076589C" w:rsidRDefault="1C8D6E3A" w:rsidP="00363424">
            <w:pPr>
              <w:spacing w:after="0" w:line="240" w:lineRule="auto"/>
              <w:ind w:left="0"/>
              <w:jc w:val="center"/>
              <w:rPr>
                <w:rFonts w:ascii="Calibri" w:eastAsia="Times New Roman" w:hAnsi="Calibri" w:cs="Calibri"/>
                <w:color w:val="000000"/>
                <w:sz w:val="16"/>
                <w:szCs w:val="16"/>
              </w:rPr>
            </w:pPr>
            <w:r w:rsidRPr="0076589C">
              <w:rPr>
                <w:rFonts w:ascii="Calibri" w:eastAsia="Times New Roman" w:hAnsi="Calibri" w:cs="Calibri"/>
                <w:color w:val="000000" w:themeColor="text1"/>
                <w:sz w:val="16"/>
                <w:szCs w:val="16"/>
              </w:rPr>
              <w:t xml:space="preserve"> L      10,009,298.22 </w:t>
            </w:r>
          </w:p>
        </w:tc>
      </w:tr>
      <w:tr w:rsidR="00363424" w:rsidRPr="0076589C" w14:paraId="3E4B315B" w14:textId="77777777" w:rsidTr="1C8D6E3A">
        <w:trPr>
          <w:trHeight w:val="260"/>
        </w:trPr>
        <w:tc>
          <w:tcPr>
            <w:tcW w:w="1251" w:type="pct"/>
            <w:tcBorders>
              <w:top w:val="nil"/>
              <w:left w:val="nil"/>
              <w:bottom w:val="nil"/>
              <w:right w:val="nil"/>
            </w:tcBorders>
            <w:shd w:val="clear" w:color="auto" w:fill="auto"/>
            <w:noWrap/>
            <w:vAlign w:val="bottom"/>
            <w:hideMark/>
          </w:tcPr>
          <w:p w14:paraId="0CCE31E6" w14:textId="77777777" w:rsidR="00363424" w:rsidRPr="0076589C" w:rsidRDefault="1C8D6E3A" w:rsidP="1C8D6E3A">
            <w:pPr>
              <w:spacing w:after="0" w:line="240" w:lineRule="auto"/>
              <w:ind w:left="0"/>
              <w:rPr>
                <w:rFonts w:ascii="Calibri" w:eastAsia="Times New Roman" w:hAnsi="Calibri" w:cs="Calibri"/>
                <w:i/>
                <w:iCs/>
                <w:color w:val="000000"/>
                <w:sz w:val="18"/>
                <w:szCs w:val="18"/>
              </w:rPr>
            </w:pPr>
            <w:r w:rsidRPr="0076589C">
              <w:rPr>
                <w:rFonts w:ascii="Calibri" w:eastAsia="Times New Roman" w:hAnsi="Calibri" w:cs="Calibri"/>
                <w:i/>
                <w:iCs/>
                <w:color w:val="000000" w:themeColor="text1"/>
                <w:sz w:val="18"/>
                <w:szCs w:val="18"/>
              </w:rPr>
              <w:t>(-) Gastos administrativos</w:t>
            </w:r>
          </w:p>
        </w:tc>
        <w:tc>
          <w:tcPr>
            <w:tcW w:w="936" w:type="pct"/>
            <w:tcBorders>
              <w:top w:val="nil"/>
              <w:left w:val="nil"/>
              <w:bottom w:val="nil"/>
              <w:right w:val="nil"/>
            </w:tcBorders>
            <w:shd w:val="clear" w:color="auto" w:fill="auto"/>
            <w:noWrap/>
            <w:vAlign w:val="center"/>
            <w:hideMark/>
          </w:tcPr>
          <w:p w14:paraId="5D5CED17" w14:textId="77777777" w:rsidR="00363424" w:rsidRPr="0076589C" w:rsidRDefault="1C8D6E3A" w:rsidP="00363424">
            <w:pPr>
              <w:spacing w:after="0" w:line="240" w:lineRule="auto"/>
              <w:ind w:left="0"/>
              <w:jc w:val="center"/>
              <w:rPr>
                <w:rFonts w:ascii="Calibri" w:eastAsia="Times New Roman" w:hAnsi="Calibri" w:cs="Calibri"/>
                <w:color w:val="000000"/>
                <w:sz w:val="16"/>
                <w:szCs w:val="16"/>
              </w:rPr>
            </w:pPr>
            <w:r w:rsidRPr="0076589C">
              <w:rPr>
                <w:rFonts w:ascii="Calibri" w:eastAsia="Times New Roman" w:hAnsi="Calibri" w:cs="Calibri"/>
                <w:color w:val="000000" w:themeColor="text1"/>
                <w:sz w:val="16"/>
                <w:szCs w:val="16"/>
              </w:rPr>
              <w:t xml:space="preserve"> L           282,731.30 </w:t>
            </w:r>
          </w:p>
        </w:tc>
        <w:tc>
          <w:tcPr>
            <w:tcW w:w="936" w:type="pct"/>
            <w:tcBorders>
              <w:top w:val="nil"/>
              <w:left w:val="nil"/>
              <w:bottom w:val="nil"/>
              <w:right w:val="nil"/>
            </w:tcBorders>
            <w:shd w:val="clear" w:color="auto" w:fill="auto"/>
            <w:noWrap/>
            <w:vAlign w:val="center"/>
            <w:hideMark/>
          </w:tcPr>
          <w:p w14:paraId="51006F75" w14:textId="77777777" w:rsidR="00363424" w:rsidRPr="0076589C" w:rsidRDefault="1C8D6E3A" w:rsidP="00363424">
            <w:pPr>
              <w:spacing w:after="0" w:line="240" w:lineRule="auto"/>
              <w:ind w:left="0"/>
              <w:jc w:val="center"/>
              <w:rPr>
                <w:rFonts w:ascii="Calibri" w:eastAsia="Times New Roman" w:hAnsi="Calibri" w:cs="Calibri"/>
                <w:color w:val="000000"/>
                <w:sz w:val="16"/>
                <w:szCs w:val="16"/>
              </w:rPr>
            </w:pPr>
            <w:r w:rsidRPr="0076589C">
              <w:rPr>
                <w:rFonts w:ascii="Calibri" w:eastAsia="Times New Roman" w:hAnsi="Calibri" w:cs="Calibri"/>
                <w:color w:val="000000" w:themeColor="text1"/>
                <w:sz w:val="16"/>
                <w:szCs w:val="16"/>
              </w:rPr>
              <w:t xml:space="preserve"> L           420,145.61 </w:t>
            </w:r>
          </w:p>
        </w:tc>
        <w:tc>
          <w:tcPr>
            <w:tcW w:w="936" w:type="pct"/>
            <w:tcBorders>
              <w:top w:val="nil"/>
              <w:left w:val="nil"/>
              <w:bottom w:val="nil"/>
              <w:right w:val="nil"/>
            </w:tcBorders>
            <w:shd w:val="clear" w:color="auto" w:fill="auto"/>
            <w:noWrap/>
            <w:vAlign w:val="center"/>
            <w:hideMark/>
          </w:tcPr>
          <w:p w14:paraId="18C0CF1F" w14:textId="77777777" w:rsidR="00363424" w:rsidRPr="0076589C" w:rsidRDefault="1C8D6E3A" w:rsidP="00363424">
            <w:pPr>
              <w:spacing w:after="0" w:line="240" w:lineRule="auto"/>
              <w:ind w:left="0"/>
              <w:jc w:val="center"/>
              <w:rPr>
                <w:rFonts w:ascii="Calibri" w:eastAsia="Times New Roman" w:hAnsi="Calibri" w:cs="Calibri"/>
                <w:color w:val="000000"/>
                <w:sz w:val="16"/>
                <w:szCs w:val="16"/>
              </w:rPr>
            </w:pPr>
            <w:r w:rsidRPr="0076589C">
              <w:rPr>
                <w:rFonts w:ascii="Calibri" w:eastAsia="Times New Roman" w:hAnsi="Calibri" w:cs="Calibri"/>
                <w:color w:val="000000" w:themeColor="text1"/>
                <w:sz w:val="16"/>
                <w:szCs w:val="16"/>
              </w:rPr>
              <w:t xml:space="preserve"> L           210,575.69 </w:t>
            </w:r>
          </w:p>
        </w:tc>
        <w:tc>
          <w:tcPr>
            <w:tcW w:w="942" w:type="pct"/>
            <w:tcBorders>
              <w:top w:val="nil"/>
              <w:left w:val="nil"/>
              <w:bottom w:val="nil"/>
              <w:right w:val="nil"/>
            </w:tcBorders>
            <w:shd w:val="clear" w:color="auto" w:fill="auto"/>
            <w:noWrap/>
            <w:vAlign w:val="center"/>
            <w:hideMark/>
          </w:tcPr>
          <w:p w14:paraId="37D69627" w14:textId="77777777" w:rsidR="00363424" w:rsidRPr="0076589C" w:rsidRDefault="1C8D6E3A" w:rsidP="00363424">
            <w:pPr>
              <w:spacing w:after="0" w:line="240" w:lineRule="auto"/>
              <w:ind w:left="0"/>
              <w:jc w:val="center"/>
              <w:rPr>
                <w:rFonts w:ascii="Calibri" w:eastAsia="Times New Roman" w:hAnsi="Calibri" w:cs="Calibri"/>
                <w:color w:val="000000"/>
                <w:sz w:val="16"/>
                <w:szCs w:val="16"/>
              </w:rPr>
            </w:pPr>
            <w:r w:rsidRPr="0076589C">
              <w:rPr>
                <w:rFonts w:ascii="Calibri" w:eastAsia="Times New Roman" w:hAnsi="Calibri" w:cs="Calibri"/>
                <w:color w:val="000000" w:themeColor="text1"/>
                <w:sz w:val="16"/>
                <w:szCs w:val="16"/>
              </w:rPr>
              <w:t xml:space="preserve"> L           359,452.81 </w:t>
            </w:r>
          </w:p>
        </w:tc>
      </w:tr>
      <w:tr w:rsidR="00363424" w:rsidRPr="0076589C" w14:paraId="08ABDB3A" w14:textId="77777777" w:rsidTr="1C8D6E3A">
        <w:trPr>
          <w:trHeight w:val="270"/>
        </w:trPr>
        <w:tc>
          <w:tcPr>
            <w:tcW w:w="1251" w:type="pct"/>
            <w:tcBorders>
              <w:top w:val="nil"/>
              <w:left w:val="nil"/>
              <w:bottom w:val="double" w:sz="6" w:space="0" w:color="85BADC"/>
              <w:right w:val="nil"/>
            </w:tcBorders>
            <w:shd w:val="clear" w:color="auto" w:fill="auto"/>
            <w:noWrap/>
            <w:vAlign w:val="bottom"/>
            <w:hideMark/>
          </w:tcPr>
          <w:p w14:paraId="65B14C12" w14:textId="77777777" w:rsidR="00363424" w:rsidRPr="0076589C" w:rsidRDefault="1C8D6E3A" w:rsidP="1C8D6E3A">
            <w:pPr>
              <w:spacing w:after="0" w:line="240" w:lineRule="auto"/>
              <w:ind w:left="0"/>
              <w:rPr>
                <w:rFonts w:ascii="Calibri" w:eastAsia="Times New Roman" w:hAnsi="Calibri" w:cs="Calibri"/>
                <w:i/>
                <w:iCs/>
                <w:color w:val="000000"/>
                <w:sz w:val="18"/>
                <w:szCs w:val="18"/>
              </w:rPr>
            </w:pPr>
            <w:r w:rsidRPr="0076589C">
              <w:rPr>
                <w:rFonts w:ascii="Calibri" w:eastAsia="Times New Roman" w:hAnsi="Calibri" w:cs="Calibri"/>
                <w:i/>
                <w:iCs/>
                <w:color w:val="000000" w:themeColor="text1"/>
                <w:sz w:val="18"/>
                <w:szCs w:val="18"/>
              </w:rPr>
              <w:t>(-) Gastos distribución</w:t>
            </w:r>
          </w:p>
        </w:tc>
        <w:tc>
          <w:tcPr>
            <w:tcW w:w="936" w:type="pct"/>
            <w:tcBorders>
              <w:top w:val="nil"/>
              <w:left w:val="nil"/>
              <w:bottom w:val="double" w:sz="6" w:space="0" w:color="85BADC"/>
              <w:right w:val="nil"/>
            </w:tcBorders>
            <w:shd w:val="clear" w:color="auto" w:fill="auto"/>
            <w:noWrap/>
            <w:vAlign w:val="center"/>
            <w:hideMark/>
          </w:tcPr>
          <w:p w14:paraId="5DC02A79" w14:textId="77777777" w:rsidR="00363424" w:rsidRPr="0076589C" w:rsidRDefault="1C8D6E3A" w:rsidP="00363424">
            <w:pPr>
              <w:spacing w:after="0" w:line="240" w:lineRule="auto"/>
              <w:ind w:left="0"/>
              <w:jc w:val="center"/>
              <w:rPr>
                <w:rFonts w:ascii="Calibri" w:eastAsia="Times New Roman" w:hAnsi="Calibri" w:cs="Calibri"/>
                <w:color w:val="000000"/>
                <w:sz w:val="16"/>
                <w:szCs w:val="16"/>
              </w:rPr>
            </w:pPr>
            <w:r w:rsidRPr="0076589C">
              <w:rPr>
                <w:rFonts w:ascii="Calibri" w:eastAsia="Times New Roman" w:hAnsi="Calibri" w:cs="Calibri"/>
                <w:color w:val="000000" w:themeColor="text1"/>
                <w:sz w:val="16"/>
                <w:szCs w:val="16"/>
              </w:rPr>
              <w:t xml:space="preserve"> L        6,439,421.23 </w:t>
            </w:r>
          </w:p>
        </w:tc>
        <w:tc>
          <w:tcPr>
            <w:tcW w:w="936" w:type="pct"/>
            <w:tcBorders>
              <w:top w:val="nil"/>
              <w:left w:val="nil"/>
              <w:bottom w:val="double" w:sz="6" w:space="0" w:color="85BADC"/>
              <w:right w:val="nil"/>
            </w:tcBorders>
            <w:shd w:val="clear" w:color="auto" w:fill="auto"/>
            <w:noWrap/>
            <w:vAlign w:val="center"/>
            <w:hideMark/>
          </w:tcPr>
          <w:p w14:paraId="302A5F4A" w14:textId="77777777" w:rsidR="00363424" w:rsidRPr="0076589C" w:rsidRDefault="1C8D6E3A" w:rsidP="00363424">
            <w:pPr>
              <w:spacing w:after="0" w:line="240" w:lineRule="auto"/>
              <w:ind w:left="0"/>
              <w:jc w:val="center"/>
              <w:rPr>
                <w:rFonts w:ascii="Calibri" w:eastAsia="Times New Roman" w:hAnsi="Calibri" w:cs="Calibri"/>
                <w:color w:val="000000"/>
                <w:sz w:val="16"/>
                <w:szCs w:val="16"/>
              </w:rPr>
            </w:pPr>
            <w:r w:rsidRPr="0076589C">
              <w:rPr>
                <w:rFonts w:ascii="Calibri" w:eastAsia="Times New Roman" w:hAnsi="Calibri" w:cs="Calibri"/>
                <w:color w:val="000000" w:themeColor="text1"/>
                <w:sz w:val="16"/>
                <w:szCs w:val="16"/>
              </w:rPr>
              <w:t xml:space="preserve"> L        6,828,095.02 </w:t>
            </w:r>
          </w:p>
        </w:tc>
        <w:tc>
          <w:tcPr>
            <w:tcW w:w="936" w:type="pct"/>
            <w:tcBorders>
              <w:top w:val="nil"/>
              <w:left w:val="nil"/>
              <w:bottom w:val="double" w:sz="6" w:space="0" w:color="85BADC"/>
              <w:right w:val="nil"/>
            </w:tcBorders>
            <w:shd w:val="clear" w:color="auto" w:fill="auto"/>
            <w:noWrap/>
            <w:vAlign w:val="center"/>
            <w:hideMark/>
          </w:tcPr>
          <w:p w14:paraId="649672F8" w14:textId="77777777" w:rsidR="00363424" w:rsidRPr="0076589C" w:rsidRDefault="1C8D6E3A" w:rsidP="00363424">
            <w:pPr>
              <w:spacing w:after="0" w:line="240" w:lineRule="auto"/>
              <w:ind w:left="0"/>
              <w:jc w:val="center"/>
              <w:rPr>
                <w:rFonts w:ascii="Calibri" w:eastAsia="Times New Roman" w:hAnsi="Calibri" w:cs="Calibri"/>
                <w:color w:val="000000"/>
                <w:sz w:val="16"/>
                <w:szCs w:val="16"/>
              </w:rPr>
            </w:pPr>
            <w:r w:rsidRPr="0076589C">
              <w:rPr>
                <w:rFonts w:ascii="Calibri" w:eastAsia="Times New Roman" w:hAnsi="Calibri" w:cs="Calibri"/>
                <w:color w:val="000000" w:themeColor="text1"/>
                <w:sz w:val="16"/>
                <w:szCs w:val="16"/>
              </w:rPr>
              <w:t xml:space="preserve"> L        5,358,649.15 </w:t>
            </w:r>
          </w:p>
        </w:tc>
        <w:tc>
          <w:tcPr>
            <w:tcW w:w="942" w:type="pct"/>
            <w:tcBorders>
              <w:top w:val="nil"/>
              <w:left w:val="nil"/>
              <w:bottom w:val="double" w:sz="6" w:space="0" w:color="85BADC"/>
              <w:right w:val="nil"/>
            </w:tcBorders>
            <w:shd w:val="clear" w:color="auto" w:fill="auto"/>
            <w:noWrap/>
            <w:vAlign w:val="center"/>
            <w:hideMark/>
          </w:tcPr>
          <w:p w14:paraId="7AC5932B" w14:textId="77777777" w:rsidR="00363424" w:rsidRPr="0076589C" w:rsidRDefault="1C8D6E3A" w:rsidP="00363424">
            <w:pPr>
              <w:spacing w:after="0" w:line="240" w:lineRule="auto"/>
              <w:ind w:left="0"/>
              <w:jc w:val="center"/>
              <w:rPr>
                <w:rFonts w:ascii="Calibri" w:eastAsia="Times New Roman" w:hAnsi="Calibri" w:cs="Calibri"/>
                <w:color w:val="000000"/>
                <w:sz w:val="16"/>
                <w:szCs w:val="16"/>
              </w:rPr>
            </w:pPr>
            <w:r w:rsidRPr="0076589C">
              <w:rPr>
                <w:rFonts w:ascii="Calibri" w:eastAsia="Times New Roman" w:hAnsi="Calibri" w:cs="Calibri"/>
                <w:color w:val="000000" w:themeColor="text1"/>
                <w:sz w:val="16"/>
                <w:szCs w:val="16"/>
              </w:rPr>
              <w:t xml:space="preserve"> L        7,015,471.25 </w:t>
            </w:r>
          </w:p>
        </w:tc>
      </w:tr>
      <w:tr w:rsidR="00363424" w:rsidRPr="0076589C" w14:paraId="1963ECC7" w14:textId="77777777" w:rsidTr="1C8D6E3A">
        <w:trPr>
          <w:trHeight w:val="270"/>
        </w:trPr>
        <w:tc>
          <w:tcPr>
            <w:tcW w:w="1251" w:type="pct"/>
            <w:tcBorders>
              <w:top w:val="nil"/>
              <w:left w:val="nil"/>
              <w:bottom w:val="nil"/>
              <w:right w:val="nil"/>
            </w:tcBorders>
            <w:shd w:val="clear" w:color="auto" w:fill="auto"/>
            <w:noWrap/>
            <w:vAlign w:val="bottom"/>
            <w:hideMark/>
          </w:tcPr>
          <w:p w14:paraId="4405E443" w14:textId="77777777" w:rsidR="00363424" w:rsidRPr="0076589C" w:rsidRDefault="1C8D6E3A" w:rsidP="00363424">
            <w:pPr>
              <w:spacing w:after="0" w:line="240" w:lineRule="auto"/>
              <w:ind w:left="0"/>
              <w:rPr>
                <w:rFonts w:ascii="Calibri" w:eastAsia="Times New Roman" w:hAnsi="Calibri" w:cs="Calibri"/>
                <w:b/>
                <w:bCs/>
                <w:color w:val="000000"/>
                <w:sz w:val="18"/>
                <w:szCs w:val="18"/>
              </w:rPr>
            </w:pPr>
            <w:r w:rsidRPr="0076589C">
              <w:rPr>
                <w:rFonts w:ascii="Calibri" w:eastAsia="Times New Roman" w:hAnsi="Calibri" w:cs="Calibri"/>
                <w:b/>
                <w:bCs/>
                <w:color w:val="000000" w:themeColor="text1"/>
                <w:sz w:val="18"/>
                <w:szCs w:val="18"/>
              </w:rPr>
              <w:t>EBITDA</w:t>
            </w:r>
          </w:p>
        </w:tc>
        <w:tc>
          <w:tcPr>
            <w:tcW w:w="936" w:type="pct"/>
            <w:tcBorders>
              <w:top w:val="nil"/>
              <w:left w:val="nil"/>
              <w:bottom w:val="nil"/>
              <w:right w:val="nil"/>
            </w:tcBorders>
            <w:shd w:val="clear" w:color="auto" w:fill="auto"/>
            <w:noWrap/>
            <w:vAlign w:val="center"/>
            <w:hideMark/>
          </w:tcPr>
          <w:p w14:paraId="3112ADEA" w14:textId="77777777" w:rsidR="00363424" w:rsidRPr="0076589C" w:rsidRDefault="1C8D6E3A" w:rsidP="00363424">
            <w:pPr>
              <w:spacing w:after="0" w:line="240" w:lineRule="auto"/>
              <w:ind w:left="0"/>
              <w:jc w:val="center"/>
              <w:rPr>
                <w:rFonts w:ascii="Calibri" w:eastAsia="Times New Roman" w:hAnsi="Calibri" w:cs="Calibri"/>
                <w:b/>
                <w:bCs/>
                <w:color w:val="000000"/>
                <w:sz w:val="16"/>
                <w:szCs w:val="16"/>
              </w:rPr>
            </w:pPr>
            <w:r w:rsidRPr="0076589C">
              <w:rPr>
                <w:rFonts w:ascii="Calibri" w:eastAsia="Times New Roman" w:hAnsi="Calibri" w:cs="Calibri"/>
                <w:b/>
                <w:bCs/>
                <w:color w:val="000000" w:themeColor="text1"/>
                <w:sz w:val="16"/>
                <w:szCs w:val="16"/>
              </w:rPr>
              <w:t xml:space="preserve"> L        2,686,125.50 </w:t>
            </w:r>
          </w:p>
        </w:tc>
        <w:tc>
          <w:tcPr>
            <w:tcW w:w="936" w:type="pct"/>
            <w:tcBorders>
              <w:top w:val="nil"/>
              <w:left w:val="nil"/>
              <w:bottom w:val="nil"/>
              <w:right w:val="nil"/>
            </w:tcBorders>
            <w:shd w:val="clear" w:color="auto" w:fill="auto"/>
            <w:noWrap/>
            <w:vAlign w:val="center"/>
            <w:hideMark/>
          </w:tcPr>
          <w:p w14:paraId="34A6C01A" w14:textId="77777777" w:rsidR="00363424" w:rsidRPr="0076589C" w:rsidRDefault="1C8D6E3A" w:rsidP="00363424">
            <w:pPr>
              <w:spacing w:after="0" w:line="240" w:lineRule="auto"/>
              <w:ind w:left="0"/>
              <w:jc w:val="center"/>
              <w:rPr>
                <w:rFonts w:ascii="Calibri" w:eastAsia="Times New Roman" w:hAnsi="Calibri" w:cs="Calibri"/>
                <w:b/>
                <w:bCs/>
                <w:color w:val="000000"/>
                <w:sz w:val="16"/>
                <w:szCs w:val="16"/>
              </w:rPr>
            </w:pPr>
            <w:r w:rsidRPr="0076589C">
              <w:rPr>
                <w:rFonts w:ascii="Calibri" w:eastAsia="Times New Roman" w:hAnsi="Calibri" w:cs="Calibri"/>
                <w:b/>
                <w:bCs/>
                <w:color w:val="000000" w:themeColor="text1"/>
                <w:sz w:val="16"/>
                <w:szCs w:val="16"/>
              </w:rPr>
              <w:t xml:space="preserve"> L        1,195,286.08 </w:t>
            </w:r>
          </w:p>
        </w:tc>
        <w:tc>
          <w:tcPr>
            <w:tcW w:w="936" w:type="pct"/>
            <w:tcBorders>
              <w:top w:val="nil"/>
              <w:left w:val="nil"/>
              <w:bottom w:val="nil"/>
              <w:right w:val="nil"/>
            </w:tcBorders>
            <w:shd w:val="clear" w:color="auto" w:fill="auto"/>
            <w:noWrap/>
            <w:vAlign w:val="center"/>
            <w:hideMark/>
          </w:tcPr>
          <w:p w14:paraId="7C2473F8" w14:textId="77777777" w:rsidR="00363424" w:rsidRPr="0076589C" w:rsidRDefault="1C8D6E3A" w:rsidP="00363424">
            <w:pPr>
              <w:spacing w:after="0" w:line="240" w:lineRule="auto"/>
              <w:ind w:left="0"/>
              <w:jc w:val="center"/>
              <w:rPr>
                <w:rFonts w:ascii="Calibri" w:eastAsia="Times New Roman" w:hAnsi="Calibri" w:cs="Calibri"/>
                <w:b/>
                <w:bCs/>
                <w:color w:val="000000"/>
                <w:sz w:val="16"/>
                <w:szCs w:val="16"/>
              </w:rPr>
            </w:pPr>
            <w:r w:rsidRPr="0076589C">
              <w:rPr>
                <w:rFonts w:ascii="Calibri" w:eastAsia="Times New Roman" w:hAnsi="Calibri" w:cs="Calibri"/>
                <w:b/>
                <w:bCs/>
                <w:color w:val="000000" w:themeColor="text1"/>
                <w:sz w:val="16"/>
                <w:szCs w:val="16"/>
              </w:rPr>
              <w:t xml:space="preserve"> L        2,441,069.29 </w:t>
            </w:r>
          </w:p>
        </w:tc>
        <w:tc>
          <w:tcPr>
            <w:tcW w:w="942" w:type="pct"/>
            <w:tcBorders>
              <w:top w:val="nil"/>
              <w:left w:val="nil"/>
              <w:bottom w:val="nil"/>
              <w:right w:val="nil"/>
            </w:tcBorders>
            <w:shd w:val="clear" w:color="auto" w:fill="auto"/>
            <w:noWrap/>
            <w:vAlign w:val="center"/>
            <w:hideMark/>
          </w:tcPr>
          <w:p w14:paraId="1D81D8B9" w14:textId="77777777" w:rsidR="00363424" w:rsidRPr="0076589C" w:rsidRDefault="1C8D6E3A" w:rsidP="00363424">
            <w:pPr>
              <w:spacing w:after="0" w:line="240" w:lineRule="auto"/>
              <w:ind w:left="0"/>
              <w:jc w:val="center"/>
              <w:rPr>
                <w:rFonts w:ascii="Calibri" w:eastAsia="Times New Roman" w:hAnsi="Calibri" w:cs="Calibri"/>
                <w:b/>
                <w:bCs/>
                <w:color w:val="000000"/>
                <w:sz w:val="16"/>
                <w:szCs w:val="16"/>
              </w:rPr>
            </w:pPr>
            <w:r w:rsidRPr="0076589C">
              <w:rPr>
                <w:rFonts w:ascii="Calibri" w:eastAsia="Times New Roman" w:hAnsi="Calibri" w:cs="Calibri"/>
                <w:b/>
                <w:bCs/>
                <w:color w:val="000000" w:themeColor="text1"/>
                <w:sz w:val="16"/>
                <w:szCs w:val="16"/>
              </w:rPr>
              <w:t xml:space="preserve"> L        2,634,374.16 </w:t>
            </w:r>
          </w:p>
        </w:tc>
      </w:tr>
    </w:tbl>
    <w:p w14:paraId="2E0A99B8" w14:textId="1C1A49EA" w:rsidR="0096374D" w:rsidRPr="0076589C" w:rsidRDefault="1C8D6E3A" w:rsidP="00F030D2">
      <w:pPr>
        <w:pStyle w:val="Fuentes"/>
        <w:rPr>
          <w:lang w:val="es-HN"/>
        </w:rPr>
      </w:pPr>
      <w:r w:rsidRPr="0076589C">
        <w:rPr>
          <w:lang w:val="es-HN"/>
        </w:rPr>
        <w:t>Fuente: Elaboración propia con datos de IPRA (2023).</w:t>
      </w:r>
    </w:p>
    <w:p w14:paraId="5BCA60F4" w14:textId="61B0E1E3" w:rsidR="002E392C" w:rsidRPr="0076589C" w:rsidRDefault="1C8D6E3A" w:rsidP="00EC1AC1">
      <w:pPr>
        <w:pStyle w:val="TextoPrincipal"/>
        <w:rPr>
          <w:lang w:val="es-HN"/>
        </w:rPr>
      </w:pPr>
      <w:r w:rsidRPr="0076589C">
        <w:rPr>
          <w:lang w:val="es-HN"/>
        </w:rPr>
        <w:t xml:space="preserve">Se pudo observar una variación en el EBITDA de la empresa a lo largo de estos años. Para el año 2019 se obtuvo el mayor EBITDA en comparación a los demás años de L 2,686,125.50, en el año 2020 el EBITDA disminuyó alrededor del 44% en comparación al año anterior con un valor de L 1,195,286.08 uno de los factores que influyó en esta disminución fue que el COVID-19 afecto la demanda, producción y la eficiencia operativa, en este año fue el de mayores gastos administrativos. </w:t>
      </w:r>
    </w:p>
    <w:p w14:paraId="103F0CE0" w14:textId="5A1A9755" w:rsidR="00860B9E" w:rsidRPr="0076589C" w:rsidRDefault="1C8D6E3A" w:rsidP="00EC1AC1">
      <w:pPr>
        <w:pStyle w:val="TextoPrincipal"/>
        <w:rPr>
          <w:lang w:val="es-HN"/>
        </w:rPr>
      </w:pPr>
      <w:r w:rsidRPr="0076589C">
        <w:rPr>
          <w:lang w:val="es-HN"/>
        </w:rPr>
        <w:t>Para el año 2021, el EBITDA presentó una recuperación significativa aumentando alrededor de un 104% en comparación al año anterior con L 2,441,069.29, esto podría ser resultado de una recuperación de la demanda del mercado y por una gestión más eficiente, para el año 2022 el EBITDA continuó aumentando hasta llegar a L 2,634,374.16, esto es una buena señal de que la empresa persiste en  el proceso de mejorar su rentabilidad operativa y su gestión financiera.</w:t>
      </w:r>
    </w:p>
    <w:p w14:paraId="02B052D1" w14:textId="3FC998A2" w:rsidR="00F5617F" w:rsidRPr="0076589C" w:rsidRDefault="00F5617F" w:rsidP="00D91B62">
      <w:pPr>
        <w:pStyle w:val="TextoPrincipal"/>
        <w:ind w:firstLine="0"/>
        <w:jc w:val="center"/>
        <w:rPr>
          <w:lang w:val="es-HN"/>
        </w:rPr>
      </w:pPr>
      <w:r w:rsidRPr="0076589C">
        <w:rPr>
          <w:noProof/>
          <w:lang w:val="es-HN" w:eastAsia="es-HN"/>
        </w:rPr>
        <w:lastRenderedPageBreak/>
        <w:drawing>
          <wp:inline distT="0" distB="0" distL="0" distR="0" wp14:anchorId="33F1673A" wp14:editId="3A698B8D">
            <wp:extent cx="5852160" cy="2743200"/>
            <wp:effectExtent l="0" t="0" r="15240" b="0"/>
            <wp:docPr id="1013749113" name="Gráfico 1">
              <a:extLst xmlns:a="http://schemas.openxmlformats.org/drawingml/2006/main">
                <a:ext uri="{FF2B5EF4-FFF2-40B4-BE49-F238E27FC236}">
                  <a16:creationId xmlns:a16="http://schemas.microsoft.com/office/drawing/2014/main" id="{0600B74E-7ABE-F636-6CD4-3DFA2B7A2C8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7D1D483" w14:textId="5C7A006F" w:rsidR="005841F2" w:rsidRPr="0076589C" w:rsidRDefault="1C8D6E3A" w:rsidP="005841F2">
      <w:pPr>
        <w:pStyle w:val="ImagenyTabla"/>
        <w:rPr>
          <w:noProof w:val="0"/>
        </w:rPr>
      </w:pPr>
      <w:bookmarkStart w:id="279" w:name="_Toc158365595"/>
      <w:r w:rsidRPr="0076589C">
        <w:t xml:space="preserve">Figura </w:t>
      </w:r>
      <w:r w:rsidR="005841F2" w:rsidRPr="0076589C">
        <w:rPr>
          <w:noProof w:val="0"/>
        </w:rPr>
        <w:fldChar w:fldCharType="begin"/>
      </w:r>
      <w:r w:rsidR="005841F2" w:rsidRPr="0076589C">
        <w:rPr>
          <w:noProof w:val="0"/>
        </w:rPr>
        <w:instrText xml:space="preserve"> SEQ Figura \* ARABIC </w:instrText>
      </w:r>
      <w:r w:rsidR="005841F2" w:rsidRPr="0076589C">
        <w:rPr>
          <w:noProof w:val="0"/>
        </w:rPr>
        <w:fldChar w:fldCharType="separate"/>
      </w:r>
      <w:r w:rsidR="009F171A">
        <w:t>10</w:t>
      </w:r>
      <w:r w:rsidR="005841F2" w:rsidRPr="0076589C">
        <w:rPr>
          <w:noProof w:val="0"/>
        </w:rPr>
        <w:fldChar w:fldCharType="end"/>
      </w:r>
      <w:r w:rsidRPr="0076589C">
        <w:t>. EBITDA en IPRA (2019-2022)</w:t>
      </w:r>
      <w:bookmarkEnd w:id="279"/>
    </w:p>
    <w:p w14:paraId="00117C67" w14:textId="72BD7D7D" w:rsidR="005841F2" w:rsidRPr="0076589C" w:rsidRDefault="1C8D6E3A" w:rsidP="009109DC">
      <w:pPr>
        <w:pStyle w:val="Fuentes"/>
        <w:spacing w:after="0"/>
        <w:rPr>
          <w:lang w:val="es-HN"/>
        </w:rPr>
      </w:pPr>
      <w:r w:rsidRPr="0076589C">
        <w:rPr>
          <w:lang w:val="es-HN"/>
        </w:rPr>
        <w:t>Fuente: Elaboración propia con datos de IPRA (2023).</w:t>
      </w:r>
    </w:p>
    <w:p w14:paraId="5886D937" w14:textId="77777777" w:rsidR="009109DC" w:rsidRPr="0076589C" w:rsidRDefault="009109DC" w:rsidP="009109DC">
      <w:pPr>
        <w:pStyle w:val="Fuentes"/>
        <w:spacing w:after="0"/>
        <w:rPr>
          <w:lang w:val="es-HN"/>
        </w:rPr>
      </w:pPr>
    </w:p>
    <w:p w14:paraId="2D388E67" w14:textId="6828972F" w:rsidR="00EE2BA9" w:rsidRPr="0076589C" w:rsidRDefault="1C8D6E3A" w:rsidP="004F3DA9">
      <w:pPr>
        <w:pStyle w:val="Ttulonivel4"/>
        <w:numPr>
          <w:ilvl w:val="0"/>
          <w:numId w:val="27"/>
        </w:numPr>
        <w:ind w:left="1440" w:firstLine="0"/>
        <w:outlineLvl w:val="4"/>
      </w:pPr>
      <w:r w:rsidRPr="0076589C">
        <w:t xml:space="preserve"> ROA</w:t>
      </w:r>
    </w:p>
    <w:p w14:paraId="4DE425AE" w14:textId="2C3CC744" w:rsidR="00D33EF8" w:rsidRPr="0076589C" w:rsidRDefault="1C8D6E3A" w:rsidP="00D33EF8">
      <w:pPr>
        <w:pStyle w:val="TextoPrincipal"/>
        <w:rPr>
          <w:lang w:val="es-HN"/>
        </w:rPr>
      </w:pPr>
      <w:r w:rsidRPr="0076589C">
        <w:rPr>
          <w:lang w:val="es-HN"/>
        </w:rPr>
        <w:t xml:space="preserve">La rentabilidad sobre activos (Return Over Assets), también es llamado “la rentabilidad del administrador”, ya que sin importar de dónde provengan los recursos (acreedores o capital propio), indica la capacidad que tiene la empresa de obtener resultados operativos, dados los activos con los que cuenta compañía. </w:t>
      </w:r>
      <w:r w:rsidR="007B448F" w:rsidRPr="0076589C">
        <w:rPr>
          <w:lang w:val="es-HN"/>
        </w:rPr>
        <w:fldChar w:fldCharType="begin"/>
      </w:r>
      <w:r w:rsidR="007B448F" w:rsidRPr="0076589C">
        <w:rPr>
          <w:lang w:val="es-HN"/>
        </w:rPr>
        <w:instrText xml:space="preserve"> ADDIN ZOTERO_ITEM CSL_CITATION {"citationID":"nlqL9twm","properties":{"formattedCitation":"(Mac\\uc0\\u237{}as, 2023)","plainCitation":"(Macías, 2023)","noteIndex":0},"citationItems":[{"id":379,"uris":["http://zotero.org/users/12108825/items/5ZKXBMYA"],"itemData":{"id":379,"type":"book","abstract":"El contenido de este libro ha sido trabajado de manera cuidadosa; se ha buscado que cada tema abordado, cada ecuación o cada relación lógica pueda ser comprendido por todos, ya sean estudiantes de carreras afines, particulares que deseen emprender un nuevo modelo de negocio o empresarios que necesiten una guía clara sobre cómo diagnosticar la situación actual de su empresa y tomar mejores decisiones financieras. Dado que las herramientas cambian de forma constante, este texto está enriquecido con nuevos conceptos del entorno empresarial, como las opciones de financiación basadas en fintech, el confirming o factoring en reverso, proyecciones utilizando modelos de regresión en Excel o betas como medidas del riesgo sistémico. Sin descuidar conceptos tradicionales e importantes en la gestión empresarial, como la tasa de interés, los modelos de amortización de créditos, la política de cartera, el EBITDA, el WACC o el flujo de caja libre.","ISBN":"978-958-771-907-9","language":"es","note":"Google-Books-ID: vbeoEAAAQBAJ","number-of-pages":"346","publisher":"Universidad de La Sabana","source":"Google Books","title":"Guía de gerente financiero: Desde el diagnóstico hasta la toma de decisiones","title-short":"Guía de gerente financiero","author":[{"family":"Macías","given":"María Teresa"}],"issued":{"date-parts":[["2023",1,25]]}}}],"schema":"https://github.com/citation-style-language/schema/raw/master/csl-citation.json"} </w:instrText>
      </w:r>
      <w:r w:rsidR="007B448F" w:rsidRPr="0076589C">
        <w:rPr>
          <w:lang w:val="es-HN"/>
        </w:rPr>
        <w:fldChar w:fldCharType="separate"/>
      </w:r>
      <w:r w:rsidRPr="0076589C">
        <w:rPr>
          <w:lang w:val="es-HN"/>
        </w:rPr>
        <w:t>(Macías, 2023)</w:t>
      </w:r>
      <w:r w:rsidR="007B448F" w:rsidRPr="0076589C">
        <w:rPr>
          <w:lang w:val="es-HN"/>
        </w:rPr>
        <w:fldChar w:fldCharType="end"/>
      </w:r>
    </w:p>
    <w:p w14:paraId="1BBA0E62" w14:textId="76502307" w:rsidR="00DF4CE5" w:rsidRPr="0076589C" w:rsidRDefault="1C8D6E3A" w:rsidP="00F40805">
      <w:pPr>
        <w:pStyle w:val="TextoPrincipal"/>
        <w:rPr>
          <w:lang w:val="es-HN"/>
        </w:rPr>
      </w:pPr>
      <w:r w:rsidRPr="0076589C">
        <w:rPr>
          <w:lang w:val="es-HN"/>
        </w:rPr>
        <w:t xml:space="preserve">En la </w:t>
      </w:r>
      <w:r w:rsidRPr="0076589C">
        <w:rPr>
          <w:b/>
          <w:bCs/>
          <w:i/>
          <w:iCs/>
          <w:lang w:val="es-HN"/>
        </w:rPr>
        <w:t xml:space="preserve">Tabla </w:t>
      </w:r>
      <w:r w:rsidR="00585884" w:rsidRPr="0076589C">
        <w:rPr>
          <w:b/>
          <w:bCs/>
          <w:i/>
          <w:iCs/>
          <w:lang w:val="es-HN"/>
        </w:rPr>
        <w:t>1</w:t>
      </w:r>
      <w:r w:rsidRPr="0076589C">
        <w:rPr>
          <w:b/>
          <w:bCs/>
          <w:i/>
          <w:iCs/>
          <w:lang w:val="es-HN"/>
        </w:rPr>
        <w:t>9</w:t>
      </w:r>
      <w:r w:rsidRPr="0076589C">
        <w:rPr>
          <w:i/>
          <w:iCs/>
          <w:lang w:val="es-HN"/>
        </w:rPr>
        <w:t>,</w:t>
      </w:r>
      <w:r w:rsidRPr="0076589C">
        <w:rPr>
          <w:lang w:val="es-HN"/>
        </w:rPr>
        <w:t xml:space="preserve"> se presenta la rentabilidad sobre activos a través de los años en la empresa IPRA en el periodo de (2019-2022)</w:t>
      </w:r>
    </w:p>
    <w:p w14:paraId="4C01A43B" w14:textId="0CC483D1" w:rsidR="00D33EF8" w:rsidRPr="0076589C" w:rsidRDefault="1C8D6E3A" w:rsidP="008D4674">
      <w:pPr>
        <w:pStyle w:val="ImagenyTabla"/>
        <w:rPr>
          <w:noProof w:val="0"/>
        </w:rPr>
      </w:pPr>
      <w:bookmarkStart w:id="280" w:name="_Toc158365567"/>
      <w:r w:rsidRPr="0076589C">
        <w:t xml:space="preserve">Tabla </w:t>
      </w:r>
      <w:r w:rsidR="00166938" w:rsidRPr="0076589C">
        <w:rPr>
          <w:noProof w:val="0"/>
        </w:rPr>
        <w:fldChar w:fldCharType="begin"/>
      </w:r>
      <w:r w:rsidR="00166938" w:rsidRPr="0076589C">
        <w:rPr>
          <w:noProof w:val="0"/>
        </w:rPr>
        <w:instrText xml:space="preserve"> SEQ Tabla \* ARABIC </w:instrText>
      </w:r>
      <w:r w:rsidR="00166938" w:rsidRPr="0076589C">
        <w:rPr>
          <w:noProof w:val="0"/>
        </w:rPr>
        <w:fldChar w:fldCharType="separate"/>
      </w:r>
      <w:r w:rsidR="009F171A">
        <w:t>19</w:t>
      </w:r>
      <w:r w:rsidR="00166938" w:rsidRPr="0076589C">
        <w:rPr>
          <w:noProof w:val="0"/>
        </w:rPr>
        <w:fldChar w:fldCharType="end"/>
      </w:r>
      <w:r w:rsidRPr="0076589C">
        <w:t>. ROA en IPRA (2019-2022)</w:t>
      </w:r>
      <w:bookmarkEnd w:id="280"/>
    </w:p>
    <w:tbl>
      <w:tblPr>
        <w:tblW w:w="9201" w:type="dxa"/>
        <w:tblLook w:val="04A0" w:firstRow="1" w:lastRow="0" w:firstColumn="1" w:lastColumn="0" w:noHBand="0" w:noVBand="1"/>
      </w:tblPr>
      <w:tblGrid>
        <w:gridCol w:w="1337"/>
        <w:gridCol w:w="1966"/>
        <w:gridCol w:w="1966"/>
        <w:gridCol w:w="1966"/>
        <w:gridCol w:w="1966"/>
      </w:tblGrid>
      <w:tr w:rsidR="00BA1B7E" w:rsidRPr="0076589C" w14:paraId="562C93F4" w14:textId="77777777" w:rsidTr="1C8D6E3A">
        <w:trPr>
          <w:trHeight w:val="260"/>
        </w:trPr>
        <w:tc>
          <w:tcPr>
            <w:tcW w:w="9201" w:type="dxa"/>
            <w:gridSpan w:val="5"/>
            <w:tcBorders>
              <w:top w:val="nil"/>
              <w:left w:val="nil"/>
              <w:bottom w:val="nil"/>
              <w:right w:val="nil"/>
            </w:tcBorders>
            <w:shd w:val="clear" w:color="auto" w:fill="auto"/>
            <w:noWrap/>
            <w:vAlign w:val="bottom"/>
            <w:hideMark/>
          </w:tcPr>
          <w:p w14:paraId="6553AD4F" w14:textId="77777777" w:rsidR="00BA1B7E" w:rsidRPr="0076589C" w:rsidRDefault="1C8D6E3A" w:rsidP="1C8D6E3A">
            <w:pPr>
              <w:spacing w:after="0" w:line="240" w:lineRule="auto"/>
              <w:ind w:left="0"/>
              <w:rPr>
                <w:rFonts w:ascii="Calibri" w:eastAsia="Times New Roman" w:hAnsi="Calibri" w:cs="Calibri"/>
                <w:b/>
                <w:bCs/>
                <w:i/>
                <w:iCs/>
                <w:color w:val="000000"/>
                <w:sz w:val="20"/>
                <w:szCs w:val="20"/>
                <w:u w:val="single"/>
              </w:rPr>
            </w:pPr>
            <w:r w:rsidRPr="0076589C">
              <w:rPr>
                <w:rFonts w:ascii="Calibri" w:eastAsia="Times New Roman" w:hAnsi="Calibri" w:cs="Calibri"/>
                <w:b/>
                <w:bCs/>
                <w:i/>
                <w:iCs/>
                <w:color w:val="000000" w:themeColor="text1"/>
                <w:sz w:val="20"/>
                <w:szCs w:val="20"/>
                <w:u w:val="single"/>
              </w:rPr>
              <w:t>ROA</w:t>
            </w:r>
          </w:p>
        </w:tc>
      </w:tr>
      <w:tr w:rsidR="00BA1B7E" w:rsidRPr="0076589C" w14:paraId="06E8ABF0" w14:textId="77777777" w:rsidTr="1C8D6E3A">
        <w:trPr>
          <w:trHeight w:val="270"/>
        </w:trPr>
        <w:tc>
          <w:tcPr>
            <w:tcW w:w="1337" w:type="dxa"/>
            <w:tcBorders>
              <w:top w:val="nil"/>
              <w:left w:val="nil"/>
              <w:bottom w:val="nil"/>
              <w:right w:val="nil"/>
            </w:tcBorders>
            <w:shd w:val="clear" w:color="auto" w:fill="auto"/>
            <w:noWrap/>
            <w:vAlign w:val="bottom"/>
            <w:hideMark/>
          </w:tcPr>
          <w:p w14:paraId="0734D2D5" w14:textId="77777777" w:rsidR="00BA1B7E" w:rsidRPr="0076589C" w:rsidRDefault="00BA1B7E" w:rsidP="1C8D6E3A">
            <w:pPr>
              <w:spacing w:after="0" w:line="240" w:lineRule="auto"/>
              <w:ind w:left="0"/>
              <w:rPr>
                <w:rFonts w:ascii="Calibri" w:eastAsia="Times New Roman" w:hAnsi="Calibri" w:cs="Calibri"/>
                <w:b/>
                <w:bCs/>
                <w:i/>
                <w:iCs/>
                <w:color w:val="000000"/>
                <w:sz w:val="20"/>
                <w:szCs w:val="20"/>
                <w:u w:val="single"/>
              </w:rPr>
            </w:pPr>
          </w:p>
        </w:tc>
        <w:tc>
          <w:tcPr>
            <w:tcW w:w="1966" w:type="dxa"/>
            <w:tcBorders>
              <w:top w:val="nil"/>
              <w:left w:val="nil"/>
              <w:bottom w:val="single" w:sz="8" w:space="0" w:color="85BADC"/>
              <w:right w:val="nil"/>
            </w:tcBorders>
            <w:shd w:val="clear" w:color="auto" w:fill="auto"/>
            <w:noWrap/>
            <w:vAlign w:val="center"/>
            <w:hideMark/>
          </w:tcPr>
          <w:p w14:paraId="1088EB08" w14:textId="77777777" w:rsidR="00BA1B7E" w:rsidRPr="0076589C" w:rsidRDefault="1C8D6E3A" w:rsidP="00BA1B7E">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2019</w:t>
            </w:r>
          </w:p>
        </w:tc>
        <w:tc>
          <w:tcPr>
            <w:tcW w:w="1966" w:type="dxa"/>
            <w:tcBorders>
              <w:top w:val="nil"/>
              <w:left w:val="nil"/>
              <w:bottom w:val="single" w:sz="8" w:space="0" w:color="85BADC"/>
              <w:right w:val="nil"/>
            </w:tcBorders>
            <w:shd w:val="clear" w:color="auto" w:fill="auto"/>
            <w:noWrap/>
            <w:vAlign w:val="center"/>
            <w:hideMark/>
          </w:tcPr>
          <w:p w14:paraId="6FAD477A" w14:textId="77777777" w:rsidR="00BA1B7E" w:rsidRPr="0076589C" w:rsidRDefault="1C8D6E3A" w:rsidP="00BA1B7E">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2020</w:t>
            </w:r>
          </w:p>
        </w:tc>
        <w:tc>
          <w:tcPr>
            <w:tcW w:w="1966" w:type="dxa"/>
            <w:tcBorders>
              <w:top w:val="nil"/>
              <w:left w:val="nil"/>
              <w:bottom w:val="single" w:sz="8" w:space="0" w:color="85BADC"/>
              <w:right w:val="nil"/>
            </w:tcBorders>
            <w:shd w:val="clear" w:color="auto" w:fill="auto"/>
            <w:noWrap/>
            <w:vAlign w:val="center"/>
            <w:hideMark/>
          </w:tcPr>
          <w:p w14:paraId="659C0EA6" w14:textId="77777777" w:rsidR="00BA1B7E" w:rsidRPr="0076589C" w:rsidRDefault="1C8D6E3A" w:rsidP="00BA1B7E">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2021</w:t>
            </w:r>
          </w:p>
        </w:tc>
        <w:tc>
          <w:tcPr>
            <w:tcW w:w="1966" w:type="dxa"/>
            <w:tcBorders>
              <w:top w:val="nil"/>
              <w:left w:val="nil"/>
              <w:bottom w:val="single" w:sz="8" w:space="0" w:color="85BADC"/>
              <w:right w:val="nil"/>
            </w:tcBorders>
            <w:shd w:val="clear" w:color="auto" w:fill="auto"/>
            <w:noWrap/>
            <w:vAlign w:val="center"/>
            <w:hideMark/>
          </w:tcPr>
          <w:p w14:paraId="2EEAF5E9" w14:textId="77777777" w:rsidR="00BA1B7E" w:rsidRPr="0076589C" w:rsidRDefault="1C8D6E3A" w:rsidP="00BA1B7E">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2022</w:t>
            </w:r>
          </w:p>
        </w:tc>
      </w:tr>
      <w:tr w:rsidR="00BA1B7E" w:rsidRPr="0076589C" w14:paraId="5E118693" w14:textId="77777777" w:rsidTr="1C8D6E3A">
        <w:trPr>
          <w:trHeight w:val="260"/>
        </w:trPr>
        <w:tc>
          <w:tcPr>
            <w:tcW w:w="1337" w:type="dxa"/>
            <w:tcBorders>
              <w:top w:val="nil"/>
              <w:left w:val="nil"/>
              <w:bottom w:val="nil"/>
              <w:right w:val="nil"/>
            </w:tcBorders>
            <w:shd w:val="clear" w:color="auto" w:fill="auto"/>
            <w:noWrap/>
            <w:vAlign w:val="bottom"/>
            <w:hideMark/>
          </w:tcPr>
          <w:p w14:paraId="2718C3D2" w14:textId="77777777" w:rsidR="00BA1B7E" w:rsidRPr="0076589C" w:rsidRDefault="1C8D6E3A" w:rsidP="1C8D6E3A">
            <w:pPr>
              <w:spacing w:after="0" w:line="240" w:lineRule="auto"/>
              <w:ind w:left="0"/>
              <w:rPr>
                <w:rFonts w:ascii="Calibri" w:eastAsia="Times New Roman" w:hAnsi="Calibri" w:cs="Calibri"/>
                <w:i/>
                <w:iCs/>
                <w:color w:val="000000"/>
                <w:sz w:val="20"/>
                <w:szCs w:val="20"/>
              </w:rPr>
            </w:pPr>
            <w:r w:rsidRPr="0076589C">
              <w:rPr>
                <w:rFonts w:ascii="Calibri" w:eastAsia="Times New Roman" w:hAnsi="Calibri" w:cs="Calibri"/>
                <w:i/>
                <w:iCs/>
                <w:color w:val="000000" w:themeColor="text1"/>
                <w:sz w:val="20"/>
                <w:szCs w:val="20"/>
              </w:rPr>
              <w:t>Utilidad neta</w:t>
            </w:r>
          </w:p>
        </w:tc>
        <w:tc>
          <w:tcPr>
            <w:tcW w:w="1966" w:type="dxa"/>
            <w:tcBorders>
              <w:top w:val="nil"/>
              <w:left w:val="nil"/>
              <w:bottom w:val="nil"/>
              <w:right w:val="nil"/>
            </w:tcBorders>
            <w:shd w:val="clear" w:color="auto" w:fill="auto"/>
            <w:noWrap/>
            <w:vAlign w:val="center"/>
            <w:hideMark/>
          </w:tcPr>
          <w:p w14:paraId="7C1D1A84" w14:textId="77777777" w:rsidR="00BA1B7E" w:rsidRPr="0076589C" w:rsidRDefault="1C8D6E3A" w:rsidP="00BA1B7E">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1,930,287.85 </w:t>
            </w:r>
          </w:p>
        </w:tc>
        <w:tc>
          <w:tcPr>
            <w:tcW w:w="1966" w:type="dxa"/>
            <w:tcBorders>
              <w:top w:val="nil"/>
              <w:left w:val="nil"/>
              <w:bottom w:val="nil"/>
              <w:right w:val="nil"/>
            </w:tcBorders>
            <w:shd w:val="clear" w:color="auto" w:fill="auto"/>
            <w:noWrap/>
            <w:vAlign w:val="center"/>
            <w:hideMark/>
          </w:tcPr>
          <w:p w14:paraId="038F21E2" w14:textId="77777777" w:rsidR="00BA1B7E" w:rsidRPr="0076589C" w:rsidRDefault="1C8D6E3A" w:rsidP="00BA1B7E">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886,700.26 </w:t>
            </w:r>
          </w:p>
        </w:tc>
        <w:tc>
          <w:tcPr>
            <w:tcW w:w="1966" w:type="dxa"/>
            <w:tcBorders>
              <w:top w:val="nil"/>
              <w:left w:val="nil"/>
              <w:bottom w:val="nil"/>
              <w:right w:val="nil"/>
            </w:tcBorders>
            <w:shd w:val="clear" w:color="auto" w:fill="auto"/>
            <w:noWrap/>
            <w:vAlign w:val="center"/>
            <w:hideMark/>
          </w:tcPr>
          <w:p w14:paraId="25138C2E" w14:textId="77777777" w:rsidR="00BA1B7E" w:rsidRPr="0076589C" w:rsidRDefault="1C8D6E3A" w:rsidP="00BA1B7E">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1,758,748.50 </w:t>
            </w:r>
          </w:p>
        </w:tc>
        <w:tc>
          <w:tcPr>
            <w:tcW w:w="1966" w:type="dxa"/>
            <w:tcBorders>
              <w:top w:val="nil"/>
              <w:left w:val="nil"/>
              <w:bottom w:val="nil"/>
              <w:right w:val="nil"/>
            </w:tcBorders>
            <w:shd w:val="clear" w:color="auto" w:fill="auto"/>
            <w:noWrap/>
            <w:vAlign w:val="center"/>
            <w:hideMark/>
          </w:tcPr>
          <w:p w14:paraId="79F59993" w14:textId="77777777" w:rsidR="00BA1B7E" w:rsidRPr="0076589C" w:rsidRDefault="1C8D6E3A" w:rsidP="00BA1B7E">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1,894,061.91 </w:t>
            </w:r>
          </w:p>
        </w:tc>
      </w:tr>
      <w:tr w:rsidR="00BA1B7E" w:rsidRPr="0076589C" w14:paraId="682B22A3" w14:textId="77777777" w:rsidTr="1C8D6E3A">
        <w:trPr>
          <w:trHeight w:val="270"/>
        </w:trPr>
        <w:tc>
          <w:tcPr>
            <w:tcW w:w="1337" w:type="dxa"/>
            <w:tcBorders>
              <w:top w:val="nil"/>
              <w:left w:val="nil"/>
              <w:bottom w:val="double" w:sz="6" w:space="0" w:color="85BADC"/>
              <w:right w:val="nil"/>
            </w:tcBorders>
            <w:shd w:val="clear" w:color="auto" w:fill="auto"/>
            <w:noWrap/>
            <w:vAlign w:val="bottom"/>
            <w:hideMark/>
          </w:tcPr>
          <w:p w14:paraId="61649E13" w14:textId="77777777" w:rsidR="00BA1B7E" w:rsidRPr="0076589C" w:rsidRDefault="1C8D6E3A" w:rsidP="1C8D6E3A">
            <w:pPr>
              <w:spacing w:after="0" w:line="240" w:lineRule="auto"/>
              <w:ind w:left="0"/>
              <w:rPr>
                <w:rFonts w:ascii="Calibri" w:eastAsia="Times New Roman" w:hAnsi="Calibri" w:cs="Calibri"/>
                <w:i/>
                <w:iCs/>
                <w:color w:val="000000"/>
                <w:sz w:val="20"/>
                <w:szCs w:val="20"/>
              </w:rPr>
            </w:pPr>
            <w:r w:rsidRPr="0076589C">
              <w:rPr>
                <w:rFonts w:ascii="Calibri" w:eastAsia="Times New Roman" w:hAnsi="Calibri" w:cs="Calibri"/>
                <w:i/>
                <w:iCs/>
                <w:color w:val="000000" w:themeColor="text1"/>
                <w:sz w:val="20"/>
                <w:szCs w:val="20"/>
              </w:rPr>
              <w:t>Total activos</w:t>
            </w:r>
          </w:p>
        </w:tc>
        <w:tc>
          <w:tcPr>
            <w:tcW w:w="1966" w:type="dxa"/>
            <w:tcBorders>
              <w:top w:val="nil"/>
              <w:left w:val="nil"/>
              <w:bottom w:val="double" w:sz="6" w:space="0" w:color="85BADC"/>
              <w:right w:val="nil"/>
            </w:tcBorders>
            <w:shd w:val="clear" w:color="auto" w:fill="auto"/>
            <w:noWrap/>
            <w:vAlign w:val="center"/>
            <w:hideMark/>
          </w:tcPr>
          <w:p w14:paraId="6C113596" w14:textId="77777777" w:rsidR="00BA1B7E" w:rsidRPr="0076589C" w:rsidRDefault="1C8D6E3A" w:rsidP="00BA1B7E">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19,024,539.28 </w:t>
            </w:r>
          </w:p>
        </w:tc>
        <w:tc>
          <w:tcPr>
            <w:tcW w:w="1966" w:type="dxa"/>
            <w:tcBorders>
              <w:top w:val="nil"/>
              <w:left w:val="nil"/>
              <w:bottom w:val="double" w:sz="6" w:space="0" w:color="85BADC"/>
              <w:right w:val="nil"/>
            </w:tcBorders>
            <w:shd w:val="clear" w:color="auto" w:fill="auto"/>
            <w:noWrap/>
            <w:vAlign w:val="center"/>
            <w:hideMark/>
          </w:tcPr>
          <w:p w14:paraId="6B41B0E7" w14:textId="77777777" w:rsidR="00BA1B7E" w:rsidRPr="0076589C" w:rsidRDefault="1C8D6E3A" w:rsidP="00BA1B7E">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19,103,113.19 </w:t>
            </w:r>
          </w:p>
        </w:tc>
        <w:tc>
          <w:tcPr>
            <w:tcW w:w="1966" w:type="dxa"/>
            <w:tcBorders>
              <w:top w:val="nil"/>
              <w:left w:val="nil"/>
              <w:bottom w:val="double" w:sz="6" w:space="0" w:color="85BADC"/>
              <w:right w:val="nil"/>
            </w:tcBorders>
            <w:shd w:val="clear" w:color="auto" w:fill="auto"/>
            <w:noWrap/>
            <w:vAlign w:val="center"/>
            <w:hideMark/>
          </w:tcPr>
          <w:p w14:paraId="522C8008" w14:textId="77777777" w:rsidR="00BA1B7E" w:rsidRPr="0076589C" w:rsidRDefault="1C8D6E3A" w:rsidP="00BA1B7E">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21,393,809.22 </w:t>
            </w:r>
          </w:p>
        </w:tc>
        <w:tc>
          <w:tcPr>
            <w:tcW w:w="1966" w:type="dxa"/>
            <w:tcBorders>
              <w:top w:val="nil"/>
              <w:left w:val="nil"/>
              <w:bottom w:val="double" w:sz="6" w:space="0" w:color="85BADC"/>
              <w:right w:val="nil"/>
            </w:tcBorders>
            <w:shd w:val="clear" w:color="auto" w:fill="auto"/>
            <w:noWrap/>
            <w:vAlign w:val="center"/>
            <w:hideMark/>
          </w:tcPr>
          <w:p w14:paraId="1038A553" w14:textId="77777777" w:rsidR="00BA1B7E" w:rsidRPr="0076589C" w:rsidRDefault="1C8D6E3A" w:rsidP="00BA1B7E">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24,423,314.42 </w:t>
            </w:r>
          </w:p>
        </w:tc>
      </w:tr>
      <w:tr w:rsidR="00BA1B7E" w:rsidRPr="0076589C" w14:paraId="449DF898" w14:textId="77777777" w:rsidTr="1C8D6E3A">
        <w:trPr>
          <w:trHeight w:val="270"/>
        </w:trPr>
        <w:tc>
          <w:tcPr>
            <w:tcW w:w="1337" w:type="dxa"/>
            <w:tcBorders>
              <w:top w:val="nil"/>
              <w:left w:val="nil"/>
              <w:bottom w:val="nil"/>
              <w:right w:val="nil"/>
            </w:tcBorders>
            <w:shd w:val="clear" w:color="auto" w:fill="auto"/>
            <w:noWrap/>
            <w:vAlign w:val="bottom"/>
            <w:hideMark/>
          </w:tcPr>
          <w:p w14:paraId="59DCBDFA" w14:textId="77777777" w:rsidR="00BA1B7E" w:rsidRPr="0076589C" w:rsidRDefault="1C8D6E3A" w:rsidP="00BA1B7E">
            <w:pPr>
              <w:spacing w:after="0" w:line="240" w:lineRule="auto"/>
              <w:ind w:left="0"/>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ROA</w:t>
            </w:r>
          </w:p>
        </w:tc>
        <w:tc>
          <w:tcPr>
            <w:tcW w:w="1966" w:type="dxa"/>
            <w:tcBorders>
              <w:top w:val="nil"/>
              <w:left w:val="nil"/>
              <w:bottom w:val="nil"/>
              <w:right w:val="nil"/>
            </w:tcBorders>
            <w:shd w:val="clear" w:color="auto" w:fill="auto"/>
            <w:noWrap/>
            <w:vAlign w:val="center"/>
            <w:hideMark/>
          </w:tcPr>
          <w:p w14:paraId="0470F5D8" w14:textId="3DCED4E1" w:rsidR="00BA1B7E" w:rsidRPr="0076589C" w:rsidRDefault="1C8D6E3A" w:rsidP="00BA1B7E">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10.15%</w:t>
            </w:r>
          </w:p>
        </w:tc>
        <w:tc>
          <w:tcPr>
            <w:tcW w:w="1966" w:type="dxa"/>
            <w:tcBorders>
              <w:top w:val="nil"/>
              <w:left w:val="nil"/>
              <w:bottom w:val="nil"/>
              <w:right w:val="nil"/>
            </w:tcBorders>
            <w:shd w:val="clear" w:color="auto" w:fill="auto"/>
            <w:noWrap/>
            <w:vAlign w:val="center"/>
            <w:hideMark/>
          </w:tcPr>
          <w:p w14:paraId="7C9400A9" w14:textId="42C99C3F" w:rsidR="00BA1B7E" w:rsidRPr="0076589C" w:rsidRDefault="1C8D6E3A" w:rsidP="00BA1B7E">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4.64%</w:t>
            </w:r>
          </w:p>
        </w:tc>
        <w:tc>
          <w:tcPr>
            <w:tcW w:w="1966" w:type="dxa"/>
            <w:tcBorders>
              <w:top w:val="nil"/>
              <w:left w:val="nil"/>
              <w:bottom w:val="nil"/>
              <w:right w:val="nil"/>
            </w:tcBorders>
            <w:shd w:val="clear" w:color="auto" w:fill="auto"/>
            <w:noWrap/>
            <w:vAlign w:val="center"/>
            <w:hideMark/>
          </w:tcPr>
          <w:p w14:paraId="54EA3F24" w14:textId="4B7BF4ED" w:rsidR="00BA1B7E" w:rsidRPr="0076589C" w:rsidRDefault="1C8D6E3A" w:rsidP="00BA1B7E">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8.22%</w:t>
            </w:r>
          </w:p>
        </w:tc>
        <w:tc>
          <w:tcPr>
            <w:tcW w:w="1966" w:type="dxa"/>
            <w:tcBorders>
              <w:top w:val="nil"/>
              <w:left w:val="nil"/>
              <w:bottom w:val="nil"/>
              <w:right w:val="nil"/>
            </w:tcBorders>
            <w:shd w:val="clear" w:color="auto" w:fill="auto"/>
            <w:noWrap/>
            <w:vAlign w:val="center"/>
            <w:hideMark/>
          </w:tcPr>
          <w:p w14:paraId="398529B6" w14:textId="3003DC4C" w:rsidR="00BA1B7E" w:rsidRPr="0076589C" w:rsidRDefault="1C8D6E3A" w:rsidP="00BA1B7E">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7.76%</w:t>
            </w:r>
          </w:p>
        </w:tc>
      </w:tr>
    </w:tbl>
    <w:p w14:paraId="6AC2E225" w14:textId="388A830D" w:rsidR="0015704C" w:rsidRPr="0076589C" w:rsidRDefault="1C8D6E3A" w:rsidP="00DB2279">
      <w:pPr>
        <w:pStyle w:val="Fuentes"/>
        <w:rPr>
          <w:lang w:val="es-HN"/>
        </w:rPr>
      </w:pPr>
      <w:r w:rsidRPr="0076589C">
        <w:rPr>
          <w:lang w:val="es-HN"/>
        </w:rPr>
        <w:t>Fuente: Elaboración propia con datos de IPRA (2023).</w:t>
      </w:r>
    </w:p>
    <w:p w14:paraId="06425CFD" w14:textId="33EFFECD" w:rsidR="00DB2279" w:rsidRPr="0076589C" w:rsidRDefault="1C8D6E3A" w:rsidP="00E4322A">
      <w:pPr>
        <w:pStyle w:val="TextoPrincipal"/>
        <w:rPr>
          <w:lang w:val="es-HN"/>
        </w:rPr>
      </w:pPr>
      <w:r w:rsidRPr="0076589C">
        <w:rPr>
          <w:lang w:val="es-HN"/>
        </w:rPr>
        <w:t xml:space="preserve">Se </w:t>
      </w:r>
      <w:r w:rsidR="00585884" w:rsidRPr="0076589C">
        <w:rPr>
          <w:lang w:val="es-HN"/>
        </w:rPr>
        <w:t>observó</w:t>
      </w:r>
      <w:r w:rsidRPr="0076589C">
        <w:rPr>
          <w:lang w:val="es-HN"/>
        </w:rPr>
        <w:t xml:space="preserve"> que hubo una variabilidad en el ROA a lo largo de los años, para el año 2019, la empresa presentó un ROA de 10.15% lo cual significa que se generó un 10.15% de ganancia neta en relación con sus activos totales durante el año, para el año 2020 el ROA disminuyó un 46% presentándose como 4.64% debido a la pandemia COVID-19, en el año 2021 mostró una mejora </w:t>
      </w:r>
      <w:r w:rsidRPr="0076589C">
        <w:rPr>
          <w:lang w:val="es-HN"/>
        </w:rPr>
        <w:lastRenderedPageBreak/>
        <w:t>aumentando hasta 8.22%</w:t>
      </w:r>
      <w:r w:rsidR="00C562BC" w:rsidRPr="0076589C">
        <w:rPr>
          <w:lang w:val="es-HN"/>
        </w:rPr>
        <w:t xml:space="preserve"> </w:t>
      </w:r>
      <w:r w:rsidR="00F53409" w:rsidRPr="0076589C">
        <w:rPr>
          <w:lang w:val="es-HN"/>
        </w:rPr>
        <w:t xml:space="preserve">acercándose al nivel del </w:t>
      </w:r>
      <w:r w:rsidR="00386B77" w:rsidRPr="0076589C">
        <w:rPr>
          <w:lang w:val="es-HN"/>
        </w:rPr>
        <w:t>2019</w:t>
      </w:r>
      <w:r w:rsidRPr="0076589C">
        <w:rPr>
          <w:lang w:val="es-HN"/>
        </w:rPr>
        <w:t xml:space="preserve"> y en el 2022 una leve disminución presentado un ROA de 7.76%</w:t>
      </w:r>
      <w:r w:rsidR="00483819" w:rsidRPr="0076589C">
        <w:rPr>
          <w:lang w:val="es-HN"/>
        </w:rPr>
        <w:t xml:space="preserve"> si bien su utilidad neta aumentó</w:t>
      </w:r>
      <w:r w:rsidR="00596F84" w:rsidRPr="0076589C">
        <w:rPr>
          <w:lang w:val="es-HN"/>
        </w:rPr>
        <w:t xml:space="preserve">, pero el crecimiento en el tamaño </w:t>
      </w:r>
      <w:r w:rsidR="006E765D" w:rsidRPr="0076589C">
        <w:rPr>
          <w:lang w:val="es-HN"/>
        </w:rPr>
        <w:t xml:space="preserve">de los activos pudo haber </w:t>
      </w:r>
      <w:r w:rsidR="00596F84" w:rsidRPr="0076589C">
        <w:rPr>
          <w:lang w:val="es-HN"/>
        </w:rPr>
        <w:t>super</w:t>
      </w:r>
      <w:r w:rsidR="006E765D" w:rsidRPr="0076589C">
        <w:rPr>
          <w:lang w:val="es-HN"/>
        </w:rPr>
        <w:t>ado</w:t>
      </w:r>
      <w:r w:rsidR="00596F84" w:rsidRPr="0076589C">
        <w:rPr>
          <w:lang w:val="es-HN"/>
        </w:rPr>
        <w:t xml:space="preserve"> este aumento </w:t>
      </w:r>
      <w:r w:rsidR="006E765D" w:rsidRPr="0076589C">
        <w:rPr>
          <w:lang w:val="es-HN"/>
        </w:rPr>
        <w:t>y por eso registró un ROA menor.</w:t>
      </w:r>
    </w:p>
    <w:p w14:paraId="0F6AE597" w14:textId="23579E8C" w:rsidR="006D7B8A" w:rsidRPr="0076589C" w:rsidRDefault="00521FCD" w:rsidP="00C14FA2">
      <w:pPr>
        <w:pStyle w:val="TextoPrincipal"/>
        <w:ind w:firstLine="0"/>
        <w:rPr>
          <w:lang w:val="es-HN"/>
        </w:rPr>
      </w:pPr>
      <w:r w:rsidRPr="0076589C">
        <w:rPr>
          <w:noProof/>
          <w:lang w:val="es-HN" w:eastAsia="es-HN"/>
        </w:rPr>
        <w:drawing>
          <wp:inline distT="0" distB="0" distL="0" distR="0" wp14:anchorId="736A2DA8" wp14:editId="6B5BC6A4">
            <wp:extent cx="5871411" cy="2781935"/>
            <wp:effectExtent l="0" t="0" r="15240" b="18415"/>
            <wp:docPr id="800173759" name="Gráfico 1">
              <a:extLst xmlns:a="http://schemas.openxmlformats.org/drawingml/2006/main">
                <a:ext uri="{FF2B5EF4-FFF2-40B4-BE49-F238E27FC236}">
                  <a16:creationId xmlns:a16="http://schemas.microsoft.com/office/drawing/2014/main" id="{5526C38A-1F70-014D-5982-E1D9042874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0D9F75B" w14:textId="5380E065" w:rsidR="005841F2" w:rsidRPr="0076589C" w:rsidRDefault="1C8D6E3A" w:rsidP="005841F2">
      <w:pPr>
        <w:pStyle w:val="ImagenyTabla"/>
        <w:rPr>
          <w:noProof w:val="0"/>
        </w:rPr>
      </w:pPr>
      <w:bookmarkStart w:id="281" w:name="_Toc158365596"/>
      <w:r w:rsidRPr="0076589C">
        <w:t xml:space="preserve">Figura </w:t>
      </w:r>
      <w:r w:rsidR="005841F2" w:rsidRPr="0076589C">
        <w:rPr>
          <w:noProof w:val="0"/>
        </w:rPr>
        <w:fldChar w:fldCharType="begin"/>
      </w:r>
      <w:r w:rsidR="005841F2" w:rsidRPr="0076589C">
        <w:rPr>
          <w:noProof w:val="0"/>
        </w:rPr>
        <w:instrText xml:space="preserve"> SEQ Figura \* ARABIC </w:instrText>
      </w:r>
      <w:r w:rsidR="005841F2" w:rsidRPr="0076589C">
        <w:rPr>
          <w:noProof w:val="0"/>
        </w:rPr>
        <w:fldChar w:fldCharType="separate"/>
      </w:r>
      <w:r w:rsidR="009F171A">
        <w:t>11</w:t>
      </w:r>
      <w:r w:rsidR="005841F2" w:rsidRPr="0076589C">
        <w:rPr>
          <w:noProof w:val="0"/>
        </w:rPr>
        <w:fldChar w:fldCharType="end"/>
      </w:r>
      <w:r w:rsidRPr="0076589C">
        <w:t>. ROA en IPRA (2019-2022)</w:t>
      </w:r>
      <w:bookmarkEnd w:id="281"/>
    </w:p>
    <w:p w14:paraId="111305A1" w14:textId="0B628C96" w:rsidR="00B0659E" w:rsidRPr="0076589C" w:rsidRDefault="1C8D6E3A" w:rsidP="008E31DA">
      <w:pPr>
        <w:pStyle w:val="Fuentes"/>
        <w:rPr>
          <w:lang w:val="es-HN"/>
        </w:rPr>
      </w:pPr>
      <w:r w:rsidRPr="0076589C">
        <w:rPr>
          <w:lang w:val="es-HN"/>
        </w:rPr>
        <w:t>Fuente: Elaboración propia con datos de IPRA (2023).</w:t>
      </w:r>
    </w:p>
    <w:p w14:paraId="38944C10" w14:textId="3CBAE946" w:rsidR="008C522A" w:rsidRPr="0076589C" w:rsidRDefault="1C8D6E3A" w:rsidP="00ED3C14">
      <w:pPr>
        <w:pStyle w:val="TextoPrincipal"/>
        <w:spacing w:after="0"/>
        <w:rPr>
          <w:lang w:val="es-HN"/>
        </w:rPr>
      </w:pPr>
      <w:r w:rsidRPr="0076589C">
        <w:rPr>
          <w:lang w:val="es-HN"/>
        </w:rPr>
        <w:t>La comparación de los valores de ROA muestra que la empresa ha experimentado fluctuaciones en su capacidad para generar ganancias con respecto a sus activos a lo largo estos últimos años. Los estándares de ROA varían en contexto de la empresa, pero si un ROA es más alto en comparación con la competencia podría indicar una mayor eficiencia en la gestión de los activos.</w:t>
      </w:r>
    </w:p>
    <w:p w14:paraId="56C33E88" w14:textId="7855E35B" w:rsidR="0015704C" w:rsidRPr="0076589C" w:rsidRDefault="1C8D6E3A" w:rsidP="004F3DA9">
      <w:pPr>
        <w:pStyle w:val="Ttulonivel4"/>
        <w:numPr>
          <w:ilvl w:val="0"/>
          <w:numId w:val="27"/>
        </w:numPr>
        <w:ind w:left="1440" w:firstLine="0"/>
        <w:outlineLvl w:val="4"/>
      </w:pPr>
      <w:r w:rsidRPr="0076589C">
        <w:t>ROE</w:t>
      </w:r>
    </w:p>
    <w:p w14:paraId="22BD5DC0" w14:textId="1029F920" w:rsidR="00D33EF8" w:rsidRPr="0076589C" w:rsidRDefault="1C8D6E3A" w:rsidP="00D33EF8">
      <w:pPr>
        <w:pStyle w:val="TextoPrincipal"/>
        <w:rPr>
          <w:lang w:val="es-HN"/>
        </w:rPr>
      </w:pPr>
      <w:r w:rsidRPr="0076589C">
        <w:rPr>
          <w:lang w:val="es-HN"/>
        </w:rPr>
        <w:t xml:space="preserve">Es el rendimiento sobre el capital por sus siglas en Ingles (Return on Equity) relaciona el beneficio económico con los recursos propios necesarios para obtener dicho beneficio. Es la rentabilidad de los fondos propios o retorno para los accionistas. </w:t>
      </w:r>
      <w:r w:rsidR="00FD0682" w:rsidRPr="0076589C">
        <w:rPr>
          <w:lang w:val="es-HN"/>
        </w:rPr>
        <w:fldChar w:fldCharType="begin"/>
      </w:r>
      <w:r w:rsidR="00FD0682" w:rsidRPr="0076589C">
        <w:rPr>
          <w:lang w:val="es-HN"/>
        </w:rPr>
        <w:instrText xml:space="preserve"> ADDIN ZOTERO_ITEM CSL_CITATION {"citationID":"XEqXlcmH","properties":{"formattedCitation":"(JOSE et\\uc0\\u160{}al., 2014)","plainCitation":"(JOSE et al., 2014)","dontUpdate":true,"noteIndex":0},"citationItems":[{"id":385,"uris":["http://zotero.org/users/12108825/items/295Z9GCJ"],"itemData":{"id":385,"type":"book","abstract":"En el escenario actual, la función del asesor financiero debe ser llevada a cabo por profesionales que cumplan unos mínimos de formación, experiencia y compromiso ético con el cliente de manera que le garanticen el mejor asesoramiento posible. Con este objetivo, el manual que se presenta recoge los temas que se consideran necesarios para la formación del asesor financiero y, en general, de aquellos profesionales que deseen desarrollar sus funciones en el ámbito de la consultoría y gestión patrimonial, especialmente en las áreas de banca privada o en cualquier otro servicio financiero.Esta obra es fruto del trabajo de un conjunto de profesores de distintas universidades españolas y profesionales del sector financiero, todos ellos con elevada experiencia docente, quienes, bajo la dirección de los Catedráticos Myriam García Olalla y Francisco Javier Martínez, han elaborado este texto que resulta de utilidad no solo para el asesor fi nanciero, sino también para alumnos universitarios así como para cualquier persona interesada en mejorar su conocimiento en el campo de las finanzas personales. La materia se ha dividido en 19 capítulos escritos de una manera clara y sencilla en los que las explicaciones teóricas del tema en cuestión se complementan con casos y ejercicios prácticos, además cada capítulo termina con una batería de cuestiones de autoevaluación que sirven al lector para comprobar su nivel de aprendizaje y cuya respuesta podrá consultar al final.","ISBN":"978-84-283-3634-5","language":"es","note":"Google-Books-ID: gLNsAwAAQBAJ","number-of-pages":"616","publisher":"Ediciones Paraninfo, S.A.","source":"Google Books","title":"Manual del asesor financiero","author":[{"family":"JOSE","given":"MANZANARES ALLÉN"},{"family":"JOSE","given":"MENÉNDEZ ALONSO","suffix":"EDUARDO"},{"family":"FERNANDEZ","given":"GONZALEZ DE TORRES","suffix":"MANUEL"},{"family":"BELÉN","given":"DÍAZ DÍAZ"},{"family":"ISABEL","given":"FEITO RUIZ"},{"family":"MARÍA","given":"CARRERA PONCELA","suffix":"ANA"},{"family":"ESTEBAN","given":"FERNÁNDEZ GONZÁLEZ"},{"family":"LUIS","given":"FERNÁNDEZ SÁNCHEZ","suffix":"JOSÉ"},{"family":"PATRICIO","given":"PÉREZ GONZÁLEZ"},{"family":"LAURA","given":"CARDONE RIPORTELLA","suffix":"CLARA"},{"family":"MYRIAM","given":"GARCIA OLALLA"}],"issued":{"date-parts":[["2014",1,1]]}}}],"schema":"https://github.com/citation-style-language/schema/raw/master/csl-citation.json"} </w:instrText>
      </w:r>
      <w:r w:rsidR="00FD0682" w:rsidRPr="0076589C">
        <w:rPr>
          <w:lang w:val="es-HN"/>
        </w:rPr>
        <w:fldChar w:fldCharType="separate"/>
      </w:r>
      <w:r w:rsidRPr="0076589C">
        <w:rPr>
          <w:lang w:val="es-HN"/>
        </w:rPr>
        <w:t>(Manzana et al., 2014)</w:t>
      </w:r>
      <w:r w:rsidR="00FD0682" w:rsidRPr="0076589C">
        <w:rPr>
          <w:lang w:val="es-HN"/>
        </w:rPr>
        <w:fldChar w:fldCharType="end"/>
      </w:r>
    </w:p>
    <w:p w14:paraId="203E5807" w14:textId="6B06DF51" w:rsidR="003E2641" w:rsidRPr="0076589C" w:rsidRDefault="1C8D6E3A" w:rsidP="00D33EF8">
      <w:pPr>
        <w:pStyle w:val="TextoPrincipal"/>
        <w:rPr>
          <w:lang w:val="es-HN"/>
        </w:rPr>
      </w:pPr>
      <w:r w:rsidRPr="0076589C">
        <w:rPr>
          <w:lang w:val="es-HN"/>
        </w:rPr>
        <w:t xml:space="preserve">En la </w:t>
      </w:r>
      <w:r w:rsidR="00585884" w:rsidRPr="0076589C">
        <w:rPr>
          <w:b/>
          <w:bCs/>
          <w:i/>
          <w:iCs/>
          <w:lang w:val="es-HN"/>
        </w:rPr>
        <w:t>Tabla 2</w:t>
      </w:r>
      <w:r w:rsidRPr="0076589C">
        <w:rPr>
          <w:b/>
          <w:bCs/>
          <w:i/>
          <w:iCs/>
          <w:lang w:val="es-HN"/>
        </w:rPr>
        <w:t>0</w:t>
      </w:r>
      <w:r w:rsidRPr="0076589C">
        <w:rPr>
          <w:i/>
          <w:iCs/>
          <w:lang w:val="es-HN"/>
        </w:rPr>
        <w:t>,</w:t>
      </w:r>
      <w:r w:rsidRPr="0076589C">
        <w:rPr>
          <w:lang w:val="es-HN"/>
        </w:rPr>
        <w:t xml:space="preserve"> se presenta el ROE a través de los años para la empresa IPRA</w:t>
      </w:r>
    </w:p>
    <w:p w14:paraId="2992DFBA" w14:textId="127F7506" w:rsidR="00564E78" w:rsidRPr="0076589C" w:rsidRDefault="003E2641" w:rsidP="003E2641">
      <w:pPr>
        <w:rPr>
          <w:rFonts w:eastAsia="Calibri" w:cs="Times New Roman"/>
        </w:rPr>
      </w:pPr>
      <w:r w:rsidRPr="0076589C">
        <w:br w:type="page"/>
      </w:r>
    </w:p>
    <w:p w14:paraId="3B7FB47E" w14:textId="7B77BD63" w:rsidR="00822C23" w:rsidRPr="0076589C" w:rsidRDefault="1C8D6E3A" w:rsidP="003E2641">
      <w:pPr>
        <w:pStyle w:val="ImagenyTabla"/>
        <w:rPr>
          <w:noProof w:val="0"/>
        </w:rPr>
      </w:pPr>
      <w:bookmarkStart w:id="282" w:name="_Toc158365568"/>
      <w:r w:rsidRPr="0076589C">
        <w:lastRenderedPageBreak/>
        <w:t xml:space="preserve">Tabla </w:t>
      </w:r>
      <w:r w:rsidR="00D33EF8" w:rsidRPr="0076589C">
        <w:rPr>
          <w:noProof w:val="0"/>
        </w:rPr>
        <w:fldChar w:fldCharType="begin"/>
      </w:r>
      <w:r w:rsidR="00D33EF8" w:rsidRPr="0076589C">
        <w:rPr>
          <w:noProof w:val="0"/>
        </w:rPr>
        <w:instrText xml:space="preserve"> SEQ Tabla \* ARABIC </w:instrText>
      </w:r>
      <w:r w:rsidR="00D33EF8" w:rsidRPr="0076589C">
        <w:rPr>
          <w:noProof w:val="0"/>
        </w:rPr>
        <w:fldChar w:fldCharType="separate"/>
      </w:r>
      <w:r w:rsidR="009F171A">
        <w:t>20</w:t>
      </w:r>
      <w:r w:rsidR="00D33EF8" w:rsidRPr="0076589C">
        <w:rPr>
          <w:noProof w:val="0"/>
        </w:rPr>
        <w:fldChar w:fldCharType="end"/>
      </w:r>
      <w:r w:rsidRPr="0076589C">
        <w:t>. ROE en IPRA (2019-2022)</w:t>
      </w:r>
      <w:bookmarkEnd w:id="282"/>
    </w:p>
    <w:tbl>
      <w:tblPr>
        <w:tblW w:w="5000" w:type="pct"/>
        <w:tblLook w:val="04A0" w:firstRow="1" w:lastRow="0" w:firstColumn="1" w:lastColumn="0" w:noHBand="0" w:noVBand="1"/>
      </w:tblPr>
      <w:tblGrid>
        <w:gridCol w:w="1271"/>
        <w:gridCol w:w="2606"/>
        <w:gridCol w:w="1827"/>
        <w:gridCol w:w="1827"/>
        <w:gridCol w:w="1829"/>
      </w:tblGrid>
      <w:tr w:rsidR="003E2641" w:rsidRPr="0076589C" w14:paraId="3A3275CD" w14:textId="77777777" w:rsidTr="003E2641">
        <w:trPr>
          <w:trHeight w:val="260"/>
        </w:trPr>
        <w:tc>
          <w:tcPr>
            <w:tcW w:w="5000" w:type="pct"/>
            <w:gridSpan w:val="5"/>
            <w:tcBorders>
              <w:top w:val="nil"/>
              <w:left w:val="nil"/>
              <w:bottom w:val="nil"/>
              <w:right w:val="nil"/>
            </w:tcBorders>
            <w:shd w:val="clear" w:color="auto" w:fill="auto"/>
            <w:noWrap/>
            <w:vAlign w:val="bottom"/>
            <w:hideMark/>
          </w:tcPr>
          <w:p w14:paraId="5839BDC8" w14:textId="77777777" w:rsidR="003E2641" w:rsidRPr="0076589C" w:rsidRDefault="003E2641" w:rsidP="003E2641">
            <w:pPr>
              <w:spacing w:after="0" w:line="240" w:lineRule="auto"/>
              <w:ind w:left="0"/>
              <w:rPr>
                <w:rFonts w:ascii="Calibri" w:eastAsia="Times New Roman" w:hAnsi="Calibri" w:cs="Calibri"/>
                <w:b/>
                <w:bCs/>
                <w:i/>
                <w:iCs/>
                <w:color w:val="000000"/>
                <w:sz w:val="20"/>
                <w:szCs w:val="20"/>
                <w:u w:val="single"/>
              </w:rPr>
            </w:pPr>
            <w:r w:rsidRPr="0076589C">
              <w:rPr>
                <w:rFonts w:ascii="Calibri" w:eastAsia="Times New Roman" w:hAnsi="Calibri" w:cs="Calibri"/>
                <w:b/>
                <w:bCs/>
                <w:i/>
                <w:iCs/>
                <w:color w:val="000000"/>
                <w:sz w:val="20"/>
                <w:szCs w:val="20"/>
                <w:u w:val="single"/>
              </w:rPr>
              <w:t>ROE</w:t>
            </w:r>
          </w:p>
        </w:tc>
      </w:tr>
      <w:tr w:rsidR="003E2641" w:rsidRPr="0076589C" w14:paraId="31EA3BE9" w14:textId="77777777" w:rsidTr="003E2641">
        <w:trPr>
          <w:trHeight w:val="270"/>
        </w:trPr>
        <w:tc>
          <w:tcPr>
            <w:tcW w:w="666" w:type="pct"/>
            <w:tcBorders>
              <w:top w:val="nil"/>
              <w:left w:val="nil"/>
              <w:bottom w:val="nil"/>
              <w:right w:val="nil"/>
            </w:tcBorders>
            <w:shd w:val="clear" w:color="auto" w:fill="auto"/>
            <w:noWrap/>
            <w:vAlign w:val="bottom"/>
            <w:hideMark/>
          </w:tcPr>
          <w:p w14:paraId="3CDE12A3" w14:textId="77777777" w:rsidR="003E2641" w:rsidRPr="0076589C" w:rsidRDefault="003E2641" w:rsidP="003E2641">
            <w:pPr>
              <w:spacing w:after="0" w:line="240" w:lineRule="auto"/>
              <w:ind w:left="0"/>
              <w:rPr>
                <w:rFonts w:ascii="Calibri" w:eastAsia="Times New Roman" w:hAnsi="Calibri" w:cs="Calibri"/>
                <w:b/>
                <w:bCs/>
                <w:i/>
                <w:iCs/>
                <w:color w:val="000000"/>
                <w:sz w:val="20"/>
                <w:szCs w:val="20"/>
                <w:u w:val="single"/>
              </w:rPr>
            </w:pPr>
          </w:p>
        </w:tc>
        <w:tc>
          <w:tcPr>
            <w:tcW w:w="1396" w:type="pct"/>
            <w:tcBorders>
              <w:top w:val="nil"/>
              <w:left w:val="nil"/>
              <w:bottom w:val="single" w:sz="8" w:space="0" w:color="85BADC"/>
              <w:right w:val="nil"/>
            </w:tcBorders>
            <w:shd w:val="clear" w:color="auto" w:fill="auto"/>
            <w:noWrap/>
            <w:vAlign w:val="center"/>
            <w:hideMark/>
          </w:tcPr>
          <w:p w14:paraId="2E7DD6E6" w14:textId="77777777" w:rsidR="003E2641" w:rsidRPr="0076589C" w:rsidRDefault="003E2641" w:rsidP="003E2641">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2019</w:t>
            </w:r>
          </w:p>
        </w:tc>
        <w:tc>
          <w:tcPr>
            <w:tcW w:w="979" w:type="pct"/>
            <w:tcBorders>
              <w:top w:val="nil"/>
              <w:left w:val="nil"/>
              <w:bottom w:val="single" w:sz="8" w:space="0" w:color="85BADC"/>
              <w:right w:val="nil"/>
            </w:tcBorders>
            <w:shd w:val="clear" w:color="auto" w:fill="auto"/>
            <w:noWrap/>
            <w:vAlign w:val="center"/>
            <w:hideMark/>
          </w:tcPr>
          <w:p w14:paraId="2CAA0DAC" w14:textId="77777777" w:rsidR="003E2641" w:rsidRPr="0076589C" w:rsidRDefault="003E2641" w:rsidP="003E2641">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2020</w:t>
            </w:r>
          </w:p>
        </w:tc>
        <w:tc>
          <w:tcPr>
            <w:tcW w:w="979" w:type="pct"/>
            <w:tcBorders>
              <w:top w:val="nil"/>
              <w:left w:val="nil"/>
              <w:bottom w:val="single" w:sz="8" w:space="0" w:color="85BADC"/>
              <w:right w:val="nil"/>
            </w:tcBorders>
            <w:shd w:val="clear" w:color="auto" w:fill="auto"/>
            <w:noWrap/>
            <w:vAlign w:val="center"/>
            <w:hideMark/>
          </w:tcPr>
          <w:p w14:paraId="12DB4A57" w14:textId="77777777" w:rsidR="003E2641" w:rsidRPr="0076589C" w:rsidRDefault="003E2641" w:rsidP="003E2641">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2021</w:t>
            </w:r>
          </w:p>
        </w:tc>
        <w:tc>
          <w:tcPr>
            <w:tcW w:w="979" w:type="pct"/>
            <w:tcBorders>
              <w:top w:val="nil"/>
              <w:left w:val="nil"/>
              <w:bottom w:val="single" w:sz="8" w:space="0" w:color="85BADC"/>
              <w:right w:val="nil"/>
            </w:tcBorders>
            <w:shd w:val="clear" w:color="auto" w:fill="auto"/>
            <w:noWrap/>
            <w:vAlign w:val="center"/>
            <w:hideMark/>
          </w:tcPr>
          <w:p w14:paraId="01BFB0B2" w14:textId="77777777" w:rsidR="003E2641" w:rsidRPr="0076589C" w:rsidRDefault="003E2641" w:rsidP="003E2641">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2022</w:t>
            </w:r>
          </w:p>
        </w:tc>
      </w:tr>
      <w:tr w:rsidR="003E2641" w:rsidRPr="0076589C" w14:paraId="20F6B4C6" w14:textId="77777777" w:rsidTr="003E2641">
        <w:trPr>
          <w:trHeight w:val="260"/>
        </w:trPr>
        <w:tc>
          <w:tcPr>
            <w:tcW w:w="666" w:type="pct"/>
            <w:tcBorders>
              <w:top w:val="nil"/>
              <w:left w:val="nil"/>
              <w:bottom w:val="nil"/>
              <w:right w:val="nil"/>
            </w:tcBorders>
            <w:shd w:val="clear" w:color="auto" w:fill="auto"/>
            <w:noWrap/>
            <w:vAlign w:val="bottom"/>
            <w:hideMark/>
          </w:tcPr>
          <w:p w14:paraId="020929AD" w14:textId="77777777" w:rsidR="003E2641" w:rsidRPr="0076589C" w:rsidRDefault="003E2641" w:rsidP="003E2641">
            <w:pPr>
              <w:spacing w:after="0" w:line="240" w:lineRule="auto"/>
              <w:ind w:left="0"/>
              <w:rPr>
                <w:rFonts w:ascii="Calibri" w:eastAsia="Times New Roman" w:hAnsi="Calibri" w:cs="Calibri"/>
                <w:i/>
                <w:iCs/>
                <w:color w:val="000000"/>
                <w:sz w:val="20"/>
                <w:szCs w:val="20"/>
              </w:rPr>
            </w:pPr>
            <w:r w:rsidRPr="0076589C">
              <w:rPr>
                <w:rFonts w:ascii="Calibri" w:eastAsia="Times New Roman" w:hAnsi="Calibri" w:cs="Calibri"/>
                <w:i/>
                <w:iCs/>
                <w:color w:val="000000"/>
                <w:sz w:val="20"/>
                <w:szCs w:val="20"/>
              </w:rPr>
              <w:t>Utilidad neta</w:t>
            </w:r>
          </w:p>
        </w:tc>
        <w:tc>
          <w:tcPr>
            <w:tcW w:w="1396" w:type="pct"/>
            <w:tcBorders>
              <w:top w:val="nil"/>
              <w:left w:val="nil"/>
              <w:bottom w:val="nil"/>
              <w:right w:val="nil"/>
            </w:tcBorders>
            <w:shd w:val="clear" w:color="auto" w:fill="auto"/>
            <w:noWrap/>
            <w:vAlign w:val="center"/>
            <w:hideMark/>
          </w:tcPr>
          <w:p w14:paraId="349075AA" w14:textId="77777777" w:rsidR="003E2641" w:rsidRPr="0076589C" w:rsidRDefault="003E2641" w:rsidP="003E2641">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 xml:space="preserve"> L                       1,930,287.85 </w:t>
            </w:r>
          </w:p>
        </w:tc>
        <w:tc>
          <w:tcPr>
            <w:tcW w:w="979" w:type="pct"/>
            <w:tcBorders>
              <w:top w:val="nil"/>
              <w:left w:val="nil"/>
              <w:bottom w:val="nil"/>
              <w:right w:val="nil"/>
            </w:tcBorders>
            <w:shd w:val="clear" w:color="auto" w:fill="auto"/>
            <w:noWrap/>
            <w:vAlign w:val="center"/>
            <w:hideMark/>
          </w:tcPr>
          <w:p w14:paraId="24FECDDC" w14:textId="77777777" w:rsidR="003E2641" w:rsidRPr="0076589C" w:rsidRDefault="003E2641" w:rsidP="003E2641">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 xml:space="preserve"> L           886,700.26 </w:t>
            </w:r>
          </w:p>
        </w:tc>
        <w:tc>
          <w:tcPr>
            <w:tcW w:w="979" w:type="pct"/>
            <w:tcBorders>
              <w:top w:val="nil"/>
              <w:left w:val="nil"/>
              <w:bottom w:val="nil"/>
              <w:right w:val="nil"/>
            </w:tcBorders>
            <w:shd w:val="clear" w:color="auto" w:fill="auto"/>
            <w:noWrap/>
            <w:vAlign w:val="center"/>
            <w:hideMark/>
          </w:tcPr>
          <w:p w14:paraId="5E2C25E5" w14:textId="77777777" w:rsidR="003E2641" w:rsidRPr="0076589C" w:rsidRDefault="003E2641" w:rsidP="003E2641">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 xml:space="preserve"> L        1,758,748.50 </w:t>
            </w:r>
          </w:p>
        </w:tc>
        <w:tc>
          <w:tcPr>
            <w:tcW w:w="979" w:type="pct"/>
            <w:tcBorders>
              <w:top w:val="nil"/>
              <w:left w:val="nil"/>
              <w:bottom w:val="nil"/>
              <w:right w:val="nil"/>
            </w:tcBorders>
            <w:shd w:val="clear" w:color="auto" w:fill="auto"/>
            <w:noWrap/>
            <w:vAlign w:val="center"/>
            <w:hideMark/>
          </w:tcPr>
          <w:p w14:paraId="5EB6AC23" w14:textId="77777777" w:rsidR="003E2641" w:rsidRPr="0076589C" w:rsidRDefault="003E2641" w:rsidP="003E2641">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 xml:space="preserve"> L        1,894,061.91 </w:t>
            </w:r>
          </w:p>
        </w:tc>
      </w:tr>
      <w:tr w:rsidR="003E2641" w:rsidRPr="0076589C" w14:paraId="4F3BAC87" w14:textId="77777777" w:rsidTr="003E2641">
        <w:trPr>
          <w:trHeight w:val="270"/>
        </w:trPr>
        <w:tc>
          <w:tcPr>
            <w:tcW w:w="666" w:type="pct"/>
            <w:tcBorders>
              <w:top w:val="nil"/>
              <w:left w:val="nil"/>
              <w:bottom w:val="double" w:sz="6" w:space="0" w:color="85BADC"/>
              <w:right w:val="nil"/>
            </w:tcBorders>
            <w:shd w:val="clear" w:color="auto" w:fill="auto"/>
            <w:noWrap/>
            <w:vAlign w:val="bottom"/>
            <w:hideMark/>
          </w:tcPr>
          <w:p w14:paraId="3381E5A6" w14:textId="77777777" w:rsidR="003E2641" w:rsidRPr="0076589C" w:rsidRDefault="003E2641" w:rsidP="003E2641">
            <w:pPr>
              <w:spacing w:after="0" w:line="240" w:lineRule="auto"/>
              <w:ind w:left="0"/>
              <w:rPr>
                <w:rFonts w:ascii="Calibri" w:eastAsia="Times New Roman" w:hAnsi="Calibri" w:cs="Calibri"/>
                <w:i/>
                <w:iCs/>
                <w:color w:val="000000"/>
                <w:sz w:val="20"/>
                <w:szCs w:val="20"/>
              </w:rPr>
            </w:pPr>
            <w:r w:rsidRPr="0076589C">
              <w:rPr>
                <w:rFonts w:ascii="Calibri" w:eastAsia="Times New Roman" w:hAnsi="Calibri" w:cs="Calibri"/>
                <w:i/>
                <w:iCs/>
                <w:color w:val="000000"/>
                <w:sz w:val="20"/>
                <w:szCs w:val="20"/>
              </w:rPr>
              <w:t>Patrimonio</w:t>
            </w:r>
          </w:p>
        </w:tc>
        <w:tc>
          <w:tcPr>
            <w:tcW w:w="1396" w:type="pct"/>
            <w:tcBorders>
              <w:top w:val="nil"/>
              <w:left w:val="nil"/>
              <w:bottom w:val="double" w:sz="6" w:space="0" w:color="85BADC"/>
              <w:right w:val="nil"/>
            </w:tcBorders>
            <w:shd w:val="clear" w:color="auto" w:fill="auto"/>
            <w:noWrap/>
            <w:vAlign w:val="center"/>
            <w:hideMark/>
          </w:tcPr>
          <w:p w14:paraId="1953E35B" w14:textId="77777777" w:rsidR="003E2641" w:rsidRPr="0076589C" w:rsidRDefault="003E2641" w:rsidP="003E2641">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 xml:space="preserve"> L                     11,354,178.46 </w:t>
            </w:r>
          </w:p>
        </w:tc>
        <w:tc>
          <w:tcPr>
            <w:tcW w:w="979" w:type="pct"/>
            <w:tcBorders>
              <w:top w:val="nil"/>
              <w:left w:val="nil"/>
              <w:bottom w:val="double" w:sz="6" w:space="0" w:color="85BADC"/>
              <w:right w:val="nil"/>
            </w:tcBorders>
            <w:shd w:val="clear" w:color="auto" w:fill="auto"/>
            <w:noWrap/>
            <w:vAlign w:val="center"/>
            <w:hideMark/>
          </w:tcPr>
          <w:p w14:paraId="4245C990" w14:textId="77777777" w:rsidR="003E2641" w:rsidRPr="0076589C" w:rsidRDefault="003E2641" w:rsidP="003E2641">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 xml:space="preserve"> L      24,481,757.44 </w:t>
            </w:r>
          </w:p>
        </w:tc>
        <w:tc>
          <w:tcPr>
            <w:tcW w:w="979" w:type="pct"/>
            <w:tcBorders>
              <w:top w:val="nil"/>
              <w:left w:val="nil"/>
              <w:bottom w:val="double" w:sz="6" w:space="0" w:color="85BADC"/>
              <w:right w:val="nil"/>
            </w:tcBorders>
            <w:shd w:val="clear" w:color="auto" w:fill="auto"/>
            <w:noWrap/>
            <w:vAlign w:val="center"/>
            <w:hideMark/>
          </w:tcPr>
          <w:p w14:paraId="0A52794D" w14:textId="77777777" w:rsidR="003E2641" w:rsidRPr="0076589C" w:rsidRDefault="003E2641" w:rsidP="003E2641">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 xml:space="preserve"> L      13,999,627.22 </w:t>
            </w:r>
          </w:p>
        </w:tc>
        <w:tc>
          <w:tcPr>
            <w:tcW w:w="979" w:type="pct"/>
            <w:tcBorders>
              <w:top w:val="nil"/>
              <w:left w:val="nil"/>
              <w:bottom w:val="double" w:sz="6" w:space="0" w:color="85BADC"/>
              <w:right w:val="nil"/>
            </w:tcBorders>
            <w:shd w:val="clear" w:color="auto" w:fill="auto"/>
            <w:noWrap/>
            <w:vAlign w:val="center"/>
            <w:hideMark/>
          </w:tcPr>
          <w:p w14:paraId="1904263D" w14:textId="77777777" w:rsidR="003E2641" w:rsidRPr="0076589C" w:rsidRDefault="003E2641" w:rsidP="003E2641">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 xml:space="preserve"> L      15,685,678.21 </w:t>
            </w:r>
          </w:p>
        </w:tc>
      </w:tr>
      <w:tr w:rsidR="003E2641" w:rsidRPr="0076589C" w14:paraId="0C5EB387" w14:textId="77777777" w:rsidTr="003E2641">
        <w:trPr>
          <w:trHeight w:val="270"/>
        </w:trPr>
        <w:tc>
          <w:tcPr>
            <w:tcW w:w="666" w:type="pct"/>
            <w:tcBorders>
              <w:top w:val="nil"/>
              <w:left w:val="nil"/>
              <w:bottom w:val="nil"/>
              <w:right w:val="nil"/>
            </w:tcBorders>
            <w:shd w:val="clear" w:color="auto" w:fill="auto"/>
            <w:noWrap/>
            <w:vAlign w:val="bottom"/>
            <w:hideMark/>
          </w:tcPr>
          <w:p w14:paraId="3F56A3FD" w14:textId="77777777" w:rsidR="003E2641" w:rsidRPr="0076589C" w:rsidRDefault="003E2641" w:rsidP="003E2641">
            <w:pPr>
              <w:spacing w:after="0" w:line="240" w:lineRule="auto"/>
              <w:ind w:left="0"/>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ROE</w:t>
            </w:r>
          </w:p>
        </w:tc>
        <w:tc>
          <w:tcPr>
            <w:tcW w:w="1396" w:type="pct"/>
            <w:tcBorders>
              <w:top w:val="nil"/>
              <w:left w:val="nil"/>
              <w:bottom w:val="nil"/>
              <w:right w:val="nil"/>
            </w:tcBorders>
            <w:shd w:val="clear" w:color="auto" w:fill="auto"/>
            <w:noWrap/>
            <w:vAlign w:val="center"/>
            <w:hideMark/>
          </w:tcPr>
          <w:p w14:paraId="79DDFECB" w14:textId="4BE78DCC" w:rsidR="003E2641" w:rsidRPr="0076589C" w:rsidRDefault="003E2641" w:rsidP="003E2641">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17.00%</w:t>
            </w:r>
          </w:p>
        </w:tc>
        <w:tc>
          <w:tcPr>
            <w:tcW w:w="979" w:type="pct"/>
            <w:tcBorders>
              <w:top w:val="nil"/>
              <w:left w:val="nil"/>
              <w:bottom w:val="nil"/>
              <w:right w:val="nil"/>
            </w:tcBorders>
            <w:shd w:val="clear" w:color="auto" w:fill="auto"/>
            <w:noWrap/>
            <w:vAlign w:val="center"/>
            <w:hideMark/>
          </w:tcPr>
          <w:p w14:paraId="5484A270" w14:textId="0D37BA9B" w:rsidR="003E2641" w:rsidRPr="0076589C" w:rsidRDefault="003E2641" w:rsidP="003E2641">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3.62%</w:t>
            </w:r>
          </w:p>
        </w:tc>
        <w:tc>
          <w:tcPr>
            <w:tcW w:w="979" w:type="pct"/>
            <w:tcBorders>
              <w:top w:val="nil"/>
              <w:left w:val="nil"/>
              <w:bottom w:val="nil"/>
              <w:right w:val="nil"/>
            </w:tcBorders>
            <w:shd w:val="clear" w:color="auto" w:fill="auto"/>
            <w:noWrap/>
            <w:vAlign w:val="center"/>
            <w:hideMark/>
          </w:tcPr>
          <w:p w14:paraId="7F5883B7" w14:textId="2DFE8A93" w:rsidR="003E2641" w:rsidRPr="0076589C" w:rsidRDefault="003E2641" w:rsidP="003E2641">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12.56%</w:t>
            </w:r>
          </w:p>
        </w:tc>
        <w:tc>
          <w:tcPr>
            <w:tcW w:w="979" w:type="pct"/>
            <w:tcBorders>
              <w:top w:val="nil"/>
              <w:left w:val="nil"/>
              <w:bottom w:val="nil"/>
              <w:right w:val="nil"/>
            </w:tcBorders>
            <w:shd w:val="clear" w:color="auto" w:fill="auto"/>
            <w:noWrap/>
            <w:vAlign w:val="center"/>
            <w:hideMark/>
          </w:tcPr>
          <w:p w14:paraId="01C20C4E" w14:textId="19170112" w:rsidR="003E2641" w:rsidRPr="0076589C" w:rsidRDefault="003E2641" w:rsidP="003E2641">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12.08%</w:t>
            </w:r>
          </w:p>
        </w:tc>
      </w:tr>
    </w:tbl>
    <w:p w14:paraId="0D9A705C" w14:textId="2D3C077D" w:rsidR="00D33EF8" w:rsidRPr="0076589C" w:rsidRDefault="1C8D6E3A" w:rsidP="00D33EF8">
      <w:pPr>
        <w:pStyle w:val="Fuentes"/>
        <w:rPr>
          <w:lang w:val="es-HN"/>
        </w:rPr>
      </w:pPr>
      <w:r w:rsidRPr="0076589C">
        <w:rPr>
          <w:lang w:val="es-HN"/>
        </w:rPr>
        <w:t>Fuente: Elaboración propia con datos de IPRA (2023).</w:t>
      </w:r>
    </w:p>
    <w:p w14:paraId="269E207A" w14:textId="0DCD5FC3" w:rsidR="00B62E65" w:rsidRPr="0076589C" w:rsidRDefault="00B05DA7" w:rsidP="00B62E65">
      <w:pPr>
        <w:pStyle w:val="TextoPrincipal"/>
        <w:rPr>
          <w:lang w:val="es-HN"/>
        </w:rPr>
      </w:pPr>
      <w:r w:rsidRPr="0076589C">
        <w:rPr>
          <w:lang w:val="es-HN"/>
        </w:rPr>
        <w:t xml:space="preserve"> </w:t>
      </w:r>
      <w:r w:rsidR="00BB2782" w:rsidRPr="0076589C">
        <w:rPr>
          <w:lang w:val="es-HN"/>
        </w:rPr>
        <w:t xml:space="preserve">El </w:t>
      </w:r>
      <w:r w:rsidR="1C8D6E3A" w:rsidRPr="0076589C">
        <w:rPr>
          <w:lang w:val="es-HN"/>
        </w:rPr>
        <w:t xml:space="preserve">ROE </w:t>
      </w:r>
      <w:r w:rsidR="00BB2782" w:rsidRPr="0076589C">
        <w:rPr>
          <w:lang w:val="es-HN"/>
        </w:rPr>
        <w:t>tuvo una variación en e</w:t>
      </w:r>
      <w:r w:rsidR="1C8D6E3A" w:rsidRPr="0076589C">
        <w:rPr>
          <w:lang w:val="es-HN"/>
        </w:rPr>
        <w:t xml:space="preserve">l transcurso de los años, en año 2019 el ROE fue de </w:t>
      </w:r>
      <w:r w:rsidR="00BB2782" w:rsidRPr="0076589C">
        <w:rPr>
          <w:lang w:val="es-HN"/>
        </w:rPr>
        <w:t>17.00</w:t>
      </w:r>
      <w:r w:rsidR="1C8D6E3A" w:rsidRPr="0076589C">
        <w:rPr>
          <w:lang w:val="es-HN"/>
        </w:rPr>
        <w:t xml:space="preserve">%, </w:t>
      </w:r>
      <w:r w:rsidR="00BB2782" w:rsidRPr="0076589C">
        <w:rPr>
          <w:lang w:val="es-HN"/>
        </w:rPr>
        <w:t xml:space="preserve">el valor más alto </w:t>
      </w:r>
      <w:r w:rsidR="00A80420" w:rsidRPr="0076589C">
        <w:rPr>
          <w:lang w:val="es-HN"/>
        </w:rPr>
        <w:t>durante el periodo de análisis</w:t>
      </w:r>
      <w:r w:rsidR="1C8D6E3A" w:rsidRPr="0076589C">
        <w:rPr>
          <w:lang w:val="es-HN"/>
        </w:rPr>
        <w:t xml:space="preserve">. Para el año 2020 </w:t>
      </w:r>
      <w:r w:rsidR="00A80420" w:rsidRPr="0076589C">
        <w:rPr>
          <w:lang w:val="es-HN"/>
        </w:rPr>
        <w:t xml:space="preserve">cayó significativamente </w:t>
      </w:r>
      <w:r w:rsidR="1C8D6E3A" w:rsidRPr="0076589C">
        <w:rPr>
          <w:lang w:val="es-HN"/>
        </w:rPr>
        <w:t xml:space="preserve">con un valor de </w:t>
      </w:r>
      <w:r w:rsidR="00470827" w:rsidRPr="0076589C">
        <w:rPr>
          <w:lang w:val="es-HN"/>
        </w:rPr>
        <w:t>3.62%</w:t>
      </w:r>
      <w:r w:rsidR="006B138B" w:rsidRPr="0076589C">
        <w:rPr>
          <w:lang w:val="es-HN"/>
        </w:rPr>
        <w:t xml:space="preserve">, lo que se atribuye a la pandemia de COVID-19 </w:t>
      </w:r>
      <w:r w:rsidR="00DF71BA" w:rsidRPr="0076589C">
        <w:rPr>
          <w:lang w:val="es-HN"/>
        </w:rPr>
        <w:t xml:space="preserve">representando la menor utilidad neta en el periodo de estudio, </w:t>
      </w:r>
      <w:r w:rsidR="1C8D6E3A" w:rsidRPr="0076589C">
        <w:rPr>
          <w:lang w:val="es-HN"/>
        </w:rPr>
        <w:t xml:space="preserve">para el año 2021 de </w:t>
      </w:r>
      <w:r w:rsidR="00DF71BA" w:rsidRPr="0076589C">
        <w:rPr>
          <w:lang w:val="es-HN"/>
        </w:rPr>
        <w:t xml:space="preserve">12.56% </w:t>
      </w:r>
      <w:r w:rsidR="1C8D6E3A" w:rsidRPr="0076589C">
        <w:rPr>
          <w:lang w:val="es-HN"/>
        </w:rPr>
        <w:t xml:space="preserve">y por último para el año 2022 con un </w:t>
      </w:r>
      <w:r w:rsidR="00801317" w:rsidRPr="0076589C">
        <w:rPr>
          <w:lang w:val="es-HN"/>
        </w:rPr>
        <w:t>12,08</w:t>
      </w:r>
      <w:r w:rsidR="1C8D6E3A" w:rsidRPr="0076589C">
        <w:rPr>
          <w:lang w:val="es-HN"/>
        </w:rPr>
        <w:t xml:space="preserve">%, lo cual demostró </w:t>
      </w:r>
      <w:r w:rsidR="00801317" w:rsidRPr="0076589C">
        <w:rPr>
          <w:lang w:val="es-HN"/>
        </w:rPr>
        <w:t xml:space="preserve">una recuperación parcial implementando estrategias </w:t>
      </w:r>
      <w:r w:rsidR="00966EF6" w:rsidRPr="0076589C">
        <w:rPr>
          <w:lang w:val="es-HN"/>
        </w:rPr>
        <w:t>como mejora en la eficiencia operativa, reducción de costos, diversificación de pro</w:t>
      </w:r>
      <w:r w:rsidR="007043D7" w:rsidRPr="0076589C">
        <w:rPr>
          <w:lang w:val="es-HN"/>
        </w:rPr>
        <w:t xml:space="preserve">ductos </w:t>
      </w:r>
      <w:r w:rsidR="00801317" w:rsidRPr="0076589C">
        <w:rPr>
          <w:lang w:val="es-HN"/>
        </w:rPr>
        <w:t xml:space="preserve">para adaptarse a las condiciones cambiantes del mercado y superar los desafíos surgidos durante la pandemia. </w:t>
      </w:r>
    </w:p>
    <w:p w14:paraId="3B4800F9" w14:textId="12902F8B" w:rsidR="003228E9" w:rsidRPr="0076589C" w:rsidRDefault="1C8D6E3A" w:rsidP="00B62E65">
      <w:pPr>
        <w:pStyle w:val="TextoPrincipal"/>
        <w:rPr>
          <w:lang w:val="es-HN"/>
        </w:rPr>
      </w:pPr>
      <w:r w:rsidRPr="0076589C">
        <w:rPr>
          <w:lang w:val="es-HN"/>
        </w:rPr>
        <w:t xml:space="preserve">Un ROE </w:t>
      </w:r>
      <w:r w:rsidR="000F62DA" w:rsidRPr="0076589C">
        <w:rPr>
          <w:lang w:val="es-HN"/>
        </w:rPr>
        <w:t xml:space="preserve">que supere el costo de capital de la empresa y el rendimiento del mercado puede considerarse como un indicador positivo de un buen desempeño financiero y una gestión eficiente. </w:t>
      </w:r>
    </w:p>
    <w:p w14:paraId="6B6C9F41" w14:textId="1F427875" w:rsidR="00342F8F" w:rsidRPr="0076589C" w:rsidRDefault="00011662" w:rsidP="00994798">
      <w:pPr>
        <w:pStyle w:val="TextoPrincipal"/>
        <w:ind w:firstLine="0"/>
        <w:rPr>
          <w:lang w:val="es-HN"/>
        </w:rPr>
      </w:pPr>
      <w:r w:rsidRPr="0076589C">
        <w:rPr>
          <w:noProof/>
          <w:lang w:val="es-HN" w:eastAsia="es-HN"/>
        </w:rPr>
        <w:drawing>
          <wp:inline distT="0" distB="0" distL="0" distR="0" wp14:anchorId="3D849263" wp14:editId="09496323">
            <wp:extent cx="5648400" cy="2767105"/>
            <wp:effectExtent l="0" t="0" r="9525" b="14605"/>
            <wp:docPr id="739019345" name="Gráfico 1">
              <a:extLst xmlns:a="http://schemas.openxmlformats.org/drawingml/2006/main">
                <a:ext uri="{FF2B5EF4-FFF2-40B4-BE49-F238E27FC236}">
                  <a16:creationId xmlns:a16="http://schemas.microsoft.com/office/drawing/2014/main" id="{00000000-0008-0000-0B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51F2915C" w14:textId="5625E6A2" w:rsidR="005841F2" w:rsidRPr="0076589C" w:rsidRDefault="1C8D6E3A" w:rsidP="005841F2">
      <w:pPr>
        <w:pStyle w:val="ImagenyTabla"/>
        <w:rPr>
          <w:noProof w:val="0"/>
        </w:rPr>
      </w:pPr>
      <w:bookmarkStart w:id="283" w:name="_Toc158365597"/>
      <w:r w:rsidRPr="0076589C">
        <w:t xml:space="preserve">Figura </w:t>
      </w:r>
      <w:r w:rsidR="005841F2" w:rsidRPr="0076589C">
        <w:rPr>
          <w:noProof w:val="0"/>
        </w:rPr>
        <w:fldChar w:fldCharType="begin"/>
      </w:r>
      <w:r w:rsidR="005841F2" w:rsidRPr="0076589C">
        <w:rPr>
          <w:noProof w:val="0"/>
        </w:rPr>
        <w:instrText xml:space="preserve"> SEQ Figura \* ARABIC </w:instrText>
      </w:r>
      <w:r w:rsidR="005841F2" w:rsidRPr="0076589C">
        <w:rPr>
          <w:noProof w:val="0"/>
        </w:rPr>
        <w:fldChar w:fldCharType="separate"/>
      </w:r>
      <w:r w:rsidR="009F171A">
        <w:t>12</w:t>
      </w:r>
      <w:r w:rsidR="005841F2" w:rsidRPr="0076589C">
        <w:rPr>
          <w:noProof w:val="0"/>
        </w:rPr>
        <w:fldChar w:fldCharType="end"/>
      </w:r>
      <w:r w:rsidRPr="0076589C">
        <w:t>. ROA en IPRA (2019-2022)</w:t>
      </w:r>
      <w:bookmarkEnd w:id="283"/>
    </w:p>
    <w:p w14:paraId="7087DA50" w14:textId="07BED62C" w:rsidR="005841F2" w:rsidRPr="0076589C" w:rsidRDefault="1C8D6E3A" w:rsidP="003E6970">
      <w:pPr>
        <w:pStyle w:val="Fuentes"/>
        <w:spacing w:after="0"/>
        <w:rPr>
          <w:lang w:val="es-HN"/>
        </w:rPr>
      </w:pPr>
      <w:r w:rsidRPr="0076589C">
        <w:rPr>
          <w:lang w:val="es-HN"/>
        </w:rPr>
        <w:t>Fuente: Elaboración propia con datos de IPRA (2023).</w:t>
      </w:r>
    </w:p>
    <w:p w14:paraId="70D78862" w14:textId="3A9E6A54" w:rsidR="00145600" w:rsidRPr="0076589C" w:rsidRDefault="00145600">
      <w:pPr>
        <w:rPr>
          <w:rFonts w:eastAsia="Calibri" w:cs="Times New Roman"/>
          <w:sz w:val="20"/>
          <w:szCs w:val="20"/>
        </w:rPr>
      </w:pPr>
      <w:r w:rsidRPr="0076589C">
        <w:br w:type="page"/>
      </w:r>
    </w:p>
    <w:p w14:paraId="6A61E038" w14:textId="77777777" w:rsidR="00ED3C14" w:rsidRPr="0076589C" w:rsidRDefault="00ED3C14" w:rsidP="00ED3C14">
      <w:pPr>
        <w:pStyle w:val="Fuentes"/>
        <w:spacing w:after="0"/>
        <w:ind w:firstLine="0"/>
        <w:rPr>
          <w:lang w:val="es-HN"/>
        </w:rPr>
      </w:pPr>
    </w:p>
    <w:p w14:paraId="3D1BB685" w14:textId="42F0CFC4" w:rsidR="00ED3C14" w:rsidRPr="0076589C" w:rsidRDefault="0049645A" w:rsidP="00145600">
      <w:pPr>
        <w:pStyle w:val="TextoPrincipal"/>
        <w:rPr>
          <w:b/>
          <w:bCs/>
          <w:lang w:val="es-HN"/>
        </w:rPr>
      </w:pPr>
      <w:r w:rsidRPr="0076589C">
        <w:rPr>
          <w:b/>
          <w:bCs/>
          <w:lang w:val="es-HN"/>
        </w:rPr>
        <w:t>S</w:t>
      </w:r>
      <w:r w:rsidR="00145600" w:rsidRPr="0076589C">
        <w:rPr>
          <w:b/>
          <w:bCs/>
          <w:lang w:val="es-HN"/>
        </w:rPr>
        <w:t>istema</w:t>
      </w:r>
      <w:r w:rsidRPr="0076589C">
        <w:rPr>
          <w:b/>
          <w:bCs/>
          <w:lang w:val="es-HN"/>
        </w:rPr>
        <w:t xml:space="preserve"> D</w:t>
      </w:r>
      <w:r w:rsidR="00145600" w:rsidRPr="0076589C">
        <w:rPr>
          <w:b/>
          <w:bCs/>
          <w:lang w:val="es-HN"/>
        </w:rPr>
        <w:t>upont</w:t>
      </w:r>
    </w:p>
    <w:p w14:paraId="7F29F7AA" w14:textId="5A069DC2" w:rsidR="00ED3C14" w:rsidRPr="0076589C" w:rsidRDefault="008F1200" w:rsidP="003D7BFF">
      <w:pPr>
        <w:pStyle w:val="TextoPrincipal"/>
        <w:rPr>
          <w:lang w:val="es-HN"/>
        </w:rPr>
      </w:pPr>
      <w:r w:rsidRPr="0076589C">
        <w:fldChar w:fldCharType="begin"/>
      </w:r>
      <w:r w:rsidRPr="0076589C">
        <w:rPr>
          <w:lang w:val="es-HN"/>
        </w:rPr>
        <w:instrText xml:space="preserve"> ADDIN ZOTERO_ITEM CSL_CITATION {"citationID":"uGFn32Uj","properties":{"formattedCitation":"(Brealey et\\uc0\\u160{}al., 2010)","plainCitation":"(Brealey et al., 2010)","noteIndex":0},"citationItems":[{"id":422,"uris":["http://zotero.org/users/12108825/items/YHT6KQS5"],"itemData":{"id":422,"type":"article-journal","source":"Zotero","title":"Principios de Finanzas Corporativas","author":[{"family":"Brealey","given":"Richard"},{"family":"Allen","given":"Franklin"},{"family":"Myers","given":"Stewart"}],"issued":{"date-parts":[["2010"]]}}}],"schema":"https://github.com/citation-style-language/schema/raw/master/csl-citation.json"} </w:instrText>
      </w:r>
      <w:r w:rsidRPr="0076589C">
        <w:fldChar w:fldCharType="separate"/>
      </w:r>
      <w:r w:rsidRPr="0076589C">
        <w:rPr>
          <w:lang w:val="es-HN"/>
        </w:rPr>
        <w:t xml:space="preserve">Brealey et al., </w:t>
      </w:r>
      <w:r w:rsidR="00E86748" w:rsidRPr="0076589C">
        <w:rPr>
          <w:lang w:val="es-HN"/>
        </w:rPr>
        <w:t>(</w:t>
      </w:r>
      <w:r w:rsidRPr="0076589C">
        <w:rPr>
          <w:lang w:val="es-HN"/>
        </w:rPr>
        <w:t>2010)</w:t>
      </w:r>
      <w:r w:rsidRPr="0076589C">
        <w:fldChar w:fldCharType="end"/>
      </w:r>
      <w:r w:rsidR="00E86748" w:rsidRPr="0076589C">
        <w:rPr>
          <w:lang w:val="es-HN"/>
        </w:rPr>
        <w:t xml:space="preserve"> determina: “El sistema Dupont es la f</w:t>
      </w:r>
      <w:r w:rsidR="00445642" w:rsidRPr="0076589C">
        <w:rPr>
          <w:lang w:val="es-HN"/>
        </w:rPr>
        <w:t>órmula que señala la relación entre el rendimiento sobre los activos, la razón de ventas sobre activos, el margen de utilidad y algunas medidas de apalancamiento</w:t>
      </w:r>
      <w:r w:rsidR="00E86748" w:rsidRPr="0076589C">
        <w:rPr>
          <w:lang w:val="es-HN"/>
        </w:rPr>
        <w:t>”</w:t>
      </w:r>
      <w:r w:rsidR="008A0A99" w:rsidRPr="0076589C">
        <w:rPr>
          <w:lang w:val="es-HN"/>
        </w:rPr>
        <w:t xml:space="preserve"> (</w:t>
      </w:r>
      <w:r w:rsidR="00724F81" w:rsidRPr="0076589C">
        <w:rPr>
          <w:lang w:val="es-HN"/>
        </w:rPr>
        <w:t>pág. 801)</w:t>
      </w:r>
    </w:p>
    <w:p w14:paraId="6AFA2EFD" w14:textId="5CBD2C69" w:rsidR="00ED3C14" w:rsidRPr="0076589C" w:rsidRDefault="008A0A99" w:rsidP="003D7BFF">
      <w:pPr>
        <w:pStyle w:val="TextoPrincipal"/>
        <w:rPr>
          <w:lang w:val="es-HN"/>
        </w:rPr>
      </w:pPr>
      <w:r w:rsidRPr="0076589C">
        <w:rPr>
          <w:lang w:val="es-HN"/>
        </w:rPr>
        <w:t xml:space="preserve">El </w:t>
      </w:r>
      <w:r w:rsidR="00B100EB" w:rsidRPr="0076589C">
        <w:rPr>
          <w:lang w:val="es-HN"/>
        </w:rPr>
        <w:t xml:space="preserve">sistema Dupont es una herramienta analítica que descompone el ROE en sus componentes para proporcionar una comprensión más profunda de los factores que afectan la </w:t>
      </w:r>
      <w:r w:rsidR="003D7BFF" w:rsidRPr="0076589C">
        <w:rPr>
          <w:lang w:val="es-HN"/>
        </w:rPr>
        <w:t>rentabilidad</w:t>
      </w:r>
      <w:r w:rsidR="00B100EB" w:rsidRPr="0076589C">
        <w:rPr>
          <w:lang w:val="es-HN"/>
        </w:rPr>
        <w:t xml:space="preserve"> de la </w:t>
      </w:r>
      <w:r w:rsidR="003D7BFF" w:rsidRPr="0076589C">
        <w:rPr>
          <w:lang w:val="es-HN"/>
        </w:rPr>
        <w:t>empresa.</w:t>
      </w:r>
    </w:p>
    <w:p w14:paraId="0E8277F0" w14:textId="04EDB52D" w:rsidR="00ED3C14" w:rsidRPr="0076589C" w:rsidRDefault="003D7BFF" w:rsidP="003D7BFF">
      <w:pPr>
        <w:pStyle w:val="TextoPrincipal"/>
        <w:rPr>
          <w:sz w:val="22"/>
          <w:szCs w:val="20"/>
        </w:rPr>
      </w:pPr>
      <m:oMathPara>
        <m:oMath>
          <m:r>
            <w:rPr>
              <w:rFonts w:ascii="Cambria Math" w:hAnsi="Cambria Math"/>
              <w:sz w:val="22"/>
              <w:szCs w:val="20"/>
            </w:rPr>
            <m:t xml:space="preserve">ROE=Margen de Utilidad neta  x Rotación de activos </m:t>
          </m:r>
          <m:d>
            <m:dPr>
              <m:ctrlPr>
                <w:rPr>
                  <w:rFonts w:ascii="Cambria Math" w:hAnsi="Cambria Math"/>
                  <w:i/>
                  <w:sz w:val="22"/>
                  <w:szCs w:val="20"/>
                </w:rPr>
              </m:ctrlPr>
            </m:dPr>
            <m:e>
              <m:r>
                <w:rPr>
                  <w:rFonts w:ascii="Cambria Math" w:hAnsi="Cambria Math"/>
                  <w:sz w:val="22"/>
                  <w:szCs w:val="20"/>
                </w:rPr>
                <m:t>ROA</m:t>
              </m:r>
            </m:e>
          </m:d>
          <m:r>
            <w:rPr>
              <w:rFonts w:ascii="Cambria Math" w:hAnsi="Cambria Math"/>
              <w:sz w:val="22"/>
              <w:szCs w:val="20"/>
            </w:rPr>
            <m:t xml:space="preserve"> x Razón de Apalancamiento</m:t>
          </m:r>
        </m:oMath>
      </m:oMathPara>
    </w:p>
    <w:p w14:paraId="6E2B9EEC" w14:textId="13B84997" w:rsidR="003E6970" w:rsidRPr="0076589C" w:rsidRDefault="003D7BFF" w:rsidP="003E6970">
      <w:pPr>
        <w:pStyle w:val="Fuentes"/>
        <w:spacing w:after="0"/>
        <w:rPr>
          <w:lang w:val="es-HN"/>
        </w:rPr>
      </w:pPr>
      <m:oMathPara>
        <m:oMath>
          <m:r>
            <w:rPr>
              <w:rFonts w:ascii="Cambria Math" w:hAnsi="Cambria Math"/>
              <w:lang w:val="es-HN"/>
            </w:rPr>
            <m:t xml:space="preserve">ROE= </m:t>
          </m:r>
          <m:f>
            <m:fPr>
              <m:ctrlPr>
                <w:rPr>
                  <w:rFonts w:ascii="Cambria Math" w:hAnsi="Cambria Math"/>
                  <w:i/>
                  <w:lang w:val="es-HN"/>
                </w:rPr>
              </m:ctrlPr>
            </m:fPr>
            <m:num>
              <m:r>
                <w:rPr>
                  <w:rFonts w:ascii="Cambria Math" w:hAnsi="Cambria Math"/>
                  <w:lang w:val="es-HN"/>
                </w:rPr>
                <m:t>Utilidad neta</m:t>
              </m:r>
            </m:num>
            <m:den>
              <m:r>
                <w:rPr>
                  <w:rFonts w:ascii="Cambria Math" w:hAnsi="Cambria Math"/>
                  <w:lang w:val="es-HN"/>
                </w:rPr>
                <m:t>Ventas Totales</m:t>
              </m:r>
            </m:den>
          </m:f>
          <m:r>
            <w:rPr>
              <w:rFonts w:ascii="Cambria Math" w:hAnsi="Cambria Math"/>
              <w:lang w:val="es-HN"/>
            </w:rPr>
            <m:t xml:space="preserve">X </m:t>
          </m:r>
          <m:f>
            <m:fPr>
              <m:ctrlPr>
                <w:rPr>
                  <w:rFonts w:ascii="Cambria Math" w:hAnsi="Cambria Math"/>
                  <w:i/>
                  <w:lang w:val="es-HN"/>
                </w:rPr>
              </m:ctrlPr>
            </m:fPr>
            <m:num>
              <m:r>
                <w:rPr>
                  <w:rFonts w:ascii="Cambria Math" w:hAnsi="Cambria Math"/>
                  <w:lang w:val="es-HN"/>
                </w:rPr>
                <m:t>Ventas Totales</m:t>
              </m:r>
            </m:num>
            <m:den>
              <m:r>
                <w:rPr>
                  <w:rFonts w:ascii="Cambria Math" w:hAnsi="Cambria Math"/>
                  <w:lang w:val="es-HN"/>
                </w:rPr>
                <m:t>Activos totales</m:t>
              </m:r>
            </m:den>
          </m:f>
          <m:r>
            <w:rPr>
              <w:rFonts w:ascii="Cambria Math" w:hAnsi="Cambria Math"/>
              <w:lang w:val="es-HN"/>
            </w:rPr>
            <m:t>X</m:t>
          </m:r>
          <m:f>
            <m:fPr>
              <m:ctrlPr>
                <w:rPr>
                  <w:rFonts w:ascii="Cambria Math" w:hAnsi="Cambria Math"/>
                  <w:i/>
                  <w:lang w:val="es-HN"/>
                </w:rPr>
              </m:ctrlPr>
            </m:fPr>
            <m:num>
              <m:r>
                <w:rPr>
                  <w:rFonts w:ascii="Cambria Math" w:hAnsi="Cambria Math"/>
                  <w:lang w:val="es-HN"/>
                </w:rPr>
                <m:t>Activos totales</m:t>
              </m:r>
            </m:num>
            <m:den>
              <m:r>
                <w:rPr>
                  <w:rFonts w:ascii="Cambria Math" w:hAnsi="Cambria Math"/>
                  <w:lang w:val="es-HN"/>
                </w:rPr>
                <m:t xml:space="preserve">Patrionio </m:t>
              </m:r>
            </m:den>
          </m:f>
        </m:oMath>
      </m:oMathPara>
    </w:p>
    <w:p w14:paraId="17372E88" w14:textId="671E8BE0" w:rsidR="009B3CA7" w:rsidRPr="0076589C" w:rsidRDefault="005A27DE" w:rsidP="009B3CA7">
      <w:pPr>
        <w:pStyle w:val="ImagenyTabla"/>
        <w:jc w:val="center"/>
      </w:pPr>
      <w:r w:rsidRPr="0076589C">
        <w:t xml:space="preserve">Ecuación </w:t>
      </w:r>
      <w:r w:rsidRPr="0076589C">
        <w:fldChar w:fldCharType="begin"/>
      </w:r>
      <w:r w:rsidRPr="0076589C">
        <w:instrText xml:space="preserve"> SEQ Ecuación \* ARABIC </w:instrText>
      </w:r>
      <w:r w:rsidRPr="0076589C">
        <w:fldChar w:fldCharType="separate"/>
      </w:r>
      <w:r w:rsidR="009F171A">
        <w:t>1</w:t>
      </w:r>
      <w:r w:rsidRPr="0076589C">
        <w:fldChar w:fldCharType="end"/>
      </w:r>
      <w:r w:rsidRPr="0076589C">
        <w:t xml:space="preserve"> ROE (Sistema Dupont)</w:t>
      </w:r>
    </w:p>
    <w:p w14:paraId="02943AB7" w14:textId="15B09C47" w:rsidR="00D41DF7" w:rsidRPr="0076589C" w:rsidRDefault="006C06B0" w:rsidP="006C06B0">
      <w:pPr>
        <w:pStyle w:val="TextoPrincipal"/>
        <w:rPr>
          <w:lang w:val="es-HN"/>
        </w:rPr>
      </w:pPr>
      <w:r w:rsidRPr="0076589C">
        <w:rPr>
          <w:lang w:val="es-HN"/>
        </w:rPr>
        <w:t xml:space="preserve">A </w:t>
      </w:r>
      <w:r w:rsidR="00585884" w:rsidRPr="0076589C">
        <w:rPr>
          <w:lang w:val="es-HN"/>
        </w:rPr>
        <w:t>continuación,</w:t>
      </w:r>
      <w:r w:rsidRPr="0076589C">
        <w:rPr>
          <w:lang w:val="es-HN"/>
        </w:rPr>
        <w:t xml:space="preserve"> se realiza el cálculo de la razón de apalancamiento. </w:t>
      </w:r>
    </w:p>
    <w:p w14:paraId="01AEFA5D" w14:textId="69C6CD3C" w:rsidR="009B3CA7" w:rsidRPr="0076589C" w:rsidRDefault="009B3CA7" w:rsidP="009B3CA7">
      <w:pPr>
        <w:pStyle w:val="ImagenyTabla"/>
        <w:rPr>
          <w:noProof w:val="0"/>
        </w:rPr>
      </w:pPr>
      <w:bookmarkStart w:id="284" w:name="_Toc158365569"/>
      <w:r w:rsidRPr="0076589C">
        <w:t xml:space="preserve">Tabla </w:t>
      </w:r>
      <w:r w:rsidRPr="0076589C">
        <w:rPr>
          <w:noProof w:val="0"/>
        </w:rPr>
        <w:fldChar w:fldCharType="begin"/>
      </w:r>
      <w:r w:rsidRPr="0076589C">
        <w:rPr>
          <w:noProof w:val="0"/>
        </w:rPr>
        <w:instrText xml:space="preserve"> SEQ Tabla \* ARABIC </w:instrText>
      </w:r>
      <w:r w:rsidRPr="0076589C">
        <w:rPr>
          <w:noProof w:val="0"/>
        </w:rPr>
        <w:fldChar w:fldCharType="separate"/>
      </w:r>
      <w:r w:rsidR="009F171A">
        <w:t>21</w:t>
      </w:r>
      <w:r w:rsidRPr="0076589C">
        <w:rPr>
          <w:noProof w:val="0"/>
        </w:rPr>
        <w:fldChar w:fldCharType="end"/>
      </w:r>
      <w:r w:rsidRPr="0076589C">
        <w:t xml:space="preserve">. </w:t>
      </w:r>
      <w:r w:rsidR="00C07D09" w:rsidRPr="0076589C">
        <w:t>Razón de apalancamiento</w:t>
      </w:r>
      <w:r w:rsidRPr="0076589C">
        <w:t xml:space="preserve"> en IPRA (2019-2022)</w:t>
      </w:r>
      <w:bookmarkEnd w:id="284"/>
    </w:p>
    <w:tbl>
      <w:tblPr>
        <w:tblW w:w="5000" w:type="pct"/>
        <w:tblLayout w:type="fixed"/>
        <w:tblLook w:val="04A0" w:firstRow="1" w:lastRow="0" w:firstColumn="1" w:lastColumn="0" w:noHBand="0" w:noVBand="1"/>
      </w:tblPr>
      <w:tblGrid>
        <w:gridCol w:w="1701"/>
        <w:gridCol w:w="2729"/>
        <w:gridCol w:w="1644"/>
        <w:gridCol w:w="1644"/>
        <w:gridCol w:w="1642"/>
      </w:tblGrid>
      <w:tr w:rsidR="00A70C0A" w:rsidRPr="0076589C" w14:paraId="053861A3" w14:textId="77777777" w:rsidTr="00506241">
        <w:trPr>
          <w:trHeight w:val="260"/>
        </w:trPr>
        <w:tc>
          <w:tcPr>
            <w:tcW w:w="5000" w:type="pct"/>
            <w:gridSpan w:val="5"/>
            <w:tcBorders>
              <w:top w:val="nil"/>
              <w:left w:val="nil"/>
              <w:bottom w:val="nil"/>
              <w:right w:val="nil"/>
            </w:tcBorders>
            <w:shd w:val="clear" w:color="auto" w:fill="auto"/>
            <w:noWrap/>
            <w:vAlign w:val="bottom"/>
            <w:hideMark/>
          </w:tcPr>
          <w:p w14:paraId="43CC0714" w14:textId="77777777" w:rsidR="00A70C0A" w:rsidRPr="0076589C" w:rsidRDefault="00A70C0A" w:rsidP="00A70C0A">
            <w:pPr>
              <w:spacing w:after="0" w:line="240" w:lineRule="auto"/>
              <w:ind w:left="0"/>
              <w:rPr>
                <w:rFonts w:ascii="Calibri" w:eastAsia="Times New Roman" w:hAnsi="Calibri" w:cs="Calibri"/>
                <w:b/>
                <w:bCs/>
                <w:i/>
                <w:iCs/>
                <w:color w:val="000000"/>
                <w:sz w:val="20"/>
                <w:szCs w:val="20"/>
                <w:u w:val="single"/>
              </w:rPr>
            </w:pPr>
            <w:r w:rsidRPr="0076589C">
              <w:rPr>
                <w:rFonts w:ascii="Calibri" w:eastAsia="Times New Roman" w:hAnsi="Calibri" w:cs="Calibri"/>
                <w:b/>
                <w:bCs/>
                <w:i/>
                <w:iCs/>
                <w:color w:val="000000"/>
                <w:sz w:val="20"/>
                <w:szCs w:val="20"/>
                <w:u w:val="single"/>
              </w:rPr>
              <w:t>Razón de apalancamiento</w:t>
            </w:r>
          </w:p>
        </w:tc>
      </w:tr>
      <w:tr w:rsidR="00A70C0A" w:rsidRPr="0076589C" w14:paraId="7AA7360F" w14:textId="77777777" w:rsidTr="00506241">
        <w:trPr>
          <w:trHeight w:val="270"/>
        </w:trPr>
        <w:tc>
          <w:tcPr>
            <w:tcW w:w="909" w:type="pct"/>
            <w:tcBorders>
              <w:top w:val="nil"/>
              <w:left w:val="nil"/>
              <w:bottom w:val="nil"/>
              <w:right w:val="nil"/>
            </w:tcBorders>
            <w:shd w:val="clear" w:color="auto" w:fill="auto"/>
            <w:noWrap/>
            <w:vAlign w:val="bottom"/>
            <w:hideMark/>
          </w:tcPr>
          <w:p w14:paraId="5F066CC0" w14:textId="77777777" w:rsidR="00A70C0A" w:rsidRPr="0076589C" w:rsidRDefault="00A70C0A" w:rsidP="00A70C0A">
            <w:pPr>
              <w:spacing w:after="0" w:line="240" w:lineRule="auto"/>
              <w:ind w:left="0"/>
              <w:rPr>
                <w:rFonts w:ascii="Calibri" w:eastAsia="Times New Roman" w:hAnsi="Calibri" w:cs="Calibri"/>
                <w:b/>
                <w:bCs/>
                <w:i/>
                <w:iCs/>
                <w:color w:val="000000"/>
                <w:sz w:val="20"/>
                <w:szCs w:val="20"/>
                <w:u w:val="single"/>
              </w:rPr>
            </w:pPr>
          </w:p>
        </w:tc>
        <w:tc>
          <w:tcPr>
            <w:tcW w:w="1458" w:type="pct"/>
            <w:tcBorders>
              <w:top w:val="nil"/>
              <w:left w:val="nil"/>
              <w:bottom w:val="single" w:sz="8" w:space="0" w:color="85BADC"/>
              <w:right w:val="nil"/>
            </w:tcBorders>
            <w:shd w:val="clear" w:color="auto" w:fill="auto"/>
            <w:noWrap/>
            <w:vAlign w:val="center"/>
            <w:hideMark/>
          </w:tcPr>
          <w:p w14:paraId="1486E6FB" w14:textId="77777777" w:rsidR="00A70C0A" w:rsidRPr="0076589C" w:rsidRDefault="00A70C0A" w:rsidP="00A70C0A">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2019</w:t>
            </w:r>
          </w:p>
        </w:tc>
        <w:tc>
          <w:tcPr>
            <w:tcW w:w="878" w:type="pct"/>
            <w:tcBorders>
              <w:top w:val="nil"/>
              <w:left w:val="nil"/>
              <w:bottom w:val="single" w:sz="8" w:space="0" w:color="85BADC"/>
              <w:right w:val="nil"/>
            </w:tcBorders>
            <w:shd w:val="clear" w:color="auto" w:fill="auto"/>
            <w:noWrap/>
            <w:vAlign w:val="center"/>
            <w:hideMark/>
          </w:tcPr>
          <w:p w14:paraId="1657EDDF" w14:textId="77777777" w:rsidR="00A70C0A" w:rsidRPr="0076589C" w:rsidRDefault="00A70C0A" w:rsidP="00A70C0A">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2020</w:t>
            </w:r>
          </w:p>
        </w:tc>
        <w:tc>
          <w:tcPr>
            <w:tcW w:w="878" w:type="pct"/>
            <w:tcBorders>
              <w:top w:val="nil"/>
              <w:left w:val="nil"/>
              <w:bottom w:val="single" w:sz="8" w:space="0" w:color="85BADC"/>
              <w:right w:val="nil"/>
            </w:tcBorders>
            <w:shd w:val="clear" w:color="auto" w:fill="auto"/>
            <w:noWrap/>
            <w:vAlign w:val="center"/>
            <w:hideMark/>
          </w:tcPr>
          <w:p w14:paraId="464D50D0" w14:textId="77777777" w:rsidR="00A70C0A" w:rsidRPr="0076589C" w:rsidRDefault="00A70C0A" w:rsidP="00A70C0A">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2021</w:t>
            </w:r>
          </w:p>
        </w:tc>
        <w:tc>
          <w:tcPr>
            <w:tcW w:w="878" w:type="pct"/>
            <w:tcBorders>
              <w:top w:val="nil"/>
              <w:left w:val="nil"/>
              <w:bottom w:val="single" w:sz="8" w:space="0" w:color="85BADC"/>
              <w:right w:val="nil"/>
            </w:tcBorders>
            <w:shd w:val="clear" w:color="auto" w:fill="auto"/>
            <w:noWrap/>
            <w:vAlign w:val="center"/>
            <w:hideMark/>
          </w:tcPr>
          <w:p w14:paraId="1F221C5F" w14:textId="77777777" w:rsidR="00A70C0A" w:rsidRPr="0076589C" w:rsidRDefault="00A70C0A" w:rsidP="00A70C0A">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2022</w:t>
            </w:r>
          </w:p>
        </w:tc>
      </w:tr>
      <w:tr w:rsidR="00A70C0A" w:rsidRPr="0076589C" w14:paraId="741688A4" w14:textId="77777777" w:rsidTr="00506241">
        <w:trPr>
          <w:trHeight w:val="260"/>
        </w:trPr>
        <w:tc>
          <w:tcPr>
            <w:tcW w:w="909" w:type="pct"/>
            <w:tcBorders>
              <w:top w:val="nil"/>
              <w:left w:val="nil"/>
              <w:bottom w:val="nil"/>
              <w:right w:val="nil"/>
            </w:tcBorders>
            <w:shd w:val="clear" w:color="auto" w:fill="auto"/>
            <w:noWrap/>
            <w:vAlign w:val="bottom"/>
            <w:hideMark/>
          </w:tcPr>
          <w:p w14:paraId="7BD1DD93" w14:textId="40B3324B" w:rsidR="00A70C0A" w:rsidRPr="0076589C" w:rsidRDefault="00C07F4D" w:rsidP="00A70C0A">
            <w:pPr>
              <w:spacing w:after="0" w:line="240" w:lineRule="auto"/>
              <w:ind w:left="0"/>
              <w:rPr>
                <w:rFonts w:ascii="Calibri" w:eastAsia="Times New Roman" w:hAnsi="Calibri" w:cs="Calibri"/>
                <w:i/>
                <w:iCs/>
                <w:color w:val="000000"/>
                <w:sz w:val="20"/>
                <w:szCs w:val="20"/>
              </w:rPr>
            </w:pPr>
            <w:r w:rsidRPr="0076589C">
              <w:rPr>
                <w:rFonts w:ascii="Calibri" w:eastAsia="Times New Roman" w:hAnsi="Calibri" w:cs="Calibri"/>
                <w:i/>
                <w:iCs/>
                <w:color w:val="000000"/>
                <w:sz w:val="20"/>
                <w:szCs w:val="20"/>
              </w:rPr>
              <w:t>Activo</w:t>
            </w:r>
            <w:r w:rsidR="00A70C0A" w:rsidRPr="0076589C">
              <w:rPr>
                <w:rFonts w:ascii="Calibri" w:eastAsia="Times New Roman" w:hAnsi="Calibri" w:cs="Calibri"/>
                <w:i/>
                <w:iCs/>
                <w:color w:val="000000"/>
                <w:sz w:val="20"/>
                <w:szCs w:val="20"/>
              </w:rPr>
              <w:t xml:space="preserve"> total</w:t>
            </w:r>
          </w:p>
        </w:tc>
        <w:tc>
          <w:tcPr>
            <w:tcW w:w="1458" w:type="pct"/>
            <w:tcBorders>
              <w:top w:val="nil"/>
              <w:left w:val="nil"/>
              <w:bottom w:val="nil"/>
              <w:right w:val="nil"/>
            </w:tcBorders>
            <w:shd w:val="clear" w:color="auto" w:fill="auto"/>
            <w:noWrap/>
            <w:vAlign w:val="center"/>
            <w:hideMark/>
          </w:tcPr>
          <w:p w14:paraId="3D2E419F" w14:textId="77777777" w:rsidR="00A70C0A" w:rsidRPr="0076589C" w:rsidRDefault="00A70C0A" w:rsidP="00A70C0A">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 xml:space="preserve"> L                     19,024,539.28 </w:t>
            </w:r>
          </w:p>
        </w:tc>
        <w:tc>
          <w:tcPr>
            <w:tcW w:w="878" w:type="pct"/>
            <w:tcBorders>
              <w:top w:val="nil"/>
              <w:left w:val="nil"/>
              <w:bottom w:val="nil"/>
              <w:right w:val="nil"/>
            </w:tcBorders>
            <w:shd w:val="clear" w:color="auto" w:fill="auto"/>
            <w:noWrap/>
            <w:vAlign w:val="center"/>
            <w:hideMark/>
          </w:tcPr>
          <w:p w14:paraId="329835EC" w14:textId="77777777" w:rsidR="00A70C0A" w:rsidRPr="0076589C" w:rsidRDefault="00A70C0A" w:rsidP="00A70C0A">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 xml:space="preserve"> L      19,103,113.19 </w:t>
            </w:r>
          </w:p>
        </w:tc>
        <w:tc>
          <w:tcPr>
            <w:tcW w:w="878" w:type="pct"/>
            <w:tcBorders>
              <w:top w:val="nil"/>
              <w:left w:val="nil"/>
              <w:bottom w:val="nil"/>
              <w:right w:val="nil"/>
            </w:tcBorders>
            <w:shd w:val="clear" w:color="auto" w:fill="auto"/>
            <w:noWrap/>
            <w:vAlign w:val="center"/>
            <w:hideMark/>
          </w:tcPr>
          <w:p w14:paraId="14596B50" w14:textId="77777777" w:rsidR="00A70C0A" w:rsidRPr="0076589C" w:rsidRDefault="00A70C0A" w:rsidP="00A70C0A">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 xml:space="preserve"> L      21,393,809.22 </w:t>
            </w:r>
          </w:p>
        </w:tc>
        <w:tc>
          <w:tcPr>
            <w:tcW w:w="878" w:type="pct"/>
            <w:tcBorders>
              <w:top w:val="nil"/>
              <w:left w:val="nil"/>
              <w:bottom w:val="nil"/>
              <w:right w:val="nil"/>
            </w:tcBorders>
            <w:shd w:val="clear" w:color="auto" w:fill="auto"/>
            <w:noWrap/>
            <w:vAlign w:val="center"/>
            <w:hideMark/>
          </w:tcPr>
          <w:p w14:paraId="4576A7F7" w14:textId="77777777" w:rsidR="00A70C0A" w:rsidRPr="0076589C" w:rsidRDefault="00A70C0A" w:rsidP="00A70C0A">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 xml:space="preserve"> L      24,423,314.42 </w:t>
            </w:r>
          </w:p>
        </w:tc>
      </w:tr>
      <w:tr w:rsidR="00A70C0A" w:rsidRPr="0076589C" w14:paraId="1E8C9607" w14:textId="77777777" w:rsidTr="00506241">
        <w:trPr>
          <w:trHeight w:val="270"/>
        </w:trPr>
        <w:tc>
          <w:tcPr>
            <w:tcW w:w="909" w:type="pct"/>
            <w:tcBorders>
              <w:top w:val="nil"/>
              <w:left w:val="nil"/>
              <w:bottom w:val="double" w:sz="6" w:space="0" w:color="85BADC"/>
              <w:right w:val="nil"/>
            </w:tcBorders>
            <w:shd w:val="clear" w:color="auto" w:fill="auto"/>
            <w:noWrap/>
            <w:vAlign w:val="bottom"/>
            <w:hideMark/>
          </w:tcPr>
          <w:p w14:paraId="1F84FA95" w14:textId="77777777" w:rsidR="00A70C0A" w:rsidRPr="0076589C" w:rsidRDefault="00A70C0A" w:rsidP="00A70C0A">
            <w:pPr>
              <w:spacing w:after="0" w:line="240" w:lineRule="auto"/>
              <w:ind w:left="0"/>
              <w:rPr>
                <w:rFonts w:ascii="Calibri" w:eastAsia="Times New Roman" w:hAnsi="Calibri" w:cs="Calibri"/>
                <w:i/>
                <w:iCs/>
                <w:color w:val="000000"/>
                <w:sz w:val="20"/>
                <w:szCs w:val="20"/>
              </w:rPr>
            </w:pPr>
            <w:r w:rsidRPr="0076589C">
              <w:rPr>
                <w:rFonts w:ascii="Calibri" w:eastAsia="Times New Roman" w:hAnsi="Calibri" w:cs="Calibri"/>
                <w:i/>
                <w:iCs/>
                <w:color w:val="000000"/>
                <w:sz w:val="20"/>
                <w:szCs w:val="20"/>
              </w:rPr>
              <w:t>Patrimonio</w:t>
            </w:r>
          </w:p>
        </w:tc>
        <w:tc>
          <w:tcPr>
            <w:tcW w:w="1458" w:type="pct"/>
            <w:tcBorders>
              <w:top w:val="nil"/>
              <w:left w:val="nil"/>
              <w:bottom w:val="double" w:sz="6" w:space="0" w:color="85BADC"/>
              <w:right w:val="nil"/>
            </w:tcBorders>
            <w:shd w:val="clear" w:color="auto" w:fill="auto"/>
            <w:noWrap/>
            <w:vAlign w:val="center"/>
            <w:hideMark/>
          </w:tcPr>
          <w:p w14:paraId="4B8DFB79" w14:textId="77777777" w:rsidR="00A70C0A" w:rsidRPr="0076589C" w:rsidRDefault="00A70C0A" w:rsidP="00A70C0A">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 xml:space="preserve"> L                     11,354,178.46 </w:t>
            </w:r>
          </w:p>
        </w:tc>
        <w:tc>
          <w:tcPr>
            <w:tcW w:w="878" w:type="pct"/>
            <w:tcBorders>
              <w:top w:val="nil"/>
              <w:left w:val="nil"/>
              <w:bottom w:val="double" w:sz="6" w:space="0" w:color="85BADC"/>
              <w:right w:val="nil"/>
            </w:tcBorders>
            <w:shd w:val="clear" w:color="auto" w:fill="auto"/>
            <w:noWrap/>
            <w:vAlign w:val="center"/>
            <w:hideMark/>
          </w:tcPr>
          <w:p w14:paraId="20F52687" w14:textId="77777777" w:rsidR="00A70C0A" w:rsidRPr="0076589C" w:rsidRDefault="00A70C0A" w:rsidP="00A70C0A">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 xml:space="preserve"> L      24,481,757.44 </w:t>
            </w:r>
          </w:p>
        </w:tc>
        <w:tc>
          <w:tcPr>
            <w:tcW w:w="878" w:type="pct"/>
            <w:tcBorders>
              <w:top w:val="nil"/>
              <w:left w:val="nil"/>
              <w:bottom w:val="double" w:sz="6" w:space="0" w:color="85BADC"/>
              <w:right w:val="nil"/>
            </w:tcBorders>
            <w:shd w:val="clear" w:color="auto" w:fill="auto"/>
            <w:noWrap/>
            <w:vAlign w:val="center"/>
            <w:hideMark/>
          </w:tcPr>
          <w:p w14:paraId="77D3CD26" w14:textId="77777777" w:rsidR="00A70C0A" w:rsidRPr="0076589C" w:rsidRDefault="00A70C0A" w:rsidP="00A70C0A">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 xml:space="preserve"> L      13,999,627.22 </w:t>
            </w:r>
          </w:p>
        </w:tc>
        <w:tc>
          <w:tcPr>
            <w:tcW w:w="878" w:type="pct"/>
            <w:tcBorders>
              <w:top w:val="nil"/>
              <w:left w:val="nil"/>
              <w:bottom w:val="double" w:sz="6" w:space="0" w:color="85BADC"/>
              <w:right w:val="nil"/>
            </w:tcBorders>
            <w:shd w:val="clear" w:color="auto" w:fill="auto"/>
            <w:noWrap/>
            <w:vAlign w:val="center"/>
            <w:hideMark/>
          </w:tcPr>
          <w:p w14:paraId="13722F48" w14:textId="77777777" w:rsidR="00A70C0A" w:rsidRPr="0076589C" w:rsidRDefault="00A70C0A" w:rsidP="00A70C0A">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 xml:space="preserve"> L      15,685,678.21 </w:t>
            </w:r>
          </w:p>
        </w:tc>
      </w:tr>
      <w:tr w:rsidR="00A70C0A" w:rsidRPr="0076589C" w14:paraId="3713B30F" w14:textId="77777777" w:rsidTr="00506241">
        <w:trPr>
          <w:trHeight w:val="270"/>
        </w:trPr>
        <w:tc>
          <w:tcPr>
            <w:tcW w:w="909" w:type="pct"/>
            <w:tcBorders>
              <w:top w:val="nil"/>
              <w:left w:val="nil"/>
              <w:bottom w:val="nil"/>
              <w:right w:val="nil"/>
            </w:tcBorders>
            <w:shd w:val="clear" w:color="auto" w:fill="auto"/>
            <w:noWrap/>
            <w:vAlign w:val="bottom"/>
            <w:hideMark/>
          </w:tcPr>
          <w:p w14:paraId="12645F37" w14:textId="77777777" w:rsidR="00A70C0A" w:rsidRPr="0076589C" w:rsidRDefault="00A70C0A" w:rsidP="00A70C0A">
            <w:pPr>
              <w:spacing w:after="0" w:line="240" w:lineRule="auto"/>
              <w:ind w:left="0"/>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Razón de apalancamiento</w:t>
            </w:r>
          </w:p>
        </w:tc>
        <w:tc>
          <w:tcPr>
            <w:tcW w:w="1458" w:type="pct"/>
            <w:tcBorders>
              <w:top w:val="nil"/>
              <w:left w:val="nil"/>
              <w:bottom w:val="nil"/>
              <w:right w:val="nil"/>
            </w:tcBorders>
            <w:shd w:val="clear" w:color="auto" w:fill="auto"/>
            <w:noWrap/>
            <w:vAlign w:val="center"/>
            <w:hideMark/>
          </w:tcPr>
          <w:p w14:paraId="2FA57E33" w14:textId="77777777" w:rsidR="00A70C0A" w:rsidRPr="0076589C" w:rsidRDefault="00A70C0A" w:rsidP="00A70C0A">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167.56%</w:t>
            </w:r>
          </w:p>
        </w:tc>
        <w:tc>
          <w:tcPr>
            <w:tcW w:w="878" w:type="pct"/>
            <w:tcBorders>
              <w:top w:val="nil"/>
              <w:left w:val="nil"/>
              <w:bottom w:val="nil"/>
              <w:right w:val="nil"/>
            </w:tcBorders>
            <w:shd w:val="clear" w:color="auto" w:fill="auto"/>
            <w:noWrap/>
            <w:vAlign w:val="center"/>
            <w:hideMark/>
          </w:tcPr>
          <w:p w14:paraId="7AE72D5C" w14:textId="77777777" w:rsidR="00A70C0A" w:rsidRPr="0076589C" w:rsidRDefault="00A70C0A" w:rsidP="00A70C0A">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78.03%</w:t>
            </w:r>
          </w:p>
        </w:tc>
        <w:tc>
          <w:tcPr>
            <w:tcW w:w="878" w:type="pct"/>
            <w:tcBorders>
              <w:top w:val="nil"/>
              <w:left w:val="nil"/>
              <w:bottom w:val="nil"/>
              <w:right w:val="nil"/>
            </w:tcBorders>
            <w:shd w:val="clear" w:color="auto" w:fill="auto"/>
            <w:noWrap/>
            <w:vAlign w:val="center"/>
            <w:hideMark/>
          </w:tcPr>
          <w:p w14:paraId="11C42387" w14:textId="77777777" w:rsidR="00A70C0A" w:rsidRPr="0076589C" w:rsidRDefault="00A70C0A" w:rsidP="00A70C0A">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152.82%</w:t>
            </w:r>
          </w:p>
        </w:tc>
        <w:tc>
          <w:tcPr>
            <w:tcW w:w="878" w:type="pct"/>
            <w:tcBorders>
              <w:top w:val="nil"/>
              <w:left w:val="nil"/>
              <w:bottom w:val="nil"/>
              <w:right w:val="nil"/>
            </w:tcBorders>
            <w:shd w:val="clear" w:color="auto" w:fill="auto"/>
            <w:noWrap/>
            <w:vAlign w:val="center"/>
            <w:hideMark/>
          </w:tcPr>
          <w:p w14:paraId="2C93A452" w14:textId="77777777" w:rsidR="00A70C0A" w:rsidRPr="0076589C" w:rsidRDefault="00A70C0A" w:rsidP="00A70C0A">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155.70%</w:t>
            </w:r>
          </w:p>
        </w:tc>
      </w:tr>
    </w:tbl>
    <w:p w14:paraId="74CECA92" w14:textId="77777777" w:rsidR="00685045" w:rsidRPr="0076589C" w:rsidRDefault="00685045" w:rsidP="00685045">
      <w:pPr>
        <w:pStyle w:val="Fuentes"/>
        <w:rPr>
          <w:lang w:val="es-HN"/>
        </w:rPr>
      </w:pPr>
      <w:r w:rsidRPr="0076589C">
        <w:rPr>
          <w:lang w:val="es-HN"/>
        </w:rPr>
        <w:t>Fuente: Elaboración propia con datos de IPRA (2023).</w:t>
      </w:r>
    </w:p>
    <w:p w14:paraId="3A6D4FB9" w14:textId="65D550A1" w:rsidR="00A70C0A" w:rsidRPr="0076589C" w:rsidRDefault="006C06B0" w:rsidP="006C06B0">
      <w:pPr>
        <w:pStyle w:val="TextoPrincipal"/>
        <w:rPr>
          <w:lang w:val="es-HN"/>
        </w:rPr>
      </w:pPr>
      <w:r w:rsidRPr="0076589C">
        <w:rPr>
          <w:lang w:val="es-HN"/>
        </w:rPr>
        <w:t>Con los valores encontra</w:t>
      </w:r>
      <w:r w:rsidR="00BD6E58" w:rsidRPr="0076589C">
        <w:rPr>
          <w:lang w:val="es-HN"/>
        </w:rPr>
        <w:t>d</w:t>
      </w:r>
      <w:r w:rsidRPr="0076589C">
        <w:rPr>
          <w:lang w:val="es-HN"/>
        </w:rPr>
        <w:t xml:space="preserve">os anteriormente para los </w:t>
      </w:r>
      <w:r w:rsidR="00BD6E58" w:rsidRPr="0076589C">
        <w:rPr>
          <w:lang w:val="es-HN"/>
        </w:rPr>
        <w:t xml:space="preserve">indicadores de margen de utilidad neta, ROA y razón de apalancamiento se calcula el ROE (Sistema Dupont). </w:t>
      </w:r>
    </w:p>
    <w:p w14:paraId="3658182B" w14:textId="4E216E3B" w:rsidR="00C07D09" w:rsidRPr="0076589C" w:rsidRDefault="00C07D09" w:rsidP="00C07D09">
      <w:pPr>
        <w:pStyle w:val="ImagenyTabla"/>
        <w:rPr>
          <w:noProof w:val="0"/>
        </w:rPr>
      </w:pPr>
      <w:bookmarkStart w:id="285" w:name="_Toc158365570"/>
      <w:r w:rsidRPr="0076589C">
        <w:t xml:space="preserve">Tabla </w:t>
      </w:r>
      <w:r w:rsidRPr="0076589C">
        <w:rPr>
          <w:noProof w:val="0"/>
        </w:rPr>
        <w:fldChar w:fldCharType="begin"/>
      </w:r>
      <w:r w:rsidRPr="0076589C">
        <w:rPr>
          <w:noProof w:val="0"/>
        </w:rPr>
        <w:instrText xml:space="preserve"> SEQ Tabla \* ARABIC </w:instrText>
      </w:r>
      <w:r w:rsidRPr="0076589C">
        <w:rPr>
          <w:noProof w:val="0"/>
        </w:rPr>
        <w:fldChar w:fldCharType="separate"/>
      </w:r>
      <w:r w:rsidR="009F171A">
        <w:t>22</w:t>
      </w:r>
      <w:r w:rsidRPr="0076589C">
        <w:rPr>
          <w:noProof w:val="0"/>
        </w:rPr>
        <w:fldChar w:fldCharType="end"/>
      </w:r>
      <w:r w:rsidRPr="0076589C">
        <w:t>. ROE (Sistema Dupont) en IPRA (2019-2022)</w:t>
      </w:r>
      <w:bookmarkEnd w:id="285"/>
    </w:p>
    <w:tbl>
      <w:tblPr>
        <w:tblW w:w="5000" w:type="pct"/>
        <w:tblLook w:val="04A0" w:firstRow="1" w:lastRow="0" w:firstColumn="1" w:lastColumn="0" w:noHBand="0" w:noVBand="1"/>
      </w:tblPr>
      <w:tblGrid>
        <w:gridCol w:w="4028"/>
        <w:gridCol w:w="1381"/>
        <w:gridCol w:w="1189"/>
        <w:gridCol w:w="1382"/>
        <w:gridCol w:w="1380"/>
      </w:tblGrid>
      <w:tr w:rsidR="001B03FC" w:rsidRPr="0076589C" w14:paraId="0E6DAED5" w14:textId="77777777" w:rsidTr="00BD6E58">
        <w:trPr>
          <w:trHeight w:val="260"/>
        </w:trPr>
        <w:tc>
          <w:tcPr>
            <w:tcW w:w="5000" w:type="pct"/>
            <w:gridSpan w:val="5"/>
            <w:tcBorders>
              <w:top w:val="nil"/>
              <w:left w:val="nil"/>
              <w:bottom w:val="nil"/>
              <w:right w:val="nil"/>
            </w:tcBorders>
            <w:shd w:val="clear" w:color="auto" w:fill="auto"/>
            <w:noWrap/>
            <w:vAlign w:val="bottom"/>
            <w:hideMark/>
          </w:tcPr>
          <w:p w14:paraId="3CCFE414" w14:textId="77777777" w:rsidR="001B03FC" w:rsidRPr="0076589C" w:rsidRDefault="001B03FC" w:rsidP="001B03FC">
            <w:pPr>
              <w:spacing w:after="0" w:line="240" w:lineRule="auto"/>
              <w:ind w:left="0"/>
              <w:rPr>
                <w:rFonts w:ascii="Calibri" w:eastAsia="Times New Roman" w:hAnsi="Calibri" w:cs="Calibri"/>
                <w:b/>
                <w:bCs/>
                <w:i/>
                <w:iCs/>
                <w:color w:val="000000"/>
                <w:sz w:val="20"/>
                <w:szCs w:val="20"/>
                <w:u w:val="single"/>
              </w:rPr>
            </w:pPr>
            <w:r w:rsidRPr="0076589C">
              <w:rPr>
                <w:rFonts w:ascii="Calibri" w:eastAsia="Times New Roman" w:hAnsi="Calibri" w:cs="Calibri"/>
                <w:b/>
                <w:bCs/>
                <w:i/>
                <w:iCs/>
                <w:color w:val="000000"/>
                <w:sz w:val="20"/>
                <w:szCs w:val="20"/>
                <w:u w:val="single"/>
              </w:rPr>
              <w:t>ROE Sistema Dupont</w:t>
            </w:r>
          </w:p>
        </w:tc>
      </w:tr>
      <w:tr w:rsidR="001B03FC" w:rsidRPr="0076589C" w14:paraId="33132370" w14:textId="77777777" w:rsidTr="00685045">
        <w:trPr>
          <w:trHeight w:val="270"/>
        </w:trPr>
        <w:tc>
          <w:tcPr>
            <w:tcW w:w="2152" w:type="pct"/>
            <w:tcBorders>
              <w:top w:val="nil"/>
              <w:left w:val="nil"/>
              <w:bottom w:val="nil"/>
              <w:right w:val="nil"/>
            </w:tcBorders>
            <w:shd w:val="clear" w:color="auto" w:fill="auto"/>
            <w:noWrap/>
            <w:vAlign w:val="bottom"/>
            <w:hideMark/>
          </w:tcPr>
          <w:p w14:paraId="20D8D382" w14:textId="77777777" w:rsidR="001B03FC" w:rsidRPr="0076589C" w:rsidRDefault="001B03FC" w:rsidP="001B03FC">
            <w:pPr>
              <w:spacing w:after="0" w:line="240" w:lineRule="auto"/>
              <w:ind w:left="0"/>
              <w:rPr>
                <w:rFonts w:ascii="Calibri" w:eastAsia="Times New Roman" w:hAnsi="Calibri" w:cs="Calibri"/>
                <w:b/>
                <w:bCs/>
                <w:i/>
                <w:iCs/>
                <w:color w:val="000000"/>
                <w:sz w:val="20"/>
                <w:szCs w:val="20"/>
                <w:u w:val="single"/>
              </w:rPr>
            </w:pPr>
          </w:p>
        </w:tc>
        <w:tc>
          <w:tcPr>
            <w:tcW w:w="738" w:type="pct"/>
            <w:tcBorders>
              <w:top w:val="nil"/>
              <w:left w:val="nil"/>
              <w:bottom w:val="single" w:sz="8" w:space="0" w:color="85BADC"/>
              <w:right w:val="nil"/>
            </w:tcBorders>
            <w:shd w:val="clear" w:color="auto" w:fill="auto"/>
            <w:noWrap/>
            <w:vAlign w:val="center"/>
            <w:hideMark/>
          </w:tcPr>
          <w:p w14:paraId="3936E98F" w14:textId="77777777" w:rsidR="001B03FC" w:rsidRPr="0076589C" w:rsidRDefault="001B03FC" w:rsidP="001B03FC">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2019</w:t>
            </w:r>
          </w:p>
        </w:tc>
        <w:tc>
          <w:tcPr>
            <w:tcW w:w="635" w:type="pct"/>
            <w:tcBorders>
              <w:top w:val="nil"/>
              <w:left w:val="nil"/>
              <w:bottom w:val="single" w:sz="8" w:space="0" w:color="85BADC"/>
              <w:right w:val="nil"/>
            </w:tcBorders>
            <w:shd w:val="clear" w:color="auto" w:fill="auto"/>
            <w:noWrap/>
            <w:vAlign w:val="center"/>
            <w:hideMark/>
          </w:tcPr>
          <w:p w14:paraId="0AAAE9CB" w14:textId="77777777" w:rsidR="001B03FC" w:rsidRPr="0076589C" w:rsidRDefault="001B03FC" w:rsidP="001B03FC">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2020</w:t>
            </w:r>
          </w:p>
        </w:tc>
        <w:tc>
          <w:tcPr>
            <w:tcW w:w="738" w:type="pct"/>
            <w:tcBorders>
              <w:top w:val="nil"/>
              <w:left w:val="nil"/>
              <w:bottom w:val="single" w:sz="8" w:space="0" w:color="85BADC"/>
              <w:right w:val="nil"/>
            </w:tcBorders>
            <w:shd w:val="clear" w:color="auto" w:fill="auto"/>
            <w:noWrap/>
            <w:vAlign w:val="center"/>
            <w:hideMark/>
          </w:tcPr>
          <w:p w14:paraId="59D7D83A" w14:textId="77777777" w:rsidR="001B03FC" w:rsidRPr="0076589C" w:rsidRDefault="001B03FC" w:rsidP="001B03FC">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2021</w:t>
            </w:r>
          </w:p>
        </w:tc>
        <w:tc>
          <w:tcPr>
            <w:tcW w:w="736" w:type="pct"/>
            <w:tcBorders>
              <w:top w:val="nil"/>
              <w:left w:val="nil"/>
              <w:bottom w:val="single" w:sz="8" w:space="0" w:color="85BADC"/>
              <w:right w:val="nil"/>
            </w:tcBorders>
            <w:shd w:val="clear" w:color="auto" w:fill="auto"/>
            <w:noWrap/>
            <w:vAlign w:val="center"/>
            <w:hideMark/>
          </w:tcPr>
          <w:p w14:paraId="488F0DD9" w14:textId="77777777" w:rsidR="001B03FC" w:rsidRPr="0076589C" w:rsidRDefault="001B03FC" w:rsidP="001B03FC">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2022</w:t>
            </w:r>
          </w:p>
        </w:tc>
      </w:tr>
      <w:tr w:rsidR="001B03FC" w:rsidRPr="0076589C" w14:paraId="38D15B60" w14:textId="77777777" w:rsidTr="00685045">
        <w:trPr>
          <w:trHeight w:val="260"/>
        </w:trPr>
        <w:tc>
          <w:tcPr>
            <w:tcW w:w="2152" w:type="pct"/>
            <w:tcBorders>
              <w:top w:val="nil"/>
              <w:left w:val="nil"/>
              <w:bottom w:val="nil"/>
              <w:right w:val="nil"/>
            </w:tcBorders>
            <w:shd w:val="clear" w:color="auto" w:fill="auto"/>
            <w:noWrap/>
            <w:vAlign w:val="bottom"/>
            <w:hideMark/>
          </w:tcPr>
          <w:p w14:paraId="00433EDB" w14:textId="77777777" w:rsidR="001B03FC" w:rsidRPr="0076589C" w:rsidRDefault="001B03FC" w:rsidP="001B03FC">
            <w:pPr>
              <w:spacing w:after="0" w:line="240" w:lineRule="auto"/>
              <w:ind w:left="0"/>
              <w:rPr>
                <w:rFonts w:ascii="Calibri" w:eastAsia="Times New Roman" w:hAnsi="Calibri" w:cs="Calibri"/>
                <w:color w:val="000000"/>
                <w:sz w:val="20"/>
                <w:szCs w:val="20"/>
              </w:rPr>
            </w:pPr>
            <w:r w:rsidRPr="0076589C">
              <w:rPr>
                <w:rFonts w:ascii="Calibri" w:eastAsia="Times New Roman" w:hAnsi="Calibri" w:cs="Calibri"/>
                <w:color w:val="000000"/>
                <w:sz w:val="20"/>
                <w:szCs w:val="20"/>
              </w:rPr>
              <w:t>Margen de utilidad neta</w:t>
            </w:r>
          </w:p>
        </w:tc>
        <w:tc>
          <w:tcPr>
            <w:tcW w:w="738" w:type="pct"/>
            <w:tcBorders>
              <w:top w:val="nil"/>
              <w:left w:val="nil"/>
              <w:bottom w:val="nil"/>
              <w:right w:val="nil"/>
            </w:tcBorders>
            <w:shd w:val="clear" w:color="auto" w:fill="auto"/>
            <w:noWrap/>
            <w:vAlign w:val="center"/>
            <w:hideMark/>
          </w:tcPr>
          <w:p w14:paraId="2ECF0FC2" w14:textId="77777777" w:rsidR="001B03FC" w:rsidRPr="0076589C" w:rsidRDefault="001B03FC" w:rsidP="001B03F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7.39%</w:t>
            </w:r>
          </w:p>
        </w:tc>
        <w:tc>
          <w:tcPr>
            <w:tcW w:w="635" w:type="pct"/>
            <w:tcBorders>
              <w:top w:val="nil"/>
              <w:left w:val="nil"/>
              <w:bottom w:val="nil"/>
              <w:right w:val="nil"/>
            </w:tcBorders>
            <w:shd w:val="clear" w:color="auto" w:fill="auto"/>
            <w:noWrap/>
            <w:vAlign w:val="center"/>
            <w:hideMark/>
          </w:tcPr>
          <w:p w14:paraId="589C41CB" w14:textId="77777777" w:rsidR="001B03FC" w:rsidRPr="0076589C" w:rsidRDefault="001B03FC" w:rsidP="001B03F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2.78%</w:t>
            </w:r>
          </w:p>
        </w:tc>
        <w:tc>
          <w:tcPr>
            <w:tcW w:w="738" w:type="pct"/>
            <w:tcBorders>
              <w:top w:val="nil"/>
              <w:left w:val="nil"/>
              <w:bottom w:val="nil"/>
              <w:right w:val="nil"/>
            </w:tcBorders>
            <w:shd w:val="clear" w:color="auto" w:fill="auto"/>
            <w:noWrap/>
            <w:vAlign w:val="center"/>
            <w:hideMark/>
          </w:tcPr>
          <w:p w14:paraId="7D94F96F" w14:textId="77777777" w:rsidR="001B03FC" w:rsidRPr="0076589C" w:rsidRDefault="001B03FC" w:rsidP="001B03F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7.88%</w:t>
            </w:r>
          </w:p>
        </w:tc>
        <w:tc>
          <w:tcPr>
            <w:tcW w:w="736" w:type="pct"/>
            <w:tcBorders>
              <w:top w:val="nil"/>
              <w:left w:val="nil"/>
              <w:bottom w:val="nil"/>
              <w:right w:val="nil"/>
            </w:tcBorders>
            <w:shd w:val="clear" w:color="auto" w:fill="auto"/>
            <w:noWrap/>
            <w:vAlign w:val="center"/>
            <w:hideMark/>
          </w:tcPr>
          <w:p w14:paraId="57321EB8" w14:textId="77777777" w:rsidR="001B03FC" w:rsidRPr="0076589C" w:rsidRDefault="001B03FC" w:rsidP="001B03F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6.40%</w:t>
            </w:r>
          </w:p>
        </w:tc>
      </w:tr>
      <w:tr w:rsidR="001B03FC" w:rsidRPr="0076589C" w14:paraId="79C45D40" w14:textId="77777777" w:rsidTr="00685045">
        <w:trPr>
          <w:trHeight w:val="260"/>
        </w:trPr>
        <w:tc>
          <w:tcPr>
            <w:tcW w:w="2152" w:type="pct"/>
            <w:tcBorders>
              <w:top w:val="nil"/>
              <w:left w:val="nil"/>
              <w:bottom w:val="nil"/>
              <w:right w:val="nil"/>
            </w:tcBorders>
            <w:shd w:val="clear" w:color="auto" w:fill="auto"/>
            <w:noWrap/>
            <w:vAlign w:val="bottom"/>
            <w:hideMark/>
          </w:tcPr>
          <w:p w14:paraId="52AB463E" w14:textId="77777777" w:rsidR="001B03FC" w:rsidRPr="0076589C" w:rsidRDefault="001B03FC" w:rsidP="001B03FC">
            <w:pPr>
              <w:spacing w:after="0" w:line="240" w:lineRule="auto"/>
              <w:ind w:left="0"/>
              <w:rPr>
                <w:rFonts w:ascii="Calibri" w:eastAsia="Times New Roman" w:hAnsi="Calibri" w:cs="Calibri"/>
                <w:i/>
                <w:iCs/>
                <w:color w:val="000000"/>
                <w:sz w:val="20"/>
                <w:szCs w:val="20"/>
              </w:rPr>
            </w:pPr>
            <w:r w:rsidRPr="0076589C">
              <w:rPr>
                <w:rFonts w:ascii="Calibri" w:eastAsia="Times New Roman" w:hAnsi="Calibri" w:cs="Calibri"/>
                <w:i/>
                <w:iCs/>
                <w:color w:val="000000"/>
                <w:sz w:val="20"/>
                <w:szCs w:val="20"/>
              </w:rPr>
              <w:t>ROA</w:t>
            </w:r>
          </w:p>
        </w:tc>
        <w:tc>
          <w:tcPr>
            <w:tcW w:w="738" w:type="pct"/>
            <w:tcBorders>
              <w:top w:val="nil"/>
              <w:left w:val="nil"/>
              <w:bottom w:val="nil"/>
              <w:right w:val="nil"/>
            </w:tcBorders>
            <w:shd w:val="clear" w:color="auto" w:fill="auto"/>
            <w:noWrap/>
            <w:vAlign w:val="center"/>
            <w:hideMark/>
          </w:tcPr>
          <w:p w14:paraId="0FB2A699" w14:textId="77777777" w:rsidR="001B03FC" w:rsidRPr="0076589C" w:rsidRDefault="001B03FC" w:rsidP="001B03F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10.15%</w:t>
            </w:r>
          </w:p>
        </w:tc>
        <w:tc>
          <w:tcPr>
            <w:tcW w:w="635" w:type="pct"/>
            <w:tcBorders>
              <w:top w:val="nil"/>
              <w:left w:val="nil"/>
              <w:bottom w:val="nil"/>
              <w:right w:val="nil"/>
            </w:tcBorders>
            <w:shd w:val="clear" w:color="auto" w:fill="auto"/>
            <w:noWrap/>
            <w:vAlign w:val="center"/>
            <w:hideMark/>
          </w:tcPr>
          <w:p w14:paraId="53ADE88A" w14:textId="77777777" w:rsidR="001B03FC" w:rsidRPr="0076589C" w:rsidRDefault="001B03FC" w:rsidP="001B03F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4.64%</w:t>
            </w:r>
          </w:p>
        </w:tc>
        <w:tc>
          <w:tcPr>
            <w:tcW w:w="738" w:type="pct"/>
            <w:tcBorders>
              <w:top w:val="nil"/>
              <w:left w:val="nil"/>
              <w:bottom w:val="nil"/>
              <w:right w:val="nil"/>
            </w:tcBorders>
            <w:shd w:val="clear" w:color="auto" w:fill="auto"/>
            <w:noWrap/>
            <w:vAlign w:val="center"/>
            <w:hideMark/>
          </w:tcPr>
          <w:p w14:paraId="51BECF5F" w14:textId="77777777" w:rsidR="001B03FC" w:rsidRPr="0076589C" w:rsidRDefault="001B03FC" w:rsidP="001B03F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8.22%</w:t>
            </w:r>
          </w:p>
        </w:tc>
        <w:tc>
          <w:tcPr>
            <w:tcW w:w="736" w:type="pct"/>
            <w:tcBorders>
              <w:top w:val="nil"/>
              <w:left w:val="nil"/>
              <w:bottom w:val="nil"/>
              <w:right w:val="nil"/>
            </w:tcBorders>
            <w:shd w:val="clear" w:color="auto" w:fill="auto"/>
            <w:noWrap/>
            <w:vAlign w:val="center"/>
            <w:hideMark/>
          </w:tcPr>
          <w:p w14:paraId="2026562A" w14:textId="77777777" w:rsidR="001B03FC" w:rsidRPr="0076589C" w:rsidRDefault="001B03FC" w:rsidP="001B03F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7.76%</w:t>
            </w:r>
          </w:p>
        </w:tc>
      </w:tr>
      <w:tr w:rsidR="001B03FC" w:rsidRPr="0076589C" w14:paraId="0B818996" w14:textId="77777777" w:rsidTr="00685045">
        <w:trPr>
          <w:trHeight w:val="270"/>
        </w:trPr>
        <w:tc>
          <w:tcPr>
            <w:tcW w:w="2152" w:type="pct"/>
            <w:tcBorders>
              <w:top w:val="nil"/>
              <w:left w:val="nil"/>
              <w:bottom w:val="double" w:sz="6" w:space="0" w:color="85BADC"/>
              <w:right w:val="nil"/>
            </w:tcBorders>
            <w:shd w:val="clear" w:color="auto" w:fill="auto"/>
            <w:noWrap/>
            <w:vAlign w:val="bottom"/>
            <w:hideMark/>
          </w:tcPr>
          <w:p w14:paraId="7D3A51D6" w14:textId="77777777" w:rsidR="001B03FC" w:rsidRPr="0076589C" w:rsidRDefault="001B03FC" w:rsidP="001B03FC">
            <w:pPr>
              <w:spacing w:after="0" w:line="240" w:lineRule="auto"/>
              <w:ind w:left="0"/>
              <w:rPr>
                <w:rFonts w:ascii="Calibri" w:eastAsia="Times New Roman" w:hAnsi="Calibri" w:cs="Calibri"/>
                <w:i/>
                <w:iCs/>
                <w:color w:val="000000"/>
                <w:sz w:val="20"/>
                <w:szCs w:val="20"/>
              </w:rPr>
            </w:pPr>
            <w:r w:rsidRPr="0076589C">
              <w:rPr>
                <w:rFonts w:ascii="Calibri" w:eastAsia="Times New Roman" w:hAnsi="Calibri" w:cs="Calibri"/>
                <w:i/>
                <w:iCs/>
                <w:color w:val="000000"/>
                <w:sz w:val="20"/>
                <w:szCs w:val="20"/>
              </w:rPr>
              <w:t>Razón de apalancamiento</w:t>
            </w:r>
          </w:p>
        </w:tc>
        <w:tc>
          <w:tcPr>
            <w:tcW w:w="738" w:type="pct"/>
            <w:tcBorders>
              <w:top w:val="nil"/>
              <w:left w:val="nil"/>
              <w:bottom w:val="double" w:sz="6" w:space="0" w:color="85BADC"/>
              <w:right w:val="nil"/>
            </w:tcBorders>
            <w:shd w:val="clear" w:color="auto" w:fill="auto"/>
            <w:noWrap/>
            <w:vAlign w:val="bottom"/>
            <w:hideMark/>
          </w:tcPr>
          <w:p w14:paraId="41628D08" w14:textId="77777777" w:rsidR="001B03FC" w:rsidRPr="0076589C" w:rsidRDefault="001B03FC" w:rsidP="001B03F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167.56%</w:t>
            </w:r>
          </w:p>
        </w:tc>
        <w:tc>
          <w:tcPr>
            <w:tcW w:w="635" w:type="pct"/>
            <w:tcBorders>
              <w:top w:val="nil"/>
              <w:left w:val="nil"/>
              <w:bottom w:val="double" w:sz="6" w:space="0" w:color="85BADC"/>
              <w:right w:val="nil"/>
            </w:tcBorders>
            <w:shd w:val="clear" w:color="auto" w:fill="auto"/>
            <w:noWrap/>
            <w:vAlign w:val="bottom"/>
            <w:hideMark/>
          </w:tcPr>
          <w:p w14:paraId="7CC94358" w14:textId="77777777" w:rsidR="001B03FC" w:rsidRPr="0076589C" w:rsidRDefault="001B03FC" w:rsidP="001B03F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78.03%</w:t>
            </w:r>
          </w:p>
        </w:tc>
        <w:tc>
          <w:tcPr>
            <w:tcW w:w="738" w:type="pct"/>
            <w:tcBorders>
              <w:top w:val="nil"/>
              <w:left w:val="nil"/>
              <w:bottom w:val="double" w:sz="6" w:space="0" w:color="85BADC"/>
              <w:right w:val="nil"/>
            </w:tcBorders>
            <w:shd w:val="clear" w:color="auto" w:fill="auto"/>
            <w:noWrap/>
            <w:vAlign w:val="bottom"/>
            <w:hideMark/>
          </w:tcPr>
          <w:p w14:paraId="50298632" w14:textId="77777777" w:rsidR="001B03FC" w:rsidRPr="0076589C" w:rsidRDefault="001B03FC" w:rsidP="001B03F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152.82%</w:t>
            </w:r>
          </w:p>
        </w:tc>
        <w:tc>
          <w:tcPr>
            <w:tcW w:w="736" w:type="pct"/>
            <w:tcBorders>
              <w:top w:val="nil"/>
              <w:left w:val="nil"/>
              <w:bottom w:val="double" w:sz="6" w:space="0" w:color="85BADC"/>
              <w:right w:val="nil"/>
            </w:tcBorders>
            <w:shd w:val="clear" w:color="auto" w:fill="auto"/>
            <w:noWrap/>
            <w:vAlign w:val="bottom"/>
            <w:hideMark/>
          </w:tcPr>
          <w:p w14:paraId="640E167C" w14:textId="77777777" w:rsidR="001B03FC" w:rsidRPr="0076589C" w:rsidRDefault="001B03FC" w:rsidP="001B03F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sz w:val="20"/>
                <w:szCs w:val="20"/>
              </w:rPr>
              <w:t>155.70%</w:t>
            </w:r>
          </w:p>
        </w:tc>
      </w:tr>
      <w:tr w:rsidR="001B03FC" w:rsidRPr="0076589C" w14:paraId="0DEF5551" w14:textId="77777777" w:rsidTr="00685045">
        <w:trPr>
          <w:trHeight w:val="270"/>
        </w:trPr>
        <w:tc>
          <w:tcPr>
            <w:tcW w:w="2152" w:type="pct"/>
            <w:tcBorders>
              <w:top w:val="nil"/>
              <w:left w:val="nil"/>
              <w:bottom w:val="nil"/>
              <w:right w:val="nil"/>
            </w:tcBorders>
            <w:shd w:val="clear" w:color="auto" w:fill="auto"/>
            <w:noWrap/>
            <w:vAlign w:val="bottom"/>
            <w:hideMark/>
          </w:tcPr>
          <w:p w14:paraId="0388009C" w14:textId="323C6BDB" w:rsidR="001B03FC" w:rsidRPr="0076589C" w:rsidRDefault="00BD6E58" w:rsidP="001B03FC">
            <w:pPr>
              <w:spacing w:after="0" w:line="240" w:lineRule="auto"/>
              <w:ind w:left="0"/>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ROE Sistema Dupont</w:t>
            </w:r>
          </w:p>
        </w:tc>
        <w:tc>
          <w:tcPr>
            <w:tcW w:w="738" w:type="pct"/>
            <w:tcBorders>
              <w:top w:val="nil"/>
              <w:left w:val="nil"/>
              <w:bottom w:val="nil"/>
              <w:right w:val="nil"/>
            </w:tcBorders>
            <w:shd w:val="clear" w:color="auto" w:fill="auto"/>
            <w:noWrap/>
            <w:vAlign w:val="center"/>
            <w:hideMark/>
          </w:tcPr>
          <w:p w14:paraId="138C0E3B" w14:textId="77777777" w:rsidR="001B03FC" w:rsidRPr="0076589C" w:rsidRDefault="001B03FC" w:rsidP="001B03FC">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1.26%</w:t>
            </w:r>
          </w:p>
        </w:tc>
        <w:tc>
          <w:tcPr>
            <w:tcW w:w="635" w:type="pct"/>
            <w:tcBorders>
              <w:top w:val="nil"/>
              <w:left w:val="nil"/>
              <w:bottom w:val="nil"/>
              <w:right w:val="nil"/>
            </w:tcBorders>
            <w:shd w:val="clear" w:color="auto" w:fill="auto"/>
            <w:noWrap/>
            <w:vAlign w:val="center"/>
            <w:hideMark/>
          </w:tcPr>
          <w:p w14:paraId="7F0AB1B1" w14:textId="77777777" w:rsidR="001B03FC" w:rsidRPr="0076589C" w:rsidRDefault="001B03FC" w:rsidP="001B03FC">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0.10%</w:t>
            </w:r>
          </w:p>
        </w:tc>
        <w:tc>
          <w:tcPr>
            <w:tcW w:w="738" w:type="pct"/>
            <w:tcBorders>
              <w:top w:val="nil"/>
              <w:left w:val="nil"/>
              <w:bottom w:val="nil"/>
              <w:right w:val="nil"/>
            </w:tcBorders>
            <w:shd w:val="clear" w:color="auto" w:fill="auto"/>
            <w:noWrap/>
            <w:vAlign w:val="center"/>
            <w:hideMark/>
          </w:tcPr>
          <w:p w14:paraId="584FBF59" w14:textId="77777777" w:rsidR="001B03FC" w:rsidRPr="0076589C" w:rsidRDefault="001B03FC" w:rsidP="001B03FC">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0.99%</w:t>
            </w:r>
          </w:p>
        </w:tc>
        <w:tc>
          <w:tcPr>
            <w:tcW w:w="736" w:type="pct"/>
            <w:tcBorders>
              <w:top w:val="nil"/>
              <w:left w:val="nil"/>
              <w:bottom w:val="nil"/>
              <w:right w:val="nil"/>
            </w:tcBorders>
            <w:shd w:val="clear" w:color="auto" w:fill="auto"/>
            <w:noWrap/>
            <w:vAlign w:val="center"/>
            <w:hideMark/>
          </w:tcPr>
          <w:p w14:paraId="066C907A" w14:textId="77777777" w:rsidR="001B03FC" w:rsidRPr="0076589C" w:rsidRDefault="001B03FC" w:rsidP="001B03FC">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0.77%</w:t>
            </w:r>
          </w:p>
        </w:tc>
      </w:tr>
    </w:tbl>
    <w:p w14:paraId="7F4BD3FD" w14:textId="33B9E716" w:rsidR="00A70C0A" w:rsidRPr="0076589C" w:rsidRDefault="00685045" w:rsidP="00685045">
      <w:pPr>
        <w:pStyle w:val="Fuentes"/>
        <w:rPr>
          <w:lang w:val="es-HN"/>
        </w:rPr>
      </w:pPr>
      <w:r w:rsidRPr="0076589C">
        <w:rPr>
          <w:lang w:val="es-HN"/>
        </w:rPr>
        <w:t>Fuente: Elaboración propia con datos de IPRA (2023).</w:t>
      </w:r>
    </w:p>
    <w:p w14:paraId="28B7B400" w14:textId="1F65CF46" w:rsidR="00D41DF7" w:rsidRPr="0076589C" w:rsidRDefault="00145600" w:rsidP="00D9192A">
      <w:pPr>
        <w:pStyle w:val="TextoPrincipal"/>
        <w:rPr>
          <w:lang w:val="es-HN"/>
        </w:rPr>
      </w:pPr>
      <w:r w:rsidRPr="0076589C">
        <w:rPr>
          <w:lang w:val="es-HN"/>
        </w:rPr>
        <w:t>Analizando el rendimiento financiero de la empresa a lo largo de los años utilizando el sistema Dupont</w:t>
      </w:r>
      <w:r w:rsidR="007F18CC" w:rsidRPr="0076589C">
        <w:rPr>
          <w:lang w:val="es-HN"/>
        </w:rPr>
        <w:t xml:space="preserve"> (Ver Tabla 22)</w:t>
      </w:r>
      <w:r w:rsidRPr="0076589C">
        <w:rPr>
          <w:lang w:val="es-HN"/>
        </w:rPr>
        <w:t xml:space="preserve">, observamos una variedad de tendencias y patrones. El margen de utilidad neta fluctuó considerablemente, alcanzando su punto más bajo en 2020 con un 2.78% y </w:t>
      </w:r>
      <w:r w:rsidRPr="0076589C">
        <w:rPr>
          <w:lang w:val="es-HN"/>
        </w:rPr>
        <w:lastRenderedPageBreak/>
        <w:t xml:space="preserve">su punto más alto en 2021 con un 7.88%. Esta variación refleja posibles desafíos operativos </w:t>
      </w:r>
      <w:r w:rsidR="00037F43" w:rsidRPr="0076589C">
        <w:rPr>
          <w:lang w:val="es-HN"/>
        </w:rPr>
        <w:t>debido a la covid-19</w:t>
      </w:r>
      <w:r w:rsidRPr="0076589C">
        <w:rPr>
          <w:lang w:val="es-HN"/>
        </w:rPr>
        <w:t>. Por otro lado, el ROA experimentó una tendencia general al alza, con un mínimo del 4.64% en 2020 y un máximo del 10.15% en 2019. Sin embargo, el ROE muestra una tendencia a la baja, con un descenso del 1.26% en 2019 al 0.77% en 2022. Esto indica que, aunque la empresa ha logrado generar ganancias en relación con sus activos, el rendimiento en términos de patrimonio neto ha disminuido con el tiempo. Además, la razón de apalancamiento varió, siendo más alta en 2019 y 2021, lo que sugiere una mayor dependencia de la financiación por deuda en esos años. En general, estos datos revelan la complejidad de la gestión financiera de la empresa a lo largo del tiempo, destacando la importancia de una vigilancia constante y estrategias efectivas para mejorar la rentabilidad y la eficiencia operativa en un entorno empresarial dinámico.</w:t>
      </w:r>
    </w:p>
    <w:p w14:paraId="471391BB" w14:textId="74A97C90" w:rsidR="00FE73CE" w:rsidRPr="0076589C" w:rsidRDefault="1C8D6E3A" w:rsidP="00D92F11">
      <w:pPr>
        <w:pStyle w:val="Ttulonivel4"/>
        <w:numPr>
          <w:ilvl w:val="0"/>
          <w:numId w:val="26"/>
        </w:numPr>
        <w:ind w:left="1440" w:firstLine="0"/>
      </w:pPr>
      <w:r w:rsidRPr="0076589C">
        <w:t>DIMENSIÓN LIQUIDEZ</w:t>
      </w:r>
    </w:p>
    <w:p w14:paraId="02C5B9C5" w14:textId="0FBE172E" w:rsidR="003C04C0" w:rsidRPr="0076589C" w:rsidRDefault="1C8D6E3A" w:rsidP="00DE2B3F">
      <w:pPr>
        <w:pStyle w:val="TextoPrincipal"/>
        <w:rPr>
          <w:lang w:val="es-HN"/>
        </w:rPr>
      </w:pPr>
      <w:r w:rsidRPr="0076589C">
        <w:rPr>
          <w:lang w:val="es-HN"/>
        </w:rPr>
        <w:t xml:space="preserve">Los ratios de liquidez miden de manera aproximada la capacidad global de la empresa para hacer frente a sus obligaciones de corto plazo. Autores sugieren que si la empre tiene ratios de liquidez buenos, se encuentra en las condiciones adecuada para el cumplimiento de sus obligaciones de manera ordenada, sin ningún problema. </w:t>
      </w:r>
      <w:r w:rsidR="003C04C0" w:rsidRPr="0076589C">
        <w:rPr>
          <w:lang w:val="es-HN"/>
        </w:rPr>
        <w:fldChar w:fldCharType="begin"/>
      </w:r>
      <w:r w:rsidR="003C04C0" w:rsidRPr="0076589C">
        <w:rPr>
          <w:lang w:val="es-HN"/>
        </w:rPr>
        <w:instrText xml:space="preserve"> ADDIN ZOTERO_ITEM CSL_CITATION {"citationID":"WgCrERT8","properties":{"formattedCitation":"(Nakasone, 2001)","plainCitation":"(Nakasone, 2001)","dontUpdate":true,"noteIndex":0},"citationItems":[{"id":369,"uris":["http://zotero.org/users/12108825/items/2AP7YWKL"],"itemData":{"id":369,"type":"book","ISBN":"978-9972-42-403-8","language":"es","note":"Google-Books-ID: LH4fWKr2Cs4C","number-of-pages":"566","publisher":"Fondo Editorial PUCP","source":"Google Books","title":"Análisis de Estados Financieros Para la Toma de Decisiones","author":[{"family":"Nakasone","given":"Gustavo Tanaka"}],"issued":{"date-parts":[["2001"]]}}}],"schema":"https://github.com/citation-style-language/schema/raw/master/csl-citation.json"} </w:instrText>
      </w:r>
      <w:r w:rsidR="003C04C0" w:rsidRPr="0076589C">
        <w:rPr>
          <w:lang w:val="es-HN"/>
        </w:rPr>
        <w:fldChar w:fldCharType="separate"/>
      </w:r>
      <w:r w:rsidRPr="0076589C">
        <w:rPr>
          <w:lang w:val="es-HN"/>
        </w:rPr>
        <w:t>(Nakasone, 2001, pág 319)</w:t>
      </w:r>
      <w:r w:rsidR="003C04C0" w:rsidRPr="0076589C">
        <w:rPr>
          <w:lang w:val="es-HN"/>
        </w:rPr>
        <w:fldChar w:fldCharType="end"/>
      </w:r>
    </w:p>
    <w:p w14:paraId="235F7EEB" w14:textId="24DF7CCE" w:rsidR="00933C9A" w:rsidRPr="0076589C" w:rsidRDefault="1C8D6E3A" w:rsidP="00933C9A">
      <w:pPr>
        <w:pStyle w:val="TextoPrincipal"/>
        <w:spacing w:after="0"/>
        <w:rPr>
          <w:lang w:val="es-HN"/>
        </w:rPr>
      </w:pPr>
      <w:r w:rsidRPr="0076589C">
        <w:rPr>
          <w:lang w:val="es-HN"/>
        </w:rPr>
        <w:t>Como índices de liquidez se evalu</w:t>
      </w:r>
      <w:r w:rsidR="00885F8F" w:rsidRPr="0076589C">
        <w:rPr>
          <w:lang w:val="es-HN"/>
        </w:rPr>
        <w:t>ó</w:t>
      </w:r>
      <w:r w:rsidRPr="0076589C">
        <w:rPr>
          <w:lang w:val="es-HN"/>
        </w:rPr>
        <w:t xml:space="preserve"> lo que son: la liquidez corriente, la razón rápida y la razón de efectivo.</w:t>
      </w:r>
    </w:p>
    <w:p w14:paraId="48E254B3" w14:textId="730B0119" w:rsidR="00DE2B3F" w:rsidRPr="0076589C" w:rsidRDefault="1C8D6E3A" w:rsidP="009D08E1">
      <w:pPr>
        <w:pStyle w:val="Nivel5"/>
        <w:numPr>
          <w:ilvl w:val="0"/>
          <w:numId w:val="38"/>
        </w:numPr>
        <w:ind w:left="1440" w:firstLine="0"/>
      </w:pPr>
      <w:r w:rsidRPr="0076589C">
        <w:t>LIQUIDEZ CORRIENTE</w:t>
      </w:r>
    </w:p>
    <w:p w14:paraId="4A269C88" w14:textId="3E41602C" w:rsidR="00D33EF8" w:rsidRPr="0076589C" w:rsidRDefault="1C8D6E3A" w:rsidP="00DE2B3F">
      <w:pPr>
        <w:pStyle w:val="TextoPrincipal"/>
        <w:rPr>
          <w:lang w:val="es-HN"/>
        </w:rPr>
      </w:pPr>
      <w:r w:rsidRPr="0076589C">
        <w:rPr>
          <w:lang w:val="es-HN"/>
        </w:rPr>
        <w:t>El ratio de liquidez es la principal medida de Liquidez, muestra que proporción de deudas de corto plazo son cubiertas por elementos del activo, cuya conversión en dinero corresponde aproximadamente al crecimiento de las deudas. Se obtiene el ratio de Liquidez dividiendo el activo corriente entre el pasivo corriente.</w:t>
      </w:r>
      <w:r w:rsidR="00E77808" w:rsidRPr="0076589C">
        <w:rPr>
          <w:lang w:val="es-HN"/>
        </w:rPr>
        <w:fldChar w:fldCharType="begin"/>
      </w:r>
      <w:r w:rsidR="00E77808" w:rsidRPr="0076589C">
        <w:rPr>
          <w:lang w:val="es-HN"/>
        </w:rPr>
        <w:instrText xml:space="preserve"> ADDIN ZOTERO_ITEM CSL_CITATION {"citationID":"26TvWNL7","properties":{"formattedCitation":"(Guzm\\uc0\\u225{}n &amp; Samatelo, 2006)","plainCitation":"(Guzmán &amp; Samatelo, 2006)","noteIndex":0},"citationItems":[{"id":393,"uris":["http://zotero.org/users/12108825/items/LIWUEGHC"],"itemData":{"id":393,"type":"book","ISBN":"978-84-689-6103-3","language":"es","note":"Google-Books-ID: AQKhZhpOe_oC","number-of-pages":"93","publisher":"Juan Carlos Martínez Coll","source":"Google Books","title":"Ratios Financieros Y Matema ́ticas de la Mercadotecnia","author":[{"family":"Guzmán","given":"César Aching"},{"family":"Samatelo","given":"Jorge L. Aching"}],"issued":{"date-parts":[["2006"]]}}}],"schema":"https://github.com/citation-style-language/schema/raw/master/csl-citation.json"} </w:instrText>
      </w:r>
      <w:r w:rsidR="00E77808" w:rsidRPr="0076589C">
        <w:rPr>
          <w:lang w:val="es-HN"/>
        </w:rPr>
        <w:fldChar w:fldCharType="separate"/>
      </w:r>
      <w:r w:rsidRPr="0076589C">
        <w:rPr>
          <w:lang w:val="es-HN"/>
        </w:rPr>
        <w:t>(Guzmán &amp; Samatelo, 2006)</w:t>
      </w:r>
      <w:r w:rsidR="00E77808" w:rsidRPr="0076589C">
        <w:rPr>
          <w:lang w:val="es-HN"/>
        </w:rPr>
        <w:fldChar w:fldCharType="end"/>
      </w:r>
    </w:p>
    <w:p w14:paraId="7DBEAEC3" w14:textId="784AF307" w:rsidR="00E96EC8" w:rsidRPr="0076589C" w:rsidRDefault="1C8D6E3A" w:rsidP="00DE2B3F">
      <w:pPr>
        <w:pStyle w:val="TextoPrincipal"/>
        <w:rPr>
          <w:lang w:val="es-HN"/>
        </w:rPr>
      </w:pPr>
      <w:r w:rsidRPr="0076589C">
        <w:rPr>
          <w:lang w:val="es-HN"/>
        </w:rPr>
        <w:t xml:space="preserve">También se conoce como relación corriente, índice de liquidez o razón corriente. Es de gran importancia para determinar si una empresa tiene suficiente liquidez para cumplir con sus deudas y otras obligaciones a corto plazo. El resultado obtenido es una relación numérica, donde un valor mayor a 1 indica que la empresa tiene los activos corrientes suficientes para cubrir sus pasivos corriente, lo que es una buena señal de solidez financiera, sin embargo, un valor muy alto podría indicar que la empresa no está utilizando eficientemente sus activos corrientes. </w:t>
      </w:r>
      <w:r w:rsidR="005B2182" w:rsidRPr="0076589C">
        <w:rPr>
          <w:lang w:val="es-HN"/>
        </w:rPr>
        <w:fldChar w:fldCharType="begin"/>
      </w:r>
      <w:r w:rsidR="005B2182" w:rsidRPr="0076589C">
        <w:rPr>
          <w:lang w:val="es-HN"/>
        </w:rPr>
        <w:instrText xml:space="preserve"> ADDIN ZOTERO_ITEM CSL_CITATION {"citationID":"UdHWueTp","properties":{"formattedCitation":"(Scarf\\uc0\\u243{} et\\uc0\\u160{}al., 2021)","plainCitation":"(Scarfó et al., 2021)","noteIndex":0},"citationItems":[{"id":395,"uris":["http://zotero.org/users/12108825/items/7TYIFTZ2"],"itemData":{"id":395,"type":"book","abstract":"Este libro surge como respuesta a la necesidad de docentes, estudiantes y profesionales de contar con una obra que aborde las finanzas empresariales desde una perspectiva integral y sistémica. A diferencia de otras obras sobre el tema, esta es el resultado del diálogo constructivo y el trabajo colectivo de un grupo de autores con perspectivas profesionales y académicas diferentes e ideas complementarias acerca de la gestión y el análisis financiero empresarial. El Modelo Integral de Análisis Financiero tiene como objetivo principal facilitar la experiencia de aprendizaje para docentes y estudiantes.","ISBN":"978-958-778-691-0","language":"es","note":"Google-Books-ID: HzJ7EAAAQBAJ","number-of-pages":"618","publisher":"Alpha Editorial","source":"Google Books","title":"Análisis financiero integral: Teoría y práctica","title-short":"Análisis financiero integral","author":[{"family":"Scarfó","given":"Eduardo"},{"family":"Vélez-Pareja","given":"Ignacio"},{"family":"Sandoval-Llanos","given":"José"},{"family":"Castilla-Ávila","given":"Pedro"},{"family":"Ortiz","given":"Diego"}],"issued":{"date-parts":[["2021"]]}}}],"schema":"https://github.com/citation-style-language/schema/raw/master/csl-citation.json"} </w:instrText>
      </w:r>
      <w:r w:rsidR="005B2182" w:rsidRPr="0076589C">
        <w:rPr>
          <w:lang w:val="es-HN"/>
        </w:rPr>
        <w:fldChar w:fldCharType="separate"/>
      </w:r>
      <w:r w:rsidRPr="0076589C">
        <w:t>(Scarfó et al., 2021)</w:t>
      </w:r>
      <w:r w:rsidR="005B2182" w:rsidRPr="0076589C">
        <w:rPr>
          <w:lang w:val="es-HN"/>
        </w:rPr>
        <w:fldChar w:fldCharType="end"/>
      </w:r>
    </w:p>
    <w:p w14:paraId="0369E1EC" w14:textId="00F693F4" w:rsidR="00D33EF8" w:rsidRPr="0076589C" w:rsidRDefault="1C8D6E3A" w:rsidP="0019784B">
      <w:pPr>
        <w:pStyle w:val="ImagenyTabla"/>
        <w:rPr>
          <w:noProof w:val="0"/>
        </w:rPr>
      </w:pPr>
      <w:bookmarkStart w:id="286" w:name="_Toc158365571"/>
      <w:r w:rsidRPr="0076589C">
        <w:t xml:space="preserve">Tabla </w:t>
      </w:r>
      <w:r w:rsidR="00D33EF8" w:rsidRPr="0076589C">
        <w:rPr>
          <w:noProof w:val="0"/>
        </w:rPr>
        <w:fldChar w:fldCharType="begin"/>
      </w:r>
      <w:r w:rsidR="00D33EF8" w:rsidRPr="0076589C">
        <w:rPr>
          <w:noProof w:val="0"/>
        </w:rPr>
        <w:instrText xml:space="preserve"> SEQ Tabla \* ARABIC </w:instrText>
      </w:r>
      <w:r w:rsidR="00D33EF8" w:rsidRPr="0076589C">
        <w:rPr>
          <w:noProof w:val="0"/>
        </w:rPr>
        <w:fldChar w:fldCharType="separate"/>
      </w:r>
      <w:r w:rsidR="009F171A">
        <w:t>23</w:t>
      </w:r>
      <w:r w:rsidR="00D33EF8" w:rsidRPr="0076589C">
        <w:rPr>
          <w:noProof w:val="0"/>
        </w:rPr>
        <w:fldChar w:fldCharType="end"/>
      </w:r>
      <w:r w:rsidRPr="0076589C">
        <w:t>. Liquidez corriente en IPRA (2019-2022)</w:t>
      </w:r>
      <w:bookmarkEnd w:id="286"/>
    </w:p>
    <w:tbl>
      <w:tblPr>
        <w:tblW w:w="5000" w:type="pct"/>
        <w:tblLook w:val="04A0" w:firstRow="1" w:lastRow="0" w:firstColumn="1" w:lastColumn="0" w:noHBand="0" w:noVBand="1"/>
      </w:tblPr>
      <w:tblGrid>
        <w:gridCol w:w="1808"/>
        <w:gridCol w:w="1889"/>
        <w:gridCol w:w="1889"/>
        <w:gridCol w:w="1889"/>
        <w:gridCol w:w="1885"/>
      </w:tblGrid>
      <w:tr w:rsidR="002179D4" w:rsidRPr="0076589C" w14:paraId="4F799C36" w14:textId="77777777" w:rsidTr="1C8D6E3A">
        <w:trPr>
          <w:trHeight w:val="260"/>
        </w:trPr>
        <w:tc>
          <w:tcPr>
            <w:tcW w:w="966" w:type="pct"/>
            <w:tcBorders>
              <w:top w:val="nil"/>
              <w:left w:val="nil"/>
              <w:bottom w:val="nil"/>
              <w:right w:val="nil"/>
            </w:tcBorders>
            <w:shd w:val="clear" w:color="auto" w:fill="auto"/>
            <w:noWrap/>
            <w:vAlign w:val="bottom"/>
            <w:hideMark/>
          </w:tcPr>
          <w:p w14:paraId="2DD1F14F" w14:textId="77777777" w:rsidR="002179D4" w:rsidRPr="0076589C" w:rsidRDefault="1C8D6E3A" w:rsidP="1C8D6E3A">
            <w:pPr>
              <w:spacing w:after="0" w:line="240" w:lineRule="auto"/>
              <w:ind w:left="0"/>
              <w:rPr>
                <w:rFonts w:ascii="Calibri" w:eastAsia="Times New Roman" w:hAnsi="Calibri" w:cs="Calibri"/>
                <w:b/>
                <w:bCs/>
                <w:i/>
                <w:iCs/>
                <w:color w:val="000000"/>
                <w:sz w:val="20"/>
                <w:szCs w:val="20"/>
                <w:u w:val="single"/>
              </w:rPr>
            </w:pPr>
            <w:r w:rsidRPr="0076589C">
              <w:rPr>
                <w:rFonts w:ascii="Calibri" w:eastAsia="Times New Roman" w:hAnsi="Calibri" w:cs="Calibri"/>
                <w:b/>
                <w:bCs/>
                <w:i/>
                <w:iCs/>
                <w:color w:val="000000" w:themeColor="text1"/>
                <w:sz w:val="20"/>
                <w:szCs w:val="20"/>
                <w:u w:val="single"/>
              </w:rPr>
              <w:lastRenderedPageBreak/>
              <w:t>Liquidez corriente</w:t>
            </w:r>
          </w:p>
        </w:tc>
        <w:tc>
          <w:tcPr>
            <w:tcW w:w="1009" w:type="pct"/>
            <w:tcBorders>
              <w:top w:val="nil"/>
              <w:left w:val="nil"/>
              <w:bottom w:val="nil"/>
              <w:right w:val="nil"/>
            </w:tcBorders>
            <w:shd w:val="clear" w:color="auto" w:fill="auto"/>
            <w:noWrap/>
            <w:vAlign w:val="center"/>
            <w:hideMark/>
          </w:tcPr>
          <w:p w14:paraId="6A23379E" w14:textId="77777777" w:rsidR="002179D4" w:rsidRPr="0076589C" w:rsidRDefault="002179D4" w:rsidP="1C8D6E3A">
            <w:pPr>
              <w:spacing w:after="0" w:line="240" w:lineRule="auto"/>
              <w:ind w:left="0"/>
              <w:rPr>
                <w:rFonts w:ascii="Calibri" w:eastAsia="Times New Roman" w:hAnsi="Calibri" w:cs="Calibri"/>
                <w:b/>
                <w:bCs/>
                <w:i/>
                <w:iCs/>
                <w:color w:val="000000"/>
                <w:sz w:val="20"/>
                <w:szCs w:val="20"/>
                <w:u w:val="single"/>
              </w:rPr>
            </w:pPr>
          </w:p>
        </w:tc>
        <w:tc>
          <w:tcPr>
            <w:tcW w:w="1009" w:type="pct"/>
            <w:tcBorders>
              <w:top w:val="nil"/>
              <w:left w:val="nil"/>
              <w:bottom w:val="nil"/>
              <w:right w:val="nil"/>
            </w:tcBorders>
            <w:shd w:val="clear" w:color="auto" w:fill="auto"/>
            <w:noWrap/>
            <w:vAlign w:val="center"/>
            <w:hideMark/>
          </w:tcPr>
          <w:p w14:paraId="64199305" w14:textId="77777777" w:rsidR="002179D4" w:rsidRPr="0076589C" w:rsidRDefault="002179D4" w:rsidP="002179D4">
            <w:pPr>
              <w:spacing w:after="0" w:line="240" w:lineRule="auto"/>
              <w:ind w:left="0"/>
              <w:jc w:val="center"/>
              <w:rPr>
                <w:rFonts w:eastAsia="Times New Roman" w:cs="Times New Roman"/>
                <w:sz w:val="20"/>
                <w:szCs w:val="20"/>
              </w:rPr>
            </w:pPr>
          </w:p>
        </w:tc>
        <w:tc>
          <w:tcPr>
            <w:tcW w:w="1009" w:type="pct"/>
            <w:tcBorders>
              <w:top w:val="nil"/>
              <w:left w:val="nil"/>
              <w:bottom w:val="nil"/>
              <w:right w:val="nil"/>
            </w:tcBorders>
            <w:shd w:val="clear" w:color="auto" w:fill="auto"/>
            <w:noWrap/>
            <w:vAlign w:val="center"/>
            <w:hideMark/>
          </w:tcPr>
          <w:p w14:paraId="442A12DD" w14:textId="77777777" w:rsidR="002179D4" w:rsidRPr="0076589C" w:rsidRDefault="002179D4" w:rsidP="002179D4">
            <w:pPr>
              <w:spacing w:after="0" w:line="240" w:lineRule="auto"/>
              <w:ind w:left="0"/>
              <w:jc w:val="center"/>
              <w:rPr>
                <w:rFonts w:eastAsia="Times New Roman" w:cs="Times New Roman"/>
                <w:sz w:val="20"/>
                <w:szCs w:val="20"/>
              </w:rPr>
            </w:pPr>
          </w:p>
        </w:tc>
        <w:tc>
          <w:tcPr>
            <w:tcW w:w="1008" w:type="pct"/>
            <w:tcBorders>
              <w:top w:val="nil"/>
              <w:left w:val="nil"/>
              <w:bottom w:val="nil"/>
              <w:right w:val="nil"/>
            </w:tcBorders>
            <w:shd w:val="clear" w:color="auto" w:fill="auto"/>
            <w:noWrap/>
            <w:vAlign w:val="center"/>
            <w:hideMark/>
          </w:tcPr>
          <w:p w14:paraId="1D227F48" w14:textId="77777777" w:rsidR="002179D4" w:rsidRPr="0076589C" w:rsidRDefault="002179D4" w:rsidP="002179D4">
            <w:pPr>
              <w:spacing w:after="0" w:line="240" w:lineRule="auto"/>
              <w:ind w:left="0"/>
              <w:jc w:val="center"/>
              <w:rPr>
                <w:rFonts w:eastAsia="Times New Roman" w:cs="Times New Roman"/>
                <w:sz w:val="20"/>
                <w:szCs w:val="20"/>
              </w:rPr>
            </w:pPr>
          </w:p>
        </w:tc>
      </w:tr>
      <w:tr w:rsidR="002179D4" w:rsidRPr="0076589C" w14:paraId="6F990EF4" w14:textId="77777777" w:rsidTr="1C8D6E3A">
        <w:trPr>
          <w:trHeight w:val="270"/>
        </w:trPr>
        <w:tc>
          <w:tcPr>
            <w:tcW w:w="966" w:type="pct"/>
            <w:tcBorders>
              <w:top w:val="nil"/>
              <w:left w:val="nil"/>
              <w:bottom w:val="nil"/>
              <w:right w:val="nil"/>
            </w:tcBorders>
            <w:shd w:val="clear" w:color="auto" w:fill="auto"/>
            <w:noWrap/>
            <w:vAlign w:val="bottom"/>
            <w:hideMark/>
          </w:tcPr>
          <w:p w14:paraId="076AA028" w14:textId="77777777" w:rsidR="002179D4" w:rsidRPr="0076589C" w:rsidRDefault="002179D4" w:rsidP="002179D4">
            <w:pPr>
              <w:spacing w:after="0" w:line="240" w:lineRule="auto"/>
              <w:ind w:left="0"/>
              <w:jc w:val="center"/>
              <w:rPr>
                <w:rFonts w:eastAsia="Times New Roman" w:cs="Times New Roman"/>
                <w:sz w:val="20"/>
                <w:szCs w:val="20"/>
              </w:rPr>
            </w:pPr>
          </w:p>
        </w:tc>
        <w:tc>
          <w:tcPr>
            <w:tcW w:w="1009" w:type="pct"/>
            <w:tcBorders>
              <w:top w:val="nil"/>
              <w:left w:val="nil"/>
              <w:bottom w:val="single" w:sz="8" w:space="0" w:color="85BADC"/>
              <w:right w:val="nil"/>
            </w:tcBorders>
            <w:shd w:val="clear" w:color="auto" w:fill="auto"/>
            <w:noWrap/>
            <w:vAlign w:val="center"/>
            <w:hideMark/>
          </w:tcPr>
          <w:p w14:paraId="208EDE86" w14:textId="77777777" w:rsidR="002179D4" w:rsidRPr="0076589C" w:rsidRDefault="1C8D6E3A" w:rsidP="002179D4">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2019</w:t>
            </w:r>
          </w:p>
        </w:tc>
        <w:tc>
          <w:tcPr>
            <w:tcW w:w="1009" w:type="pct"/>
            <w:tcBorders>
              <w:top w:val="nil"/>
              <w:left w:val="nil"/>
              <w:bottom w:val="single" w:sz="8" w:space="0" w:color="85BADC"/>
              <w:right w:val="nil"/>
            </w:tcBorders>
            <w:shd w:val="clear" w:color="auto" w:fill="auto"/>
            <w:noWrap/>
            <w:vAlign w:val="center"/>
            <w:hideMark/>
          </w:tcPr>
          <w:p w14:paraId="23FB72CE" w14:textId="77777777" w:rsidR="002179D4" w:rsidRPr="0076589C" w:rsidRDefault="1C8D6E3A" w:rsidP="002179D4">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2020</w:t>
            </w:r>
          </w:p>
        </w:tc>
        <w:tc>
          <w:tcPr>
            <w:tcW w:w="1009" w:type="pct"/>
            <w:tcBorders>
              <w:top w:val="nil"/>
              <w:left w:val="nil"/>
              <w:bottom w:val="single" w:sz="8" w:space="0" w:color="85BADC"/>
              <w:right w:val="nil"/>
            </w:tcBorders>
            <w:shd w:val="clear" w:color="auto" w:fill="auto"/>
            <w:noWrap/>
            <w:vAlign w:val="center"/>
            <w:hideMark/>
          </w:tcPr>
          <w:p w14:paraId="006FFE30" w14:textId="77777777" w:rsidR="002179D4" w:rsidRPr="0076589C" w:rsidRDefault="1C8D6E3A" w:rsidP="002179D4">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2021</w:t>
            </w:r>
          </w:p>
        </w:tc>
        <w:tc>
          <w:tcPr>
            <w:tcW w:w="1008" w:type="pct"/>
            <w:tcBorders>
              <w:top w:val="nil"/>
              <w:left w:val="nil"/>
              <w:bottom w:val="single" w:sz="8" w:space="0" w:color="85BADC"/>
              <w:right w:val="nil"/>
            </w:tcBorders>
            <w:shd w:val="clear" w:color="auto" w:fill="auto"/>
            <w:noWrap/>
            <w:vAlign w:val="center"/>
            <w:hideMark/>
          </w:tcPr>
          <w:p w14:paraId="63773780" w14:textId="77777777" w:rsidR="002179D4" w:rsidRPr="0076589C" w:rsidRDefault="1C8D6E3A" w:rsidP="002179D4">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2022</w:t>
            </w:r>
          </w:p>
        </w:tc>
      </w:tr>
      <w:tr w:rsidR="002179D4" w:rsidRPr="0076589C" w14:paraId="4C9E0F1B" w14:textId="77777777" w:rsidTr="1C8D6E3A">
        <w:trPr>
          <w:trHeight w:val="260"/>
        </w:trPr>
        <w:tc>
          <w:tcPr>
            <w:tcW w:w="966" w:type="pct"/>
            <w:tcBorders>
              <w:top w:val="nil"/>
              <w:left w:val="nil"/>
              <w:bottom w:val="nil"/>
              <w:right w:val="nil"/>
            </w:tcBorders>
            <w:shd w:val="clear" w:color="auto" w:fill="auto"/>
            <w:noWrap/>
            <w:vAlign w:val="bottom"/>
            <w:hideMark/>
          </w:tcPr>
          <w:p w14:paraId="5DDF89B2" w14:textId="77777777" w:rsidR="002179D4" w:rsidRPr="0076589C" w:rsidRDefault="1C8D6E3A" w:rsidP="1C8D6E3A">
            <w:pPr>
              <w:spacing w:after="0" w:line="240" w:lineRule="auto"/>
              <w:ind w:left="0"/>
              <w:rPr>
                <w:rFonts w:ascii="Calibri" w:eastAsia="Times New Roman" w:hAnsi="Calibri" w:cs="Calibri"/>
                <w:i/>
                <w:iCs/>
                <w:color w:val="000000"/>
                <w:sz w:val="20"/>
                <w:szCs w:val="20"/>
              </w:rPr>
            </w:pPr>
            <w:r w:rsidRPr="0076589C">
              <w:rPr>
                <w:rFonts w:ascii="Calibri" w:eastAsia="Times New Roman" w:hAnsi="Calibri" w:cs="Calibri"/>
                <w:i/>
                <w:iCs/>
                <w:color w:val="000000" w:themeColor="text1"/>
                <w:sz w:val="20"/>
                <w:szCs w:val="20"/>
              </w:rPr>
              <w:t>Activos corrientes</w:t>
            </w:r>
          </w:p>
        </w:tc>
        <w:tc>
          <w:tcPr>
            <w:tcW w:w="1009" w:type="pct"/>
            <w:tcBorders>
              <w:top w:val="nil"/>
              <w:left w:val="nil"/>
              <w:bottom w:val="nil"/>
              <w:right w:val="nil"/>
            </w:tcBorders>
            <w:shd w:val="clear" w:color="auto" w:fill="auto"/>
            <w:noWrap/>
            <w:vAlign w:val="center"/>
            <w:hideMark/>
          </w:tcPr>
          <w:p w14:paraId="63B25099" w14:textId="77777777" w:rsidR="002179D4" w:rsidRPr="0076589C" w:rsidRDefault="1C8D6E3A" w:rsidP="002179D4">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14,697,964.20 </w:t>
            </w:r>
          </w:p>
        </w:tc>
        <w:tc>
          <w:tcPr>
            <w:tcW w:w="1009" w:type="pct"/>
            <w:tcBorders>
              <w:top w:val="nil"/>
              <w:left w:val="nil"/>
              <w:bottom w:val="nil"/>
              <w:right w:val="nil"/>
            </w:tcBorders>
            <w:shd w:val="clear" w:color="auto" w:fill="auto"/>
            <w:noWrap/>
            <w:vAlign w:val="center"/>
            <w:hideMark/>
          </w:tcPr>
          <w:p w14:paraId="4ACADCBE" w14:textId="77777777" w:rsidR="002179D4" w:rsidRPr="0076589C" w:rsidRDefault="1C8D6E3A" w:rsidP="002179D4">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14,555,373.64 </w:t>
            </w:r>
          </w:p>
        </w:tc>
        <w:tc>
          <w:tcPr>
            <w:tcW w:w="1009" w:type="pct"/>
            <w:tcBorders>
              <w:top w:val="nil"/>
              <w:left w:val="nil"/>
              <w:bottom w:val="nil"/>
              <w:right w:val="nil"/>
            </w:tcBorders>
            <w:shd w:val="clear" w:color="auto" w:fill="auto"/>
            <w:noWrap/>
            <w:vAlign w:val="center"/>
            <w:hideMark/>
          </w:tcPr>
          <w:p w14:paraId="638332B9" w14:textId="77777777" w:rsidR="002179D4" w:rsidRPr="0076589C" w:rsidRDefault="1C8D6E3A" w:rsidP="002179D4">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16,921,541.30 </w:t>
            </w:r>
          </w:p>
        </w:tc>
        <w:tc>
          <w:tcPr>
            <w:tcW w:w="1008" w:type="pct"/>
            <w:tcBorders>
              <w:top w:val="nil"/>
              <w:left w:val="nil"/>
              <w:bottom w:val="nil"/>
              <w:right w:val="nil"/>
            </w:tcBorders>
            <w:shd w:val="clear" w:color="auto" w:fill="auto"/>
            <w:noWrap/>
            <w:vAlign w:val="center"/>
            <w:hideMark/>
          </w:tcPr>
          <w:p w14:paraId="3B3DCAE9" w14:textId="77777777" w:rsidR="002179D4" w:rsidRPr="0076589C" w:rsidRDefault="1C8D6E3A" w:rsidP="002179D4">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20,235,079.27 </w:t>
            </w:r>
          </w:p>
        </w:tc>
      </w:tr>
      <w:tr w:rsidR="002179D4" w:rsidRPr="0076589C" w14:paraId="73AB5A29" w14:textId="77777777" w:rsidTr="1C8D6E3A">
        <w:trPr>
          <w:trHeight w:val="270"/>
        </w:trPr>
        <w:tc>
          <w:tcPr>
            <w:tcW w:w="966" w:type="pct"/>
            <w:tcBorders>
              <w:top w:val="nil"/>
              <w:left w:val="nil"/>
              <w:bottom w:val="double" w:sz="6" w:space="0" w:color="85BADC"/>
              <w:right w:val="nil"/>
            </w:tcBorders>
            <w:shd w:val="clear" w:color="auto" w:fill="auto"/>
            <w:noWrap/>
            <w:vAlign w:val="bottom"/>
            <w:hideMark/>
          </w:tcPr>
          <w:p w14:paraId="66B65D11" w14:textId="77777777" w:rsidR="002179D4" w:rsidRPr="0076589C" w:rsidRDefault="1C8D6E3A" w:rsidP="1C8D6E3A">
            <w:pPr>
              <w:spacing w:after="0" w:line="240" w:lineRule="auto"/>
              <w:ind w:left="0"/>
              <w:rPr>
                <w:rFonts w:ascii="Calibri" w:eastAsia="Times New Roman" w:hAnsi="Calibri" w:cs="Calibri"/>
                <w:i/>
                <w:iCs/>
                <w:color w:val="000000"/>
                <w:sz w:val="20"/>
                <w:szCs w:val="20"/>
              </w:rPr>
            </w:pPr>
            <w:r w:rsidRPr="0076589C">
              <w:rPr>
                <w:rFonts w:ascii="Calibri" w:eastAsia="Times New Roman" w:hAnsi="Calibri" w:cs="Calibri"/>
                <w:i/>
                <w:iCs/>
                <w:color w:val="000000" w:themeColor="text1"/>
                <w:sz w:val="20"/>
                <w:szCs w:val="20"/>
              </w:rPr>
              <w:t>Pasivos corrientes</w:t>
            </w:r>
          </w:p>
        </w:tc>
        <w:tc>
          <w:tcPr>
            <w:tcW w:w="1009" w:type="pct"/>
            <w:tcBorders>
              <w:top w:val="nil"/>
              <w:left w:val="nil"/>
              <w:bottom w:val="double" w:sz="6" w:space="0" w:color="85BADC"/>
              <w:right w:val="nil"/>
            </w:tcBorders>
            <w:shd w:val="clear" w:color="auto" w:fill="auto"/>
            <w:noWrap/>
            <w:vAlign w:val="center"/>
            <w:hideMark/>
          </w:tcPr>
          <w:p w14:paraId="7D1D4258" w14:textId="77777777" w:rsidR="002179D4" w:rsidRPr="0076589C" w:rsidRDefault="1C8D6E3A" w:rsidP="002179D4">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1,903,634.46 </w:t>
            </w:r>
          </w:p>
        </w:tc>
        <w:tc>
          <w:tcPr>
            <w:tcW w:w="1009" w:type="pct"/>
            <w:tcBorders>
              <w:top w:val="nil"/>
              <w:left w:val="nil"/>
              <w:bottom w:val="double" w:sz="6" w:space="0" w:color="85BADC"/>
              <w:right w:val="nil"/>
            </w:tcBorders>
            <w:shd w:val="clear" w:color="auto" w:fill="auto"/>
            <w:noWrap/>
            <w:vAlign w:val="center"/>
            <w:hideMark/>
          </w:tcPr>
          <w:p w14:paraId="66871CC2" w14:textId="77777777" w:rsidR="002179D4" w:rsidRPr="0076589C" w:rsidRDefault="1C8D6E3A" w:rsidP="002179D4">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1,095,508.11 </w:t>
            </w:r>
          </w:p>
        </w:tc>
        <w:tc>
          <w:tcPr>
            <w:tcW w:w="1009" w:type="pct"/>
            <w:tcBorders>
              <w:top w:val="nil"/>
              <w:left w:val="nil"/>
              <w:bottom w:val="double" w:sz="6" w:space="0" w:color="85BADC"/>
              <w:right w:val="nil"/>
            </w:tcBorders>
            <w:shd w:val="clear" w:color="auto" w:fill="auto"/>
            <w:noWrap/>
            <w:vAlign w:val="center"/>
            <w:hideMark/>
          </w:tcPr>
          <w:p w14:paraId="686722CE" w14:textId="77777777" w:rsidR="002179D4" w:rsidRPr="0076589C" w:rsidRDefault="1C8D6E3A" w:rsidP="002179D4">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1,627,455.64 </w:t>
            </w:r>
          </w:p>
        </w:tc>
        <w:tc>
          <w:tcPr>
            <w:tcW w:w="1008" w:type="pct"/>
            <w:tcBorders>
              <w:top w:val="nil"/>
              <w:left w:val="nil"/>
              <w:bottom w:val="double" w:sz="6" w:space="0" w:color="85BADC"/>
              <w:right w:val="nil"/>
            </w:tcBorders>
            <w:shd w:val="clear" w:color="auto" w:fill="auto"/>
            <w:noWrap/>
            <w:vAlign w:val="center"/>
            <w:hideMark/>
          </w:tcPr>
          <w:p w14:paraId="57AF1AFE" w14:textId="77777777" w:rsidR="002179D4" w:rsidRPr="0076589C" w:rsidRDefault="1C8D6E3A" w:rsidP="002179D4">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2,970,909.85 </w:t>
            </w:r>
          </w:p>
        </w:tc>
      </w:tr>
      <w:tr w:rsidR="002179D4" w:rsidRPr="0076589C" w14:paraId="295C1310" w14:textId="77777777" w:rsidTr="1C8D6E3A">
        <w:trPr>
          <w:trHeight w:val="270"/>
        </w:trPr>
        <w:tc>
          <w:tcPr>
            <w:tcW w:w="966" w:type="pct"/>
            <w:tcBorders>
              <w:top w:val="nil"/>
              <w:left w:val="nil"/>
              <w:bottom w:val="nil"/>
              <w:right w:val="nil"/>
            </w:tcBorders>
            <w:shd w:val="clear" w:color="auto" w:fill="auto"/>
            <w:noWrap/>
            <w:vAlign w:val="bottom"/>
            <w:hideMark/>
          </w:tcPr>
          <w:p w14:paraId="0FAED993" w14:textId="77777777" w:rsidR="002179D4" w:rsidRPr="0076589C" w:rsidRDefault="1C8D6E3A" w:rsidP="002179D4">
            <w:pPr>
              <w:spacing w:after="0" w:line="240" w:lineRule="auto"/>
              <w:ind w:left="0"/>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Liquidez corriente</w:t>
            </w:r>
          </w:p>
        </w:tc>
        <w:tc>
          <w:tcPr>
            <w:tcW w:w="1009" w:type="pct"/>
            <w:tcBorders>
              <w:top w:val="nil"/>
              <w:left w:val="nil"/>
              <w:bottom w:val="nil"/>
              <w:right w:val="nil"/>
            </w:tcBorders>
            <w:shd w:val="clear" w:color="auto" w:fill="auto"/>
            <w:noWrap/>
            <w:vAlign w:val="center"/>
            <w:hideMark/>
          </w:tcPr>
          <w:p w14:paraId="41DD877D" w14:textId="77777777" w:rsidR="002179D4" w:rsidRPr="0076589C" w:rsidRDefault="1C8D6E3A" w:rsidP="002179D4">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7.72</w:t>
            </w:r>
          </w:p>
        </w:tc>
        <w:tc>
          <w:tcPr>
            <w:tcW w:w="1009" w:type="pct"/>
            <w:tcBorders>
              <w:top w:val="nil"/>
              <w:left w:val="nil"/>
              <w:bottom w:val="nil"/>
              <w:right w:val="nil"/>
            </w:tcBorders>
            <w:shd w:val="clear" w:color="auto" w:fill="auto"/>
            <w:noWrap/>
            <w:vAlign w:val="center"/>
            <w:hideMark/>
          </w:tcPr>
          <w:p w14:paraId="6AA38AE4" w14:textId="77777777" w:rsidR="002179D4" w:rsidRPr="0076589C" w:rsidRDefault="1C8D6E3A" w:rsidP="002179D4">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13.29</w:t>
            </w:r>
          </w:p>
        </w:tc>
        <w:tc>
          <w:tcPr>
            <w:tcW w:w="1009" w:type="pct"/>
            <w:tcBorders>
              <w:top w:val="nil"/>
              <w:left w:val="nil"/>
              <w:bottom w:val="nil"/>
              <w:right w:val="nil"/>
            </w:tcBorders>
            <w:shd w:val="clear" w:color="auto" w:fill="auto"/>
            <w:noWrap/>
            <w:vAlign w:val="center"/>
            <w:hideMark/>
          </w:tcPr>
          <w:p w14:paraId="1F144DC8" w14:textId="77777777" w:rsidR="002179D4" w:rsidRPr="0076589C" w:rsidRDefault="1C8D6E3A" w:rsidP="002179D4">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10.40</w:t>
            </w:r>
          </w:p>
        </w:tc>
        <w:tc>
          <w:tcPr>
            <w:tcW w:w="1008" w:type="pct"/>
            <w:tcBorders>
              <w:top w:val="nil"/>
              <w:left w:val="nil"/>
              <w:bottom w:val="nil"/>
              <w:right w:val="nil"/>
            </w:tcBorders>
            <w:shd w:val="clear" w:color="auto" w:fill="auto"/>
            <w:noWrap/>
            <w:vAlign w:val="center"/>
            <w:hideMark/>
          </w:tcPr>
          <w:p w14:paraId="68F8BC48" w14:textId="77777777" w:rsidR="002179D4" w:rsidRPr="0076589C" w:rsidRDefault="1C8D6E3A" w:rsidP="002179D4">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6.81</w:t>
            </w:r>
          </w:p>
        </w:tc>
      </w:tr>
    </w:tbl>
    <w:p w14:paraId="27D43A1A" w14:textId="77777777" w:rsidR="00D33EF8" w:rsidRPr="0076589C" w:rsidRDefault="1C8D6E3A" w:rsidP="00D33EF8">
      <w:pPr>
        <w:pStyle w:val="Fuentes"/>
        <w:rPr>
          <w:lang w:val="es-HN"/>
        </w:rPr>
      </w:pPr>
      <w:r w:rsidRPr="0076589C">
        <w:rPr>
          <w:lang w:val="es-HN"/>
        </w:rPr>
        <w:t>Fuente: Elaboración propia con datos de IPRA (2023).</w:t>
      </w:r>
    </w:p>
    <w:p w14:paraId="7AAF5423" w14:textId="4A3FD0A1" w:rsidR="008F3714" w:rsidRPr="0076589C" w:rsidRDefault="1C8D6E3A" w:rsidP="008F3714">
      <w:pPr>
        <w:pStyle w:val="TextoPrincipal"/>
        <w:rPr>
          <w:lang w:val="es-HN"/>
        </w:rPr>
      </w:pPr>
      <w:r w:rsidRPr="0076589C">
        <w:rPr>
          <w:lang w:val="es-HN"/>
        </w:rPr>
        <w:t xml:space="preserve">En la </w:t>
      </w:r>
      <w:r w:rsidR="00585884" w:rsidRPr="0076589C">
        <w:rPr>
          <w:b/>
          <w:bCs/>
          <w:lang w:val="es-HN"/>
        </w:rPr>
        <w:t>Tabla 2</w:t>
      </w:r>
      <w:r w:rsidR="00933C9A" w:rsidRPr="0076589C">
        <w:rPr>
          <w:b/>
          <w:bCs/>
          <w:lang w:val="es-HN"/>
        </w:rPr>
        <w:t>3</w:t>
      </w:r>
      <w:r w:rsidRPr="0076589C">
        <w:rPr>
          <w:lang w:val="es-HN"/>
        </w:rPr>
        <w:t xml:space="preserve">, se presentaron los escenarios de la Liquidez Corriente en IPRA en el periodo 2019-2022. Donde los resultados obtenidos para el año 2019, la empresa tenía una liquidez corriente de 7.72 lo cual indica una fuerte posición de liquidez ya que la empresa tenía activos corrientes superiores a sus pasivos corrientes para cumplir con su obligaciones a corto plazo, para el año 2020 la liquidez corriente aumentó significativamente a 13.29 lo que se interpreta a que la empresa seguía continuó fortaleciendo su posición financiera a pesar de que el año estuvo marcado por desafíos económicos como ser la pandemia COVID-19. </w:t>
      </w:r>
    </w:p>
    <w:p w14:paraId="4E0FB2FD" w14:textId="149ADB2D" w:rsidR="002179D4" w:rsidRPr="0076589C" w:rsidRDefault="1C8D6E3A" w:rsidP="008F3714">
      <w:pPr>
        <w:pStyle w:val="TextoPrincipal"/>
        <w:rPr>
          <w:lang w:val="es-HN"/>
        </w:rPr>
      </w:pPr>
      <w:r w:rsidRPr="0076589C">
        <w:rPr>
          <w:lang w:val="es-HN"/>
        </w:rPr>
        <w:t>En el año 2021 disminuyó a 10.40 pero aún se mantenía en un nivel saludable financieramente y por último para el año 2022 disminuyó aún más a 6.81 aunque sigue siendo positiva se podría indicar que la empresa tuvo una posición de liquidez ligeramente menos solida en comparación a los años anteriores.</w:t>
      </w:r>
    </w:p>
    <w:p w14:paraId="59FC8C84" w14:textId="3F4A1696" w:rsidR="00F7452B" w:rsidRPr="0076589C" w:rsidRDefault="00F7452B" w:rsidP="00D91B62">
      <w:pPr>
        <w:pStyle w:val="TextoPrincipal"/>
        <w:ind w:firstLine="0"/>
        <w:jc w:val="center"/>
        <w:rPr>
          <w:lang w:val="es-HN"/>
        </w:rPr>
      </w:pPr>
      <w:r w:rsidRPr="0076589C">
        <w:rPr>
          <w:noProof/>
          <w:lang w:val="es-HN" w:eastAsia="es-HN"/>
        </w:rPr>
        <w:drawing>
          <wp:inline distT="0" distB="0" distL="0" distR="0" wp14:anchorId="18515E9F" wp14:editId="0A33E70C">
            <wp:extent cx="5852160" cy="2743200"/>
            <wp:effectExtent l="0" t="0" r="15240" b="0"/>
            <wp:docPr id="1100095709" name="Gráfico 1">
              <a:extLst xmlns:a="http://schemas.openxmlformats.org/drawingml/2006/main">
                <a:ext uri="{FF2B5EF4-FFF2-40B4-BE49-F238E27FC236}">
                  <a16:creationId xmlns:a16="http://schemas.microsoft.com/office/drawing/2014/main" id="{DB84A586-A514-6686-95A4-040E39D9101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2106D65E" w14:textId="581E987A" w:rsidR="005841F2" w:rsidRPr="0076589C" w:rsidRDefault="1C8D6E3A" w:rsidP="005841F2">
      <w:pPr>
        <w:pStyle w:val="ImagenyTabla"/>
        <w:rPr>
          <w:noProof w:val="0"/>
        </w:rPr>
      </w:pPr>
      <w:bookmarkStart w:id="287" w:name="_Toc158365598"/>
      <w:r w:rsidRPr="0076589C">
        <w:t xml:space="preserve">Figura </w:t>
      </w:r>
      <w:r w:rsidR="005841F2" w:rsidRPr="0076589C">
        <w:rPr>
          <w:noProof w:val="0"/>
        </w:rPr>
        <w:fldChar w:fldCharType="begin"/>
      </w:r>
      <w:r w:rsidR="005841F2" w:rsidRPr="0076589C">
        <w:rPr>
          <w:noProof w:val="0"/>
        </w:rPr>
        <w:instrText xml:space="preserve"> SEQ Figura \* ARABIC </w:instrText>
      </w:r>
      <w:r w:rsidR="005841F2" w:rsidRPr="0076589C">
        <w:rPr>
          <w:noProof w:val="0"/>
        </w:rPr>
        <w:fldChar w:fldCharType="separate"/>
      </w:r>
      <w:r w:rsidR="009F171A">
        <w:t>13</w:t>
      </w:r>
      <w:r w:rsidR="005841F2" w:rsidRPr="0076589C">
        <w:rPr>
          <w:noProof w:val="0"/>
        </w:rPr>
        <w:fldChar w:fldCharType="end"/>
      </w:r>
      <w:r w:rsidRPr="0076589C">
        <w:t>. Liquidez corriente en IPRA (2019-2022)</w:t>
      </w:r>
      <w:bookmarkEnd w:id="287"/>
    </w:p>
    <w:p w14:paraId="45F74891" w14:textId="77777777" w:rsidR="00D33EF8" w:rsidRPr="0076589C" w:rsidRDefault="1C8D6E3A" w:rsidP="00D33EF8">
      <w:pPr>
        <w:pStyle w:val="Fuentes"/>
        <w:rPr>
          <w:lang w:val="es-HN"/>
        </w:rPr>
      </w:pPr>
      <w:r w:rsidRPr="0076589C">
        <w:rPr>
          <w:lang w:val="es-HN"/>
        </w:rPr>
        <w:t>Fuente: Elaboración propia con datos de IPRA (2023).</w:t>
      </w:r>
    </w:p>
    <w:p w14:paraId="17AB4871" w14:textId="1C85559D" w:rsidR="005841F2" w:rsidRPr="0076589C" w:rsidRDefault="7FAD8741" w:rsidP="00775958">
      <w:pPr>
        <w:pStyle w:val="TextoPrincipal"/>
        <w:spacing w:after="0"/>
        <w:rPr>
          <w:lang w:val="es-HN"/>
        </w:rPr>
      </w:pPr>
      <w:r w:rsidRPr="0076589C">
        <w:rPr>
          <w:lang w:val="es-HN"/>
        </w:rPr>
        <w:t xml:space="preserve">En la </w:t>
      </w:r>
      <w:r w:rsidRPr="0076589C">
        <w:rPr>
          <w:b/>
          <w:bCs/>
          <w:lang w:val="es-HN"/>
        </w:rPr>
        <w:t>Figura 13</w:t>
      </w:r>
      <w:r w:rsidRPr="0076589C">
        <w:rPr>
          <w:lang w:val="es-HN"/>
        </w:rPr>
        <w:t xml:space="preserve">, se pudo observar gráficamente la evolución de la liquidez corriente a través de los años en la empresa IPRA para el periodo de 2019-2022. Cabe destacar que una </w:t>
      </w:r>
      <w:r w:rsidRPr="0076589C">
        <w:rPr>
          <w:lang w:val="es-HN"/>
        </w:rPr>
        <w:lastRenderedPageBreak/>
        <w:t>liquidez corriente mayor al valor de 1.0 pudo indicar una gestión de activos subóptima y podría significar que la empresa está reteniendo demasiada liquidez, en lugar de hacer una inversión en distintas oportunidades rentables. Por lo tanto, IPRA tiene la posibilidad de analizar y tomar la decisión para en un futuro poder invertir en nuevos proyectos que contribuyan al crecimiento de la empresa.</w:t>
      </w:r>
    </w:p>
    <w:p w14:paraId="514B7B7B" w14:textId="77777777" w:rsidR="00775958" w:rsidRPr="0076589C" w:rsidRDefault="00775958" w:rsidP="00775958">
      <w:pPr>
        <w:pStyle w:val="TextoPrincipal"/>
        <w:spacing w:after="0"/>
        <w:rPr>
          <w:lang w:val="es-HN"/>
        </w:rPr>
      </w:pPr>
    </w:p>
    <w:p w14:paraId="764EA6F3" w14:textId="202C02FA" w:rsidR="002179D4" w:rsidRPr="0076589C" w:rsidRDefault="1C8D6E3A" w:rsidP="009D08E1">
      <w:pPr>
        <w:pStyle w:val="Nivel5"/>
        <w:numPr>
          <w:ilvl w:val="0"/>
          <w:numId w:val="38"/>
        </w:numPr>
        <w:ind w:left="1440" w:firstLine="0"/>
      </w:pPr>
      <w:r w:rsidRPr="0076589C">
        <w:t>RAZÓN RÁPIDA</w:t>
      </w:r>
    </w:p>
    <w:p w14:paraId="71862957" w14:textId="344B9B39" w:rsidR="00D33EF8" w:rsidRPr="0076589C" w:rsidRDefault="1C8D6E3A" w:rsidP="002179D4">
      <w:pPr>
        <w:pStyle w:val="TextoPrincipal"/>
        <w:rPr>
          <w:lang w:val="es-HN"/>
        </w:rPr>
      </w:pPr>
      <w:r w:rsidRPr="0076589C">
        <w:rPr>
          <w:lang w:val="es-HN"/>
        </w:rPr>
        <w:t xml:space="preserve">La razón rápida también conocida como prueba del ácido es similar a la razón del circulante, excepto que en esta se excluye el inventario. Es la medida de liquidez que se calcula dividiendo los activos circulantes de la empresa menos los inventarios entre sus pasivos corrientes. La liquidez generalmente baja del inventario es resultado de los factores: 1) muchos tipos de inventarios que no se venden con facilidad y 2) por lo común, un inventario se vende a crédito, es decir, se convierte en una cuenta por cobrar antes de ser efectivo. </w:t>
      </w:r>
      <w:r w:rsidR="00D03EA4" w:rsidRPr="0076589C">
        <w:rPr>
          <w:lang w:val="es-HN"/>
        </w:rPr>
        <w:fldChar w:fldCharType="begin"/>
      </w:r>
      <w:r w:rsidR="00D03EA4" w:rsidRPr="0076589C">
        <w:rPr>
          <w:lang w:val="es-HN"/>
        </w:rPr>
        <w:instrText xml:space="preserve"> ADDIN ZOTERO_ITEM CSL_CITATION {"citationID":"TqBCynSH","properties":{"formattedCitation":"(Gitman, 2003)","plainCitation":"(Gitman, 2003)","noteIndex":0},"citationItems":[{"id":116,"uris":["http://zotero.org/users/12108825/items/S6B9AWMN"],"itemData":{"id":116,"type":"book","abstract":"Papel y entorno de la administración financiera - Estados financieros y su análisis - Flujo de efectivo y planeación financiera - Valor del dinero en el tiempo - Riesgos y rendimiento - Tasas de interés y valuación de bonos - Valuación de acciones - Flujos de efectivo del presupuesto de capital - Técnicas para preparar presupuestos de capital : certeza y riesgo - Costo de capital - Apalancamiento y estructura de capital - Política de dividendos - Administración de capital de trabajo y de activos circulantes - Administración de pasivos circulantes.","ISBN":"978-970-26-0428-0","language":"es","note":"Google-Books-ID: KS_04zILe2gC","number-of-pages":"684","publisher":"Pearson Educación","source":"Google Books","title":"Principios de administración financiera","author":[{"family":"Gitman","given":"Lawrence J."}],"issued":{"date-parts":[["2003"]]}}}],"schema":"https://github.com/citation-style-language/schema/raw/master/csl-citation.json"} </w:instrText>
      </w:r>
      <w:r w:rsidR="00D03EA4" w:rsidRPr="0076589C">
        <w:rPr>
          <w:lang w:val="es-HN"/>
        </w:rPr>
        <w:fldChar w:fldCharType="separate"/>
      </w:r>
      <w:r w:rsidRPr="0076589C">
        <w:rPr>
          <w:lang w:val="es-HN"/>
        </w:rPr>
        <w:t>(Gitman, 2003)</w:t>
      </w:r>
      <w:r w:rsidR="00D03EA4" w:rsidRPr="0076589C">
        <w:rPr>
          <w:lang w:val="es-HN"/>
        </w:rPr>
        <w:fldChar w:fldCharType="end"/>
      </w:r>
    </w:p>
    <w:p w14:paraId="0767A497" w14:textId="2B901699" w:rsidR="00405887" w:rsidRPr="0076589C" w:rsidRDefault="1C8D6E3A" w:rsidP="002179D4">
      <w:pPr>
        <w:pStyle w:val="TextoPrincipal"/>
        <w:rPr>
          <w:lang w:val="es-HN"/>
        </w:rPr>
      </w:pPr>
      <w:r w:rsidRPr="0076589C">
        <w:rPr>
          <w:lang w:val="es-HN"/>
        </w:rPr>
        <w:t>Al igual que la liquidez corriente, el resultado de la fórmula es una relación numérica, donde se interpreta que si es superior a 1.0 la empresa tiene activos líquidos suficientes para cubrir sus pasivos corrientes sin depender en exceso de la venta de inventarios y un valor inferior a 1.0 indica que la empresa podría enfrentar dificultades para el cumplimiento de sus obligaciones a corto plazo.</w:t>
      </w:r>
    </w:p>
    <w:p w14:paraId="128A5B4D" w14:textId="5CA70B4E" w:rsidR="00D33EF8" w:rsidRPr="0076589C" w:rsidRDefault="1C8D6E3A" w:rsidP="00E52F3E">
      <w:pPr>
        <w:pStyle w:val="ImagenyTabla"/>
        <w:rPr>
          <w:noProof w:val="0"/>
        </w:rPr>
      </w:pPr>
      <w:bookmarkStart w:id="288" w:name="_Toc158365572"/>
      <w:r w:rsidRPr="0076589C">
        <w:t xml:space="preserve">Tabla </w:t>
      </w:r>
      <w:r w:rsidR="00D33EF8" w:rsidRPr="0076589C">
        <w:rPr>
          <w:noProof w:val="0"/>
        </w:rPr>
        <w:fldChar w:fldCharType="begin"/>
      </w:r>
      <w:r w:rsidR="00D33EF8" w:rsidRPr="0076589C">
        <w:rPr>
          <w:noProof w:val="0"/>
        </w:rPr>
        <w:instrText xml:space="preserve"> SEQ Tabla \* ARABIC </w:instrText>
      </w:r>
      <w:r w:rsidR="00D33EF8" w:rsidRPr="0076589C">
        <w:rPr>
          <w:noProof w:val="0"/>
        </w:rPr>
        <w:fldChar w:fldCharType="separate"/>
      </w:r>
      <w:r w:rsidR="009F171A">
        <w:t>24</w:t>
      </w:r>
      <w:r w:rsidR="00D33EF8" w:rsidRPr="0076589C">
        <w:rPr>
          <w:noProof w:val="0"/>
        </w:rPr>
        <w:fldChar w:fldCharType="end"/>
      </w:r>
      <w:r w:rsidRPr="0076589C">
        <w:t xml:space="preserve">. </w:t>
      </w:r>
      <w:bookmarkStart w:id="289" w:name="_Hlk149755364"/>
      <w:r w:rsidRPr="0076589C">
        <w:t>Razón rápida en IPRA (2019-2022)</w:t>
      </w:r>
      <w:bookmarkEnd w:id="288"/>
      <w:bookmarkEnd w:id="289"/>
    </w:p>
    <w:tbl>
      <w:tblPr>
        <w:tblW w:w="5000" w:type="pct"/>
        <w:tblLook w:val="04A0" w:firstRow="1" w:lastRow="0" w:firstColumn="1" w:lastColumn="0" w:noHBand="0" w:noVBand="1"/>
      </w:tblPr>
      <w:tblGrid>
        <w:gridCol w:w="1766"/>
        <w:gridCol w:w="1898"/>
        <w:gridCol w:w="1898"/>
        <w:gridCol w:w="1898"/>
        <w:gridCol w:w="1900"/>
      </w:tblGrid>
      <w:tr w:rsidR="004B101C" w:rsidRPr="0076589C" w14:paraId="34B1086A" w14:textId="77777777" w:rsidTr="1C8D6E3A">
        <w:trPr>
          <w:trHeight w:val="260"/>
        </w:trPr>
        <w:tc>
          <w:tcPr>
            <w:tcW w:w="5000" w:type="pct"/>
            <w:gridSpan w:val="5"/>
            <w:tcBorders>
              <w:top w:val="nil"/>
              <w:left w:val="nil"/>
              <w:bottom w:val="nil"/>
              <w:right w:val="nil"/>
            </w:tcBorders>
            <w:shd w:val="clear" w:color="auto" w:fill="auto"/>
            <w:noWrap/>
            <w:vAlign w:val="bottom"/>
            <w:hideMark/>
          </w:tcPr>
          <w:p w14:paraId="467C96C6" w14:textId="77777777" w:rsidR="004B101C" w:rsidRPr="0076589C" w:rsidRDefault="1C8D6E3A" w:rsidP="1C8D6E3A">
            <w:pPr>
              <w:spacing w:after="0" w:line="240" w:lineRule="auto"/>
              <w:ind w:left="0"/>
              <w:rPr>
                <w:rFonts w:ascii="Calibri" w:eastAsia="Times New Roman" w:hAnsi="Calibri" w:cs="Calibri"/>
                <w:b/>
                <w:bCs/>
                <w:i/>
                <w:iCs/>
                <w:color w:val="000000"/>
                <w:sz w:val="20"/>
                <w:szCs w:val="20"/>
                <w:u w:val="single"/>
              </w:rPr>
            </w:pPr>
            <w:r w:rsidRPr="0076589C">
              <w:rPr>
                <w:rFonts w:ascii="Calibri" w:eastAsia="Times New Roman" w:hAnsi="Calibri" w:cs="Calibri"/>
                <w:b/>
                <w:bCs/>
                <w:i/>
                <w:iCs/>
                <w:color w:val="000000" w:themeColor="text1"/>
                <w:sz w:val="20"/>
                <w:szCs w:val="20"/>
                <w:u w:val="single"/>
              </w:rPr>
              <w:t>Razón rápida</w:t>
            </w:r>
          </w:p>
        </w:tc>
      </w:tr>
      <w:tr w:rsidR="004B101C" w:rsidRPr="0076589C" w14:paraId="648C000F" w14:textId="77777777" w:rsidTr="1C8D6E3A">
        <w:trPr>
          <w:trHeight w:val="270"/>
        </w:trPr>
        <w:tc>
          <w:tcPr>
            <w:tcW w:w="943" w:type="pct"/>
            <w:tcBorders>
              <w:top w:val="nil"/>
              <w:left w:val="nil"/>
              <w:bottom w:val="nil"/>
              <w:right w:val="nil"/>
            </w:tcBorders>
            <w:shd w:val="clear" w:color="auto" w:fill="auto"/>
            <w:noWrap/>
            <w:vAlign w:val="bottom"/>
            <w:hideMark/>
          </w:tcPr>
          <w:p w14:paraId="069CA639" w14:textId="77777777" w:rsidR="004B101C" w:rsidRPr="0076589C" w:rsidRDefault="004B101C" w:rsidP="1C8D6E3A">
            <w:pPr>
              <w:spacing w:after="0" w:line="240" w:lineRule="auto"/>
              <w:ind w:left="0"/>
              <w:rPr>
                <w:rFonts w:ascii="Calibri" w:eastAsia="Times New Roman" w:hAnsi="Calibri" w:cs="Calibri"/>
                <w:b/>
                <w:bCs/>
                <w:i/>
                <w:iCs/>
                <w:color w:val="000000"/>
                <w:sz w:val="20"/>
                <w:szCs w:val="20"/>
                <w:u w:val="single"/>
              </w:rPr>
            </w:pPr>
          </w:p>
        </w:tc>
        <w:tc>
          <w:tcPr>
            <w:tcW w:w="1014" w:type="pct"/>
            <w:tcBorders>
              <w:top w:val="nil"/>
              <w:left w:val="nil"/>
              <w:bottom w:val="single" w:sz="8" w:space="0" w:color="85BADC"/>
              <w:right w:val="nil"/>
            </w:tcBorders>
            <w:shd w:val="clear" w:color="auto" w:fill="auto"/>
            <w:noWrap/>
            <w:vAlign w:val="center"/>
            <w:hideMark/>
          </w:tcPr>
          <w:p w14:paraId="42A198C5" w14:textId="77777777" w:rsidR="004B101C" w:rsidRPr="0076589C" w:rsidRDefault="1C8D6E3A" w:rsidP="004B101C">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2019</w:t>
            </w:r>
          </w:p>
        </w:tc>
        <w:tc>
          <w:tcPr>
            <w:tcW w:w="1014" w:type="pct"/>
            <w:tcBorders>
              <w:top w:val="nil"/>
              <w:left w:val="nil"/>
              <w:bottom w:val="single" w:sz="8" w:space="0" w:color="85BADC"/>
              <w:right w:val="nil"/>
            </w:tcBorders>
            <w:shd w:val="clear" w:color="auto" w:fill="auto"/>
            <w:noWrap/>
            <w:vAlign w:val="center"/>
            <w:hideMark/>
          </w:tcPr>
          <w:p w14:paraId="4C6EA305" w14:textId="77777777" w:rsidR="004B101C" w:rsidRPr="0076589C" w:rsidRDefault="1C8D6E3A" w:rsidP="004B101C">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2020</w:t>
            </w:r>
          </w:p>
        </w:tc>
        <w:tc>
          <w:tcPr>
            <w:tcW w:w="1014" w:type="pct"/>
            <w:tcBorders>
              <w:top w:val="nil"/>
              <w:left w:val="nil"/>
              <w:bottom w:val="single" w:sz="8" w:space="0" w:color="85BADC"/>
              <w:right w:val="nil"/>
            </w:tcBorders>
            <w:shd w:val="clear" w:color="auto" w:fill="auto"/>
            <w:noWrap/>
            <w:vAlign w:val="center"/>
            <w:hideMark/>
          </w:tcPr>
          <w:p w14:paraId="4B70CE68" w14:textId="77777777" w:rsidR="004B101C" w:rsidRPr="0076589C" w:rsidRDefault="1C8D6E3A" w:rsidP="004B101C">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2021</w:t>
            </w:r>
          </w:p>
        </w:tc>
        <w:tc>
          <w:tcPr>
            <w:tcW w:w="1015" w:type="pct"/>
            <w:tcBorders>
              <w:top w:val="nil"/>
              <w:left w:val="nil"/>
              <w:bottom w:val="single" w:sz="8" w:space="0" w:color="85BADC"/>
              <w:right w:val="nil"/>
            </w:tcBorders>
            <w:shd w:val="clear" w:color="auto" w:fill="auto"/>
            <w:noWrap/>
            <w:vAlign w:val="center"/>
            <w:hideMark/>
          </w:tcPr>
          <w:p w14:paraId="41AB5295" w14:textId="77777777" w:rsidR="004B101C" w:rsidRPr="0076589C" w:rsidRDefault="1C8D6E3A" w:rsidP="004B101C">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2022</w:t>
            </w:r>
          </w:p>
        </w:tc>
      </w:tr>
      <w:tr w:rsidR="004B101C" w:rsidRPr="0076589C" w14:paraId="1790D026" w14:textId="77777777" w:rsidTr="1C8D6E3A">
        <w:trPr>
          <w:trHeight w:val="260"/>
        </w:trPr>
        <w:tc>
          <w:tcPr>
            <w:tcW w:w="943" w:type="pct"/>
            <w:tcBorders>
              <w:top w:val="nil"/>
              <w:left w:val="nil"/>
              <w:bottom w:val="nil"/>
              <w:right w:val="nil"/>
            </w:tcBorders>
            <w:shd w:val="clear" w:color="auto" w:fill="auto"/>
            <w:noWrap/>
            <w:vAlign w:val="bottom"/>
            <w:hideMark/>
          </w:tcPr>
          <w:p w14:paraId="69EB28CC" w14:textId="77777777" w:rsidR="004B101C" w:rsidRPr="0076589C" w:rsidRDefault="1C8D6E3A" w:rsidP="1C8D6E3A">
            <w:pPr>
              <w:spacing w:after="0" w:line="240" w:lineRule="auto"/>
              <w:ind w:left="0"/>
              <w:rPr>
                <w:rFonts w:ascii="Calibri" w:eastAsia="Times New Roman" w:hAnsi="Calibri" w:cs="Calibri"/>
                <w:i/>
                <w:iCs/>
                <w:color w:val="000000"/>
                <w:sz w:val="20"/>
                <w:szCs w:val="20"/>
              </w:rPr>
            </w:pPr>
            <w:r w:rsidRPr="0076589C">
              <w:rPr>
                <w:rFonts w:ascii="Calibri" w:eastAsia="Times New Roman" w:hAnsi="Calibri" w:cs="Calibri"/>
                <w:i/>
                <w:iCs/>
                <w:color w:val="000000" w:themeColor="text1"/>
                <w:sz w:val="20"/>
                <w:szCs w:val="20"/>
              </w:rPr>
              <w:t>Activos corrientes</w:t>
            </w:r>
          </w:p>
        </w:tc>
        <w:tc>
          <w:tcPr>
            <w:tcW w:w="1014" w:type="pct"/>
            <w:tcBorders>
              <w:top w:val="nil"/>
              <w:left w:val="nil"/>
              <w:bottom w:val="nil"/>
              <w:right w:val="nil"/>
            </w:tcBorders>
            <w:shd w:val="clear" w:color="auto" w:fill="auto"/>
            <w:noWrap/>
            <w:vAlign w:val="center"/>
            <w:hideMark/>
          </w:tcPr>
          <w:p w14:paraId="7D8902C8" w14:textId="77777777" w:rsidR="004B101C" w:rsidRPr="0076589C" w:rsidRDefault="1C8D6E3A" w:rsidP="004B101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14,697,964.20 </w:t>
            </w:r>
          </w:p>
        </w:tc>
        <w:tc>
          <w:tcPr>
            <w:tcW w:w="1014" w:type="pct"/>
            <w:tcBorders>
              <w:top w:val="nil"/>
              <w:left w:val="nil"/>
              <w:bottom w:val="nil"/>
              <w:right w:val="nil"/>
            </w:tcBorders>
            <w:shd w:val="clear" w:color="auto" w:fill="auto"/>
            <w:noWrap/>
            <w:vAlign w:val="center"/>
            <w:hideMark/>
          </w:tcPr>
          <w:p w14:paraId="0C3CA959" w14:textId="77777777" w:rsidR="004B101C" w:rsidRPr="0076589C" w:rsidRDefault="1C8D6E3A" w:rsidP="004B101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14,555,373.64 </w:t>
            </w:r>
          </w:p>
        </w:tc>
        <w:tc>
          <w:tcPr>
            <w:tcW w:w="1014" w:type="pct"/>
            <w:tcBorders>
              <w:top w:val="nil"/>
              <w:left w:val="nil"/>
              <w:bottom w:val="nil"/>
              <w:right w:val="nil"/>
            </w:tcBorders>
            <w:shd w:val="clear" w:color="auto" w:fill="auto"/>
            <w:noWrap/>
            <w:vAlign w:val="center"/>
            <w:hideMark/>
          </w:tcPr>
          <w:p w14:paraId="0E396405" w14:textId="77777777" w:rsidR="004B101C" w:rsidRPr="0076589C" w:rsidRDefault="1C8D6E3A" w:rsidP="004B101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16,921,541.30 </w:t>
            </w:r>
          </w:p>
        </w:tc>
        <w:tc>
          <w:tcPr>
            <w:tcW w:w="1015" w:type="pct"/>
            <w:tcBorders>
              <w:top w:val="nil"/>
              <w:left w:val="nil"/>
              <w:bottom w:val="nil"/>
              <w:right w:val="nil"/>
            </w:tcBorders>
            <w:shd w:val="clear" w:color="auto" w:fill="auto"/>
            <w:noWrap/>
            <w:vAlign w:val="center"/>
            <w:hideMark/>
          </w:tcPr>
          <w:p w14:paraId="4ABEDF7E" w14:textId="77777777" w:rsidR="004B101C" w:rsidRPr="0076589C" w:rsidRDefault="1C8D6E3A" w:rsidP="004B101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20,235,079.27 </w:t>
            </w:r>
          </w:p>
        </w:tc>
      </w:tr>
      <w:tr w:rsidR="004B101C" w:rsidRPr="0076589C" w14:paraId="385DD9B9" w14:textId="77777777" w:rsidTr="1C8D6E3A">
        <w:trPr>
          <w:trHeight w:val="260"/>
        </w:trPr>
        <w:tc>
          <w:tcPr>
            <w:tcW w:w="943" w:type="pct"/>
            <w:tcBorders>
              <w:top w:val="nil"/>
              <w:left w:val="nil"/>
              <w:bottom w:val="nil"/>
              <w:right w:val="nil"/>
            </w:tcBorders>
            <w:shd w:val="clear" w:color="auto" w:fill="auto"/>
            <w:noWrap/>
            <w:vAlign w:val="bottom"/>
            <w:hideMark/>
          </w:tcPr>
          <w:p w14:paraId="298E0072" w14:textId="77777777" w:rsidR="004B101C" w:rsidRPr="0076589C" w:rsidRDefault="1C8D6E3A" w:rsidP="1C8D6E3A">
            <w:pPr>
              <w:spacing w:after="0" w:line="240" w:lineRule="auto"/>
              <w:ind w:left="0"/>
              <w:rPr>
                <w:rFonts w:ascii="Calibri" w:eastAsia="Times New Roman" w:hAnsi="Calibri" w:cs="Calibri"/>
                <w:i/>
                <w:iCs/>
                <w:color w:val="000000"/>
                <w:sz w:val="20"/>
                <w:szCs w:val="20"/>
              </w:rPr>
            </w:pPr>
            <w:r w:rsidRPr="0076589C">
              <w:rPr>
                <w:rFonts w:ascii="Calibri" w:eastAsia="Times New Roman" w:hAnsi="Calibri" w:cs="Calibri"/>
                <w:i/>
                <w:iCs/>
                <w:color w:val="000000" w:themeColor="text1"/>
                <w:sz w:val="20"/>
                <w:szCs w:val="20"/>
              </w:rPr>
              <w:t>Pasivos corrientes</w:t>
            </w:r>
          </w:p>
        </w:tc>
        <w:tc>
          <w:tcPr>
            <w:tcW w:w="1014" w:type="pct"/>
            <w:tcBorders>
              <w:top w:val="nil"/>
              <w:left w:val="nil"/>
              <w:bottom w:val="nil"/>
              <w:right w:val="nil"/>
            </w:tcBorders>
            <w:shd w:val="clear" w:color="auto" w:fill="auto"/>
            <w:noWrap/>
            <w:vAlign w:val="center"/>
            <w:hideMark/>
          </w:tcPr>
          <w:p w14:paraId="47B3E98F" w14:textId="77777777" w:rsidR="004B101C" w:rsidRPr="0076589C" w:rsidRDefault="1C8D6E3A" w:rsidP="004B101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1,903,634.46 </w:t>
            </w:r>
          </w:p>
        </w:tc>
        <w:tc>
          <w:tcPr>
            <w:tcW w:w="1014" w:type="pct"/>
            <w:tcBorders>
              <w:top w:val="nil"/>
              <w:left w:val="nil"/>
              <w:bottom w:val="nil"/>
              <w:right w:val="nil"/>
            </w:tcBorders>
            <w:shd w:val="clear" w:color="auto" w:fill="auto"/>
            <w:noWrap/>
            <w:vAlign w:val="center"/>
            <w:hideMark/>
          </w:tcPr>
          <w:p w14:paraId="5C13EC1D" w14:textId="77777777" w:rsidR="004B101C" w:rsidRPr="0076589C" w:rsidRDefault="1C8D6E3A" w:rsidP="004B101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1,095,508.11 </w:t>
            </w:r>
          </w:p>
        </w:tc>
        <w:tc>
          <w:tcPr>
            <w:tcW w:w="1014" w:type="pct"/>
            <w:tcBorders>
              <w:top w:val="nil"/>
              <w:left w:val="nil"/>
              <w:bottom w:val="nil"/>
              <w:right w:val="nil"/>
            </w:tcBorders>
            <w:shd w:val="clear" w:color="auto" w:fill="auto"/>
            <w:noWrap/>
            <w:vAlign w:val="center"/>
            <w:hideMark/>
          </w:tcPr>
          <w:p w14:paraId="0355F439" w14:textId="77777777" w:rsidR="004B101C" w:rsidRPr="0076589C" w:rsidRDefault="1C8D6E3A" w:rsidP="004B101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1,627,455.64 </w:t>
            </w:r>
          </w:p>
        </w:tc>
        <w:tc>
          <w:tcPr>
            <w:tcW w:w="1015" w:type="pct"/>
            <w:tcBorders>
              <w:top w:val="nil"/>
              <w:left w:val="nil"/>
              <w:bottom w:val="nil"/>
              <w:right w:val="nil"/>
            </w:tcBorders>
            <w:shd w:val="clear" w:color="auto" w:fill="auto"/>
            <w:noWrap/>
            <w:vAlign w:val="center"/>
            <w:hideMark/>
          </w:tcPr>
          <w:p w14:paraId="1386E076" w14:textId="77777777" w:rsidR="004B101C" w:rsidRPr="0076589C" w:rsidRDefault="1C8D6E3A" w:rsidP="004B101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2,970,909.85 </w:t>
            </w:r>
          </w:p>
        </w:tc>
      </w:tr>
      <w:tr w:rsidR="004B101C" w:rsidRPr="0076589C" w14:paraId="73E4B307" w14:textId="77777777" w:rsidTr="1C8D6E3A">
        <w:trPr>
          <w:trHeight w:val="270"/>
        </w:trPr>
        <w:tc>
          <w:tcPr>
            <w:tcW w:w="943" w:type="pct"/>
            <w:tcBorders>
              <w:top w:val="nil"/>
              <w:left w:val="nil"/>
              <w:bottom w:val="double" w:sz="6" w:space="0" w:color="85BADC"/>
              <w:right w:val="nil"/>
            </w:tcBorders>
            <w:shd w:val="clear" w:color="auto" w:fill="auto"/>
            <w:noWrap/>
            <w:vAlign w:val="bottom"/>
            <w:hideMark/>
          </w:tcPr>
          <w:p w14:paraId="0376534C" w14:textId="77777777" w:rsidR="004B101C" w:rsidRPr="0076589C" w:rsidRDefault="1C8D6E3A" w:rsidP="1C8D6E3A">
            <w:pPr>
              <w:spacing w:after="0" w:line="240" w:lineRule="auto"/>
              <w:ind w:left="0"/>
              <w:rPr>
                <w:rFonts w:ascii="Calibri" w:eastAsia="Times New Roman" w:hAnsi="Calibri" w:cs="Calibri"/>
                <w:i/>
                <w:iCs/>
                <w:color w:val="000000"/>
                <w:sz w:val="20"/>
                <w:szCs w:val="20"/>
              </w:rPr>
            </w:pPr>
            <w:r w:rsidRPr="0076589C">
              <w:rPr>
                <w:rFonts w:ascii="Calibri" w:eastAsia="Times New Roman" w:hAnsi="Calibri" w:cs="Calibri"/>
                <w:i/>
                <w:iCs/>
                <w:color w:val="000000" w:themeColor="text1"/>
                <w:sz w:val="20"/>
                <w:szCs w:val="20"/>
              </w:rPr>
              <w:t>Inventarios</w:t>
            </w:r>
          </w:p>
        </w:tc>
        <w:tc>
          <w:tcPr>
            <w:tcW w:w="1014" w:type="pct"/>
            <w:tcBorders>
              <w:top w:val="nil"/>
              <w:left w:val="nil"/>
              <w:bottom w:val="double" w:sz="6" w:space="0" w:color="85BADC"/>
              <w:right w:val="nil"/>
            </w:tcBorders>
            <w:shd w:val="clear" w:color="auto" w:fill="auto"/>
            <w:noWrap/>
            <w:vAlign w:val="center"/>
            <w:hideMark/>
          </w:tcPr>
          <w:p w14:paraId="6D6629DA" w14:textId="77777777" w:rsidR="004B101C" w:rsidRPr="0076589C" w:rsidRDefault="1C8D6E3A" w:rsidP="004B101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2,462,956.01 </w:t>
            </w:r>
          </w:p>
        </w:tc>
        <w:tc>
          <w:tcPr>
            <w:tcW w:w="1014" w:type="pct"/>
            <w:tcBorders>
              <w:top w:val="nil"/>
              <w:left w:val="nil"/>
              <w:bottom w:val="double" w:sz="6" w:space="0" w:color="85BADC"/>
              <w:right w:val="nil"/>
            </w:tcBorders>
            <w:shd w:val="clear" w:color="auto" w:fill="auto"/>
            <w:noWrap/>
            <w:vAlign w:val="center"/>
            <w:hideMark/>
          </w:tcPr>
          <w:p w14:paraId="03608696" w14:textId="77777777" w:rsidR="004B101C" w:rsidRPr="0076589C" w:rsidRDefault="1C8D6E3A" w:rsidP="004B101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2,485,473.87 </w:t>
            </w:r>
          </w:p>
        </w:tc>
        <w:tc>
          <w:tcPr>
            <w:tcW w:w="1014" w:type="pct"/>
            <w:tcBorders>
              <w:top w:val="nil"/>
              <w:left w:val="nil"/>
              <w:bottom w:val="double" w:sz="6" w:space="0" w:color="85BADC"/>
              <w:right w:val="nil"/>
            </w:tcBorders>
            <w:shd w:val="clear" w:color="auto" w:fill="auto"/>
            <w:noWrap/>
            <w:vAlign w:val="center"/>
            <w:hideMark/>
          </w:tcPr>
          <w:p w14:paraId="2917DBAC" w14:textId="77777777" w:rsidR="004B101C" w:rsidRPr="0076589C" w:rsidRDefault="1C8D6E3A" w:rsidP="004B101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9,161,218.79 </w:t>
            </w:r>
          </w:p>
        </w:tc>
        <w:tc>
          <w:tcPr>
            <w:tcW w:w="1015" w:type="pct"/>
            <w:tcBorders>
              <w:top w:val="nil"/>
              <w:left w:val="nil"/>
              <w:bottom w:val="double" w:sz="6" w:space="0" w:color="85BADC"/>
              <w:right w:val="nil"/>
            </w:tcBorders>
            <w:shd w:val="clear" w:color="auto" w:fill="auto"/>
            <w:noWrap/>
            <w:vAlign w:val="center"/>
            <w:hideMark/>
          </w:tcPr>
          <w:p w14:paraId="13530B49" w14:textId="77777777" w:rsidR="004B101C" w:rsidRPr="0076589C" w:rsidRDefault="1C8D6E3A" w:rsidP="004B101C">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9,802,693.83 </w:t>
            </w:r>
          </w:p>
        </w:tc>
      </w:tr>
      <w:tr w:rsidR="004B101C" w:rsidRPr="0076589C" w14:paraId="0769C435" w14:textId="77777777" w:rsidTr="1C8D6E3A">
        <w:trPr>
          <w:trHeight w:val="270"/>
        </w:trPr>
        <w:tc>
          <w:tcPr>
            <w:tcW w:w="943" w:type="pct"/>
            <w:tcBorders>
              <w:top w:val="nil"/>
              <w:left w:val="nil"/>
              <w:bottom w:val="nil"/>
              <w:right w:val="nil"/>
            </w:tcBorders>
            <w:shd w:val="clear" w:color="auto" w:fill="auto"/>
            <w:noWrap/>
            <w:vAlign w:val="bottom"/>
            <w:hideMark/>
          </w:tcPr>
          <w:p w14:paraId="27B506A2" w14:textId="77777777" w:rsidR="004B101C" w:rsidRPr="0076589C" w:rsidRDefault="1C8D6E3A" w:rsidP="004B101C">
            <w:pPr>
              <w:spacing w:after="0" w:line="240" w:lineRule="auto"/>
              <w:ind w:left="0"/>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Razón rápida</w:t>
            </w:r>
          </w:p>
        </w:tc>
        <w:tc>
          <w:tcPr>
            <w:tcW w:w="1014" w:type="pct"/>
            <w:tcBorders>
              <w:top w:val="nil"/>
              <w:left w:val="nil"/>
              <w:bottom w:val="nil"/>
              <w:right w:val="nil"/>
            </w:tcBorders>
            <w:shd w:val="clear" w:color="auto" w:fill="auto"/>
            <w:noWrap/>
            <w:vAlign w:val="center"/>
            <w:hideMark/>
          </w:tcPr>
          <w:p w14:paraId="66CC4EB0" w14:textId="77777777" w:rsidR="004B101C" w:rsidRPr="0076589C" w:rsidRDefault="1C8D6E3A" w:rsidP="004B101C">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6.43</w:t>
            </w:r>
          </w:p>
        </w:tc>
        <w:tc>
          <w:tcPr>
            <w:tcW w:w="1014" w:type="pct"/>
            <w:tcBorders>
              <w:top w:val="nil"/>
              <w:left w:val="nil"/>
              <w:bottom w:val="nil"/>
              <w:right w:val="nil"/>
            </w:tcBorders>
            <w:shd w:val="clear" w:color="auto" w:fill="auto"/>
            <w:noWrap/>
            <w:vAlign w:val="center"/>
            <w:hideMark/>
          </w:tcPr>
          <w:p w14:paraId="46F3ADF9" w14:textId="77777777" w:rsidR="004B101C" w:rsidRPr="0076589C" w:rsidRDefault="1C8D6E3A" w:rsidP="004B101C">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11.02</w:t>
            </w:r>
          </w:p>
        </w:tc>
        <w:tc>
          <w:tcPr>
            <w:tcW w:w="1014" w:type="pct"/>
            <w:tcBorders>
              <w:top w:val="nil"/>
              <w:left w:val="nil"/>
              <w:bottom w:val="nil"/>
              <w:right w:val="nil"/>
            </w:tcBorders>
            <w:shd w:val="clear" w:color="auto" w:fill="auto"/>
            <w:noWrap/>
            <w:vAlign w:val="center"/>
            <w:hideMark/>
          </w:tcPr>
          <w:p w14:paraId="0D6602DA" w14:textId="77777777" w:rsidR="004B101C" w:rsidRPr="0076589C" w:rsidRDefault="1C8D6E3A" w:rsidP="004B101C">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4.77</w:t>
            </w:r>
          </w:p>
        </w:tc>
        <w:tc>
          <w:tcPr>
            <w:tcW w:w="1015" w:type="pct"/>
            <w:tcBorders>
              <w:top w:val="nil"/>
              <w:left w:val="nil"/>
              <w:bottom w:val="nil"/>
              <w:right w:val="nil"/>
            </w:tcBorders>
            <w:shd w:val="clear" w:color="auto" w:fill="auto"/>
            <w:noWrap/>
            <w:vAlign w:val="center"/>
            <w:hideMark/>
          </w:tcPr>
          <w:p w14:paraId="1D880D0F" w14:textId="77777777" w:rsidR="004B101C" w:rsidRPr="0076589C" w:rsidRDefault="1C8D6E3A" w:rsidP="004B101C">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3.51</w:t>
            </w:r>
          </w:p>
        </w:tc>
      </w:tr>
    </w:tbl>
    <w:p w14:paraId="2399761F" w14:textId="77777777" w:rsidR="00D33EF8" w:rsidRPr="0076589C" w:rsidRDefault="1C8D6E3A" w:rsidP="00D33EF8">
      <w:pPr>
        <w:pStyle w:val="Fuentes"/>
        <w:rPr>
          <w:lang w:val="es-HN"/>
        </w:rPr>
      </w:pPr>
      <w:r w:rsidRPr="0076589C">
        <w:rPr>
          <w:lang w:val="es-HN"/>
        </w:rPr>
        <w:t>Fuente: Elaboración propia con datos de IPRA (2023).</w:t>
      </w:r>
    </w:p>
    <w:p w14:paraId="0542C016" w14:textId="54957482" w:rsidR="007925C8" w:rsidRPr="0076589C" w:rsidRDefault="1C8D6E3A" w:rsidP="002179D4">
      <w:pPr>
        <w:pStyle w:val="TextoPrincipal"/>
        <w:rPr>
          <w:lang w:val="es-HN"/>
        </w:rPr>
      </w:pPr>
      <w:r w:rsidRPr="0076589C">
        <w:rPr>
          <w:lang w:val="es-HN"/>
        </w:rPr>
        <w:t xml:space="preserve">En la </w:t>
      </w:r>
      <w:r w:rsidR="00585884" w:rsidRPr="0076589C">
        <w:rPr>
          <w:b/>
          <w:bCs/>
          <w:lang w:val="es-HN"/>
        </w:rPr>
        <w:t>Tabla 2</w:t>
      </w:r>
      <w:r w:rsidR="00933C9A" w:rsidRPr="0076589C">
        <w:rPr>
          <w:b/>
          <w:bCs/>
          <w:lang w:val="es-HN"/>
        </w:rPr>
        <w:t>4</w:t>
      </w:r>
      <w:r w:rsidRPr="0076589C">
        <w:rPr>
          <w:lang w:val="es-HN"/>
        </w:rPr>
        <w:t>, se presenta la razón rápida de IPRA a través de los años de 2019-2022, para el año 2019 tenía una razón rápida de 6.43 lo que significa que por cada unidad monetaria en los pasivos corrientes, la empresa tenía un 6.43 unidades monetarias en activos líquidos disponibles para cubrir con esas obligaciones sin depender en gran medida de la venta de inventarios, para el año 2020 la razón aumento significativamente a un 11.02 lo indica que la liquidez fue aún más fuerte al año anterior.</w:t>
      </w:r>
    </w:p>
    <w:p w14:paraId="020C0B46" w14:textId="487506C4" w:rsidR="002179D4" w:rsidRPr="0076589C" w:rsidRDefault="1C8D6E3A" w:rsidP="002179D4">
      <w:pPr>
        <w:pStyle w:val="TextoPrincipal"/>
        <w:rPr>
          <w:lang w:val="es-HN"/>
        </w:rPr>
      </w:pPr>
      <w:r w:rsidRPr="0076589C">
        <w:rPr>
          <w:lang w:val="es-HN"/>
        </w:rPr>
        <w:lastRenderedPageBreak/>
        <w:t>En el año 2021 la razón rápida disminuyó a 4.77 aunque este valor continúa siendo mayor a 1.0 la disminución se puede interpretar como si la empresa pudo haber enfrentado dificultades y por último, en el año 2022 la razón rápida disminuyó aún más a 3.51 lo que indica que la empresa tuvo una posición de liquidez menos solida en comparación con los años anteriores.</w:t>
      </w:r>
    </w:p>
    <w:p w14:paraId="453194A0" w14:textId="2DA1ADDD" w:rsidR="00F7452B" w:rsidRPr="0076589C" w:rsidRDefault="003706FC" w:rsidP="00D91B62">
      <w:pPr>
        <w:pStyle w:val="TextoPrincipal"/>
        <w:ind w:firstLine="0"/>
        <w:jc w:val="center"/>
        <w:rPr>
          <w:lang w:val="es-HN"/>
        </w:rPr>
      </w:pPr>
      <w:r w:rsidRPr="0076589C">
        <w:rPr>
          <w:noProof/>
          <w:lang w:val="es-HN" w:eastAsia="es-HN"/>
        </w:rPr>
        <w:drawing>
          <wp:inline distT="0" distB="0" distL="0" distR="0" wp14:anchorId="2E97C4B0" wp14:editId="4E15F99B">
            <wp:extent cx="5824855" cy="2667699"/>
            <wp:effectExtent l="0" t="0" r="4445" b="18415"/>
            <wp:docPr id="483354076" name="Gráfico 1">
              <a:extLst xmlns:a="http://schemas.openxmlformats.org/drawingml/2006/main">
                <a:ext uri="{FF2B5EF4-FFF2-40B4-BE49-F238E27FC236}">
                  <a16:creationId xmlns:a16="http://schemas.microsoft.com/office/drawing/2014/main" id="{00000000-0008-0000-0B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2600E437" w14:textId="452B29C6" w:rsidR="005841F2" w:rsidRPr="0076589C" w:rsidRDefault="1C8D6E3A" w:rsidP="005841F2">
      <w:pPr>
        <w:pStyle w:val="ImagenyTabla"/>
        <w:rPr>
          <w:noProof w:val="0"/>
        </w:rPr>
      </w:pPr>
      <w:bookmarkStart w:id="290" w:name="_Toc158365599"/>
      <w:r w:rsidRPr="0076589C">
        <w:t xml:space="preserve">Figura </w:t>
      </w:r>
      <w:r w:rsidR="005841F2" w:rsidRPr="0076589C">
        <w:rPr>
          <w:noProof w:val="0"/>
        </w:rPr>
        <w:fldChar w:fldCharType="begin"/>
      </w:r>
      <w:r w:rsidR="005841F2" w:rsidRPr="0076589C">
        <w:rPr>
          <w:noProof w:val="0"/>
        </w:rPr>
        <w:instrText xml:space="preserve"> SEQ Figura \* ARABIC </w:instrText>
      </w:r>
      <w:r w:rsidR="005841F2" w:rsidRPr="0076589C">
        <w:rPr>
          <w:noProof w:val="0"/>
        </w:rPr>
        <w:fldChar w:fldCharType="separate"/>
      </w:r>
      <w:r w:rsidR="009F171A">
        <w:t>14</w:t>
      </w:r>
      <w:r w:rsidR="005841F2" w:rsidRPr="0076589C">
        <w:rPr>
          <w:noProof w:val="0"/>
        </w:rPr>
        <w:fldChar w:fldCharType="end"/>
      </w:r>
      <w:r w:rsidRPr="0076589C">
        <w:t xml:space="preserve"> Razón rápida en IPRA (2019-2022)</w:t>
      </w:r>
      <w:bookmarkEnd w:id="290"/>
    </w:p>
    <w:p w14:paraId="664BD011" w14:textId="77777777" w:rsidR="00CA194B" w:rsidRPr="0076589C" w:rsidRDefault="1C8D6E3A" w:rsidP="00CA194B">
      <w:pPr>
        <w:pStyle w:val="Fuentes"/>
        <w:rPr>
          <w:lang w:val="es-HN"/>
        </w:rPr>
      </w:pPr>
      <w:r w:rsidRPr="0076589C">
        <w:rPr>
          <w:lang w:val="es-HN"/>
        </w:rPr>
        <w:t>Fuente: Elaboración propia con datos de IPRA (2023).</w:t>
      </w:r>
    </w:p>
    <w:p w14:paraId="13E72847" w14:textId="6F71A714" w:rsidR="005841F2" w:rsidRPr="0076589C" w:rsidRDefault="1C8D6E3A" w:rsidP="00775958">
      <w:pPr>
        <w:pStyle w:val="TextoPrincipal"/>
        <w:spacing w:after="0"/>
        <w:rPr>
          <w:lang w:val="es-HN"/>
        </w:rPr>
      </w:pPr>
      <w:r w:rsidRPr="0076589C">
        <w:rPr>
          <w:lang w:val="es-HN"/>
        </w:rPr>
        <w:t xml:space="preserve">En la </w:t>
      </w:r>
      <w:r w:rsidRPr="0076589C">
        <w:rPr>
          <w:b/>
          <w:bCs/>
          <w:lang w:val="es-HN"/>
        </w:rPr>
        <w:t>Figura 14</w:t>
      </w:r>
      <w:r w:rsidRPr="0076589C">
        <w:rPr>
          <w:lang w:val="es-HN"/>
        </w:rPr>
        <w:t>, se graficó la evolución de la razón rápida en IPRA a través de los años 2019-2022. Donde en los últimos dos años, se observa una tendencia a la disminución en la Razón rápida lo que podría considerarse como una leve advertencia sobre el rumbo que está tomando la liquidez en la empresa.</w:t>
      </w:r>
    </w:p>
    <w:p w14:paraId="1C915D4E" w14:textId="77777777" w:rsidR="00775958" w:rsidRPr="0076589C" w:rsidRDefault="00775958" w:rsidP="00775958">
      <w:pPr>
        <w:pStyle w:val="TextoPrincipal"/>
        <w:spacing w:after="0"/>
        <w:rPr>
          <w:lang w:val="es-HN"/>
        </w:rPr>
      </w:pPr>
    </w:p>
    <w:p w14:paraId="19A9EFF9" w14:textId="06B812B5" w:rsidR="004B101C" w:rsidRPr="0076589C" w:rsidRDefault="1C8D6E3A" w:rsidP="009D08E1">
      <w:pPr>
        <w:pStyle w:val="Nivel5"/>
        <w:numPr>
          <w:ilvl w:val="0"/>
          <w:numId w:val="38"/>
        </w:numPr>
        <w:ind w:left="1440" w:firstLine="0"/>
      </w:pPr>
      <w:r w:rsidRPr="0076589C">
        <w:t>RAZÓN DE EFECTIVO</w:t>
      </w:r>
    </w:p>
    <w:p w14:paraId="75AA8939" w14:textId="1A0BA5D2" w:rsidR="00D33EF8" w:rsidRPr="0076589C" w:rsidRDefault="1C8D6E3A" w:rsidP="002179D4">
      <w:pPr>
        <w:pStyle w:val="TextoPrincipal"/>
        <w:rPr>
          <w:lang w:val="es-HN"/>
        </w:rPr>
      </w:pPr>
      <w:r w:rsidRPr="0076589C">
        <w:rPr>
          <w:lang w:val="es-HN"/>
        </w:rPr>
        <w:t xml:space="preserve">Según </w:t>
      </w:r>
      <w:r w:rsidR="00F37C1E" w:rsidRPr="0076589C">
        <w:rPr>
          <w:lang w:val="es-HN"/>
        </w:rPr>
        <w:fldChar w:fldCharType="begin"/>
      </w:r>
      <w:r w:rsidR="00F37C1E" w:rsidRPr="0076589C">
        <w:rPr>
          <w:lang w:val="es-HN"/>
        </w:rPr>
        <w:instrText xml:space="preserve"> ADDIN ZOTERO_ITEM CSL_CITATION {"citationID":"D7ThfrfF","properties":{"formattedCitation":"(Y\\uc0\\u250{}gar, 2023)","plainCitation":"(Yúgar, 2023)","dontUpdate":true,"noteIndex":0},"citationItems":[{"id":401,"uris":["http://zotero.org/users/12108825/items/RV6EFFLI"],"itemData":{"id":401,"type":"book","abstract":"&amp;quot;Contabilidad básica para empresas turísticas&amp;quot; es un compendio completo diseñado para proporcionar a los lectores una visión detallada de los aspectos esenciales de la contabilidad en el ámbito empresarial, con un enfoque especial en las empresas de servicios turísticos en Bolivia.El propósito principal de este libro es brindar a los lectores información y referencias que les permitan comprender la importancia del proceso contable dentro de cualquier empresa, así como las bases legales que deben considerarse en el contexto boliviano. Se hace hincapié en la importancia de llevar a cabo la contabilidad adecuadamente, cumpliendo con las normativas vigentes.A lo largo de sus capítulos, el libro sumerge al lector en la práctica contable, comenzando desde los conceptos más básicos e integrando, al final de cada sección, una serie de preguntas y ejercicios que sirven para autoevaluar lo aprendido.El libro incluye enlaces para acceder a material complementario para consultar, profundizando en los conceptos y facilitando la lectura completa de la normativa relevante. Los códigos QR proporcionados permiten el acceso rápido a los recursos mediante la escaneo con un teléfono inteligente.En el primer capítulo se revisan los fundamentos conceptuales de la contabilidad, el marco regulatorio en Bolivia y se destaca la importancia de llevar a cabo el proceso contable de manera adecuada.El segundo capítulo aborda la ecuación contable como base necesaria para comprender el proceso contable y la partida doble.El tercer capítulo se centra en los principales libros de contabilidad exigidos por la normativa boliviana y el proceso de contabilización de los hechos mercantiles.El cuarto capítulo está dedicado a considerar los principales impuestos nacionales a los que una empresa de servicios debe cumplir, incluyendo su cálculo, contabilización y liquidación, tal como lo establecen las normas vigentes.En el quinto capítulo se hace una mención detallada de los documentos mercantiles más importantes como elementos de respaldo de la actividad contable en la empresa, así como su correcto llenado y utilización.El sexto capítulo revisa la planilla de sueldos y salarios, incluyendo sus bases conceptuales y legales, su utilidad como instrumento de control y su tratamiento contable.El séptimo capítulo desarrolla los aspectos más relevantes sobre el control de inventarios y almacenes, considerando su importancia en las empresas de restauración y producción de bienes.El octavo capítulo se enfoca en la gestión de activos fijos, los eventos contables relacionados y su adecuada contabilización en diversas situaciones.El noveno capítulo aborda la etapa final del proceso contable, incluyendo el cierre de la gestión, el cálculo de beneficios y la elaboración y presentación de estados financieros.Finalmente, en el décimo capítulo se detalla el proceso de análisis e interpretación de los estados financieros, incluyendo el cálculo de los indicadores de desempeño financiero más importantes y su interpretación en el proceso de toma de decisiones empresariales.Este libro ha sido estructurado de manera que el lector pueda obtener una visión general de la contabilidad en las empresas de servicios turísticos, mediante ejemplos prácticos y ejercicios que facilitan la comprensión y aplicación de los conceptos presentados.","ISBN":"9789917025696","language":"es","note":"Google-Books-ID: 7ELAEAAAQBAJ","number-of-pages":"212","publisher":"Mario Antezana Yugar","source":"Google Books","title":"Contabilidad básica para empresas turísticas","author":[{"family":"Yúgar","given":"Mario Antonio Antezana"}],"issued":{"date-parts":[["2023"]]}}}],"schema":"https://github.com/citation-style-language/schema/raw/master/csl-citation.json"} </w:instrText>
      </w:r>
      <w:r w:rsidR="00F37C1E" w:rsidRPr="0076589C">
        <w:rPr>
          <w:lang w:val="es-HN"/>
        </w:rPr>
        <w:fldChar w:fldCharType="separate"/>
      </w:r>
      <w:r w:rsidRPr="0076589C">
        <w:rPr>
          <w:lang w:val="es-HN"/>
        </w:rPr>
        <w:t>Yúgar, (2023)</w:t>
      </w:r>
      <w:r w:rsidR="00F37C1E" w:rsidRPr="0076589C">
        <w:rPr>
          <w:lang w:val="es-HN"/>
        </w:rPr>
        <w:fldChar w:fldCharType="end"/>
      </w:r>
      <w:r w:rsidRPr="0076589C">
        <w:rPr>
          <w:lang w:val="es-HN"/>
        </w:rPr>
        <w:t>: “La razón de efectivo es un indicador que evalúa la capacidad de afrontar las deudas a corto plazo empleando únicamente los saldos de efectivo (Caja y bancos)”. (pág.180)</w:t>
      </w:r>
    </w:p>
    <w:p w14:paraId="435FD0D6" w14:textId="4D161209" w:rsidR="005B1B4A" w:rsidRPr="0076589C" w:rsidRDefault="1C8D6E3A" w:rsidP="00E46FB7">
      <w:pPr>
        <w:pStyle w:val="TextoPrincipal"/>
        <w:rPr>
          <w:lang w:val="es-HN"/>
        </w:rPr>
      </w:pPr>
      <w:r w:rsidRPr="0076589C">
        <w:rPr>
          <w:lang w:val="es-HN"/>
        </w:rPr>
        <w:t>Esta métrica de liquidez es más estricta ya que excluye tanto las cuentas por cobrar como los inventarios, centrándose solo en los activos más líquidos, que son los efectivos en la caja y las cuentas bancarias. Una razón de efectivo mayor que 1.0 indica que la empresa tiene suficiente efectivo y equivalentes de efectivo para cubrir sus pasivos corrientes sin depender de cuentas por cobrar, inventarios u otros activos menos líquidos.</w:t>
      </w:r>
    </w:p>
    <w:p w14:paraId="22701316" w14:textId="5619A605" w:rsidR="00D33EF8" w:rsidRPr="0076589C" w:rsidRDefault="1C8D6E3A" w:rsidP="00C3359E">
      <w:pPr>
        <w:pStyle w:val="ImagenyTabla"/>
        <w:rPr>
          <w:noProof w:val="0"/>
        </w:rPr>
      </w:pPr>
      <w:bookmarkStart w:id="291" w:name="_Toc158365573"/>
      <w:r w:rsidRPr="0076589C">
        <w:lastRenderedPageBreak/>
        <w:t xml:space="preserve">Tabla </w:t>
      </w:r>
      <w:r w:rsidR="00D33EF8" w:rsidRPr="0076589C">
        <w:rPr>
          <w:noProof w:val="0"/>
        </w:rPr>
        <w:fldChar w:fldCharType="begin"/>
      </w:r>
      <w:r w:rsidR="00D33EF8" w:rsidRPr="0076589C">
        <w:rPr>
          <w:noProof w:val="0"/>
        </w:rPr>
        <w:instrText xml:space="preserve"> SEQ Tabla \* ARABIC </w:instrText>
      </w:r>
      <w:r w:rsidR="00D33EF8" w:rsidRPr="0076589C">
        <w:rPr>
          <w:noProof w:val="0"/>
        </w:rPr>
        <w:fldChar w:fldCharType="separate"/>
      </w:r>
      <w:r w:rsidR="009F171A">
        <w:t>25</w:t>
      </w:r>
      <w:r w:rsidR="00D33EF8" w:rsidRPr="0076589C">
        <w:rPr>
          <w:noProof w:val="0"/>
        </w:rPr>
        <w:fldChar w:fldCharType="end"/>
      </w:r>
      <w:r w:rsidRPr="0076589C">
        <w:t>. Razón de efectivo en IPRA (2019-2022)</w:t>
      </w:r>
      <w:bookmarkEnd w:id="291"/>
    </w:p>
    <w:tbl>
      <w:tblPr>
        <w:tblW w:w="5000" w:type="pct"/>
        <w:tblLook w:val="04A0" w:firstRow="1" w:lastRow="0" w:firstColumn="1" w:lastColumn="0" w:noHBand="0" w:noVBand="1"/>
      </w:tblPr>
      <w:tblGrid>
        <w:gridCol w:w="1778"/>
        <w:gridCol w:w="1896"/>
        <w:gridCol w:w="1896"/>
        <w:gridCol w:w="1896"/>
        <w:gridCol w:w="1894"/>
      </w:tblGrid>
      <w:tr w:rsidR="00782B94" w:rsidRPr="0076589C" w14:paraId="38371272" w14:textId="77777777" w:rsidTr="1C8D6E3A">
        <w:trPr>
          <w:trHeight w:val="260"/>
        </w:trPr>
        <w:tc>
          <w:tcPr>
            <w:tcW w:w="5000" w:type="pct"/>
            <w:gridSpan w:val="5"/>
            <w:tcBorders>
              <w:top w:val="nil"/>
              <w:left w:val="nil"/>
              <w:bottom w:val="nil"/>
              <w:right w:val="nil"/>
            </w:tcBorders>
            <w:shd w:val="clear" w:color="auto" w:fill="auto"/>
            <w:noWrap/>
            <w:vAlign w:val="bottom"/>
            <w:hideMark/>
          </w:tcPr>
          <w:p w14:paraId="362EB088" w14:textId="77777777" w:rsidR="00782B94" w:rsidRPr="0076589C" w:rsidRDefault="1C8D6E3A" w:rsidP="1C8D6E3A">
            <w:pPr>
              <w:spacing w:after="0" w:line="240" w:lineRule="auto"/>
              <w:ind w:left="0"/>
              <w:rPr>
                <w:rFonts w:ascii="Calibri" w:eastAsia="Times New Roman" w:hAnsi="Calibri" w:cs="Calibri"/>
                <w:b/>
                <w:bCs/>
                <w:i/>
                <w:iCs/>
                <w:color w:val="000000"/>
                <w:sz w:val="20"/>
                <w:szCs w:val="20"/>
                <w:u w:val="single"/>
              </w:rPr>
            </w:pPr>
            <w:r w:rsidRPr="0076589C">
              <w:rPr>
                <w:rFonts w:ascii="Calibri" w:eastAsia="Times New Roman" w:hAnsi="Calibri" w:cs="Calibri"/>
                <w:b/>
                <w:bCs/>
                <w:i/>
                <w:iCs/>
                <w:color w:val="000000" w:themeColor="text1"/>
                <w:sz w:val="20"/>
                <w:szCs w:val="20"/>
                <w:u w:val="single"/>
              </w:rPr>
              <w:t>Razón de efectivo</w:t>
            </w:r>
          </w:p>
        </w:tc>
      </w:tr>
      <w:tr w:rsidR="00782B94" w:rsidRPr="0076589C" w14:paraId="043FFE47" w14:textId="77777777" w:rsidTr="1C8D6E3A">
        <w:trPr>
          <w:trHeight w:val="270"/>
        </w:trPr>
        <w:tc>
          <w:tcPr>
            <w:tcW w:w="949" w:type="pct"/>
            <w:tcBorders>
              <w:top w:val="nil"/>
              <w:left w:val="nil"/>
              <w:bottom w:val="nil"/>
              <w:right w:val="nil"/>
            </w:tcBorders>
            <w:shd w:val="clear" w:color="auto" w:fill="auto"/>
            <w:noWrap/>
            <w:vAlign w:val="bottom"/>
            <w:hideMark/>
          </w:tcPr>
          <w:p w14:paraId="33CB6C5E" w14:textId="77777777" w:rsidR="00782B94" w:rsidRPr="0076589C" w:rsidRDefault="00782B94" w:rsidP="1C8D6E3A">
            <w:pPr>
              <w:spacing w:after="0" w:line="240" w:lineRule="auto"/>
              <w:ind w:left="0"/>
              <w:rPr>
                <w:rFonts w:ascii="Calibri" w:eastAsia="Times New Roman" w:hAnsi="Calibri" w:cs="Calibri"/>
                <w:b/>
                <w:bCs/>
                <w:i/>
                <w:iCs/>
                <w:color w:val="000000"/>
                <w:sz w:val="20"/>
                <w:szCs w:val="20"/>
                <w:u w:val="single"/>
              </w:rPr>
            </w:pPr>
          </w:p>
        </w:tc>
        <w:tc>
          <w:tcPr>
            <w:tcW w:w="1013" w:type="pct"/>
            <w:tcBorders>
              <w:top w:val="nil"/>
              <w:left w:val="nil"/>
              <w:bottom w:val="single" w:sz="8" w:space="0" w:color="85BADC"/>
              <w:right w:val="nil"/>
            </w:tcBorders>
            <w:shd w:val="clear" w:color="auto" w:fill="auto"/>
            <w:noWrap/>
            <w:vAlign w:val="center"/>
            <w:hideMark/>
          </w:tcPr>
          <w:p w14:paraId="1E091A88" w14:textId="77777777" w:rsidR="00782B94" w:rsidRPr="0076589C" w:rsidRDefault="1C8D6E3A" w:rsidP="00782B94">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2019</w:t>
            </w:r>
          </w:p>
        </w:tc>
        <w:tc>
          <w:tcPr>
            <w:tcW w:w="1013" w:type="pct"/>
            <w:tcBorders>
              <w:top w:val="nil"/>
              <w:left w:val="nil"/>
              <w:bottom w:val="single" w:sz="8" w:space="0" w:color="85BADC"/>
              <w:right w:val="nil"/>
            </w:tcBorders>
            <w:shd w:val="clear" w:color="auto" w:fill="auto"/>
            <w:noWrap/>
            <w:vAlign w:val="center"/>
            <w:hideMark/>
          </w:tcPr>
          <w:p w14:paraId="5E4B98B7" w14:textId="77777777" w:rsidR="00782B94" w:rsidRPr="0076589C" w:rsidRDefault="1C8D6E3A" w:rsidP="00782B94">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2020</w:t>
            </w:r>
          </w:p>
        </w:tc>
        <w:tc>
          <w:tcPr>
            <w:tcW w:w="1013" w:type="pct"/>
            <w:tcBorders>
              <w:top w:val="nil"/>
              <w:left w:val="nil"/>
              <w:bottom w:val="single" w:sz="8" w:space="0" w:color="85BADC"/>
              <w:right w:val="nil"/>
            </w:tcBorders>
            <w:shd w:val="clear" w:color="auto" w:fill="auto"/>
            <w:noWrap/>
            <w:vAlign w:val="center"/>
            <w:hideMark/>
          </w:tcPr>
          <w:p w14:paraId="152E7EFF" w14:textId="77777777" w:rsidR="00782B94" w:rsidRPr="0076589C" w:rsidRDefault="1C8D6E3A" w:rsidP="00782B94">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2021</w:t>
            </w:r>
          </w:p>
        </w:tc>
        <w:tc>
          <w:tcPr>
            <w:tcW w:w="1013" w:type="pct"/>
            <w:tcBorders>
              <w:top w:val="nil"/>
              <w:left w:val="nil"/>
              <w:bottom w:val="single" w:sz="8" w:space="0" w:color="85BADC"/>
              <w:right w:val="nil"/>
            </w:tcBorders>
            <w:shd w:val="clear" w:color="auto" w:fill="auto"/>
            <w:noWrap/>
            <w:vAlign w:val="center"/>
            <w:hideMark/>
          </w:tcPr>
          <w:p w14:paraId="33CAC04C" w14:textId="77777777" w:rsidR="00782B94" w:rsidRPr="0076589C" w:rsidRDefault="1C8D6E3A" w:rsidP="00782B94">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2022</w:t>
            </w:r>
          </w:p>
        </w:tc>
      </w:tr>
      <w:tr w:rsidR="00782B94" w:rsidRPr="0076589C" w14:paraId="1CE9E411" w14:textId="77777777" w:rsidTr="1C8D6E3A">
        <w:trPr>
          <w:trHeight w:val="260"/>
        </w:trPr>
        <w:tc>
          <w:tcPr>
            <w:tcW w:w="949" w:type="pct"/>
            <w:tcBorders>
              <w:top w:val="nil"/>
              <w:left w:val="nil"/>
              <w:bottom w:val="nil"/>
              <w:right w:val="nil"/>
            </w:tcBorders>
            <w:shd w:val="clear" w:color="auto" w:fill="auto"/>
            <w:noWrap/>
            <w:vAlign w:val="bottom"/>
            <w:hideMark/>
          </w:tcPr>
          <w:p w14:paraId="260A9507" w14:textId="77777777" w:rsidR="00782B94" w:rsidRPr="0076589C" w:rsidRDefault="1C8D6E3A" w:rsidP="1C8D6E3A">
            <w:pPr>
              <w:spacing w:after="0" w:line="240" w:lineRule="auto"/>
              <w:ind w:left="0"/>
              <w:rPr>
                <w:rFonts w:ascii="Calibri" w:eastAsia="Times New Roman" w:hAnsi="Calibri" w:cs="Calibri"/>
                <w:i/>
                <w:iCs/>
                <w:color w:val="000000"/>
                <w:sz w:val="20"/>
                <w:szCs w:val="20"/>
              </w:rPr>
            </w:pPr>
            <w:r w:rsidRPr="0076589C">
              <w:rPr>
                <w:rFonts w:ascii="Calibri" w:eastAsia="Times New Roman" w:hAnsi="Calibri" w:cs="Calibri"/>
                <w:i/>
                <w:iCs/>
                <w:color w:val="000000" w:themeColor="text1"/>
                <w:sz w:val="20"/>
                <w:szCs w:val="20"/>
              </w:rPr>
              <w:t>Efectivo</w:t>
            </w:r>
          </w:p>
        </w:tc>
        <w:tc>
          <w:tcPr>
            <w:tcW w:w="1013" w:type="pct"/>
            <w:tcBorders>
              <w:top w:val="nil"/>
              <w:left w:val="nil"/>
              <w:bottom w:val="nil"/>
              <w:right w:val="nil"/>
            </w:tcBorders>
            <w:shd w:val="clear" w:color="auto" w:fill="auto"/>
            <w:noWrap/>
            <w:vAlign w:val="center"/>
            <w:hideMark/>
          </w:tcPr>
          <w:p w14:paraId="7F03FFF6" w14:textId="77777777" w:rsidR="00782B94" w:rsidRPr="0076589C" w:rsidRDefault="1C8D6E3A" w:rsidP="00782B94">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1,841,088.54 </w:t>
            </w:r>
          </w:p>
        </w:tc>
        <w:tc>
          <w:tcPr>
            <w:tcW w:w="1013" w:type="pct"/>
            <w:tcBorders>
              <w:top w:val="nil"/>
              <w:left w:val="nil"/>
              <w:bottom w:val="nil"/>
              <w:right w:val="nil"/>
            </w:tcBorders>
            <w:shd w:val="clear" w:color="auto" w:fill="auto"/>
            <w:noWrap/>
            <w:vAlign w:val="center"/>
            <w:hideMark/>
          </w:tcPr>
          <w:p w14:paraId="577F7913" w14:textId="77777777" w:rsidR="00782B94" w:rsidRPr="0076589C" w:rsidRDefault="1C8D6E3A" w:rsidP="00782B94">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1,706,277.38 </w:t>
            </w:r>
          </w:p>
        </w:tc>
        <w:tc>
          <w:tcPr>
            <w:tcW w:w="1013" w:type="pct"/>
            <w:tcBorders>
              <w:top w:val="nil"/>
              <w:left w:val="nil"/>
              <w:bottom w:val="nil"/>
              <w:right w:val="nil"/>
            </w:tcBorders>
            <w:shd w:val="clear" w:color="auto" w:fill="auto"/>
            <w:noWrap/>
            <w:vAlign w:val="center"/>
            <w:hideMark/>
          </w:tcPr>
          <w:p w14:paraId="5054BFB8" w14:textId="77777777" w:rsidR="00782B94" w:rsidRPr="0076589C" w:rsidRDefault="1C8D6E3A" w:rsidP="00782B94">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2,193,695.65 </w:t>
            </w:r>
          </w:p>
        </w:tc>
        <w:tc>
          <w:tcPr>
            <w:tcW w:w="1013" w:type="pct"/>
            <w:tcBorders>
              <w:top w:val="nil"/>
              <w:left w:val="nil"/>
              <w:bottom w:val="nil"/>
              <w:right w:val="nil"/>
            </w:tcBorders>
            <w:shd w:val="clear" w:color="auto" w:fill="auto"/>
            <w:noWrap/>
            <w:vAlign w:val="center"/>
            <w:hideMark/>
          </w:tcPr>
          <w:p w14:paraId="5E4BCC4F" w14:textId="77777777" w:rsidR="00782B94" w:rsidRPr="0076589C" w:rsidRDefault="1C8D6E3A" w:rsidP="00782B94">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4,326,956.16 </w:t>
            </w:r>
          </w:p>
        </w:tc>
      </w:tr>
      <w:tr w:rsidR="00782B94" w:rsidRPr="0076589C" w14:paraId="27FDD239" w14:textId="77777777" w:rsidTr="1C8D6E3A">
        <w:trPr>
          <w:trHeight w:val="270"/>
        </w:trPr>
        <w:tc>
          <w:tcPr>
            <w:tcW w:w="949" w:type="pct"/>
            <w:tcBorders>
              <w:top w:val="nil"/>
              <w:left w:val="nil"/>
              <w:bottom w:val="double" w:sz="6" w:space="0" w:color="85BADC"/>
              <w:right w:val="nil"/>
            </w:tcBorders>
            <w:shd w:val="clear" w:color="auto" w:fill="auto"/>
            <w:noWrap/>
            <w:vAlign w:val="bottom"/>
            <w:hideMark/>
          </w:tcPr>
          <w:p w14:paraId="53DF3332" w14:textId="77777777" w:rsidR="00782B94" w:rsidRPr="0076589C" w:rsidRDefault="1C8D6E3A" w:rsidP="1C8D6E3A">
            <w:pPr>
              <w:spacing w:after="0" w:line="240" w:lineRule="auto"/>
              <w:ind w:left="0"/>
              <w:rPr>
                <w:rFonts w:ascii="Calibri" w:eastAsia="Times New Roman" w:hAnsi="Calibri" w:cs="Calibri"/>
                <w:i/>
                <w:iCs/>
                <w:color w:val="000000"/>
                <w:sz w:val="20"/>
                <w:szCs w:val="20"/>
              </w:rPr>
            </w:pPr>
            <w:bookmarkStart w:id="292" w:name="_Hlk149988602"/>
            <w:r w:rsidRPr="0076589C">
              <w:rPr>
                <w:rFonts w:ascii="Calibri" w:eastAsia="Times New Roman" w:hAnsi="Calibri" w:cs="Calibri"/>
                <w:i/>
                <w:iCs/>
                <w:color w:val="000000" w:themeColor="text1"/>
                <w:sz w:val="20"/>
                <w:szCs w:val="20"/>
              </w:rPr>
              <w:t>Pasivos corrientes</w:t>
            </w:r>
          </w:p>
        </w:tc>
        <w:tc>
          <w:tcPr>
            <w:tcW w:w="1013" w:type="pct"/>
            <w:tcBorders>
              <w:top w:val="nil"/>
              <w:left w:val="nil"/>
              <w:bottom w:val="double" w:sz="6" w:space="0" w:color="85BADC"/>
              <w:right w:val="nil"/>
            </w:tcBorders>
            <w:shd w:val="clear" w:color="auto" w:fill="auto"/>
            <w:noWrap/>
            <w:vAlign w:val="center"/>
            <w:hideMark/>
          </w:tcPr>
          <w:p w14:paraId="34BBE8E5" w14:textId="77777777" w:rsidR="00782B94" w:rsidRPr="0076589C" w:rsidRDefault="1C8D6E3A" w:rsidP="00782B94">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1,903,634.46 </w:t>
            </w:r>
          </w:p>
        </w:tc>
        <w:tc>
          <w:tcPr>
            <w:tcW w:w="1013" w:type="pct"/>
            <w:tcBorders>
              <w:top w:val="nil"/>
              <w:left w:val="nil"/>
              <w:bottom w:val="double" w:sz="6" w:space="0" w:color="85BADC"/>
              <w:right w:val="nil"/>
            </w:tcBorders>
            <w:shd w:val="clear" w:color="auto" w:fill="auto"/>
            <w:noWrap/>
            <w:vAlign w:val="center"/>
            <w:hideMark/>
          </w:tcPr>
          <w:p w14:paraId="27E269F7" w14:textId="77777777" w:rsidR="00782B94" w:rsidRPr="0076589C" w:rsidRDefault="1C8D6E3A" w:rsidP="00782B94">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1,095,508.11 </w:t>
            </w:r>
          </w:p>
        </w:tc>
        <w:tc>
          <w:tcPr>
            <w:tcW w:w="1013" w:type="pct"/>
            <w:tcBorders>
              <w:top w:val="nil"/>
              <w:left w:val="nil"/>
              <w:bottom w:val="double" w:sz="6" w:space="0" w:color="85BADC"/>
              <w:right w:val="nil"/>
            </w:tcBorders>
            <w:shd w:val="clear" w:color="auto" w:fill="auto"/>
            <w:noWrap/>
            <w:vAlign w:val="center"/>
            <w:hideMark/>
          </w:tcPr>
          <w:p w14:paraId="3407FB3A" w14:textId="77777777" w:rsidR="00782B94" w:rsidRPr="0076589C" w:rsidRDefault="1C8D6E3A" w:rsidP="00782B94">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1,627,455.64 </w:t>
            </w:r>
          </w:p>
        </w:tc>
        <w:tc>
          <w:tcPr>
            <w:tcW w:w="1013" w:type="pct"/>
            <w:tcBorders>
              <w:top w:val="nil"/>
              <w:left w:val="nil"/>
              <w:bottom w:val="double" w:sz="6" w:space="0" w:color="85BADC"/>
              <w:right w:val="nil"/>
            </w:tcBorders>
            <w:shd w:val="clear" w:color="auto" w:fill="auto"/>
            <w:noWrap/>
            <w:vAlign w:val="center"/>
            <w:hideMark/>
          </w:tcPr>
          <w:p w14:paraId="313DB963" w14:textId="77777777" w:rsidR="00782B94" w:rsidRPr="0076589C" w:rsidRDefault="1C8D6E3A" w:rsidP="00782B94">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2,970,909.85 </w:t>
            </w:r>
          </w:p>
        </w:tc>
      </w:tr>
      <w:bookmarkEnd w:id="292"/>
      <w:tr w:rsidR="00782B94" w:rsidRPr="0076589C" w14:paraId="28719A0F" w14:textId="77777777" w:rsidTr="1C8D6E3A">
        <w:trPr>
          <w:trHeight w:val="270"/>
        </w:trPr>
        <w:tc>
          <w:tcPr>
            <w:tcW w:w="949" w:type="pct"/>
            <w:tcBorders>
              <w:top w:val="nil"/>
              <w:left w:val="nil"/>
              <w:bottom w:val="nil"/>
              <w:right w:val="nil"/>
            </w:tcBorders>
            <w:shd w:val="clear" w:color="auto" w:fill="auto"/>
            <w:noWrap/>
            <w:vAlign w:val="bottom"/>
            <w:hideMark/>
          </w:tcPr>
          <w:p w14:paraId="4F76A494" w14:textId="77777777" w:rsidR="00782B94" w:rsidRPr="0076589C" w:rsidRDefault="1C8D6E3A" w:rsidP="00782B94">
            <w:pPr>
              <w:spacing w:after="0" w:line="240" w:lineRule="auto"/>
              <w:ind w:left="0"/>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Razón de efectivo</w:t>
            </w:r>
          </w:p>
        </w:tc>
        <w:tc>
          <w:tcPr>
            <w:tcW w:w="1013" w:type="pct"/>
            <w:tcBorders>
              <w:top w:val="nil"/>
              <w:left w:val="nil"/>
              <w:bottom w:val="nil"/>
              <w:right w:val="nil"/>
            </w:tcBorders>
            <w:shd w:val="clear" w:color="auto" w:fill="auto"/>
            <w:noWrap/>
            <w:vAlign w:val="center"/>
            <w:hideMark/>
          </w:tcPr>
          <w:p w14:paraId="1594B3BC" w14:textId="77777777" w:rsidR="00782B94" w:rsidRPr="0076589C" w:rsidRDefault="1C8D6E3A" w:rsidP="00782B94">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0.97</w:t>
            </w:r>
          </w:p>
        </w:tc>
        <w:tc>
          <w:tcPr>
            <w:tcW w:w="1013" w:type="pct"/>
            <w:tcBorders>
              <w:top w:val="nil"/>
              <w:left w:val="nil"/>
              <w:bottom w:val="nil"/>
              <w:right w:val="nil"/>
            </w:tcBorders>
            <w:shd w:val="clear" w:color="auto" w:fill="auto"/>
            <w:noWrap/>
            <w:vAlign w:val="center"/>
            <w:hideMark/>
          </w:tcPr>
          <w:p w14:paraId="04BFF157" w14:textId="77777777" w:rsidR="00782B94" w:rsidRPr="0076589C" w:rsidRDefault="1C8D6E3A" w:rsidP="00782B94">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1.56</w:t>
            </w:r>
          </w:p>
        </w:tc>
        <w:tc>
          <w:tcPr>
            <w:tcW w:w="1013" w:type="pct"/>
            <w:tcBorders>
              <w:top w:val="nil"/>
              <w:left w:val="nil"/>
              <w:bottom w:val="nil"/>
              <w:right w:val="nil"/>
            </w:tcBorders>
            <w:shd w:val="clear" w:color="auto" w:fill="auto"/>
            <w:noWrap/>
            <w:vAlign w:val="center"/>
            <w:hideMark/>
          </w:tcPr>
          <w:p w14:paraId="529A595E" w14:textId="77777777" w:rsidR="00782B94" w:rsidRPr="0076589C" w:rsidRDefault="1C8D6E3A" w:rsidP="00782B94">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1.35</w:t>
            </w:r>
          </w:p>
        </w:tc>
        <w:tc>
          <w:tcPr>
            <w:tcW w:w="1013" w:type="pct"/>
            <w:tcBorders>
              <w:top w:val="nil"/>
              <w:left w:val="nil"/>
              <w:bottom w:val="nil"/>
              <w:right w:val="nil"/>
            </w:tcBorders>
            <w:shd w:val="clear" w:color="auto" w:fill="auto"/>
            <w:noWrap/>
            <w:vAlign w:val="center"/>
            <w:hideMark/>
          </w:tcPr>
          <w:p w14:paraId="06633EEC" w14:textId="77777777" w:rsidR="00782B94" w:rsidRPr="0076589C" w:rsidRDefault="1C8D6E3A" w:rsidP="00782B94">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1.46</w:t>
            </w:r>
          </w:p>
        </w:tc>
      </w:tr>
    </w:tbl>
    <w:p w14:paraId="38A82686" w14:textId="77777777" w:rsidR="00CA194B" w:rsidRPr="0076589C" w:rsidRDefault="1C8D6E3A" w:rsidP="00CA194B">
      <w:pPr>
        <w:pStyle w:val="Fuentes"/>
        <w:rPr>
          <w:lang w:val="es-HN"/>
        </w:rPr>
      </w:pPr>
      <w:r w:rsidRPr="0076589C">
        <w:rPr>
          <w:lang w:val="es-HN"/>
        </w:rPr>
        <w:t>Fuente: Elaboración propia con datos de IPRA (2023).</w:t>
      </w:r>
    </w:p>
    <w:p w14:paraId="67CBF196" w14:textId="25AA2B44" w:rsidR="00D25509" w:rsidRPr="0076589C" w:rsidRDefault="7FAD8741" w:rsidP="00DE2B3F">
      <w:pPr>
        <w:pStyle w:val="TextoPrincipal"/>
        <w:rPr>
          <w:lang w:val="es-HN"/>
        </w:rPr>
      </w:pPr>
      <w:r w:rsidRPr="0076589C">
        <w:rPr>
          <w:lang w:val="es-HN"/>
        </w:rPr>
        <w:t xml:space="preserve">En la </w:t>
      </w:r>
      <w:r w:rsidR="00585884" w:rsidRPr="0076589C">
        <w:rPr>
          <w:b/>
          <w:bCs/>
          <w:lang w:val="es-HN"/>
        </w:rPr>
        <w:t>Tabla 2</w:t>
      </w:r>
      <w:r w:rsidR="00933C9A" w:rsidRPr="0076589C">
        <w:rPr>
          <w:b/>
          <w:bCs/>
          <w:lang w:val="es-HN"/>
        </w:rPr>
        <w:t>5</w:t>
      </w:r>
      <w:r w:rsidRPr="0076589C">
        <w:rPr>
          <w:lang w:val="es-HN"/>
        </w:rPr>
        <w:t xml:space="preserve">, la empresa tenía una razón de efectivo de 0.97 lo que significa que no cumplía con el suficiente efectivo y equivalente para cubrir la total de sus pasivos corrientes, como se pudo observar el efectivo era de L 1,841,088.54 y los pasivos corrientes con valor mayor de L        1,903,634.46 por lo tanto tenía un déficit de liquidez para el año desde el punto de vista de la razón de efectivo. </w:t>
      </w:r>
    </w:p>
    <w:p w14:paraId="2EC01F38" w14:textId="359D1F71" w:rsidR="008E390F" w:rsidRPr="0076589C" w:rsidRDefault="1C8D6E3A" w:rsidP="00DE2B3F">
      <w:pPr>
        <w:pStyle w:val="TextoPrincipal"/>
        <w:rPr>
          <w:lang w:val="es-HN"/>
        </w:rPr>
      </w:pPr>
      <w:r w:rsidRPr="0076589C">
        <w:rPr>
          <w:lang w:val="es-HN"/>
        </w:rPr>
        <w:t xml:space="preserve">Para el año 2020, el indicador aumentó a un 1.56 lo que indica que la empresa contaba con el suficiente efectivo y equivalentes de efectivo para cubrir sus pasivos corrientes, para el 2021 la razón disminuyó ligeramente a 1.35 pero aún se encontraba el valor arriba de lo establecido y por último para el año 2022 aumentó a 1.46 lo que sugiere que la empresa tenía una posición más fuerte. </w:t>
      </w:r>
    </w:p>
    <w:p w14:paraId="45C91919" w14:textId="0113A628" w:rsidR="008E390F" w:rsidRPr="0076589C" w:rsidRDefault="00EF06D2" w:rsidP="00D91B62">
      <w:pPr>
        <w:pStyle w:val="TextoPrincipal"/>
        <w:ind w:firstLine="0"/>
        <w:jc w:val="center"/>
        <w:rPr>
          <w:lang w:val="es-HN"/>
        </w:rPr>
      </w:pPr>
      <w:r w:rsidRPr="0076589C">
        <w:rPr>
          <w:noProof/>
          <w:lang w:val="es-HN" w:eastAsia="es-HN"/>
        </w:rPr>
        <w:drawing>
          <wp:inline distT="0" distB="0" distL="0" distR="0" wp14:anchorId="69D9FCEF" wp14:editId="057639B4">
            <wp:extent cx="5852160" cy="2743200"/>
            <wp:effectExtent l="0" t="0" r="15240" b="0"/>
            <wp:docPr id="1785808142" name="Gráfico 1">
              <a:extLst xmlns:a="http://schemas.openxmlformats.org/drawingml/2006/main">
                <a:ext uri="{FF2B5EF4-FFF2-40B4-BE49-F238E27FC236}">
                  <a16:creationId xmlns:a16="http://schemas.microsoft.com/office/drawing/2014/main" id="{15601BB7-38DA-AF33-D155-06D4BF5D20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2CFC17D6" w14:textId="7CBD9BCC" w:rsidR="005841F2" w:rsidRPr="0076589C" w:rsidRDefault="1C8D6E3A" w:rsidP="005841F2">
      <w:pPr>
        <w:pStyle w:val="ImagenyTabla"/>
        <w:rPr>
          <w:noProof w:val="0"/>
        </w:rPr>
      </w:pPr>
      <w:bookmarkStart w:id="293" w:name="_Toc158365600"/>
      <w:r w:rsidRPr="0076589C">
        <w:t xml:space="preserve">Figura </w:t>
      </w:r>
      <w:r w:rsidR="005841F2" w:rsidRPr="0076589C">
        <w:rPr>
          <w:noProof w:val="0"/>
        </w:rPr>
        <w:fldChar w:fldCharType="begin"/>
      </w:r>
      <w:r w:rsidR="005841F2" w:rsidRPr="0076589C">
        <w:rPr>
          <w:noProof w:val="0"/>
        </w:rPr>
        <w:instrText xml:space="preserve"> SEQ Figura \* ARABIC </w:instrText>
      </w:r>
      <w:r w:rsidR="005841F2" w:rsidRPr="0076589C">
        <w:rPr>
          <w:noProof w:val="0"/>
        </w:rPr>
        <w:fldChar w:fldCharType="separate"/>
      </w:r>
      <w:r w:rsidR="009F171A">
        <w:t>15</w:t>
      </w:r>
      <w:r w:rsidR="005841F2" w:rsidRPr="0076589C">
        <w:rPr>
          <w:noProof w:val="0"/>
        </w:rPr>
        <w:fldChar w:fldCharType="end"/>
      </w:r>
      <w:r w:rsidRPr="0076589C">
        <w:t>. Razón de efectivo en IPRA (2019-2022)</w:t>
      </w:r>
      <w:bookmarkEnd w:id="293"/>
    </w:p>
    <w:p w14:paraId="60603F86" w14:textId="77777777" w:rsidR="00CA194B" w:rsidRPr="0076589C" w:rsidRDefault="1C8D6E3A" w:rsidP="00CA194B">
      <w:pPr>
        <w:pStyle w:val="Fuentes"/>
        <w:rPr>
          <w:lang w:val="es-HN"/>
        </w:rPr>
      </w:pPr>
      <w:r w:rsidRPr="0076589C">
        <w:rPr>
          <w:lang w:val="es-HN"/>
        </w:rPr>
        <w:t>Fuente: Elaboración propia con datos de IPRA (2023).</w:t>
      </w:r>
    </w:p>
    <w:p w14:paraId="4D8CED5E" w14:textId="26534AF7" w:rsidR="00C72CE4" w:rsidRPr="0076589C" w:rsidRDefault="1C8D6E3A" w:rsidP="00C0484B">
      <w:pPr>
        <w:pStyle w:val="TextoPrincipal"/>
        <w:rPr>
          <w:lang w:val="es-HN"/>
        </w:rPr>
      </w:pPr>
      <w:r w:rsidRPr="0076589C">
        <w:rPr>
          <w:lang w:val="es-HN"/>
        </w:rPr>
        <w:t xml:space="preserve">Como se observa en la Figura 15, la evolución de la razón de efectivo en IPRA en el periodo 2019-2022, la cual experimentó cambios en su capacidad para cubrir sus obligaciones a corto </w:t>
      </w:r>
      <w:r w:rsidRPr="0076589C">
        <w:rPr>
          <w:lang w:val="es-HN"/>
        </w:rPr>
        <w:lastRenderedPageBreak/>
        <w:t xml:space="preserve">plazo, así como en el 2019 tenía un déficit de liquidez a partir de 20202 mejoró su posición de liquidez y pudo cubrir sus pasivos corrientes con su efectivo y equivalentes de efectivo. </w:t>
      </w:r>
    </w:p>
    <w:p w14:paraId="38649D6F" w14:textId="1AED69B8" w:rsidR="00C72CE4" w:rsidRPr="0076589C" w:rsidRDefault="1C8D6E3A" w:rsidP="00775958">
      <w:pPr>
        <w:pStyle w:val="TextoPrincipal"/>
        <w:spacing w:after="0"/>
        <w:rPr>
          <w:lang w:val="es-HN"/>
        </w:rPr>
      </w:pPr>
      <w:r w:rsidRPr="0076589C">
        <w:rPr>
          <w:lang w:val="es-HN"/>
        </w:rPr>
        <w:t>En resumen, según todos los indicadores analizados de liquidez, la empresa mostró que tiene la capacidad del cumplimiento de sus obligaciones a corto plazo, con valores que representan una tendencia estable, al haberse mantenido en un nivel que es relativamente consistente con el promedio de la industria en el periodo de 2019-2022.</w:t>
      </w:r>
    </w:p>
    <w:p w14:paraId="79081A7F" w14:textId="77777777" w:rsidR="00775958" w:rsidRPr="0076589C" w:rsidRDefault="00775958" w:rsidP="00775958">
      <w:pPr>
        <w:pStyle w:val="TextoPrincipal"/>
        <w:spacing w:after="0"/>
        <w:rPr>
          <w:lang w:val="es-HN"/>
        </w:rPr>
      </w:pPr>
    </w:p>
    <w:p w14:paraId="782D544C" w14:textId="560D3969" w:rsidR="00FE73CE" w:rsidRPr="0076589C" w:rsidRDefault="1C8D6E3A" w:rsidP="008104E6">
      <w:pPr>
        <w:pStyle w:val="Ttulonivel4"/>
        <w:numPr>
          <w:ilvl w:val="0"/>
          <w:numId w:val="26"/>
        </w:numPr>
        <w:ind w:left="1800"/>
      </w:pPr>
      <w:bookmarkStart w:id="294" w:name="_Hlk151797980"/>
      <w:r w:rsidRPr="0076589C">
        <w:t xml:space="preserve">DIMENSIÓN ENDEUDAMIENTO </w:t>
      </w:r>
    </w:p>
    <w:bookmarkEnd w:id="294"/>
    <w:p w14:paraId="4861D5DA" w14:textId="11E1880A" w:rsidR="0063767F" w:rsidRPr="0076589C" w:rsidRDefault="1C8D6E3A" w:rsidP="0063767F">
      <w:pPr>
        <w:pStyle w:val="TextoPrincipal"/>
        <w:rPr>
          <w:lang w:val="es-HN"/>
        </w:rPr>
      </w:pPr>
      <w:r w:rsidRPr="0076589C">
        <w:rPr>
          <w:lang w:val="es-HN"/>
        </w:rPr>
        <w:t>Los índices de endeudamiento también conocidas como razones de apalancamiento financiero o índices de solvencia, indican el respaldo con que cuentan las empresas frente a sus deuda totales.</w:t>
      </w:r>
      <w:r w:rsidR="00373547" w:rsidRPr="0076589C">
        <w:rPr>
          <w:lang w:val="es-HN"/>
        </w:rPr>
        <w:fldChar w:fldCharType="begin"/>
      </w:r>
      <w:r w:rsidR="00373547" w:rsidRPr="0076589C">
        <w:rPr>
          <w:lang w:val="es-HN"/>
        </w:rPr>
        <w:instrText xml:space="preserve"> ADDIN ZOTERO_ITEM CSL_CITATION {"citationID":"q0EBz2fs","properties":{"formattedCitation":"(Comisi\\uc0\\u243{}n Nacional Superviora de Empresas y Valores, 1982)","plainCitation":"(Comisión Nacional Superviora de Empresas y Valores, 1982)","noteIndex":0},"citationItems":[{"id":405,"uris":["http://zotero.org/users/12108825/items/S9SJW3XC"],"itemData":{"id":405,"type":"book","language":"es","note":"Google-Books-ID: zaBGAAAAYAAJ","number-of-pages":"300","publisher":"La Oficina","source":"Google Books","title":"Indicadores financieros de empresas inscritas en bolsa","author":[{"family":"Comisión Nacional Superviora de Empresas y Valores","given":""}],"issued":{"date-parts":[["1982"]]}}}],"schema":"https://github.com/citation-style-language/schema/raw/master/csl-citation.json"} </w:instrText>
      </w:r>
      <w:r w:rsidR="00373547" w:rsidRPr="0076589C">
        <w:rPr>
          <w:lang w:val="es-HN"/>
        </w:rPr>
        <w:fldChar w:fldCharType="separate"/>
      </w:r>
      <w:r w:rsidRPr="0076589C">
        <w:rPr>
          <w:lang w:val="es-HN"/>
        </w:rPr>
        <w:t>(Comisión Nacional Superviora de Empresas y Valores, 1982)</w:t>
      </w:r>
      <w:r w:rsidR="00373547" w:rsidRPr="0076589C">
        <w:rPr>
          <w:lang w:val="es-HN"/>
        </w:rPr>
        <w:fldChar w:fldCharType="end"/>
      </w:r>
    </w:p>
    <w:p w14:paraId="3C05268F" w14:textId="13B7794A" w:rsidR="00B00996" w:rsidRPr="0076589C" w:rsidRDefault="1C8D6E3A" w:rsidP="00775958">
      <w:pPr>
        <w:pStyle w:val="TextoPrincipal"/>
        <w:spacing w:after="0"/>
        <w:rPr>
          <w:lang w:val="es-HN"/>
        </w:rPr>
      </w:pPr>
      <w:r w:rsidRPr="0076589C">
        <w:rPr>
          <w:lang w:val="es-HN"/>
        </w:rPr>
        <w:t>Son medidas financieras que evalúan la proporción de deuda en la estructura de capital de una empresa y su capacidad para cubrir sus obligaciones de deuda. Son de gran importancia para conocer el nivel de riesgo financiero de una empresa. Como indicadores de endeudamiento se evalu</w:t>
      </w:r>
      <w:r w:rsidR="000D184A" w:rsidRPr="0076589C">
        <w:rPr>
          <w:lang w:val="es-HN"/>
        </w:rPr>
        <w:t>ó</w:t>
      </w:r>
      <w:r w:rsidRPr="0076589C">
        <w:rPr>
          <w:lang w:val="es-HN"/>
        </w:rPr>
        <w:t xml:space="preserve"> la estructura de capital y el índice de endeudamiento.</w:t>
      </w:r>
    </w:p>
    <w:p w14:paraId="2EDC86A7" w14:textId="77777777" w:rsidR="00775958" w:rsidRPr="0076589C" w:rsidRDefault="00775958" w:rsidP="00775958">
      <w:pPr>
        <w:pStyle w:val="TextoPrincipal"/>
        <w:spacing w:after="0"/>
        <w:rPr>
          <w:lang w:val="es-HN"/>
        </w:rPr>
      </w:pPr>
    </w:p>
    <w:p w14:paraId="36BE53A9" w14:textId="3FBE6B7B" w:rsidR="00DE2B3F" w:rsidRPr="0076589C" w:rsidRDefault="1C8D6E3A" w:rsidP="009D08E1">
      <w:pPr>
        <w:pStyle w:val="Nivel5"/>
        <w:numPr>
          <w:ilvl w:val="0"/>
          <w:numId w:val="39"/>
        </w:numPr>
        <w:ind w:left="1440" w:firstLine="0"/>
      </w:pPr>
      <w:r w:rsidRPr="0076589C">
        <w:t>ESTRUCTURA DE CAPITAL</w:t>
      </w:r>
    </w:p>
    <w:p w14:paraId="38CF6948" w14:textId="463E03A3" w:rsidR="00D33EF8" w:rsidRPr="0076589C" w:rsidRDefault="1C8D6E3A" w:rsidP="00456D7C">
      <w:pPr>
        <w:pStyle w:val="TextoPrincipal"/>
        <w:rPr>
          <w:lang w:val="es-HN"/>
        </w:rPr>
      </w:pPr>
      <w:r w:rsidRPr="0076589C">
        <w:rPr>
          <w:lang w:val="es-HN"/>
        </w:rPr>
        <w:t xml:space="preserve">La estructura de capital también denominado como “Endeudamiento patrimonial”, en el que se mide los pasivos totales con el patrimonio. Este indicador permite una visión de cómo es la financiación en la empresa, lo que proporciona una referencia clara de la cantidad de apalancamiento que posee una empresa. </w:t>
      </w:r>
      <w:r w:rsidR="00456D7C" w:rsidRPr="0076589C">
        <w:rPr>
          <w:lang w:val="es-HN"/>
        </w:rPr>
        <w:fldChar w:fldCharType="begin"/>
      </w:r>
      <w:r w:rsidR="00456D7C" w:rsidRPr="0076589C">
        <w:rPr>
          <w:lang w:val="es-HN"/>
        </w:rPr>
        <w:instrText xml:space="preserve"> ADDIN ZOTERO_ITEM CSL_CITATION {"citationID":"zLhcC3DL","properties":{"formattedCitation":"(Comisi\\uc0\\u243{}n Nacional Superviora de Empresas y Valores, 1982)","plainCitation":"(Comisión Nacional Superviora de Empresas y Valores, 1982)","dontUpdate":true,"noteIndex":0},"citationItems":[{"id":405,"uris":["http://zotero.org/users/12108825/items/S9SJW3XC"],"itemData":{"id":405,"type":"book","language":"es","note":"Google-Books-ID: zaBGAAAAYAAJ","number-of-pages":"300","publisher":"La Oficina","source":"Google Books","title":"Indicadores financieros de empresas inscritas en bolsa","author":[{"family":"Comisión Nacional Superviora de Empresas y Valores","given":""}],"issued":{"date-parts":[["1982"]]}}}],"schema":"https://github.com/citation-style-language/schema/raw/master/csl-citation.json"} </w:instrText>
      </w:r>
      <w:r w:rsidR="00456D7C" w:rsidRPr="0076589C">
        <w:rPr>
          <w:lang w:val="es-HN"/>
        </w:rPr>
        <w:fldChar w:fldCharType="separate"/>
      </w:r>
      <w:r w:rsidRPr="0076589C">
        <w:rPr>
          <w:lang w:val="es-HN"/>
        </w:rPr>
        <w:t>(Comisión Nacional Supervisora de Empresas y Valores, 1982)</w:t>
      </w:r>
      <w:r w:rsidR="00456D7C" w:rsidRPr="0076589C">
        <w:rPr>
          <w:lang w:val="es-HN"/>
        </w:rPr>
        <w:fldChar w:fldCharType="end"/>
      </w:r>
    </w:p>
    <w:p w14:paraId="74E8923A" w14:textId="7DCBFC6F" w:rsidR="00E162D3" w:rsidRPr="0076589C" w:rsidRDefault="1C8D6E3A" w:rsidP="00456D7C">
      <w:pPr>
        <w:pStyle w:val="TextoPrincipal"/>
        <w:rPr>
          <w:lang w:val="es-HN"/>
        </w:rPr>
      </w:pPr>
      <w:r w:rsidRPr="0076589C">
        <w:rPr>
          <w:lang w:val="es-HN"/>
        </w:rPr>
        <w:t xml:space="preserve">Con este indicador se busca medir la relación entre las dos formas de financiación, los recursos propios y los ajenos. El ratio se calcula dividiendo el pasivo total sobre el patrimonio neto. Con respecto a los valores obtenidos, en termino general un valor optimo del </w:t>
      </w:r>
    </w:p>
    <w:p w14:paraId="06233E48" w14:textId="231A2C63" w:rsidR="00D33EF8" w:rsidRPr="0076589C" w:rsidRDefault="1C8D6E3A" w:rsidP="007D29C9">
      <w:pPr>
        <w:pStyle w:val="ImagenyTabla"/>
        <w:rPr>
          <w:noProof w:val="0"/>
        </w:rPr>
      </w:pPr>
      <w:bookmarkStart w:id="295" w:name="_Toc158365574"/>
      <w:r w:rsidRPr="0076589C">
        <w:t xml:space="preserve">Tabla </w:t>
      </w:r>
      <w:r w:rsidR="00D33EF8" w:rsidRPr="0076589C">
        <w:rPr>
          <w:noProof w:val="0"/>
        </w:rPr>
        <w:fldChar w:fldCharType="begin"/>
      </w:r>
      <w:r w:rsidR="00D33EF8" w:rsidRPr="0076589C">
        <w:rPr>
          <w:noProof w:val="0"/>
        </w:rPr>
        <w:instrText xml:space="preserve"> SEQ Tabla \* ARABIC </w:instrText>
      </w:r>
      <w:r w:rsidR="00D33EF8" w:rsidRPr="0076589C">
        <w:rPr>
          <w:noProof w:val="0"/>
        </w:rPr>
        <w:fldChar w:fldCharType="separate"/>
      </w:r>
      <w:r w:rsidR="009F171A">
        <w:t>26</w:t>
      </w:r>
      <w:r w:rsidR="00D33EF8" w:rsidRPr="0076589C">
        <w:rPr>
          <w:noProof w:val="0"/>
        </w:rPr>
        <w:fldChar w:fldCharType="end"/>
      </w:r>
      <w:r w:rsidRPr="0076589C">
        <w:t xml:space="preserve">. </w:t>
      </w:r>
      <w:bookmarkStart w:id="296" w:name="_Hlk149755517"/>
      <w:r w:rsidRPr="0076589C">
        <w:t>Estructura de capital de IPRA (2019-2022)</w:t>
      </w:r>
      <w:bookmarkEnd w:id="295"/>
      <w:bookmarkEnd w:id="296"/>
    </w:p>
    <w:tbl>
      <w:tblPr>
        <w:tblW w:w="5000" w:type="pct"/>
        <w:tblLook w:val="04A0" w:firstRow="1" w:lastRow="0" w:firstColumn="1" w:lastColumn="0" w:noHBand="0" w:noVBand="1"/>
      </w:tblPr>
      <w:tblGrid>
        <w:gridCol w:w="1971"/>
        <w:gridCol w:w="1846"/>
        <w:gridCol w:w="1846"/>
        <w:gridCol w:w="1846"/>
        <w:gridCol w:w="1851"/>
      </w:tblGrid>
      <w:tr w:rsidR="001502F5" w:rsidRPr="0076589C" w14:paraId="3379B47F" w14:textId="77777777" w:rsidTr="1C8D6E3A">
        <w:trPr>
          <w:trHeight w:val="260"/>
        </w:trPr>
        <w:tc>
          <w:tcPr>
            <w:tcW w:w="5000" w:type="pct"/>
            <w:gridSpan w:val="5"/>
            <w:tcBorders>
              <w:top w:val="nil"/>
              <w:left w:val="nil"/>
              <w:bottom w:val="nil"/>
              <w:right w:val="nil"/>
            </w:tcBorders>
            <w:shd w:val="clear" w:color="auto" w:fill="auto"/>
            <w:noWrap/>
            <w:vAlign w:val="bottom"/>
            <w:hideMark/>
          </w:tcPr>
          <w:p w14:paraId="2630A6BF" w14:textId="77777777" w:rsidR="001502F5" w:rsidRPr="0076589C" w:rsidRDefault="1C8D6E3A" w:rsidP="1C8D6E3A">
            <w:pPr>
              <w:spacing w:after="0" w:line="240" w:lineRule="auto"/>
              <w:ind w:left="0"/>
              <w:rPr>
                <w:rFonts w:ascii="Calibri" w:eastAsia="Times New Roman" w:hAnsi="Calibri" w:cs="Calibri"/>
                <w:b/>
                <w:bCs/>
                <w:i/>
                <w:iCs/>
                <w:color w:val="000000"/>
                <w:sz w:val="20"/>
                <w:szCs w:val="20"/>
                <w:u w:val="single"/>
              </w:rPr>
            </w:pPr>
            <w:r w:rsidRPr="0076589C">
              <w:rPr>
                <w:rFonts w:ascii="Calibri" w:eastAsia="Times New Roman" w:hAnsi="Calibri" w:cs="Calibri"/>
                <w:b/>
                <w:bCs/>
                <w:i/>
                <w:iCs/>
                <w:color w:val="000000" w:themeColor="text1"/>
                <w:sz w:val="20"/>
                <w:szCs w:val="20"/>
                <w:u w:val="single"/>
              </w:rPr>
              <w:t>Estructura de capital</w:t>
            </w:r>
          </w:p>
        </w:tc>
      </w:tr>
      <w:tr w:rsidR="001502F5" w:rsidRPr="0076589C" w14:paraId="7E173292" w14:textId="77777777" w:rsidTr="1C8D6E3A">
        <w:trPr>
          <w:trHeight w:val="270"/>
        </w:trPr>
        <w:tc>
          <w:tcPr>
            <w:tcW w:w="1053" w:type="pct"/>
            <w:tcBorders>
              <w:top w:val="nil"/>
              <w:left w:val="nil"/>
              <w:bottom w:val="nil"/>
              <w:right w:val="nil"/>
            </w:tcBorders>
            <w:shd w:val="clear" w:color="auto" w:fill="auto"/>
            <w:noWrap/>
            <w:vAlign w:val="bottom"/>
            <w:hideMark/>
          </w:tcPr>
          <w:p w14:paraId="5F0E4513" w14:textId="77777777" w:rsidR="001502F5" w:rsidRPr="0076589C" w:rsidRDefault="001502F5" w:rsidP="1C8D6E3A">
            <w:pPr>
              <w:spacing w:after="0" w:line="240" w:lineRule="auto"/>
              <w:ind w:left="0"/>
              <w:rPr>
                <w:rFonts w:ascii="Calibri" w:eastAsia="Times New Roman" w:hAnsi="Calibri" w:cs="Calibri"/>
                <w:b/>
                <w:bCs/>
                <w:i/>
                <w:iCs/>
                <w:color w:val="000000"/>
                <w:sz w:val="20"/>
                <w:szCs w:val="20"/>
                <w:u w:val="single"/>
              </w:rPr>
            </w:pPr>
          </w:p>
        </w:tc>
        <w:tc>
          <w:tcPr>
            <w:tcW w:w="986" w:type="pct"/>
            <w:tcBorders>
              <w:top w:val="nil"/>
              <w:left w:val="nil"/>
              <w:bottom w:val="single" w:sz="8" w:space="0" w:color="85BADC"/>
              <w:right w:val="nil"/>
            </w:tcBorders>
            <w:shd w:val="clear" w:color="auto" w:fill="auto"/>
            <w:noWrap/>
            <w:vAlign w:val="center"/>
            <w:hideMark/>
          </w:tcPr>
          <w:p w14:paraId="417CDB0B" w14:textId="77777777" w:rsidR="001502F5" w:rsidRPr="0076589C" w:rsidRDefault="1C8D6E3A" w:rsidP="001502F5">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2019</w:t>
            </w:r>
          </w:p>
        </w:tc>
        <w:tc>
          <w:tcPr>
            <w:tcW w:w="986" w:type="pct"/>
            <w:tcBorders>
              <w:top w:val="nil"/>
              <w:left w:val="nil"/>
              <w:bottom w:val="single" w:sz="8" w:space="0" w:color="85BADC"/>
              <w:right w:val="nil"/>
            </w:tcBorders>
            <w:shd w:val="clear" w:color="auto" w:fill="auto"/>
            <w:noWrap/>
            <w:vAlign w:val="center"/>
            <w:hideMark/>
          </w:tcPr>
          <w:p w14:paraId="6DEC1979" w14:textId="77777777" w:rsidR="001502F5" w:rsidRPr="0076589C" w:rsidRDefault="1C8D6E3A" w:rsidP="001502F5">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2020</w:t>
            </w:r>
          </w:p>
        </w:tc>
        <w:tc>
          <w:tcPr>
            <w:tcW w:w="986" w:type="pct"/>
            <w:tcBorders>
              <w:top w:val="nil"/>
              <w:left w:val="nil"/>
              <w:bottom w:val="single" w:sz="8" w:space="0" w:color="85BADC"/>
              <w:right w:val="nil"/>
            </w:tcBorders>
            <w:shd w:val="clear" w:color="auto" w:fill="auto"/>
            <w:noWrap/>
            <w:vAlign w:val="center"/>
            <w:hideMark/>
          </w:tcPr>
          <w:p w14:paraId="159A270D" w14:textId="77777777" w:rsidR="001502F5" w:rsidRPr="0076589C" w:rsidRDefault="1C8D6E3A" w:rsidP="001502F5">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2021</w:t>
            </w:r>
          </w:p>
        </w:tc>
        <w:tc>
          <w:tcPr>
            <w:tcW w:w="988" w:type="pct"/>
            <w:tcBorders>
              <w:top w:val="nil"/>
              <w:left w:val="nil"/>
              <w:bottom w:val="single" w:sz="8" w:space="0" w:color="85BADC"/>
              <w:right w:val="nil"/>
            </w:tcBorders>
            <w:shd w:val="clear" w:color="auto" w:fill="auto"/>
            <w:noWrap/>
            <w:vAlign w:val="center"/>
            <w:hideMark/>
          </w:tcPr>
          <w:p w14:paraId="55D8ED5F" w14:textId="77777777" w:rsidR="001502F5" w:rsidRPr="0076589C" w:rsidRDefault="1C8D6E3A" w:rsidP="001502F5">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2022</w:t>
            </w:r>
          </w:p>
        </w:tc>
      </w:tr>
      <w:tr w:rsidR="001502F5" w:rsidRPr="0076589C" w14:paraId="576EE632" w14:textId="77777777" w:rsidTr="1C8D6E3A">
        <w:trPr>
          <w:trHeight w:val="260"/>
        </w:trPr>
        <w:tc>
          <w:tcPr>
            <w:tcW w:w="1053" w:type="pct"/>
            <w:tcBorders>
              <w:top w:val="nil"/>
              <w:left w:val="nil"/>
              <w:bottom w:val="nil"/>
              <w:right w:val="nil"/>
            </w:tcBorders>
            <w:shd w:val="clear" w:color="auto" w:fill="auto"/>
            <w:noWrap/>
            <w:vAlign w:val="bottom"/>
            <w:hideMark/>
          </w:tcPr>
          <w:p w14:paraId="5AFBFBCE" w14:textId="0B73F166" w:rsidR="001502F5" w:rsidRPr="0076589C" w:rsidRDefault="1C8D6E3A" w:rsidP="1C8D6E3A">
            <w:pPr>
              <w:spacing w:after="0" w:line="240" w:lineRule="auto"/>
              <w:ind w:left="0"/>
              <w:rPr>
                <w:rFonts w:ascii="Calibri" w:eastAsia="Times New Roman" w:hAnsi="Calibri" w:cs="Calibri"/>
                <w:i/>
                <w:iCs/>
                <w:color w:val="000000"/>
                <w:sz w:val="20"/>
                <w:szCs w:val="20"/>
              </w:rPr>
            </w:pPr>
            <w:r w:rsidRPr="0076589C">
              <w:rPr>
                <w:rFonts w:ascii="Calibri" w:eastAsia="Times New Roman" w:hAnsi="Calibri" w:cs="Calibri"/>
                <w:i/>
                <w:iCs/>
                <w:color w:val="000000" w:themeColor="text1"/>
                <w:sz w:val="20"/>
                <w:szCs w:val="20"/>
              </w:rPr>
              <w:t>Pasivo Total</w:t>
            </w:r>
          </w:p>
        </w:tc>
        <w:tc>
          <w:tcPr>
            <w:tcW w:w="986" w:type="pct"/>
            <w:tcBorders>
              <w:top w:val="nil"/>
              <w:left w:val="nil"/>
              <w:bottom w:val="nil"/>
              <w:right w:val="nil"/>
            </w:tcBorders>
            <w:shd w:val="clear" w:color="auto" w:fill="auto"/>
            <w:noWrap/>
            <w:vAlign w:val="center"/>
            <w:hideMark/>
          </w:tcPr>
          <w:p w14:paraId="0FF7F5EA" w14:textId="77777777" w:rsidR="001502F5" w:rsidRPr="0076589C" w:rsidRDefault="1C8D6E3A" w:rsidP="001502F5">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7,670,360.82 </w:t>
            </w:r>
          </w:p>
        </w:tc>
        <w:tc>
          <w:tcPr>
            <w:tcW w:w="986" w:type="pct"/>
            <w:tcBorders>
              <w:top w:val="nil"/>
              <w:left w:val="nil"/>
              <w:bottom w:val="nil"/>
              <w:right w:val="nil"/>
            </w:tcBorders>
            <w:shd w:val="clear" w:color="auto" w:fill="auto"/>
            <w:noWrap/>
            <w:vAlign w:val="center"/>
            <w:hideMark/>
          </w:tcPr>
          <w:p w14:paraId="36A1D0F3" w14:textId="77777777" w:rsidR="001502F5" w:rsidRPr="0076589C" w:rsidRDefault="1C8D6E3A" w:rsidP="001502F5">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6,862,234.47 </w:t>
            </w:r>
          </w:p>
        </w:tc>
        <w:tc>
          <w:tcPr>
            <w:tcW w:w="986" w:type="pct"/>
            <w:tcBorders>
              <w:top w:val="nil"/>
              <w:left w:val="nil"/>
              <w:bottom w:val="nil"/>
              <w:right w:val="nil"/>
            </w:tcBorders>
            <w:shd w:val="clear" w:color="auto" w:fill="auto"/>
            <w:noWrap/>
            <w:vAlign w:val="center"/>
            <w:hideMark/>
          </w:tcPr>
          <w:p w14:paraId="78D9C3EE" w14:textId="77777777" w:rsidR="001502F5" w:rsidRPr="0076589C" w:rsidRDefault="1C8D6E3A" w:rsidP="001502F5">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7,394,182.00 </w:t>
            </w:r>
          </w:p>
        </w:tc>
        <w:tc>
          <w:tcPr>
            <w:tcW w:w="988" w:type="pct"/>
            <w:tcBorders>
              <w:top w:val="nil"/>
              <w:left w:val="nil"/>
              <w:bottom w:val="nil"/>
              <w:right w:val="nil"/>
            </w:tcBorders>
            <w:shd w:val="clear" w:color="auto" w:fill="auto"/>
            <w:noWrap/>
            <w:vAlign w:val="center"/>
            <w:hideMark/>
          </w:tcPr>
          <w:p w14:paraId="553E7081" w14:textId="77777777" w:rsidR="001502F5" w:rsidRPr="0076589C" w:rsidRDefault="1C8D6E3A" w:rsidP="001502F5">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8,737,636.21 </w:t>
            </w:r>
          </w:p>
        </w:tc>
      </w:tr>
      <w:tr w:rsidR="001502F5" w:rsidRPr="0076589C" w14:paraId="023AF725" w14:textId="77777777" w:rsidTr="1C8D6E3A">
        <w:trPr>
          <w:trHeight w:val="270"/>
        </w:trPr>
        <w:tc>
          <w:tcPr>
            <w:tcW w:w="1053" w:type="pct"/>
            <w:tcBorders>
              <w:top w:val="nil"/>
              <w:left w:val="nil"/>
              <w:bottom w:val="double" w:sz="6" w:space="0" w:color="85BADC"/>
              <w:right w:val="nil"/>
            </w:tcBorders>
            <w:shd w:val="clear" w:color="auto" w:fill="auto"/>
            <w:noWrap/>
            <w:vAlign w:val="bottom"/>
            <w:hideMark/>
          </w:tcPr>
          <w:p w14:paraId="5481E421" w14:textId="77777777" w:rsidR="001502F5" w:rsidRPr="0076589C" w:rsidRDefault="1C8D6E3A" w:rsidP="1C8D6E3A">
            <w:pPr>
              <w:spacing w:after="0" w:line="240" w:lineRule="auto"/>
              <w:ind w:left="0"/>
              <w:rPr>
                <w:rFonts w:ascii="Calibri" w:eastAsia="Times New Roman" w:hAnsi="Calibri" w:cs="Calibri"/>
                <w:i/>
                <w:iCs/>
                <w:color w:val="000000"/>
                <w:sz w:val="20"/>
                <w:szCs w:val="20"/>
              </w:rPr>
            </w:pPr>
            <w:r w:rsidRPr="0076589C">
              <w:rPr>
                <w:rFonts w:ascii="Calibri" w:eastAsia="Times New Roman" w:hAnsi="Calibri" w:cs="Calibri"/>
                <w:i/>
                <w:iCs/>
                <w:color w:val="000000" w:themeColor="text1"/>
                <w:sz w:val="20"/>
                <w:szCs w:val="20"/>
              </w:rPr>
              <w:t>Patrimonio</w:t>
            </w:r>
          </w:p>
        </w:tc>
        <w:tc>
          <w:tcPr>
            <w:tcW w:w="986" w:type="pct"/>
            <w:tcBorders>
              <w:top w:val="nil"/>
              <w:left w:val="nil"/>
              <w:bottom w:val="double" w:sz="6" w:space="0" w:color="85BADC"/>
              <w:right w:val="nil"/>
            </w:tcBorders>
            <w:shd w:val="clear" w:color="auto" w:fill="auto"/>
            <w:noWrap/>
            <w:vAlign w:val="center"/>
            <w:hideMark/>
          </w:tcPr>
          <w:p w14:paraId="1619A945" w14:textId="77777777" w:rsidR="001502F5" w:rsidRPr="0076589C" w:rsidRDefault="1C8D6E3A" w:rsidP="001502F5">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11,354,178.46 </w:t>
            </w:r>
          </w:p>
        </w:tc>
        <w:tc>
          <w:tcPr>
            <w:tcW w:w="986" w:type="pct"/>
            <w:tcBorders>
              <w:top w:val="nil"/>
              <w:left w:val="nil"/>
              <w:bottom w:val="double" w:sz="6" w:space="0" w:color="85BADC"/>
              <w:right w:val="nil"/>
            </w:tcBorders>
            <w:shd w:val="clear" w:color="auto" w:fill="auto"/>
            <w:noWrap/>
            <w:vAlign w:val="center"/>
            <w:hideMark/>
          </w:tcPr>
          <w:p w14:paraId="717F8964" w14:textId="77777777" w:rsidR="001502F5" w:rsidRPr="0076589C" w:rsidRDefault="1C8D6E3A" w:rsidP="001502F5">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24,481,757.44 </w:t>
            </w:r>
          </w:p>
        </w:tc>
        <w:tc>
          <w:tcPr>
            <w:tcW w:w="986" w:type="pct"/>
            <w:tcBorders>
              <w:top w:val="nil"/>
              <w:left w:val="nil"/>
              <w:bottom w:val="double" w:sz="6" w:space="0" w:color="85BADC"/>
              <w:right w:val="nil"/>
            </w:tcBorders>
            <w:shd w:val="clear" w:color="auto" w:fill="auto"/>
            <w:noWrap/>
            <w:vAlign w:val="center"/>
            <w:hideMark/>
          </w:tcPr>
          <w:p w14:paraId="44C6AC8D" w14:textId="77777777" w:rsidR="001502F5" w:rsidRPr="0076589C" w:rsidRDefault="1C8D6E3A" w:rsidP="001502F5">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13,999,627.22 </w:t>
            </w:r>
          </w:p>
        </w:tc>
        <w:tc>
          <w:tcPr>
            <w:tcW w:w="988" w:type="pct"/>
            <w:tcBorders>
              <w:top w:val="nil"/>
              <w:left w:val="nil"/>
              <w:bottom w:val="double" w:sz="6" w:space="0" w:color="85BADC"/>
              <w:right w:val="nil"/>
            </w:tcBorders>
            <w:shd w:val="clear" w:color="auto" w:fill="auto"/>
            <w:noWrap/>
            <w:vAlign w:val="center"/>
            <w:hideMark/>
          </w:tcPr>
          <w:p w14:paraId="14D6745E" w14:textId="77777777" w:rsidR="001502F5" w:rsidRPr="0076589C" w:rsidRDefault="1C8D6E3A" w:rsidP="001502F5">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15,685,678.21 </w:t>
            </w:r>
          </w:p>
        </w:tc>
      </w:tr>
      <w:tr w:rsidR="001502F5" w:rsidRPr="0076589C" w14:paraId="3C95BEBD" w14:textId="77777777" w:rsidTr="1C8D6E3A">
        <w:trPr>
          <w:trHeight w:val="270"/>
        </w:trPr>
        <w:tc>
          <w:tcPr>
            <w:tcW w:w="1053" w:type="pct"/>
            <w:tcBorders>
              <w:top w:val="nil"/>
              <w:left w:val="nil"/>
              <w:bottom w:val="nil"/>
              <w:right w:val="nil"/>
            </w:tcBorders>
            <w:shd w:val="clear" w:color="auto" w:fill="auto"/>
            <w:noWrap/>
            <w:vAlign w:val="bottom"/>
            <w:hideMark/>
          </w:tcPr>
          <w:p w14:paraId="2B27F460" w14:textId="77777777" w:rsidR="001502F5" w:rsidRPr="0076589C" w:rsidRDefault="1C8D6E3A" w:rsidP="001502F5">
            <w:pPr>
              <w:spacing w:after="0" w:line="240" w:lineRule="auto"/>
              <w:ind w:left="0"/>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Estructura de capital</w:t>
            </w:r>
          </w:p>
        </w:tc>
        <w:tc>
          <w:tcPr>
            <w:tcW w:w="986" w:type="pct"/>
            <w:tcBorders>
              <w:top w:val="nil"/>
              <w:left w:val="nil"/>
              <w:bottom w:val="nil"/>
              <w:right w:val="nil"/>
            </w:tcBorders>
            <w:shd w:val="clear" w:color="auto" w:fill="auto"/>
            <w:noWrap/>
            <w:vAlign w:val="center"/>
            <w:hideMark/>
          </w:tcPr>
          <w:p w14:paraId="36D6C79E" w14:textId="77777777" w:rsidR="001502F5" w:rsidRPr="0076589C" w:rsidRDefault="1C8D6E3A" w:rsidP="001502F5">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0.68</w:t>
            </w:r>
          </w:p>
        </w:tc>
        <w:tc>
          <w:tcPr>
            <w:tcW w:w="986" w:type="pct"/>
            <w:tcBorders>
              <w:top w:val="nil"/>
              <w:left w:val="nil"/>
              <w:bottom w:val="nil"/>
              <w:right w:val="nil"/>
            </w:tcBorders>
            <w:shd w:val="clear" w:color="auto" w:fill="auto"/>
            <w:noWrap/>
            <w:vAlign w:val="center"/>
            <w:hideMark/>
          </w:tcPr>
          <w:p w14:paraId="68B4C07A" w14:textId="77777777" w:rsidR="001502F5" w:rsidRPr="0076589C" w:rsidRDefault="1C8D6E3A" w:rsidP="001502F5">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0.28</w:t>
            </w:r>
          </w:p>
        </w:tc>
        <w:tc>
          <w:tcPr>
            <w:tcW w:w="986" w:type="pct"/>
            <w:tcBorders>
              <w:top w:val="nil"/>
              <w:left w:val="nil"/>
              <w:bottom w:val="nil"/>
              <w:right w:val="nil"/>
            </w:tcBorders>
            <w:shd w:val="clear" w:color="auto" w:fill="auto"/>
            <w:noWrap/>
            <w:vAlign w:val="center"/>
            <w:hideMark/>
          </w:tcPr>
          <w:p w14:paraId="7948FE7B" w14:textId="77777777" w:rsidR="001502F5" w:rsidRPr="0076589C" w:rsidRDefault="1C8D6E3A" w:rsidP="001502F5">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0.53</w:t>
            </w:r>
          </w:p>
        </w:tc>
        <w:tc>
          <w:tcPr>
            <w:tcW w:w="988" w:type="pct"/>
            <w:tcBorders>
              <w:top w:val="nil"/>
              <w:left w:val="nil"/>
              <w:bottom w:val="nil"/>
              <w:right w:val="nil"/>
            </w:tcBorders>
            <w:shd w:val="clear" w:color="auto" w:fill="auto"/>
            <w:noWrap/>
            <w:vAlign w:val="center"/>
            <w:hideMark/>
          </w:tcPr>
          <w:p w14:paraId="00579FAF" w14:textId="77777777" w:rsidR="001502F5" w:rsidRPr="0076589C" w:rsidRDefault="1C8D6E3A" w:rsidP="001502F5">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0.56</w:t>
            </w:r>
          </w:p>
        </w:tc>
      </w:tr>
    </w:tbl>
    <w:p w14:paraId="16657723" w14:textId="77777777" w:rsidR="00CA194B" w:rsidRPr="0076589C" w:rsidRDefault="1C8D6E3A" w:rsidP="00CA194B">
      <w:pPr>
        <w:pStyle w:val="Fuentes"/>
        <w:rPr>
          <w:lang w:val="es-HN"/>
        </w:rPr>
      </w:pPr>
      <w:r w:rsidRPr="0076589C">
        <w:rPr>
          <w:lang w:val="es-HN"/>
        </w:rPr>
        <w:lastRenderedPageBreak/>
        <w:t>Fuente: Elaboración propia con datos de IPRA (2023).</w:t>
      </w:r>
    </w:p>
    <w:p w14:paraId="699F71A8" w14:textId="68FF3656" w:rsidR="009815A0" w:rsidRPr="0076589C" w:rsidRDefault="1C8D6E3A" w:rsidP="009815A0">
      <w:pPr>
        <w:pStyle w:val="TextoPrincipal"/>
        <w:rPr>
          <w:lang w:val="es-HN"/>
        </w:rPr>
      </w:pPr>
      <w:r w:rsidRPr="0076589C">
        <w:rPr>
          <w:lang w:val="es-HN"/>
        </w:rPr>
        <w:t xml:space="preserve">En la </w:t>
      </w:r>
      <w:r w:rsidR="00585884" w:rsidRPr="0076589C">
        <w:rPr>
          <w:b/>
          <w:bCs/>
          <w:lang w:val="es-HN"/>
        </w:rPr>
        <w:t>Tabla 2</w:t>
      </w:r>
      <w:r w:rsidR="00933C9A" w:rsidRPr="0076589C">
        <w:rPr>
          <w:b/>
          <w:bCs/>
          <w:lang w:val="es-HN"/>
        </w:rPr>
        <w:t>6</w:t>
      </w:r>
      <w:r w:rsidRPr="0076589C">
        <w:rPr>
          <w:lang w:val="es-HN"/>
        </w:rPr>
        <w:t>, se presentan los resultados de la Estructura de Capital de IPRA en el periodo de 2019-2022. Para el año 2019, el índice de estructura fue de 0.68 lo que indica que el 68% de la financiación de la empresa provino de pasivo (deuda) y el 32% del capital propio, en el 2020 el índice disminuyó significativamente a 0.28 lo que sugiere que la empresa utilizo en su mayoría (72%) capital propio, en el 2021 el índice aumentó en relación al año anterior a 0.53 lo que indica que la empresa requirió mayor deuda y por último en el año 2022, el índice se mantuvo en 0.56.</w:t>
      </w:r>
    </w:p>
    <w:p w14:paraId="23AB38BD" w14:textId="09A39709" w:rsidR="00EF06D2" w:rsidRPr="0076589C" w:rsidRDefault="00002402" w:rsidP="00D91B62">
      <w:pPr>
        <w:pStyle w:val="TextoPrincipal"/>
        <w:ind w:firstLine="0"/>
        <w:jc w:val="center"/>
        <w:rPr>
          <w:lang w:val="es-HN"/>
        </w:rPr>
      </w:pPr>
      <w:r w:rsidRPr="0076589C">
        <w:rPr>
          <w:noProof/>
          <w:lang w:val="es-HN" w:eastAsia="es-HN"/>
        </w:rPr>
        <w:drawing>
          <wp:inline distT="0" distB="0" distL="0" distR="0" wp14:anchorId="63E5E366" wp14:editId="5D511BDB">
            <wp:extent cx="5852160" cy="2701255"/>
            <wp:effectExtent l="0" t="0" r="15240" b="4445"/>
            <wp:docPr id="1688593236" name="Gráfico 1">
              <a:extLst xmlns:a="http://schemas.openxmlformats.org/drawingml/2006/main">
                <a:ext uri="{FF2B5EF4-FFF2-40B4-BE49-F238E27FC236}">
                  <a16:creationId xmlns:a16="http://schemas.microsoft.com/office/drawing/2014/main" id="{649975B8-AD01-9DA9-DAD4-60E447E773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6175CEC2" w14:textId="398AFF45" w:rsidR="005841F2" w:rsidRPr="0076589C" w:rsidRDefault="1C8D6E3A" w:rsidP="005841F2">
      <w:pPr>
        <w:pStyle w:val="ImagenyTabla"/>
        <w:rPr>
          <w:noProof w:val="0"/>
        </w:rPr>
      </w:pPr>
      <w:bookmarkStart w:id="297" w:name="_Toc158365601"/>
      <w:r w:rsidRPr="0076589C">
        <w:t xml:space="preserve">Figura </w:t>
      </w:r>
      <w:r w:rsidR="005841F2" w:rsidRPr="0076589C">
        <w:rPr>
          <w:noProof w:val="0"/>
        </w:rPr>
        <w:fldChar w:fldCharType="begin"/>
      </w:r>
      <w:r w:rsidR="005841F2" w:rsidRPr="0076589C">
        <w:rPr>
          <w:noProof w:val="0"/>
        </w:rPr>
        <w:instrText xml:space="preserve"> SEQ Figura \* ARABIC </w:instrText>
      </w:r>
      <w:r w:rsidR="005841F2" w:rsidRPr="0076589C">
        <w:rPr>
          <w:noProof w:val="0"/>
        </w:rPr>
        <w:fldChar w:fldCharType="separate"/>
      </w:r>
      <w:r w:rsidR="009F171A">
        <w:t>16</w:t>
      </w:r>
      <w:r w:rsidR="005841F2" w:rsidRPr="0076589C">
        <w:rPr>
          <w:noProof w:val="0"/>
        </w:rPr>
        <w:fldChar w:fldCharType="end"/>
      </w:r>
      <w:r w:rsidRPr="0076589C">
        <w:t>. Esctructura de capital de IPRA (2019-2022)</w:t>
      </w:r>
      <w:bookmarkEnd w:id="297"/>
    </w:p>
    <w:p w14:paraId="52608D4F" w14:textId="77777777" w:rsidR="00A8480B" w:rsidRPr="0076589C" w:rsidRDefault="1C8D6E3A" w:rsidP="00A8480B">
      <w:pPr>
        <w:pStyle w:val="Fuentes"/>
        <w:rPr>
          <w:lang w:val="es-HN"/>
        </w:rPr>
      </w:pPr>
      <w:r w:rsidRPr="0076589C">
        <w:rPr>
          <w:lang w:val="es-HN"/>
        </w:rPr>
        <w:t>Fuente: Elaboración propia con datos de IPRA (2023).</w:t>
      </w:r>
    </w:p>
    <w:p w14:paraId="40A22079" w14:textId="6668D9D1" w:rsidR="00002402" w:rsidRPr="0076589C" w:rsidRDefault="7FAD8741" w:rsidP="00775958">
      <w:pPr>
        <w:pStyle w:val="TextoPrincipal"/>
        <w:spacing w:after="0"/>
        <w:rPr>
          <w:lang w:val="es-HN"/>
        </w:rPr>
      </w:pPr>
      <w:r w:rsidRPr="0076589C">
        <w:rPr>
          <w:lang w:val="es-HN"/>
        </w:rPr>
        <w:t xml:space="preserve">En la </w:t>
      </w:r>
      <w:r w:rsidRPr="0076589C">
        <w:rPr>
          <w:b/>
          <w:bCs/>
          <w:lang w:val="es-HN"/>
        </w:rPr>
        <w:t>Figura 16</w:t>
      </w:r>
      <w:r w:rsidRPr="0076589C">
        <w:rPr>
          <w:lang w:val="es-HN"/>
        </w:rPr>
        <w:t>, se observó como la Estructura de Capital tuvo fluctuaciones a lo largo de los años. En 2020, la empresa dependía principalmente de su capital propio para financiarse, lo que se pudoconsiderar una posición financiera más sólida en términos de riesgo de deuda. Sin embargo, en los años siguientes hubo un incremento en la dependencia de la deuda, lo que podría tener implicaciones en términos de riesgo financiero y costos de interés. La elección de la estructura de capital depende de las estrategias financieras y las condiciones del mercado, y puede variar según los objetivos y la situación de la empresa.</w:t>
      </w:r>
    </w:p>
    <w:p w14:paraId="6767DA1B" w14:textId="77777777" w:rsidR="00775958" w:rsidRPr="0076589C" w:rsidRDefault="00775958" w:rsidP="00775958">
      <w:pPr>
        <w:pStyle w:val="TextoPrincipal"/>
        <w:spacing w:after="0"/>
        <w:rPr>
          <w:lang w:val="es-HN"/>
        </w:rPr>
      </w:pPr>
    </w:p>
    <w:p w14:paraId="0967EDFB" w14:textId="0F1F8EA8" w:rsidR="001502F5" w:rsidRPr="0076589C" w:rsidRDefault="1C8D6E3A" w:rsidP="009D08E1">
      <w:pPr>
        <w:pStyle w:val="Nivel5"/>
        <w:numPr>
          <w:ilvl w:val="0"/>
          <w:numId w:val="39"/>
        </w:numPr>
        <w:ind w:left="1440" w:firstLine="0"/>
      </w:pPr>
      <w:r w:rsidRPr="0076589C">
        <w:lastRenderedPageBreak/>
        <w:t>ÍNDICE DE ENDEUDAMIENTO</w:t>
      </w:r>
    </w:p>
    <w:p w14:paraId="24422408" w14:textId="4A9B4097" w:rsidR="00D33EF8" w:rsidRPr="0076589C" w:rsidRDefault="00E5042D" w:rsidP="009E6DC7">
      <w:pPr>
        <w:pStyle w:val="TextoPrincipal"/>
        <w:rPr>
          <w:lang w:val="es-HN"/>
        </w:rPr>
      </w:pPr>
      <w:r w:rsidRPr="0076589C">
        <w:rPr>
          <w:lang w:val="es-HN"/>
        </w:rPr>
        <w:fldChar w:fldCharType="begin"/>
      </w:r>
      <w:r w:rsidRPr="0076589C">
        <w:rPr>
          <w:lang w:val="es-HN"/>
        </w:rPr>
        <w:instrText xml:space="preserve"> ADDIN ZOTERO_ITEM CSL_CITATION {"citationID":"LVL9pwcm","properties":{"formattedCitation":"(Novoa, 2008)","plainCitation":"(Novoa, 2008)","dontUpdate":true,"noteIndex":0},"citationItems":[{"id":399,"uris":["http://zotero.org/users/12108825/items/5IY8WLME"],"itemData":{"id":399,"type":"book","ISBN":"978-958-716-086-4","language":"es","note":"Google-Books-ID: JmC1zekAM7oC","number-of-pages":"222","publisher":"Pontificia Universidad Javeriana","source":"Google Books","title":"Finanzas para no financistas","author":[{"family":"Novoa","given":"Alberto Barajas"}],"issued":{"date-parts":[["2008"]]}}}],"schema":"https://github.com/citation-style-language/schema/raw/master/csl-citation.json"} </w:instrText>
      </w:r>
      <w:r w:rsidRPr="0076589C">
        <w:rPr>
          <w:lang w:val="es-HN"/>
        </w:rPr>
        <w:fldChar w:fldCharType="separate"/>
      </w:r>
      <w:r w:rsidR="1C8D6E3A" w:rsidRPr="0076589C">
        <w:rPr>
          <w:lang w:val="es-HN"/>
        </w:rPr>
        <w:t>Novoa, (2008)</w:t>
      </w:r>
      <w:r w:rsidRPr="0076589C">
        <w:rPr>
          <w:lang w:val="es-HN"/>
        </w:rPr>
        <w:fldChar w:fldCharType="end"/>
      </w:r>
      <w:r w:rsidR="1C8D6E3A" w:rsidRPr="0076589C">
        <w:rPr>
          <w:lang w:val="es-HN"/>
        </w:rPr>
        <w:t xml:space="preserve"> explica que: “El índice de endeudamiento se calcula dividiendo los pasivos totales sobre los activos totales, el resultado es el porcentaje de los activos totales que ha sido proporcionado por los acreedores”. (pág.88)  </w:t>
      </w:r>
    </w:p>
    <w:p w14:paraId="59457B7D" w14:textId="0A340405" w:rsidR="003405F7" w:rsidRPr="0076589C" w:rsidRDefault="1C8D6E3A" w:rsidP="00775958">
      <w:pPr>
        <w:pStyle w:val="TextoPrincipal"/>
        <w:rPr>
          <w:lang w:val="es-HN"/>
        </w:rPr>
      </w:pPr>
      <w:r w:rsidRPr="0076589C">
        <w:rPr>
          <w:lang w:val="es-HN"/>
        </w:rPr>
        <w:t>Cuando se tiene un alto índice de endeudamiento total representa un alto riesgo para los acreedores, un índice alto indica una mayor dependencia de la deuda en la financiación de la empresa. Un índice de endeudamiento en el rango del 30% al 50% se considera generalmente saludable y sugiere un nivel razonable de apalancamiento financiero.</w:t>
      </w:r>
    </w:p>
    <w:p w14:paraId="2B85C878" w14:textId="6C546F4B" w:rsidR="00D33EF8" w:rsidRPr="0076589C" w:rsidRDefault="1C8D6E3A" w:rsidP="0085682A">
      <w:pPr>
        <w:pStyle w:val="ImagenyTabla"/>
        <w:rPr>
          <w:noProof w:val="0"/>
        </w:rPr>
      </w:pPr>
      <w:bookmarkStart w:id="298" w:name="_Hlk158325561"/>
      <w:bookmarkStart w:id="299" w:name="_Hlk150467064"/>
      <w:bookmarkStart w:id="300" w:name="_Toc158365575"/>
      <w:r w:rsidRPr="0076589C">
        <w:t xml:space="preserve">Tabla </w:t>
      </w:r>
      <w:r w:rsidR="00D33EF8" w:rsidRPr="0076589C">
        <w:rPr>
          <w:noProof w:val="0"/>
        </w:rPr>
        <w:fldChar w:fldCharType="begin"/>
      </w:r>
      <w:r w:rsidR="00D33EF8" w:rsidRPr="0076589C">
        <w:rPr>
          <w:noProof w:val="0"/>
        </w:rPr>
        <w:instrText xml:space="preserve"> SEQ Tabla \* ARABIC </w:instrText>
      </w:r>
      <w:r w:rsidR="00D33EF8" w:rsidRPr="0076589C">
        <w:rPr>
          <w:noProof w:val="0"/>
        </w:rPr>
        <w:fldChar w:fldCharType="separate"/>
      </w:r>
      <w:r w:rsidR="009F171A">
        <w:t>27</w:t>
      </w:r>
      <w:r w:rsidR="00D33EF8" w:rsidRPr="0076589C">
        <w:rPr>
          <w:noProof w:val="0"/>
        </w:rPr>
        <w:fldChar w:fldCharType="end"/>
      </w:r>
      <w:r w:rsidRPr="0076589C">
        <w:t>. Ín</w:t>
      </w:r>
      <w:bookmarkEnd w:id="298"/>
      <w:r w:rsidRPr="0076589C">
        <w:t xml:space="preserve">dice </w:t>
      </w:r>
      <w:bookmarkEnd w:id="299"/>
      <w:r w:rsidRPr="0076589C">
        <w:t>de endeudamiento de IPRA (2019-2022)</w:t>
      </w:r>
      <w:bookmarkEnd w:id="300"/>
    </w:p>
    <w:tbl>
      <w:tblPr>
        <w:tblW w:w="0" w:type="auto"/>
        <w:tblLook w:val="04A0" w:firstRow="1" w:lastRow="0" w:firstColumn="1" w:lastColumn="0" w:noHBand="0" w:noVBand="1"/>
      </w:tblPr>
      <w:tblGrid>
        <w:gridCol w:w="1605"/>
        <w:gridCol w:w="1896"/>
        <w:gridCol w:w="1897"/>
        <w:gridCol w:w="1982"/>
        <w:gridCol w:w="1980"/>
      </w:tblGrid>
      <w:tr w:rsidR="0062415B" w:rsidRPr="0076589C" w14:paraId="62552EC4" w14:textId="77777777" w:rsidTr="1C8D6E3A">
        <w:trPr>
          <w:trHeight w:val="260"/>
        </w:trPr>
        <w:tc>
          <w:tcPr>
            <w:tcW w:w="0" w:type="auto"/>
            <w:gridSpan w:val="5"/>
            <w:tcBorders>
              <w:top w:val="nil"/>
              <w:left w:val="nil"/>
              <w:bottom w:val="nil"/>
              <w:right w:val="nil"/>
            </w:tcBorders>
            <w:shd w:val="clear" w:color="auto" w:fill="auto"/>
            <w:noWrap/>
            <w:vAlign w:val="bottom"/>
            <w:hideMark/>
          </w:tcPr>
          <w:p w14:paraId="7E6ACD5C" w14:textId="05171F59" w:rsidR="0062415B" w:rsidRPr="0076589C" w:rsidRDefault="1C8D6E3A" w:rsidP="1C8D6E3A">
            <w:pPr>
              <w:spacing w:after="0" w:line="240" w:lineRule="auto"/>
              <w:ind w:left="0"/>
              <w:rPr>
                <w:rFonts w:ascii="Calibri" w:eastAsia="Times New Roman" w:hAnsi="Calibri" w:cs="Calibri"/>
                <w:b/>
                <w:bCs/>
                <w:i/>
                <w:iCs/>
                <w:color w:val="000000"/>
                <w:sz w:val="20"/>
                <w:szCs w:val="20"/>
                <w:u w:val="single"/>
              </w:rPr>
            </w:pPr>
            <w:r w:rsidRPr="0076589C">
              <w:rPr>
                <w:rFonts w:ascii="Calibri" w:eastAsia="Times New Roman" w:hAnsi="Calibri" w:cs="Calibri"/>
                <w:b/>
                <w:bCs/>
                <w:i/>
                <w:iCs/>
                <w:color w:val="000000" w:themeColor="text1"/>
                <w:sz w:val="20"/>
                <w:szCs w:val="20"/>
                <w:u w:val="single"/>
              </w:rPr>
              <w:t>Índice de endeudamiento</w:t>
            </w:r>
          </w:p>
        </w:tc>
      </w:tr>
      <w:tr w:rsidR="008013B3" w:rsidRPr="0076589C" w14:paraId="5852C728" w14:textId="77777777" w:rsidTr="1C8D6E3A">
        <w:trPr>
          <w:trHeight w:val="270"/>
        </w:trPr>
        <w:tc>
          <w:tcPr>
            <w:tcW w:w="1605" w:type="dxa"/>
            <w:tcBorders>
              <w:top w:val="nil"/>
              <w:left w:val="nil"/>
              <w:bottom w:val="nil"/>
              <w:right w:val="nil"/>
            </w:tcBorders>
            <w:shd w:val="clear" w:color="auto" w:fill="auto"/>
            <w:noWrap/>
            <w:vAlign w:val="bottom"/>
            <w:hideMark/>
          </w:tcPr>
          <w:p w14:paraId="78F00837" w14:textId="77777777" w:rsidR="0062415B" w:rsidRPr="0076589C" w:rsidRDefault="0062415B" w:rsidP="1C8D6E3A">
            <w:pPr>
              <w:spacing w:after="0" w:line="240" w:lineRule="auto"/>
              <w:ind w:left="0"/>
              <w:rPr>
                <w:rFonts w:ascii="Calibri" w:eastAsia="Times New Roman" w:hAnsi="Calibri" w:cs="Calibri"/>
                <w:b/>
                <w:bCs/>
                <w:i/>
                <w:iCs/>
                <w:color w:val="000000"/>
                <w:sz w:val="20"/>
                <w:szCs w:val="20"/>
                <w:u w:val="single"/>
              </w:rPr>
            </w:pPr>
          </w:p>
        </w:tc>
        <w:tc>
          <w:tcPr>
            <w:tcW w:w="1896" w:type="dxa"/>
            <w:tcBorders>
              <w:top w:val="nil"/>
              <w:left w:val="nil"/>
              <w:bottom w:val="single" w:sz="8" w:space="0" w:color="85BADC"/>
              <w:right w:val="nil"/>
            </w:tcBorders>
            <w:shd w:val="clear" w:color="auto" w:fill="auto"/>
            <w:noWrap/>
            <w:vAlign w:val="center"/>
            <w:hideMark/>
          </w:tcPr>
          <w:p w14:paraId="2B781F37" w14:textId="77777777" w:rsidR="0062415B" w:rsidRPr="0076589C" w:rsidRDefault="1C8D6E3A" w:rsidP="0062415B">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2019</w:t>
            </w:r>
          </w:p>
        </w:tc>
        <w:tc>
          <w:tcPr>
            <w:tcW w:w="1897" w:type="dxa"/>
            <w:tcBorders>
              <w:top w:val="nil"/>
              <w:left w:val="nil"/>
              <w:bottom w:val="single" w:sz="8" w:space="0" w:color="85BADC"/>
              <w:right w:val="nil"/>
            </w:tcBorders>
            <w:shd w:val="clear" w:color="auto" w:fill="auto"/>
            <w:noWrap/>
            <w:vAlign w:val="center"/>
            <w:hideMark/>
          </w:tcPr>
          <w:p w14:paraId="3A5256ED" w14:textId="77777777" w:rsidR="0062415B" w:rsidRPr="0076589C" w:rsidRDefault="1C8D6E3A" w:rsidP="0062415B">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2020</w:t>
            </w:r>
          </w:p>
        </w:tc>
        <w:tc>
          <w:tcPr>
            <w:tcW w:w="1982" w:type="dxa"/>
            <w:tcBorders>
              <w:top w:val="nil"/>
              <w:left w:val="nil"/>
              <w:bottom w:val="single" w:sz="8" w:space="0" w:color="85BADC"/>
              <w:right w:val="nil"/>
            </w:tcBorders>
            <w:shd w:val="clear" w:color="auto" w:fill="auto"/>
            <w:noWrap/>
            <w:vAlign w:val="center"/>
            <w:hideMark/>
          </w:tcPr>
          <w:p w14:paraId="03DD82B1" w14:textId="77777777" w:rsidR="0062415B" w:rsidRPr="0076589C" w:rsidRDefault="1C8D6E3A" w:rsidP="0062415B">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2021</w:t>
            </w:r>
          </w:p>
        </w:tc>
        <w:tc>
          <w:tcPr>
            <w:tcW w:w="1980" w:type="dxa"/>
            <w:tcBorders>
              <w:top w:val="nil"/>
              <w:left w:val="nil"/>
              <w:bottom w:val="single" w:sz="8" w:space="0" w:color="85BADC"/>
              <w:right w:val="nil"/>
            </w:tcBorders>
            <w:shd w:val="clear" w:color="auto" w:fill="auto"/>
            <w:noWrap/>
            <w:vAlign w:val="center"/>
            <w:hideMark/>
          </w:tcPr>
          <w:p w14:paraId="63EB6371" w14:textId="77777777" w:rsidR="0062415B" w:rsidRPr="0076589C" w:rsidRDefault="1C8D6E3A" w:rsidP="0062415B">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2022</w:t>
            </w:r>
          </w:p>
        </w:tc>
      </w:tr>
      <w:tr w:rsidR="008013B3" w:rsidRPr="0076589C" w14:paraId="12BA74E7" w14:textId="77777777" w:rsidTr="1C8D6E3A">
        <w:trPr>
          <w:trHeight w:val="260"/>
        </w:trPr>
        <w:tc>
          <w:tcPr>
            <w:tcW w:w="1605" w:type="dxa"/>
            <w:tcBorders>
              <w:top w:val="nil"/>
              <w:left w:val="nil"/>
              <w:bottom w:val="nil"/>
              <w:right w:val="nil"/>
            </w:tcBorders>
            <w:shd w:val="clear" w:color="auto" w:fill="auto"/>
            <w:noWrap/>
            <w:vAlign w:val="bottom"/>
            <w:hideMark/>
          </w:tcPr>
          <w:p w14:paraId="7AAF32F4" w14:textId="77777777" w:rsidR="0062415B" w:rsidRPr="0076589C" w:rsidRDefault="1C8D6E3A" w:rsidP="1C8D6E3A">
            <w:pPr>
              <w:spacing w:after="0" w:line="240" w:lineRule="auto"/>
              <w:ind w:left="0"/>
              <w:rPr>
                <w:rFonts w:ascii="Calibri" w:eastAsia="Times New Roman" w:hAnsi="Calibri" w:cs="Calibri"/>
                <w:i/>
                <w:iCs/>
                <w:color w:val="000000"/>
                <w:sz w:val="20"/>
                <w:szCs w:val="20"/>
              </w:rPr>
            </w:pPr>
            <w:r w:rsidRPr="0076589C">
              <w:rPr>
                <w:rFonts w:ascii="Calibri" w:eastAsia="Times New Roman" w:hAnsi="Calibri" w:cs="Calibri"/>
                <w:i/>
                <w:iCs/>
                <w:color w:val="000000" w:themeColor="text1"/>
                <w:sz w:val="20"/>
                <w:szCs w:val="20"/>
              </w:rPr>
              <w:t>Total pasivos</w:t>
            </w:r>
          </w:p>
        </w:tc>
        <w:tc>
          <w:tcPr>
            <w:tcW w:w="1896" w:type="dxa"/>
            <w:tcBorders>
              <w:top w:val="nil"/>
              <w:left w:val="nil"/>
              <w:bottom w:val="nil"/>
              <w:right w:val="nil"/>
            </w:tcBorders>
            <w:shd w:val="clear" w:color="auto" w:fill="auto"/>
            <w:noWrap/>
            <w:vAlign w:val="center"/>
            <w:hideMark/>
          </w:tcPr>
          <w:p w14:paraId="2E42AA49" w14:textId="77777777" w:rsidR="0062415B" w:rsidRPr="0076589C" w:rsidRDefault="1C8D6E3A" w:rsidP="0062415B">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7,670,360.82 </w:t>
            </w:r>
          </w:p>
        </w:tc>
        <w:tc>
          <w:tcPr>
            <w:tcW w:w="1897" w:type="dxa"/>
            <w:tcBorders>
              <w:top w:val="nil"/>
              <w:left w:val="nil"/>
              <w:bottom w:val="nil"/>
              <w:right w:val="nil"/>
            </w:tcBorders>
            <w:shd w:val="clear" w:color="auto" w:fill="auto"/>
            <w:noWrap/>
            <w:vAlign w:val="center"/>
            <w:hideMark/>
          </w:tcPr>
          <w:p w14:paraId="4E8B7EDF" w14:textId="77777777" w:rsidR="0062415B" w:rsidRPr="0076589C" w:rsidRDefault="1C8D6E3A" w:rsidP="0062415B">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6,862,234.47 </w:t>
            </w:r>
          </w:p>
        </w:tc>
        <w:tc>
          <w:tcPr>
            <w:tcW w:w="1982" w:type="dxa"/>
            <w:tcBorders>
              <w:top w:val="nil"/>
              <w:left w:val="nil"/>
              <w:bottom w:val="nil"/>
              <w:right w:val="nil"/>
            </w:tcBorders>
            <w:shd w:val="clear" w:color="auto" w:fill="auto"/>
            <w:noWrap/>
            <w:vAlign w:val="center"/>
            <w:hideMark/>
          </w:tcPr>
          <w:p w14:paraId="588F0E5F" w14:textId="77777777" w:rsidR="0062415B" w:rsidRPr="0076589C" w:rsidRDefault="1C8D6E3A" w:rsidP="0062415B">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7,394,182.00 </w:t>
            </w:r>
          </w:p>
        </w:tc>
        <w:tc>
          <w:tcPr>
            <w:tcW w:w="1980" w:type="dxa"/>
            <w:tcBorders>
              <w:top w:val="nil"/>
              <w:left w:val="nil"/>
              <w:bottom w:val="nil"/>
              <w:right w:val="nil"/>
            </w:tcBorders>
            <w:shd w:val="clear" w:color="auto" w:fill="auto"/>
            <w:noWrap/>
            <w:vAlign w:val="center"/>
            <w:hideMark/>
          </w:tcPr>
          <w:p w14:paraId="032738CB" w14:textId="77777777" w:rsidR="0062415B" w:rsidRPr="0076589C" w:rsidRDefault="1C8D6E3A" w:rsidP="0062415B">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8,737,636.21 </w:t>
            </w:r>
          </w:p>
        </w:tc>
      </w:tr>
      <w:tr w:rsidR="008013B3" w:rsidRPr="0076589C" w14:paraId="68E5DE2D" w14:textId="77777777" w:rsidTr="1C8D6E3A">
        <w:trPr>
          <w:trHeight w:val="270"/>
        </w:trPr>
        <w:tc>
          <w:tcPr>
            <w:tcW w:w="1605" w:type="dxa"/>
            <w:tcBorders>
              <w:top w:val="nil"/>
              <w:left w:val="nil"/>
              <w:bottom w:val="double" w:sz="6" w:space="0" w:color="85BADC"/>
              <w:right w:val="nil"/>
            </w:tcBorders>
            <w:shd w:val="clear" w:color="auto" w:fill="auto"/>
            <w:noWrap/>
            <w:vAlign w:val="bottom"/>
            <w:hideMark/>
          </w:tcPr>
          <w:p w14:paraId="16237B65" w14:textId="77777777" w:rsidR="0062415B" w:rsidRPr="0076589C" w:rsidRDefault="1C8D6E3A" w:rsidP="1C8D6E3A">
            <w:pPr>
              <w:spacing w:after="0" w:line="240" w:lineRule="auto"/>
              <w:ind w:left="0"/>
              <w:rPr>
                <w:rFonts w:ascii="Calibri" w:eastAsia="Times New Roman" w:hAnsi="Calibri" w:cs="Calibri"/>
                <w:i/>
                <w:iCs/>
                <w:color w:val="000000"/>
                <w:sz w:val="20"/>
                <w:szCs w:val="20"/>
              </w:rPr>
            </w:pPr>
            <w:r w:rsidRPr="0076589C">
              <w:rPr>
                <w:rFonts w:ascii="Calibri" w:eastAsia="Times New Roman" w:hAnsi="Calibri" w:cs="Calibri"/>
                <w:i/>
                <w:iCs/>
                <w:color w:val="000000" w:themeColor="text1"/>
                <w:sz w:val="20"/>
                <w:szCs w:val="20"/>
              </w:rPr>
              <w:t>Total activos</w:t>
            </w:r>
          </w:p>
        </w:tc>
        <w:tc>
          <w:tcPr>
            <w:tcW w:w="1896" w:type="dxa"/>
            <w:tcBorders>
              <w:top w:val="nil"/>
              <w:left w:val="nil"/>
              <w:bottom w:val="double" w:sz="6" w:space="0" w:color="85BADC"/>
              <w:right w:val="nil"/>
            </w:tcBorders>
            <w:shd w:val="clear" w:color="auto" w:fill="auto"/>
            <w:noWrap/>
            <w:vAlign w:val="center"/>
            <w:hideMark/>
          </w:tcPr>
          <w:p w14:paraId="6A418205" w14:textId="77777777" w:rsidR="0062415B" w:rsidRPr="0076589C" w:rsidRDefault="1C8D6E3A" w:rsidP="0062415B">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19,024,539.28 </w:t>
            </w:r>
          </w:p>
        </w:tc>
        <w:tc>
          <w:tcPr>
            <w:tcW w:w="1897" w:type="dxa"/>
            <w:tcBorders>
              <w:top w:val="nil"/>
              <w:left w:val="nil"/>
              <w:bottom w:val="double" w:sz="6" w:space="0" w:color="85BADC"/>
              <w:right w:val="nil"/>
            </w:tcBorders>
            <w:shd w:val="clear" w:color="auto" w:fill="auto"/>
            <w:noWrap/>
            <w:vAlign w:val="center"/>
            <w:hideMark/>
          </w:tcPr>
          <w:p w14:paraId="6E25D9B9" w14:textId="77777777" w:rsidR="0062415B" w:rsidRPr="0076589C" w:rsidRDefault="1C8D6E3A" w:rsidP="0062415B">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19,103,113.19 </w:t>
            </w:r>
          </w:p>
        </w:tc>
        <w:tc>
          <w:tcPr>
            <w:tcW w:w="1982" w:type="dxa"/>
            <w:tcBorders>
              <w:top w:val="nil"/>
              <w:left w:val="nil"/>
              <w:bottom w:val="double" w:sz="6" w:space="0" w:color="85BADC"/>
              <w:right w:val="nil"/>
            </w:tcBorders>
            <w:shd w:val="clear" w:color="auto" w:fill="auto"/>
            <w:noWrap/>
            <w:vAlign w:val="center"/>
            <w:hideMark/>
          </w:tcPr>
          <w:p w14:paraId="3D1E7B3A" w14:textId="77777777" w:rsidR="0062415B" w:rsidRPr="0076589C" w:rsidRDefault="1C8D6E3A" w:rsidP="0062415B">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21,393,809.22 </w:t>
            </w:r>
          </w:p>
        </w:tc>
        <w:tc>
          <w:tcPr>
            <w:tcW w:w="1980" w:type="dxa"/>
            <w:tcBorders>
              <w:top w:val="nil"/>
              <w:left w:val="nil"/>
              <w:bottom w:val="double" w:sz="6" w:space="0" w:color="85BADC"/>
              <w:right w:val="nil"/>
            </w:tcBorders>
            <w:shd w:val="clear" w:color="auto" w:fill="auto"/>
            <w:noWrap/>
            <w:vAlign w:val="center"/>
            <w:hideMark/>
          </w:tcPr>
          <w:p w14:paraId="556A44FF" w14:textId="77777777" w:rsidR="0062415B" w:rsidRPr="0076589C" w:rsidRDefault="1C8D6E3A" w:rsidP="0062415B">
            <w:pPr>
              <w:spacing w:after="0" w:line="240" w:lineRule="auto"/>
              <w:ind w:left="0"/>
              <w:jc w:val="center"/>
              <w:rPr>
                <w:rFonts w:ascii="Calibri" w:eastAsia="Times New Roman" w:hAnsi="Calibri" w:cs="Calibri"/>
                <w:color w:val="000000"/>
                <w:sz w:val="20"/>
                <w:szCs w:val="20"/>
              </w:rPr>
            </w:pPr>
            <w:r w:rsidRPr="0076589C">
              <w:rPr>
                <w:rFonts w:ascii="Calibri" w:eastAsia="Times New Roman" w:hAnsi="Calibri" w:cs="Calibri"/>
                <w:color w:val="000000" w:themeColor="text1"/>
                <w:sz w:val="20"/>
                <w:szCs w:val="20"/>
              </w:rPr>
              <w:t xml:space="preserve"> L      24,423,314.42 </w:t>
            </w:r>
          </w:p>
        </w:tc>
      </w:tr>
      <w:tr w:rsidR="008013B3" w:rsidRPr="0076589C" w14:paraId="4E1B8CE1" w14:textId="77777777" w:rsidTr="1C8D6E3A">
        <w:trPr>
          <w:trHeight w:val="270"/>
        </w:trPr>
        <w:tc>
          <w:tcPr>
            <w:tcW w:w="1605" w:type="dxa"/>
            <w:tcBorders>
              <w:top w:val="nil"/>
              <w:left w:val="nil"/>
              <w:bottom w:val="nil"/>
              <w:right w:val="nil"/>
            </w:tcBorders>
            <w:shd w:val="clear" w:color="auto" w:fill="auto"/>
            <w:noWrap/>
            <w:vAlign w:val="bottom"/>
            <w:hideMark/>
          </w:tcPr>
          <w:p w14:paraId="558941A2" w14:textId="214A1683" w:rsidR="0062415B" w:rsidRPr="0076589C" w:rsidRDefault="1C8D6E3A" w:rsidP="0062415B">
            <w:pPr>
              <w:spacing w:after="0" w:line="240" w:lineRule="auto"/>
              <w:ind w:left="0"/>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Índice de endeudamiento</w:t>
            </w:r>
          </w:p>
        </w:tc>
        <w:tc>
          <w:tcPr>
            <w:tcW w:w="1896" w:type="dxa"/>
            <w:tcBorders>
              <w:top w:val="nil"/>
              <w:left w:val="nil"/>
              <w:bottom w:val="nil"/>
              <w:right w:val="nil"/>
            </w:tcBorders>
            <w:shd w:val="clear" w:color="auto" w:fill="auto"/>
            <w:noWrap/>
            <w:vAlign w:val="center"/>
            <w:hideMark/>
          </w:tcPr>
          <w:p w14:paraId="0DA7C32A" w14:textId="77777777" w:rsidR="0062415B" w:rsidRPr="0076589C" w:rsidRDefault="1C8D6E3A" w:rsidP="0062415B">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0.40</w:t>
            </w:r>
          </w:p>
        </w:tc>
        <w:tc>
          <w:tcPr>
            <w:tcW w:w="1897" w:type="dxa"/>
            <w:tcBorders>
              <w:top w:val="nil"/>
              <w:left w:val="nil"/>
              <w:bottom w:val="nil"/>
              <w:right w:val="nil"/>
            </w:tcBorders>
            <w:shd w:val="clear" w:color="auto" w:fill="auto"/>
            <w:noWrap/>
            <w:vAlign w:val="center"/>
            <w:hideMark/>
          </w:tcPr>
          <w:p w14:paraId="77F6D787" w14:textId="77777777" w:rsidR="0062415B" w:rsidRPr="0076589C" w:rsidRDefault="1C8D6E3A" w:rsidP="0062415B">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0.36</w:t>
            </w:r>
          </w:p>
        </w:tc>
        <w:tc>
          <w:tcPr>
            <w:tcW w:w="1982" w:type="dxa"/>
            <w:tcBorders>
              <w:top w:val="nil"/>
              <w:left w:val="nil"/>
              <w:bottom w:val="nil"/>
              <w:right w:val="nil"/>
            </w:tcBorders>
            <w:shd w:val="clear" w:color="auto" w:fill="auto"/>
            <w:noWrap/>
            <w:vAlign w:val="center"/>
            <w:hideMark/>
          </w:tcPr>
          <w:p w14:paraId="53B75BDD" w14:textId="77777777" w:rsidR="0062415B" w:rsidRPr="0076589C" w:rsidRDefault="1C8D6E3A" w:rsidP="0062415B">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0.35</w:t>
            </w:r>
          </w:p>
        </w:tc>
        <w:tc>
          <w:tcPr>
            <w:tcW w:w="1980" w:type="dxa"/>
            <w:tcBorders>
              <w:top w:val="nil"/>
              <w:left w:val="nil"/>
              <w:bottom w:val="nil"/>
              <w:right w:val="nil"/>
            </w:tcBorders>
            <w:shd w:val="clear" w:color="auto" w:fill="auto"/>
            <w:noWrap/>
            <w:vAlign w:val="center"/>
            <w:hideMark/>
          </w:tcPr>
          <w:p w14:paraId="3C4C1702" w14:textId="77777777" w:rsidR="0062415B" w:rsidRPr="0076589C" w:rsidRDefault="1C8D6E3A" w:rsidP="0062415B">
            <w:pPr>
              <w:spacing w:after="0" w:line="240" w:lineRule="auto"/>
              <w:ind w:left="0"/>
              <w:jc w:val="center"/>
              <w:rPr>
                <w:rFonts w:ascii="Calibri" w:eastAsia="Times New Roman" w:hAnsi="Calibri" w:cs="Calibri"/>
                <w:b/>
                <w:bCs/>
                <w:color w:val="000000"/>
                <w:sz w:val="20"/>
                <w:szCs w:val="20"/>
              </w:rPr>
            </w:pPr>
            <w:r w:rsidRPr="0076589C">
              <w:rPr>
                <w:rFonts w:ascii="Calibri" w:eastAsia="Times New Roman" w:hAnsi="Calibri" w:cs="Calibri"/>
                <w:b/>
                <w:bCs/>
                <w:color w:val="000000" w:themeColor="text1"/>
                <w:sz w:val="20"/>
                <w:szCs w:val="20"/>
              </w:rPr>
              <w:t>0.36</w:t>
            </w:r>
          </w:p>
        </w:tc>
      </w:tr>
    </w:tbl>
    <w:p w14:paraId="4512F0F6" w14:textId="77777777" w:rsidR="00A8480B" w:rsidRPr="0076589C" w:rsidRDefault="1C8D6E3A" w:rsidP="00A8480B">
      <w:pPr>
        <w:pStyle w:val="Fuentes"/>
        <w:rPr>
          <w:lang w:val="es-HN"/>
        </w:rPr>
      </w:pPr>
      <w:r w:rsidRPr="0076589C">
        <w:rPr>
          <w:lang w:val="es-HN"/>
        </w:rPr>
        <w:t>Fuente: Elaboración propia con datos de IPRA (2023).</w:t>
      </w:r>
    </w:p>
    <w:p w14:paraId="028391FC" w14:textId="4FB66139" w:rsidR="001502F5" w:rsidRPr="0076589C" w:rsidRDefault="1C8D6E3A" w:rsidP="00DE2B3F">
      <w:pPr>
        <w:pStyle w:val="TextoPrincipal"/>
        <w:rPr>
          <w:lang w:val="es-HN"/>
        </w:rPr>
      </w:pPr>
      <w:r w:rsidRPr="0076589C">
        <w:rPr>
          <w:lang w:val="es-HN"/>
        </w:rPr>
        <w:t xml:space="preserve">En la </w:t>
      </w:r>
      <w:r w:rsidR="00585884" w:rsidRPr="0076589C">
        <w:rPr>
          <w:b/>
          <w:bCs/>
          <w:lang w:val="es-HN"/>
        </w:rPr>
        <w:t>Tabla 2</w:t>
      </w:r>
      <w:r w:rsidR="00933C9A" w:rsidRPr="0076589C">
        <w:rPr>
          <w:b/>
          <w:bCs/>
          <w:lang w:val="es-HN"/>
        </w:rPr>
        <w:t>7</w:t>
      </w:r>
      <w:r w:rsidRPr="0076589C">
        <w:rPr>
          <w:lang w:val="es-HN"/>
        </w:rPr>
        <w:t xml:space="preserve">, se presentan los índices de endeudamiento totales de IPRA, comenzando con el año 2019 donde el índice de endeudamiento fue de 0.40 lo que indica que el 40% de la financiación de la empresa provenía de la deuda y el 60% del capital propio, se considera que es una proporción moderada de deuda, en los años siguientes el índice de endeudamiento disminuyó ligeramente a un 0.36 y 035, valores que se encuentran dentro  del rango para considerarse un nivel saludable y razonable de apalancamiento financiero. </w:t>
      </w:r>
    </w:p>
    <w:p w14:paraId="6B95600C" w14:textId="107C2A27" w:rsidR="008E390F" w:rsidRPr="0076589C" w:rsidRDefault="004E0D2D" w:rsidP="00711324">
      <w:pPr>
        <w:pStyle w:val="TextoPrincipal"/>
        <w:ind w:firstLine="0"/>
        <w:rPr>
          <w:lang w:val="es-HN"/>
        </w:rPr>
      </w:pPr>
      <w:r w:rsidRPr="0076589C">
        <w:rPr>
          <w:noProof/>
          <w:lang w:val="es-HN" w:eastAsia="es-HN"/>
        </w:rPr>
        <w:drawing>
          <wp:inline distT="0" distB="0" distL="0" distR="0" wp14:anchorId="3B3DD973" wp14:editId="2A721FB6">
            <wp:extent cx="5852160" cy="2743200"/>
            <wp:effectExtent l="0" t="0" r="15240" b="0"/>
            <wp:docPr id="1172560947" name="Gráfico 1">
              <a:extLst xmlns:a="http://schemas.openxmlformats.org/drawingml/2006/main">
                <a:ext uri="{FF2B5EF4-FFF2-40B4-BE49-F238E27FC236}">
                  <a16:creationId xmlns:a16="http://schemas.microsoft.com/office/drawing/2014/main" id="{71043935-EF99-E654-536E-0C31F28C340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50946CEF" w14:textId="199E60B5" w:rsidR="005841F2" w:rsidRPr="0076589C" w:rsidRDefault="1C8D6E3A" w:rsidP="005841F2">
      <w:pPr>
        <w:pStyle w:val="ImagenyTabla"/>
        <w:rPr>
          <w:noProof w:val="0"/>
        </w:rPr>
      </w:pPr>
      <w:bookmarkStart w:id="301" w:name="_Toc158365602"/>
      <w:r w:rsidRPr="0076589C">
        <w:lastRenderedPageBreak/>
        <w:t xml:space="preserve">Figura </w:t>
      </w:r>
      <w:r w:rsidR="005841F2" w:rsidRPr="0076589C">
        <w:rPr>
          <w:noProof w:val="0"/>
        </w:rPr>
        <w:fldChar w:fldCharType="begin"/>
      </w:r>
      <w:r w:rsidR="005841F2" w:rsidRPr="0076589C">
        <w:rPr>
          <w:noProof w:val="0"/>
        </w:rPr>
        <w:instrText xml:space="preserve"> SEQ Figura \* ARABIC </w:instrText>
      </w:r>
      <w:r w:rsidR="005841F2" w:rsidRPr="0076589C">
        <w:rPr>
          <w:noProof w:val="0"/>
        </w:rPr>
        <w:fldChar w:fldCharType="separate"/>
      </w:r>
      <w:r w:rsidR="009F171A">
        <w:t>17</w:t>
      </w:r>
      <w:r w:rsidR="005841F2" w:rsidRPr="0076589C">
        <w:rPr>
          <w:noProof w:val="0"/>
        </w:rPr>
        <w:fldChar w:fldCharType="end"/>
      </w:r>
      <w:r w:rsidRPr="0076589C">
        <w:t>. Índice de endeudamiento de IPRA (2019-2022)</w:t>
      </w:r>
      <w:bookmarkEnd w:id="301"/>
    </w:p>
    <w:p w14:paraId="7D982370" w14:textId="78AA83ED" w:rsidR="005841F2" w:rsidRPr="0076589C" w:rsidRDefault="1C8D6E3A" w:rsidP="000A3F65">
      <w:pPr>
        <w:pStyle w:val="Fuentes"/>
        <w:rPr>
          <w:lang w:val="es-HN"/>
        </w:rPr>
      </w:pPr>
      <w:r w:rsidRPr="0076589C">
        <w:rPr>
          <w:lang w:val="es-HN"/>
        </w:rPr>
        <w:t>Fuente: Elaboración propia con datos de IPRA (2023).</w:t>
      </w:r>
    </w:p>
    <w:p w14:paraId="16281480" w14:textId="4A6C0805" w:rsidR="00733242" w:rsidRPr="0076589C" w:rsidRDefault="1C8D6E3A" w:rsidP="00775958">
      <w:pPr>
        <w:pStyle w:val="TextoPrincipal"/>
        <w:spacing w:after="0"/>
        <w:rPr>
          <w:lang w:val="es-HN"/>
        </w:rPr>
      </w:pPr>
      <w:r w:rsidRPr="0076589C">
        <w:rPr>
          <w:lang w:val="es-HN"/>
        </w:rPr>
        <w:t xml:space="preserve">En la </w:t>
      </w:r>
      <w:r w:rsidRPr="0076589C">
        <w:rPr>
          <w:b/>
          <w:bCs/>
          <w:lang w:val="es-HN"/>
        </w:rPr>
        <w:t>Figura 17</w:t>
      </w:r>
      <w:r w:rsidRPr="0076589C">
        <w:rPr>
          <w:lang w:val="es-HN"/>
        </w:rPr>
        <w:t>, se muestra gráficamente como la empresa IPRA mantuvo un índice de Endeudamiento relativamente equilibrado con una proporción moderada de deuda en su financiamiento durante los años de 2019-2022. La proporción de deuda no parece haber experimentado cambios significativos, lo que sugiere que la empresa pudo gestionar su nivel de endeudamiento de manera estable.</w:t>
      </w:r>
    </w:p>
    <w:p w14:paraId="123B8B87" w14:textId="77777777" w:rsidR="00775958" w:rsidRPr="0076589C" w:rsidRDefault="00775958" w:rsidP="00775958">
      <w:pPr>
        <w:pStyle w:val="TextoPrincipal"/>
        <w:spacing w:after="0"/>
        <w:rPr>
          <w:lang w:val="es-HN"/>
        </w:rPr>
      </w:pPr>
    </w:p>
    <w:p w14:paraId="2AF9B0B2" w14:textId="3DDD95BC" w:rsidR="004B2B05" w:rsidRPr="0076589C" w:rsidRDefault="00137339" w:rsidP="001A658D">
      <w:pPr>
        <w:pStyle w:val="Ttulonivel4"/>
        <w:numPr>
          <w:ilvl w:val="0"/>
          <w:numId w:val="50"/>
        </w:numPr>
        <w:ind w:left="1440" w:firstLine="0"/>
      </w:pPr>
      <w:r w:rsidRPr="0076589C">
        <w:t>SEMÁFORO FINANCIERO</w:t>
      </w:r>
      <w:r w:rsidR="004B2B05" w:rsidRPr="0076589C">
        <w:t xml:space="preserve"> </w:t>
      </w:r>
    </w:p>
    <w:p w14:paraId="3CCCCE9C" w14:textId="6775BDA7" w:rsidR="00143B2D" w:rsidRPr="0076589C" w:rsidRDefault="00143B2D" w:rsidP="00143B2D">
      <w:pPr>
        <w:pStyle w:val="TextoPrincipal"/>
        <w:rPr>
          <w:lang w:val="es-HN"/>
        </w:rPr>
      </w:pPr>
      <w:r w:rsidRPr="0076589C">
        <w:rPr>
          <w:lang w:val="es-HN"/>
        </w:rPr>
        <w:t>Un semáforo financiero es una herramienta que utiliza colores para representar la salud financiera de una empresa o los indicadores financieros clave. Se basa en un sistema de colores similares a un semáforo de tráfico:</w:t>
      </w:r>
    </w:p>
    <w:p w14:paraId="181F0978" w14:textId="77777777" w:rsidR="00143B2D" w:rsidRPr="0076589C" w:rsidRDefault="00143B2D" w:rsidP="00143B2D">
      <w:pPr>
        <w:pStyle w:val="TextoPrincipal"/>
        <w:rPr>
          <w:lang w:val="es-HN"/>
        </w:rPr>
      </w:pPr>
      <w:r w:rsidRPr="0076589C">
        <w:rPr>
          <w:lang w:val="es-HN"/>
        </w:rPr>
        <w:t>Verde: Indica que los indicadores financieros están dentro de los rangos deseados o favorables</w:t>
      </w:r>
    </w:p>
    <w:p w14:paraId="79BB0F6A" w14:textId="77777777" w:rsidR="00143B2D" w:rsidRPr="0076589C" w:rsidRDefault="00143B2D" w:rsidP="00143B2D">
      <w:pPr>
        <w:pStyle w:val="TextoPrincipal"/>
        <w:rPr>
          <w:lang w:val="es-HN"/>
        </w:rPr>
      </w:pPr>
      <w:r w:rsidRPr="0076589C">
        <w:rPr>
          <w:lang w:val="es-HN"/>
        </w:rPr>
        <w:t>Amarillo o Naranja: Indica un estado de equilibrio con una precaución o advertencia, ya que se encuentran cerca de los limites aceptables, pero podrían requerir atención o un seguimiento especial.</w:t>
      </w:r>
    </w:p>
    <w:p w14:paraId="1D7CEEC9" w14:textId="3C80DB61" w:rsidR="00143B2D" w:rsidRPr="0076589C" w:rsidRDefault="00143B2D" w:rsidP="00143B2D">
      <w:pPr>
        <w:pStyle w:val="TextoPrincipal"/>
        <w:rPr>
          <w:lang w:val="es-HN"/>
        </w:rPr>
      </w:pPr>
      <w:r w:rsidRPr="0076589C">
        <w:rPr>
          <w:lang w:val="es-HN"/>
        </w:rPr>
        <w:t xml:space="preserve">Rojo: Indica una situación financiera es problemática o negativa. Lo que se podría interpretar que los indicadores están fuera de los limites deseados y necesitan acción inmediata para corregir la situación. </w:t>
      </w:r>
    </w:p>
    <w:p w14:paraId="7B08027D" w14:textId="4C2822B0" w:rsidR="003405F7" w:rsidRPr="0076589C" w:rsidRDefault="4CEA7910" w:rsidP="00AA4127">
      <w:pPr>
        <w:pStyle w:val="TextoPrincipal"/>
        <w:rPr>
          <w:lang w:val="es-HN"/>
        </w:rPr>
      </w:pPr>
      <w:r w:rsidRPr="0076589C">
        <w:rPr>
          <w:lang w:val="es-HN"/>
        </w:rPr>
        <w:t>A continuación, se muestra el semáforo financiero de los indicadores de IPRA para el periodo de 2019-2022.</w:t>
      </w:r>
      <w:r w:rsidR="00D10DD7" w:rsidRPr="0076589C">
        <w:rPr>
          <w:lang w:val="es-HN"/>
        </w:rPr>
        <w:t xml:space="preserve"> </w:t>
      </w:r>
      <w:r w:rsidR="004A54D3" w:rsidRPr="0076589C">
        <w:rPr>
          <w:lang w:val="es-HN"/>
        </w:rPr>
        <w:t>S</w:t>
      </w:r>
      <w:r w:rsidR="00C802ED" w:rsidRPr="0076589C">
        <w:rPr>
          <w:lang w:val="es-HN"/>
        </w:rPr>
        <w:t xml:space="preserve">e establecieron los </w:t>
      </w:r>
      <w:r w:rsidR="002F32FA" w:rsidRPr="0076589C">
        <w:rPr>
          <w:lang w:val="es-HN"/>
        </w:rPr>
        <w:t>valores de referencia</w:t>
      </w:r>
      <w:r w:rsidR="00C802ED" w:rsidRPr="0076589C">
        <w:rPr>
          <w:lang w:val="es-HN"/>
        </w:rPr>
        <w:t xml:space="preserve"> según </w:t>
      </w:r>
      <w:r w:rsidR="00AA4127" w:rsidRPr="0076589C">
        <w:rPr>
          <w:lang w:val="es-HN"/>
        </w:rPr>
        <w:fldChar w:fldCharType="begin"/>
      </w:r>
      <w:r w:rsidR="00816027" w:rsidRPr="0076589C">
        <w:rPr>
          <w:lang w:val="es-HN"/>
        </w:rPr>
        <w:instrText xml:space="preserve"> ADDIN ZOTERO_ITEM CSL_CITATION {"citationID":"DydfndJh","properties":{"formattedCitation":"(Brealey et\\uc0\\u160{}al., 2010)","plainCitation":"(Brealey et al., 2010)","dontUpdate":true,"noteIndex":0},"citationItems":[{"id":422,"uris":["http://zotero.org/users/12108825/items/YHT6KQS5"],"itemData":{"id":422,"type":"article-journal","source":"Zotero","title":"Principios de Finanzas Corporativas","author":[{"family":"Brealey","given":"Richard"},{"family":"Allen","given":"Franklin"},{"family":"Myers","given":"Stewart"}],"issued":{"date-parts":[["2010"]]}}}],"schema":"https://github.com/citation-style-language/schema/raw/master/csl-citation.json"} </w:instrText>
      </w:r>
      <w:r w:rsidR="00AA4127" w:rsidRPr="0076589C">
        <w:rPr>
          <w:lang w:val="es-HN"/>
        </w:rPr>
        <w:fldChar w:fldCharType="separate"/>
      </w:r>
      <w:r w:rsidR="00AA4127" w:rsidRPr="0076589C">
        <w:rPr>
          <w:szCs w:val="24"/>
          <w:lang w:val="es-HN"/>
        </w:rPr>
        <w:t xml:space="preserve">Brealey et al., </w:t>
      </w:r>
      <w:r w:rsidR="00780910" w:rsidRPr="0076589C">
        <w:rPr>
          <w:szCs w:val="24"/>
          <w:lang w:val="es-HN"/>
        </w:rPr>
        <w:t>(</w:t>
      </w:r>
      <w:r w:rsidR="00AA4127" w:rsidRPr="0076589C">
        <w:rPr>
          <w:szCs w:val="24"/>
          <w:lang w:val="es-HN"/>
        </w:rPr>
        <w:t>2010)</w:t>
      </w:r>
      <w:r w:rsidR="00AA4127" w:rsidRPr="0076589C">
        <w:rPr>
          <w:lang w:val="es-HN"/>
        </w:rPr>
        <w:fldChar w:fldCharType="end"/>
      </w:r>
      <w:r w:rsidR="00780910" w:rsidRPr="0076589C">
        <w:rPr>
          <w:lang w:val="es-HN"/>
        </w:rPr>
        <w:t xml:space="preserve">, </w:t>
      </w:r>
      <w:r w:rsidR="000D4FB6" w:rsidRPr="0076589C">
        <w:rPr>
          <w:lang w:val="es-HN"/>
        </w:rPr>
        <w:t xml:space="preserve">el cual </w:t>
      </w:r>
      <w:r w:rsidR="00756CFD" w:rsidRPr="0076589C">
        <w:rPr>
          <w:lang w:val="es-HN"/>
        </w:rPr>
        <w:t>explica en su libro Principios de Finanzas Corporativa</w:t>
      </w:r>
      <w:r w:rsidR="00151FDB" w:rsidRPr="0076589C">
        <w:rPr>
          <w:lang w:val="es-HN"/>
        </w:rPr>
        <w:t xml:space="preserve">s que </w:t>
      </w:r>
      <w:r w:rsidR="005F289E" w:rsidRPr="0076589C">
        <w:rPr>
          <w:lang w:val="es-HN"/>
        </w:rPr>
        <w:t xml:space="preserve">los parámetros </w:t>
      </w:r>
      <w:r w:rsidR="00151FDB" w:rsidRPr="0076589C">
        <w:rPr>
          <w:lang w:val="es-HN"/>
        </w:rPr>
        <w:t>pueden variar dependiendo el rubro al que pertenece la empresa. (</w:t>
      </w:r>
      <w:r w:rsidR="00A86292" w:rsidRPr="0076589C">
        <w:rPr>
          <w:lang w:val="es-HN"/>
        </w:rPr>
        <w:t>pág.803)</w:t>
      </w:r>
      <w:r w:rsidR="002F32FA" w:rsidRPr="0076589C">
        <w:rPr>
          <w:lang w:val="es-HN"/>
        </w:rPr>
        <w:t xml:space="preserve"> </w:t>
      </w:r>
    </w:p>
    <w:tbl>
      <w:tblPr>
        <w:tblW w:w="0" w:type="auto"/>
        <w:tblLayout w:type="fixed"/>
        <w:tblLook w:val="04A0" w:firstRow="1" w:lastRow="0" w:firstColumn="1" w:lastColumn="0" w:noHBand="0" w:noVBand="1"/>
      </w:tblPr>
      <w:tblGrid>
        <w:gridCol w:w="1413"/>
        <w:gridCol w:w="850"/>
        <w:gridCol w:w="993"/>
        <w:gridCol w:w="992"/>
        <w:gridCol w:w="1843"/>
        <w:gridCol w:w="850"/>
        <w:gridCol w:w="851"/>
        <w:gridCol w:w="867"/>
        <w:gridCol w:w="691"/>
      </w:tblGrid>
      <w:tr w:rsidR="00450014" w:rsidRPr="0076589C" w14:paraId="7DCA54D7" w14:textId="77777777" w:rsidTr="00DA344D">
        <w:trPr>
          <w:trHeight w:val="297"/>
          <w:tblHeader/>
        </w:trPr>
        <w:tc>
          <w:tcPr>
            <w:tcW w:w="1413" w:type="dxa"/>
            <w:vMerge w:val="restart"/>
            <w:tcBorders>
              <w:top w:val="single" w:sz="4" w:space="0" w:color="auto"/>
              <w:left w:val="single" w:sz="4" w:space="0" w:color="auto"/>
              <w:bottom w:val="single" w:sz="4" w:space="0" w:color="auto"/>
              <w:right w:val="single" w:sz="4" w:space="0" w:color="auto"/>
            </w:tcBorders>
            <w:shd w:val="clear" w:color="auto" w:fill="85BADC"/>
            <w:noWrap/>
            <w:vAlign w:val="center"/>
            <w:hideMark/>
          </w:tcPr>
          <w:p w14:paraId="43A08C0A" w14:textId="77777777" w:rsidR="002805D1" w:rsidRPr="0076589C" w:rsidRDefault="002805D1" w:rsidP="002805D1">
            <w:pPr>
              <w:spacing w:after="0" w:line="240" w:lineRule="auto"/>
              <w:ind w:left="0"/>
              <w:jc w:val="center"/>
              <w:rPr>
                <w:rFonts w:ascii="Arial" w:eastAsia="Times New Roman" w:hAnsi="Arial" w:cs="Arial"/>
                <w:b/>
                <w:bCs/>
                <w:color w:val="000000"/>
                <w:sz w:val="14"/>
                <w:szCs w:val="14"/>
              </w:rPr>
            </w:pPr>
            <w:r w:rsidRPr="0076589C">
              <w:rPr>
                <w:rFonts w:ascii="Arial" w:eastAsia="Times New Roman" w:hAnsi="Arial" w:cs="Arial"/>
                <w:b/>
                <w:bCs/>
                <w:color w:val="000000"/>
                <w:sz w:val="14"/>
                <w:szCs w:val="14"/>
              </w:rPr>
              <w:t>Indicador</w:t>
            </w:r>
          </w:p>
        </w:tc>
        <w:tc>
          <w:tcPr>
            <w:tcW w:w="2835" w:type="dxa"/>
            <w:gridSpan w:val="3"/>
            <w:tcBorders>
              <w:top w:val="single" w:sz="4" w:space="0" w:color="auto"/>
              <w:left w:val="nil"/>
              <w:bottom w:val="single" w:sz="4" w:space="0" w:color="auto"/>
              <w:right w:val="single" w:sz="4" w:space="0" w:color="auto"/>
            </w:tcBorders>
            <w:shd w:val="clear" w:color="auto" w:fill="85BADC"/>
            <w:noWrap/>
            <w:vAlign w:val="center"/>
            <w:hideMark/>
          </w:tcPr>
          <w:p w14:paraId="01294523" w14:textId="77777777" w:rsidR="002805D1" w:rsidRPr="0076589C" w:rsidRDefault="002805D1" w:rsidP="002805D1">
            <w:pPr>
              <w:spacing w:after="0" w:line="240" w:lineRule="auto"/>
              <w:ind w:left="0"/>
              <w:jc w:val="center"/>
              <w:rPr>
                <w:rFonts w:ascii="Arial" w:eastAsia="Times New Roman" w:hAnsi="Arial" w:cs="Arial"/>
                <w:b/>
                <w:bCs/>
                <w:color w:val="000000"/>
                <w:sz w:val="14"/>
                <w:szCs w:val="14"/>
              </w:rPr>
            </w:pPr>
            <w:r w:rsidRPr="0076589C">
              <w:rPr>
                <w:rFonts w:ascii="Arial" w:eastAsia="Times New Roman" w:hAnsi="Arial" w:cs="Arial"/>
                <w:b/>
                <w:bCs/>
                <w:color w:val="000000"/>
                <w:sz w:val="14"/>
                <w:szCs w:val="14"/>
              </w:rPr>
              <w:t>Valores de referencia</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85BADC"/>
            <w:noWrap/>
            <w:vAlign w:val="center"/>
            <w:hideMark/>
          </w:tcPr>
          <w:p w14:paraId="274DF99A" w14:textId="77777777" w:rsidR="002805D1" w:rsidRPr="0076589C" w:rsidRDefault="002805D1" w:rsidP="002805D1">
            <w:pPr>
              <w:spacing w:after="0" w:line="240" w:lineRule="auto"/>
              <w:ind w:left="0"/>
              <w:jc w:val="center"/>
              <w:rPr>
                <w:rFonts w:ascii="Arial" w:eastAsia="Times New Roman" w:hAnsi="Arial" w:cs="Arial"/>
                <w:b/>
                <w:bCs/>
                <w:color w:val="000000"/>
                <w:sz w:val="14"/>
                <w:szCs w:val="14"/>
              </w:rPr>
            </w:pPr>
            <w:r w:rsidRPr="0076589C">
              <w:rPr>
                <w:rFonts w:ascii="Arial" w:eastAsia="Times New Roman" w:hAnsi="Arial" w:cs="Arial"/>
                <w:b/>
                <w:bCs/>
                <w:color w:val="000000"/>
                <w:sz w:val="14"/>
                <w:szCs w:val="14"/>
              </w:rPr>
              <w:t>Fórmulas</w:t>
            </w:r>
          </w:p>
        </w:tc>
        <w:tc>
          <w:tcPr>
            <w:tcW w:w="3259" w:type="dxa"/>
            <w:gridSpan w:val="4"/>
            <w:tcBorders>
              <w:top w:val="single" w:sz="4" w:space="0" w:color="auto"/>
              <w:left w:val="nil"/>
              <w:bottom w:val="single" w:sz="4" w:space="0" w:color="auto"/>
              <w:right w:val="single" w:sz="4" w:space="0" w:color="auto"/>
            </w:tcBorders>
            <w:shd w:val="clear" w:color="auto" w:fill="85BADC"/>
            <w:noWrap/>
            <w:vAlign w:val="center"/>
            <w:hideMark/>
          </w:tcPr>
          <w:p w14:paraId="756D5106" w14:textId="1F2A283E" w:rsidR="002805D1" w:rsidRPr="0076589C" w:rsidRDefault="00EA2D1C" w:rsidP="002805D1">
            <w:pPr>
              <w:spacing w:after="0" w:line="240" w:lineRule="auto"/>
              <w:ind w:left="0"/>
              <w:jc w:val="center"/>
              <w:rPr>
                <w:rFonts w:ascii="Arial" w:eastAsia="Times New Roman" w:hAnsi="Arial" w:cs="Arial"/>
                <w:b/>
                <w:bCs/>
                <w:color w:val="000000"/>
                <w:sz w:val="14"/>
                <w:szCs w:val="14"/>
              </w:rPr>
            </w:pPr>
            <w:r w:rsidRPr="0076589C">
              <w:rPr>
                <w:rFonts w:ascii="Arial" w:eastAsia="Times New Roman" w:hAnsi="Arial" w:cs="Arial"/>
                <w:b/>
                <w:bCs/>
                <w:color w:val="000000"/>
                <w:sz w:val="14"/>
                <w:szCs w:val="14"/>
              </w:rPr>
              <w:t>Valores de IPRA</w:t>
            </w:r>
          </w:p>
        </w:tc>
      </w:tr>
      <w:tr w:rsidR="00450014" w:rsidRPr="0076589C" w14:paraId="1C884409" w14:textId="77777777" w:rsidTr="00DA344D">
        <w:trPr>
          <w:trHeight w:val="297"/>
          <w:tblHeader/>
        </w:trPr>
        <w:tc>
          <w:tcPr>
            <w:tcW w:w="1413" w:type="dxa"/>
            <w:vMerge/>
            <w:vAlign w:val="center"/>
            <w:hideMark/>
          </w:tcPr>
          <w:p w14:paraId="5625B5DD" w14:textId="77777777" w:rsidR="002805D1" w:rsidRPr="0076589C" w:rsidRDefault="002805D1" w:rsidP="002805D1">
            <w:pPr>
              <w:spacing w:after="0" w:line="240" w:lineRule="auto"/>
              <w:ind w:left="0"/>
              <w:rPr>
                <w:rFonts w:ascii="Arial" w:eastAsia="Times New Roman" w:hAnsi="Arial" w:cs="Arial"/>
                <w:b/>
                <w:bCs/>
                <w:color w:val="000000"/>
                <w:sz w:val="14"/>
                <w:szCs w:val="14"/>
              </w:rPr>
            </w:pPr>
          </w:p>
        </w:tc>
        <w:tc>
          <w:tcPr>
            <w:tcW w:w="850" w:type="dxa"/>
            <w:tcBorders>
              <w:top w:val="single" w:sz="4" w:space="0" w:color="auto"/>
              <w:left w:val="single" w:sz="4" w:space="0" w:color="auto"/>
              <w:bottom w:val="single" w:sz="4" w:space="0" w:color="auto"/>
              <w:right w:val="single" w:sz="4" w:space="0" w:color="auto"/>
            </w:tcBorders>
            <w:shd w:val="clear" w:color="auto" w:fill="85BADC"/>
            <w:noWrap/>
            <w:vAlign w:val="center"/>
            <w:hideMark/>
          </w:tcPr>
          <w:p w14:paraId="7FBEBF90" w14:textId="77777777" w:rsidR="002805D1" w:rsidRPr="0076589C" w:rsidRDefault="002805D1" w:rsidP="002805D1">
            <w:pPr>
              <w:spacing w:after="0" w:line="240" w:lineRule="auto"/>
              <w:ind w:left="0"/>
              <w:jc w:val="center"/>
              <w:rPr>
                <w:rFonts w:ascii="Arial" w:eastAsia="Times New Roman" w:hAnsi="Arial" w:cs="Arial"/>
                <w:b/>
                <w:bCs/>
                <w:color w:val="000000"/>
                <w:sz w:val="14"/>
                <w:szCs w:val="14"/>
              </w:rPr>
            </w:pPr>
            <w:r w:rsidRPr="0076589C">
              <w:rPr>
                <w:rFonts w:ascii="Arial" w:eastAsia="Times New Roman" w:hAnsi="Arial" w:cs="Arial"/>
                <w:b/>
                <w:bCs/>
                <w:color w:val="000000"/>
                <w:sz w:val="14"/>
                <w:szCs w:val="14"/>
              </w:rPr>
              <w:t>No favorable</w:t>
            </w:r>
          </w:p>
        </w:tc>
        <w:tc>
          <w:tcPr>
            <w:tcW w:w="993" w:type="dxa"/>
            <w:tcBorders>
              <w:top w:val="single" w:sz="4" w:space="0" w:color="auto"/>
              <w:left w:val="single" w:sz="4" w:space="0" w:color="auto"/>
              <w:bottom w:val="single" w:sz="4" w:space="0" w:color="auto"/>
              <w:right w:val="single" w:sz="4" w:space="0" w:color="auto"/>
            </w:tcBorders>
            <w:shd w:val="clear" w:color="auto" w:fill="85BADC"/>
            <w:noWrap/>
            <w:vAlign w:val="center"/>
            <w:hideMark/>
          </w:tcPr>
          <w:p w14:paraId="53C8072D" w14:textId="7EDAE265" w:rsidR="002805D1" w:rsidRPr="0076589C" w:rsidRDefault="00CB5F50" w:rsidP="002805D1">
            <w:pPr>
              <w:spacing w:after="0" w:line="240" w:lineRule="auto"/>
              <w:ind w:left="0"/>
              <w:jc w:val="center"/>
              <w:rPr>
                <w:rFonts w:ascii="Arial" w:eastAsia="Times New Roman" w:hAnsi="Arial" w:cs="Arial"/>
                <w:b/>
                <w:bCs/>
                <w:color w:val="000000"/>
                <w:sz w:val="14"/>
                <w:szCs w:val="14"/>
              </w:rPr>
            </w:pPr>
            <w:r w:rsidRPr="0076589C">
              <w:rPr>
                <w:rFonts w:ascii="Arial" w:eastAsia="Times New Roman" w:hAnsi="Arial" w:cs="Arial"/>
                <w:b/>
                <w:bCs/>
                <w:color w:val="000000"/>
                <w:sz w:val="14"/>
                <w:szCs w:val="14"/>
              </w:rPr>
              <w:t>Equilibrado</w:t>
            </w:r>
          </w:p>
        </w:tc>
        <w:tc>
          <w:tcPr>
            <w:tcW w:w="992" w:type="dxa"/>
            <w:tcBorders>
              <w:top w:val="single" w:sz="4" w:space="0" w:color="auto"/>
              <w:left w:val="single" w:sz="4" w:space="0" w:color="auto"/>
              <w:bottom w:val="single" w:sz="4" w:space="0" w:color="auto"/>
              <w:right w:val="single" w:sz="4" w:space="0" w:color="auto"/>
            </w:tcBorders>
            <w:shd w:val="clear" w:color="auto" w:fill="85BADC"/>
            <w:noWrap/>
            <w:vAlign w:val="center"/>
            <w:hideMark/>
          </w:tcPr>
          <w:p w14:paraId="3BC81999" w14:textId="77777777" w:rsidR="002805D1" w:rsidRPr="0076589C" w:rsidRDefault="002805D1" w:rsidP="002805D1">
            <w:pPr>
              <w:spacing w:after="0" w:line="240" w:lineRule="auto"/>
              <w:ind w:left="0"/>
              <w:jc w:val="center"/>
              <w:rPr>
                <w:rFonts w:ascii="Arial" w:eastAsia="Times New Roman" w:hAnsi="Arial" w:cs="Arial"/>
                <w:b/>
                <w:bCs/>
                <w:color w:val="000000"/>
                <w:sz w:val="14"/>
                <w:szCs w:val="14"/>
              </w:rPr>
            </w:pPr>
            <w:r w:rsidRPr="0076589C">
              <w:rPr>
                <w:rFonts w:ascii="Arial" w:eastAsia="Times New Roman" w:hAnsi="Arial" w:cs="Arial"/>
                <w:b/>
                <w:bCs/>
                <w:color w:val="000000"/>
                <w:sz w:val="14"/>
                <w:szCs w:val="14"/>
              </w:rPr>
              <w:t>Favorable</w:t>
            </w:r>
          </w:p>
        </w:tc>
        <w:tc>
          <w:tcPr>
            <w:tcW w:w="1843" w:type="dxa"/>
            <w:vMerge/>
            <w:vAlign w:val="center"/>
            <w:hideMark/>
          </w:tcPr>
          <w:p w14:paraId="068ACAAB" w14:textId="77777777" w:rsidR="002805D1" w:rsidRPr="0076589C" w:rsidRDefault="002805D1" w:rsidP="002805D1">
            <w:pPr>
              <w:spacing w:after="0" w:line="240" w:lineRule="auto"/>
              <w:ind w:left="0"/>
              <w:rPr>
                <w:rFonts w:ascii="Arial" w:eastAsia="Times New Roman" w:hAnsi="Arial" w:cs="Arial"/>
                <w:b/>
                <w:bCs/>
                <w:color w:val="000000"/>
                <w:sz w:val="14"/>
                <w:szCs w:val="14"/>
              </w:rPr>
            </w:pPr>
          </w:p>
        </w:tc>
        <w:tc>
          <w:tcPr>
            <w:tcW w:w="850" w:type="dxa"/>
            <w:tcBorders>
              <w:top w:val="single" w:sz="4" w:space="0" w:color="auto"/>
              <w:left w:val="single" w:sz="4" w:space="0" w:color="auto"/>
              <w:bottom w:val="single" w:sz="4" w:space="0" w:color="auto"/>
              <w:right w:val="single" w:sz="4" w:space="0" w:color="auto"/>
            </w:tcBorders>
            <w:shd w:val="clear" w:color="auto" w:fill="85BADC"/>
            <w:noWrap/>
            <w:vAlign w:val="center"/>
            <w:hideMark/>
          </w:tcPr>
          <w:p w14:paraId="158DAB8F" w14:textId="77777777" w:rsidR="002805D1" w:rsidRPr="0076589C" w:rsidRDefault="002805D1" w:rsidP="002805D1">
            <w:pPr>
              <w:spacing w:after="0" w:line="240" w:lineRule="auto"/>
              <w:ind w:left="0"/>
              <w:jc w:val="center"/>
              <w:rPr>
                <w:rFonts w:ascii="Arial" w:eastAsia="Times New Roman" w:hAnsi="Arial" w:cs="Arial"/>
                <w:b/>
                <w:bCs/>
                <w:color w:val="000000"/>
                <w:sz w:val="14"/>
                <w:szCs w:val="14"/>
              </w:rPr>
            </w:pPr>
            <w:r w:rsidRPr="0076589C">
              <w:rPr>
                <w:rFonts w:ascii="Arial" w:eastAsia="Times New Roman" w:hAnsi="Arial" w:cs="Arial"/>
                <w:b/>
                <w:bCs/>
                <w:color w:val="000000"/>
                <w:sz w:val="14"/>
                <w:szCs w:val="14"/>
              </w:rPr>
              <w:t>2019</w:t>
            </w:r>
          </w:p>
        </w:tc>
        <w:tc>
          <w:tcPr>
            <w:tcW w:w="851" w:type="dxa"/>
            <w:tcBorders>
              <w:top w:val="single" w:sz="4" w:space="0" w:color="auto"/>
              <w:left w:val="single" w:sz="4" w:space="0" w:color="auto"/>
              <w:bottom w:val="single" w:sz="4" w:space="0" w:color="auto"/>
              <w:right w:val="single" w:sz="4" w:space="0" w:color="auto"/>
            </w:tcBorders>
            <w:shd w:val="clear" w:color="auto" w:fill="85BADC"/>
            <w:noWrap/>
            <w:vAlign w:val="center"/>
            <w:hideMark/>
          </w:tcPr>
          <w:p w14:paraId="76FB5195" w14:textId="77777777" w:rsidR="002805D1" w:rsidRPr="0076589C" w:rsidRDefault="002805D1" w:rsidP="002805D1">
            <w:pPr>
              <w:spacing w:after="0" w:line="240" w:lineRule="auto"/>
              <w:ind w:left="0"/>
              <w:jc w:val="center"/>
              <w:rPr>
                <w:rFonts w:ascii="Arial" w:eastAsia="Times New Roman" w:hAnsi="Arial" w:cs="Arial"/>
                <w:b/>
                <w:bCs/>
                <w:color w:val="000000"/>
                <w:sz w:val="14"/>
                <w:szCs w:val="14"/>
              </w:rPr>
            </w:pPr>
            <w:r w:rsidRPr="0076589C">
              <w:rPr>
                <w:rFonts w:ascii="Arial" w:eastAsia="Times New Roman" w:hAnsi="Arial" w:cs="Arial"/>
                <w:b/>
                <w:bCs/>
                <w:color w:val="000000"/>
                <w:sz w:val="14"/>
                <w:szCs w:val="14"/>
              </w:rPr>
              <w:t>2020</w:t>
            </w:r>
          </w:p>
        </w:tc>
        <w:tc>
          <w:tcPr>
            <w:tcW w:w="867" w:type="dxa"/>
            <w:tcBorders>
              <w:top w:val="single" w:sz="4" w:space="0" w:color="auto"/>
              <w:left w:val="single" w:sz="4" w:space="0" w:color="auto"/>
              <w:bottom w:val="single" w:sz="4" w:space="0" w:color="auto"/>
              <w:right w:val="single" w:sz="4" w:space="0" w:color="auto"/>
            </w:tcBorders>
            <w:shd w:val="clear" w:color="auto" w:fill="85BADC"/>
            <w:noWrap/>
            <w:vAlign w:val="center"/>
            <w:hideMark/>
          </w:tcPr>
          <w:p w14:paraId="2275A9A8" w14:textId="77777777" w:rsidR="002805D1" w:rsidRPr="0076589C" w:rsidRDefault="002805D1" w:rsidP="002805D1">
            <w:pPr>
              <w:spacing w:after="0" w:line="240" w:lineRule="auto"/>
              <w:ind w:left="0"/>
              <w:jc w:val="center"/>
              <w:rPr>
                <w:rFonts w:ascii="Arial" w:eastAsia="Times New Roman" w:hAnsi="Arial" w:cs="Arial"/>
                <w:b/>
                <w:bCs/>
                <w:color w:val="000000"/>
                <w:sz w:val="14"/>
                <w:szCs w:val="14"/>
              </w:rPr>
            </w:pPr>
            <w:r w:rsidRPr="0076589C">
              <w:rPr>
                <w:rFonts w:ascii="Arial" w:eastAsia="Times New Roman" w:hAnsi="Arial" w:cs="Arial"/>
                <w:b/>
                <w:bCs/>
                <w:color w:val="000000"/>
                <w:sz w:val="14"/>
                <w:szCs w:val="14"/>
              </w:rPr>
              <w:t>2021</w:t>
            </w:r>
          </w:p>
        </w:tc>
        <w:tc>
          <w:tcPr>
            <w:tcW w:w="691" w:type="dxa"/>
            <w:tcBorders>
              <w:top w:val="single" w:sz="4" w:space="0" w:color="auto"/>
              <w:left w:val="single" w:sz="4" w:space="0" w:color="auto"/>
              <w:bottom w:val="single" w:sz="4" w:space="0" w:color="auto"/>
              <w:right w:val="single" w:sz="4" w:space="0" w:color="auto"/>
            </w:tcBorders>
            <w:shd w:val="clear" w:color="auto" w:fill="85BADC"/>
            <w:noWrap/>
            <w:vAlign w:val="center"/>
            <w:hideMark/>
          </w:tcPr>
          <w:p w14:paraId="16FA547F" w14:textId="77777777" w:rsidR="002805D1" w:rsidRPr="0076589C" w:rsidRDefault="002805D1" w:rsidP="002805D1">
            <w:pPr>
              <w:spacing w:after="0" w:line="240" w:lineRule="auto"/>
              <w:ind w:left="0"/>
              <w:jc w:val="center"/>
              <w:rPr>
                <w:rFonts w:ascii="Arial" w:eastAsia="Times New Roman" w:hAnsi="Arial" w:cs="Arial"/>
                <w:b/>
                <w:bCs/>
                <w:color w:val="000000"/>
                <w:sz w:val="14"/>
                <w:szCs w:val="14"/>
              </w:rPr>
            </w:pPr>
            <w:r w:rsidRPr="0076589C">
              <w:rPr>
                <w:rFonts w:ascii="Arial" w:eastAsia="Times New Roman" w:hAnsi="Arial" w:cs="Arial"/>
                <w:b/>
                <w:bCs/>
                <w:color w:val="000000"/>
                <w:sz w:val="14"/>
                <w:szCs w:val="14"/>
              </w:rPr>
              <w:t>2022</w:t>
            </w:r>
          </w:p>
        </w:tc>
      </w:tr>
      <w:tr w:rsidR="00450014" w:rsidRPr="0076589C" w14:paraId="6DFAAC55" w14:textId="77777777" w:rsidTr="00B82E17">
        <w:trPr>
          <w:trHeight w:val="297"/>
        </w:trPr>
        <w:tc>
          <w:tcPr>
            <w:tcW w:w="14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A6D414" w14:textId="77777777" w:rsidR="002805D1" w:rsidRPr="0076589C" w:rsidRDefault="002805D1" w:rsidP="00450014">
            <w:pPr>
              <w:spacing w:after="0" w:line="240" w:lineRule="auto"/>
              <w:ind w:left="0"/>
              <w:rPr>
                <w:rFonts w:ascii="Arial" w:eastAsia="Times New Roman" w:hAnsi="Arial" w:cs="Arial"/>
                <w:b/>
                <w:bCs/>
                <w:color w:val="000000"/>
                <w:sz w:val="14"/>
                <w:szCs w:val="14"/>
              </w:rPr>
            </w:pPr>
            <w:r w:rsidRPr="0076589C">
              <w:rPr>
                <w:rFonts w:ascii="Arial" w:eastAsia="Times New Roman" w:hAnsi="Arial" w:cs="Arial"/>
                <w:b/>
                <w:bCs/>
                <w:color w:val="000000"/>
                <w:sz w:val="14"/>
                <w:szCs w:val="14"/>
              </w:rPr>
              <w:t>Margen de utilidad bruta</w:t>
            </w:r>
          </w:p>
        </w:tc>
        <w:tc>
          <w:tcPr>
            <w:tcW w:w="850" w:type="dxa"/>
            <w:tcBorders>
              <w:top w:val="single" w:sz="4" w:space="0" w:color="auto"/>
              <w:left w:val="nil"/>
              <w:bottom w:val="single" w:sz="4" w:space="0" w:color="auto"/>
              <w:right w:val="single" w:sz="4" w:space="0" w:color="auto"/>
            </w:tcBorders>
            <w:shd w:val="clear" w:color="auto" w:fill="FF5050"/>
            <w:noWrap/>
            <w:vAlign w:val="center"/>
            <w:hideMark/>
          </w:tcPr>
          <w:p w14:paraId="4522CFB1"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&lt;30%</w:t>
            </w:r>
          </w:p>
        </w:tc>
        <w:tc>
          <w:tcPr>
            <w:tcW w:w="993" w:type="dxa"/>
            <w:tcBorders>
              <w:top w:val="single" w:sz="4" w:space="0" w:color="auto"/>
              <w:left w:val="nil"/>
              <w:bottom w:val="single" w:sz="4" w:space="0" w:color="auto"/>
              <w:right w:val="single" w:sz="4" w:space="0" w:color="auto"/>
            </w:tcBorders>
            <w:shd w:val="clear" w:color="auto" w:fill="FFD966" w:themeFill="accent4" w:themeFillTint="99"/>
            <w:noWrap/>
            <w:vAlign w:val="center"/>
            <w:hideMark/>
          </w:tcPr>
          <w:p w14:paraId="63869DA1"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30%-60%</w:t>
            </w:r>
          </w:p>
        </w:tc>
        <w:tc>
          <w:tcPr>
            <w:tcW w:w="992" w:type="dxa"/>
            <w:tcBorders>
              <w:top w:val="single" w:sz="4" w:space="0" w:color="auto"/>
              <w:left w:val="nil"/>
              <w:bottom w:val="single" w:sz="4" w:space="0" w:color="auto"/>
              <w:right w:val="single" w:sz="4" w:space="0" w:color="auto"/>
            </w:tcBorders>
            <w:shd w:val="clear" w:color="auto" w:fill="70AD47" w:themeFill="accent6"/>
            <w:noWrap/>
            <w:vAlign w:val="center"/>
            <w:hideMark/>
          </w:tcPr>
          <w:p w14:paraId="3E5A0BA5"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&gt;60%</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14:paraId="1F7D90D6" w14:textId="77777777" w:rsidR="002805D1" w:rsidRPr="0076589C" w:rsidRDefault="002805D1" w:rsidP="00450014">
            <w:pPr>
              <w:spacing w:after="0" w:line="240" w:lineRule="auto"/>
              <w:ind w:left="0"/>
              <w:rPr>
                <w:rFonts w:ascii="Arial" w:eastAsia="Times New Roman" w:hAnsi="Arial" w:cs="Arial"/>
                <w:color w:val="000000"/>
                <w:sz w:val="14"/>
                <w:szCs w:val="14"/>
              </w:rPr>
            </w:pPr>
            <w:r w:rsidRPr="0076589C">
              <w:rPr>
                <w:rFonts w:ascii="Arial" w:eastAsia="Times New Roman" w:hAnsi="Arial" w:cs="Arial"/>
                <w:color w:val="000000"/>
                <w:sz w:val="14"/>
                <w:szCs w:val="14"/>
              </w:rPr>
              <w:t>Utilidad bruta/Ventas</w:t>
            </w:r>
          </w:p>
        </w:tc>
        <w:tc>
          <w:tcPr>
            <w:tcW w:w="850" w:type="dxa"/>
            <w:tcBorders>
              <w:top w:val="single" w:sz="4" w:space="0" w:color="auto"/>
              <w:left w:val="nil"/>
              <w:bottom w:val="single" w:sz="4" w:space="0" w:color="auto"/>
              <w:right w:val="single" w:sz="4" w:space="0" w:color="auto"/>
            </w:tcBorders>
            <w:shd w:val="clear" w:color="auto" w:fill="FFD966" w:themeFill="accent4" w:themeFillTint="99"/>
            <w:noWrap/>
            <w:vAlign w:val="center"/>
            <w:hideMark/>
          </w:tcPr>
          <w:p w14:paraId="2F2A17B1"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36%</w:t>
            </w:r>
          </w:p>
        </w:tc>
        <w:tc>
          <w:tcPr>
            <w:tcW w:w="851" w:type="dxa"/>
            <w:tcBorders>
              <w:top w:val="single" w:sz="4" w:space="0" w:color="auto"/>
              <w:left w:val="nil"/>
              <w:bottom w:val="single" w:sz="4" w:space="0" w:color="auto"/>
              <w:right w:val="single" w:sz="4" w:space="0" w:color="auto"/>
            </w:tcBorders>
            <w:shd w:val="clear" w:color="auto" w:fill="FF5050"/>
            <w:noWrap/>
            <w:vAlign w:val="center"/>
            <w:hideMark/>
          </w:tcPr>
          <w:p w14:paraId="7CDBB2BF"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26%</w:t>
            </w:r>
          </w:p>
        </w:tc>
        <w:tc>
          <w:tcPr>
            <w:tcW w:w="867" w:type="dxa"/>
            <w:tcBorders>
              <w:top w:val="single" w:sz="4" w:space="0" w:color="auto"/>
              <w:left w:val="nil"/>
              <w:bottom w:val="single" w:sz="4" w:space="0" w:color="auto"/>
              <w:right w:val="single" w:sz="4" w:space="0" w:color="auto"/>
            </w:tcBorders>
            <w:shd w:val="clear" w:color="auto" w:fill="FFD966" w:themeFill="accent4" w:themeFillTint="99"/>
            <w:noWrap/>
            <w:vAlign w:val="center"/>
            <w:hideMark/>
          </w:tcPr>
          <w:p w14:paraId="1365343D"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36%</w:t>
            </w:r>
          </w:p>
        </w:tc>
        <w:tc>
          <w:tcPr>
            <w:tcW w:w="691" w:type="dxa"/>
            <w:tcBorders>
              <w:top w:val="single" w:sz="4" w:space="0" w:color="auto"/>
              <w:left w:val="nil"/>
              <w:bottom w:val="single" w:sz="4" w:space="0" w:color="auto"/>
              <w:right w:val="single" w:sz="4" w:space="0" w:color="auto"/>
            </w:tcBorders>
            <w:shd w:val="clear" w:color="auto" w:fill="FFD966" w:themeFill="accent4" w:themeFillTint="99"/>
            <w:noWrap/>
            <w:vAlign w:val="center"/>
            <w:hideMark/>
          </w:tcPr>
          <w:p w14:paraId="2C91BC89"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34%</w:t>
            </w:r>
          </w:p>
        </w:tc>
      </w:tr>
      <w:tr w:rsidR="00450014" w:rsidRPr="0076589C" w14:paraId="5CF7AA1E" w14:textId="77777777" w:rsidTr="4CEA7910">
        <w:trPr>
          <w:trHeight w:val="297"/>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44B22D8B" w14:textId="77777777" w:rsidR="002805D1" w:rsidRPr="0076589C" w:rsidRDefault="002805D1" w:rsidP="00450014">
            <w:pPr>
              <w:spacing w:after="0" w:line="240" w:lineRule="auto"/>
              <w:ind w:left="0"/>
              <w:rPr>
                <w:rFonts w:ascii="Arial" w:eastAsia="Times New Roman" w:hAnsi="Arial" w:cs="Arial"/>
                <w:b/>
                <w:bCs/>
                <w:color w:val="000000"/>
                <w:sz w:val="14"/>
                <w:szCs w:val="14"/>
              </w:rPr>
            </w:pPr>
            <w:r w:rsidRPr="0076589C">
              <w:rPr>
                <w:rFonts w:ascii="Arial" w:eastAsia="Times New Roman" w:hAnsi="Arial" w:cs="Arial"/>
                <w:b/>
                <w:bCs/>
                <w:color w:val="000000"/>
                <w:sz w:val="14"/>
                <w:szCs w:val="14"/>
              </w:rPr>
              <w:t>Margen de utilidad neta</w:t>
            </w:r>
          </w:p>
        </w:tc>
        <w:tc>
          <w:tcPr>
            <w:tcW w:w="850" w:type="dxa"/>
            <w:tcBorders>
              <w:top w:val="nil"/>
              <w:left w:val="nil"/>
              <w:bottom w:val="single" w:sz="4" w:space="0" w:color="auto"/>
              <w:right w:val="single" w:sz="4" w:space="0" w:color="auto"/>
            </w:tcBorders>
            <w:shd w:val="clear" w:color="auto" w:fill="FF5050"/>
            <w:noWrap/>
            <w:vAlign w:val="center"/>
            <w:hideMark/>
          </w:tcPr>
          <w:p w14:paraId="028A004C"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&lt;10%</w:t>
            </w:r>
          </w:p>
        </w:tc>
        <w:tc>
          <w:tcPr>
            <w:tcW w:w="993" w:type="dxa"/>
            <w:tcBorders>
              <w:top w:val="nil"/>
              <w:left w:val="nil"/>
              <w:bottom w:val="single" w:sz="4" w:space="0" w:color="auto"/>
              <w:right w:val="single" w:sz="4" w:space="0" w:color="auto"/>
            </w:tcBorders>
            <w:shd w:val="clear" w:color="auto" w:fill="FFD966" w:themeFill="accent4" w:themeFillTint="99"/>
            <w:noWrap/>
            <w:vAlign w:val="center"/>
            <w:hideMark/>
          </w:tcPr>
          <w:p w14:paraId="033A0C13"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10%-20%</w:t>
            </w:r>
          </w:p>
        </w:tc>
        <w:tc>
          <w:tcPr>
            <w:tcW w:w="992" w:type="dxa"/>
            <w:tcBorders>
              <w:top w:val="nil"/>
              <w:left w:val="nil"/>
              <w:bottom w:val="single" w:sz="4" w:space="0" w:color="auto"/>
              <w:right w:val="single" w:sz="4" w:space="0" w:color="auto"/>
            </w:tcBorders>
            <w:shd w:val="clear" w:color="auto" w:fill="70AD47" w:themeFill="accent6"/>
            <w:noWrap/>
            <w:vAlign w:val="center"/>
            <w:hideMark/>
          </w:tcPr>
          <w:p w14:paraId="64EDEBAD"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&gt;20%</w:t>
            </w:r>
          </w:p>
        </w:tc>
        <w:tc>
          <w:tcPr>
            <w:tcW w:w="1843" w:type="dxa"/>
            <w:tcBorders>
              <w:top w:val="nil"/>
              <w:left w:val="nil"/>
              <w:bottom w:val="single" w:sz="4" w:space="0" w:color="auto"/>
              <w:right w:val="single" w:sz="4" w:space="0" w:color="auto"/>
            </w:tcBorders>
            <w:shd w:val="clear" w:color="auto" w:fill="auto"/>
            <w:noWrap/>
            <w:vAlign w:val="center"/>
            <w:hideMark/>
          </w:tcPr>
          <w:p w14:paraId="16773439" w14:textId="77777777" w:rsidR="002805D1" w:rsidRPr="0076589C" w:rsidRDefault="002805D1" w:rsidP="00450014">
            <w:pPr>
              <w:spacing w:after="0" w:line="240" w:lineRule="auto"/>
              <w:ind w:left="0"/>
              <w:rPr>
                <w:rFonts w:ascii="Arial" w:eastAsia="Times New Roman" w:hAnsi="Arial" w:cs="Arial"/>
                <w:color w:val="000000"/>
                <w:sz w:val="14"/>
                <w:szCs w:val="14"/>
              </w:rPr>
            </w:pPr>
            <w:r w:rsidRPr="0076589C">
              <w:rPr>
                <w:rFonts w:ascii="Arial" w:eastAsia="Times New Roman" w:hAnsi="Arial" w:cs="Arial"/>
                <w:color w:val="000000"/>
                <w:sz w:val="14"/>
                <w:szCs w:val="14"/>
              </w:rPr>
              <w:t>Utilidad neta/Ventas</w:t>
            </w:r>
          </w:p>
        </w:tc>
        <w:tc>
          <w:tcPr>
            <w:tcW w:w="850" w:type="dxa"/>
            <w:tcBorders>
              <w:top w:val="nil"/>
              <w:left w:val="nil"/>
              <w:bottom w:val="single" w:sz="4" w:space="0" w:color="auto"/>
              <w:right w:val="single" w:sz="4" w:space="0" w:color="auto"/>
            </w:tcBorders>
            <w:shd w:val="clear" w:color="auto" w:fill="FF5050"/>
            <w:noWrap/>
            <w:vAlign w:val="center"/>
            <w:hideMark/>
          </w:tcPr>
          <w:p w14:paraId="761B1B83"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7%</w:t>
            </w:r>
          </w:p>
        </w:tc>
        <w:tc>
          <w:tcPr>
            <w:tcW w:w="851" w:type="dxa"/>
            <w:tcBorders>
              <w:top w:val="nil"/>
              <w:left w:val="nil"/>
              <w:bottom w:val="single" w:sz="4" w:space="0" w:color="auto"/>
              <w:right w:val="single" w:sz="4" w:space="0" w:color="auto"/>
            </w:tcBorders>
            <w:shd w:val="clear" w:color="auto" w:fill="FF5050"/>
            <w:noWrap/>
            <w:vAlign w:val="center"/>
            <w:hideMark/>
          </w:tcPr>
          <w:p w14:paraId="08FB6242"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3%</w:t>
            </w:r>
          </w:p>
        </w:tc>
        <w:tc>
          <w:tcPr>
            <w:tcW w:w="867" w:type="dxa"/>
            <w:tcBorders>
              <w:top w:val="nil"/>
              <w:left w:val="nil"/>
              <w:bottom w:val="single" w:sz="4" w:space="0" w:color="auto"/>
              <w:right w:val="single" w:sz="4" w:space="0" w:color="auto"/>
            </w:tcBorders>
            <w:shd w:val="clear" w:color="auto" w:fill="FF5050"/>
            <w:noWrap/>
            <w:vAlign w:val="center"/>
            <w:hideMark/>
          </w:tcPr>
          <w:p w14:paraId="2EF54695"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8%</w:t>
            </w:r>
          </w:p>
        </w:tc>
        <w:tc>
          <w:tcPr>
            <w:tcW w:w="691" w:type="dxa"/>
            <w:tcBorders>
              <w:top w:val="nil"/>
              <w:left w:val="nil"/>
              <w:bottom w:val="single" w:sz="4" w:space="0" w:color="auto"/>
              <w:right w:val="single" w:sz="4" w:space="0" w:color="auto"/>
            </w:tcBorders>
            <w:shd w:val="clear" w:color="auto" w:fill="FF5050"/>
            <w:noWrap/>
            <w:vAlign w:val="center"/>
            <w:hideMark/>
          </w:tcPr>
          <w:p w14:paraId="12A19C58"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6%</w:t>
            </w:r>
          </w:p>
        </w:tc>
      </w:tr>
      <w:tr w:rsidR="00450014" w:rsidRPr="0076589C" w14:paraId="286E1CC8" w14:textId="77777777" w:rsidTr="4CEA7910">
        <w:trPr>
          <w:trHeight w:val="297"/>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24462C0C" w14:textId="77777777" w:rsidR="002805D1" w:rsidRPr="0076589C" w:rsidRDefault="002805D1" w:rsidP="00450014">
            <w:pPr>
              <w:spacing w:after="0" w:line="240" w:lineRule="auto"/>
              <w:ind w:left="0"/>
              <w:rPr>
                <w:rFonts w:ascii="Arial" w:eastAsia="Times New Roman" w:hAnsi="Arial" w:cs="Arial"/>
                <w:b/>
                <w:bCs/>
                <w:color w:val="000000"/>
                <w:sz w:val="14"/>
                <w:szCs w:val="14"/>
              </w:rPr>
            </w:pPr>
            <w:r w:rsidRPr="0076589C">
              <w:rPr>
                <w:rFonts w:ascii="Arial" w:eastAsia="Times New Roman" w:hAnsi="Arial" w:cs="Arial"/>
                <w:b/>
                <w:bCs/>
                <w:color w:val="000000"/>
                <w:sz w:val="14"/>
                <w:szCs w:val="14"/>
              </w:rPr>
              <w:t>ROA</w:t>
            </w:r>
          </w:p>
        </w:tc>
        <w:tc>
          <w:tcPr>
            <w:tcW w:w="850" w:type="dxa"/>
            <w:tcBorders>
              <w:top w:val="nil"/>
              <w:left w:val="nil"/>
              <w:bottom w:val="single" w:sz="4" w:space="0" w:color="auto"/>
              <w:right w:val="single" w:sz="4" w:space="0" w:color="auto"/>
            </w:tcBorders>
            <w:shd w:val="clear" w:color="auto" w:fill="FF5050"/>
            <w:noWrap/>
            <w:vAlign w:val="center"/>
            <w:hideMark/>
          </w:tcPr>
          <w:p w14:paraId="33149875"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&lt;4.99%</w:t>
            </w:r>
          </w:p>
        </w:tc>
        <w:tc>
          <w:tcPr>
            <w:tcW w:w="993" w:type="dxa"/>
            <w:tcBorders>
              <w:top w:val="nil"/>
              <w:left w:val="nil"/>
              <w:bottom w:val="single" w:sz="4" w:space="0" w:color="auto"/>
              <w:right w:val="single" w:sz="4" w:space="0" w:color="auto"/>
            </w:tcBorders>
            <w:shd w:val="clear" w:color="auto" w:fill="FFD966" w:themeFill="accent4" w:themeFillTint="99"/>
            <w:noWrap/>
            <w:vAlign w:val="center"/>
            <w:hideMark/>
          </w:tcPr>
          <w:p w14:paraId="3829A103"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5.00%</w:t>
            </w:r>
          </w:p>
        </w:tc>
        <w:tc>
          <w:tcPr>
            <w:tcW w:w="992" w:type="dxa"/>
            <w:tcBorders>
              <w:top w:val="nil"/>
              <w:left w:val="nil"/>
              <w:bottom w:val="single" w:sz="4" w:space="0" w:color="auto"/>
              <w:right w:val="single" w:sz="4" w:space="0" w:color="auto"/>
            </w:tcBorders>
            <w:shd w:val="clear" w:color="auto" w:fill="70AD47" w:themeFill="accent6"/>
            <w:noWrap/>
            <w:vAlign w:val="center"/>
            <w:hideMark/>
          </w:tcPr>
          <w:p w14:paraId="3012C822"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&gt;5.01%</w:t>
            </w:r>
          </w:p>
        </w:tc>
        <w:tc>
          <w:tcPr>
            <w:tcW w:w="1843" w:type="dxa"/>
            <w:tcBorders>
              <w:top w:val="nil"/>
              <w:left w:val="nil"/>
              <w:bottom w:val="single" w:sz="4" w:space="0" w:color="auto"/>
              <w:right w:val="single" w:sz="4" w:space="0" w:color="auto"/>
            </w:tcBorders>
            <w:shd w:val="clear" w:color="auto" w:fill="auto"/>
            <w:noWrap/>
            <w:vAlign w:val="center"/>
            <w:hideMark/>
          </w:tcPr>
          <w:p w14:paraId="5B94843C" w14:textId="1E38C297" w:rsidR="002805D1" w:rsidRPr="0076589C" w:rsidRDefault="4CEA7910" w:rsidP="00450014">
            <w:pPr>
              <w:spacing w:after="0" w:line="240" w:lineRule="auto"/>
              <w:ind w:left="0"/>
              <w:rPr>
                <w:rFonts w:ascii="Arial" w:eastAsia="Times New Roman" w:hAnsi="Arial" w:cs="Arial"/>
                <w:color w:val="000000"/>
                <w:sz w:val="14"/>
                <w:szCs w:val="14"/>
              </w:rPr>
            </w:pPr>
            <w:r w:rsidRPr="0076589C">
              <w:rPr>
                <w:rFonts w:ascii="Arial" w:eastAsia="Times New Roman" w:hAnsi="Arial" w:cs="Arial"/>
                <w:color w:val="000000" w:themeColor="text1"/>
                <w:sz w:val="14"/>
                <w:szCs w:val="14"/>
              </w:rPr>
              <w:t>(Utilidad neta) /(Total de activos) x100</w:t>
            </w:r>
          </w:p>
        </w:tc>
        <w:tc>
          <w:tcPr>
            <w:tcW w:w="850" w:type="dxa"/>
            <w:tcBorders>
              <w:top w:val="nil"/>
              <w:left w:val="nil"/>
              <w:bottom w:val="single" w:sz="4" w:space="0" w:color="auto"/>
              <w:right w:val="single" w:sz="4" w:space="0" w:color="auto"/>
            </w:tcBorders>
            <w:shd w:val="clear" w:color="auto" w:fill="70AD47" w:themeFill="accent6"/>
            <w:noWrap/>
            <w:vAlign w:val="center"/>
            <w:hideMark/>
          </w:tcPr>
          <w:p w14:paraId="6BA1E15D"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10.15%</w:t>
            </w:r>
          </w:p>
        </w:tc>
        <w:tc>
          <w:tcPr>
            <w:tcW w:w="851" w:type="dxa"/>
            <w:tcBorders>
              <w:top w:val="nil"/>
              <w:left w:val="nil"/>
              <w:bottom w:val="single" w:sz="4" w:space="0" w:color="auto"/>
              <w:right w:val="single" w:sz="4" w:space="0" w:color="auto"/>
            </w:tcBorders>
            <w:shd w:val="clear" w:color="auto" w:fill="FF5050"/>
            <w:noWrap/>
            <w:vAlign w:val="center"/>
            <w:hideMark/>
          </w:tcPr>
          <w:p w14:paraId="3C4F9862"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4.64%</w:t>
            </w:r>
          </w:p>
        </w:tc>
        <w:tc>
          <w:tcPr>
            <w:tcW w:w="867" w:type="dxa"/>
            <w:tcBorders>
              <w:top w:val="nil"/>
              <w:left w:val="nil"/>
              <w:bottom w:val="single" w:sz="4" w:space="0" w:color="auto"/>
              <w:right w:val="single" w:sz="4" w:space="0" w:color="auto"/>
            </w:tcBorders>
            <w:shd w:val="clear" w:color="auto" w:fill="70AD47" w:themeFill="accent6"/>
            <w:noWrap/>
            <w:vAlign w:val="center"/>
            <w:hideMark/>
          </w:tcPr>
          <w:p w14:paraId="5495BB25"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8.22%</w:t>
            </w:r>
          </w:p>
        </w:tc>
        <w:tc>
          <w:tcPr>
            <w:tcW w:w="691" w:type="dxa"/>
            <w:tcBorders>
              <w:top w:val="nil"/>
              <w:left w:val="nil"/>
              <w:bottom w:val="single" w:sz="4" w:space="0" w:color="auto"/>
              <w:right w:val="single" w:sz="4" w:space="0" w:color="auto"/>
            </w:tcBorders>
            <w:shd w:val="clear" w:color="auto" w:fill="70AD47" w:themeFill="accent6"/>
            <w:noWrap/>
            <w:vAlign w:val="center"/>
            <w:hideMark/>
          </w:tcPr>
          <w:p w14:paraId="0F396897"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7.76%</w:t>
            </w:r>
          </w:p>
        </w:tc>
      </w:tr>
      <w:tr w:rsidR="00450014" w:rsidRPr="0076589C" w14:paraId="53EA82AB" w14:textId="77777777" w:rsidTr="00C66F53">
        <w:trPr>
          <w:trHeight w:val="297"/>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2352F9C7" w14:textId="77777777" w:rsidR="002805D1" w:rsidRPr="0076589C" w:rsidRDefault="002805D1" w:rsidP="00450014">
            <w:pPr>
              <w:spacing w:after="0" w:line="240" w:lineRule="auto"/>
              <w:ind w:left="0"/>
              <w:rPr>
                <w:rFonts w:ascii="Arial" w:eastAsia="Times New Roman" w:hAnsi="Arial" w:cs="Arial"/>
                <w:b/>
                <w:bCs/>
                <w:color w:val="000000"/>
                <w:sz w:val="14"/>
                <w:szCs w:val="14"/>
              </w:rPr>
            </w:pPr>
            <w:r w:rsidRPr="0076589C">
              <w:rPr>
                <w:rFonts w:ascii="Arial" w:eastAsia="Times New Roman" w:hAnsi="Arial" w:cs="Arial"/>
                <w:b/>
                <w:bCs/>
                <w:color w:val="000000"/>
                <w:sz w:val="14"/>
                <w:szCs w:val="14"/>
              </w:rPr>
              <w:t>ROE</w:t>
            </w:r>
          </w:p>
        </w:tc>
        <w:tc>
          <w:tcPr>
            <w:tcW w:w="850" w:type="dxa"/>
            <w:tcBorders>
              <w:top w:val="nil"/>
              <w:left w:val="nil"/>
              <w:bottom w:val="single" w:sz="4" w:space="0" w:color="auto"/>
              <w:right w:val="single" w:sz="4" w:space="0" w:color="auto"/>
            </w:tcBorders>
            <w:shd w:val="clear" w:color="auto" w:fill="FF5050"/>
            <w:noWrap/>
            <w:vAlign w:val="center"/>
            <w:hideMark/>
          </w:tcPr>
          <w:p w14:paraId="414507F5"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&lt;5%</w:t>
            </w:r>
          </w:p>
        </w:tc>
        <w:tc>
          <w:tcPr>
            <w:tcW w:w="993" w:type="dxa"/>
            <w:tcBorders>
              <w:top w:val="nil"/>
              <w:left w:val="nil"/>
              <w:bottom w:val="single" w:sz="4" w:space="0" w:color="auto"/>
              <w:right w:val="single" w:sz="4" w:space="0" w:color="auto"/>
            </w:tcBorders>
            <w:shd w:val="clear" w:color="auto" w:fill="FFD966" w:themeFill="accent4" w:themeFillTint="99"/>
            <w:noWrap/>
            <w:vAlign w:val="center"/>
            <w:hideMark/>
          </w:tcPr>
          <w:p w14:paraId="104F127B"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5%-10%</w:t>
            </w:r>
          </w:p>
        </w:tc>
        <w:tc>
          <w:tcPr>
            <w:tcW w:w="992" w:type="dxa"/>
            <w:tcBorders>
              <w:top w:val="nil"/>
              <w:left w:val="nil"/>
              <w:bottom w:val="single" w:sz="4" w:space="0" w:color="auto"/>
              <w:right w:val="single" w:sz="4" w:space="0" w:color="auto"/>
            </w:tcBorders>
            <w:shd w:val="clear" w:color="auto" w:fill="70AD47" w:themeFill="accent6"/>
            <w:noWrap/>
            <w:vAlign w:val="center"/>
            <w:hideMark/>
          </w:tcPr>
          <w:p w14:paraId="4484AF4E"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&gt;10%</w:t>
            </w:r>
          </w:p>
        </w:tc>
        <w:tc>
          <w:tcPr>
            <w:tcW w:w="1843" w:type="dxa"/>
            <w:tcBorders>
              <w:top w:val="nil"/>
              <w:left w:val="nil"/>
              <w:bottom w:val="single" w:sz="4" w:space="0" w:color="auto"/>
              <w:right w:val="single" w:sz="4" w:space="0" w:color="auto"/>
            </w:tcBorders>
            <w:shd w:val="clear" w:color="auto" w:fill="auto"/>
            <w:noWrap/>
            <w:vAlign w:val="center"/>
            <w:hideMark/>
          </w:tcPr>
          <w:p w14:paraId="31462D23" w14:textId="00A2AFDD" w:rsidR="002805D1" w:rsidRPr="0076589C" w:rsidRDefault="4CEA7910" w:rsidP="00450014">
            <w:pPr>
              <w:spacing w:after="0" w:line="240" w:lineRule="auto"/>
              <w:ind w:left="0"/>
              <w:rPr>
                <w:rFonts w:ascii="Arial" w:eastAsia="Times New Roman" w:hAnsi="Arial" w:cs="Arial"/>
                <w:color w:val="000000"/>
                <w:sz w:val="14"/>
                <w:szCs w:val="14"/>
              </w:rPr>
            </w:pPr>
            <w:r w:rsidRPr="0076589C">
              <w:rPr>
                <w:rFonts w:ascii="Arial" w:eastAsia="Times New Roman" w:hAnsi="Arial" w:cs="Arial"/>
                <w:color w:val="000000" w:themeColor="text1"/>
                <w:sz w:val="14"/>
                <w:szCs w:val="14"/>
              </w:rPr>
              <w:t>(Utilidad neta) /Patrimonio x100</w:t>
            </w:r>
          </w:p>
        </w:tc>
        <w:tc>
          <w:tcPr>
            <w:tcW w:w="850" w:type="dxa"/>
            <w:tcBorders>
              <w:top w:val="nil"/>
              <w:left w:val="nil"/>
              <w:bottom w:val="single" w:sz="4" w:space="0" w:color="auto"/>
              <w:right w:val="single" w:sz="4" w:space="0" w:color="auto"/>
            </w:tcBorders>
            <w:shd w:val="clear" w:color="auto" w:fill="70AD47" w:themeFill="accent6"/>
            <w:noWrap/>
            <w:vAlign w:val="center"/>
            <w:hideMark/>
          </w:tcPr>
          <w:p w14:paraId="6C3E5D79" w14:textId="4B2A03E8" w:rsidR="002805D1" w:rsidRPr="0076589C" w:rsidRDefault="00B7698B"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17%</w:t>
            </w:r>
          </w:p>
        </w:tc>
        <w:tc>
          <w:tcPr>
            <w:tcW w:w="851" w:type="dxa"/>
            <w:tcBorders>
              <w:top w:val="nil"/>
              <w:left w:val="nil"/>
              <w:bottom w:val="single" w:sz="4" w:space="0" w:color="auto"/>
              <w:right w:val="single" w:sz="4" w:space="0" w:color="auto"/>
            </w:tcBorders>
            <w:shd w:val="clear" w:color="auto" w:fill="FF5050"/>
            <w:noWrap/>
            <w:vAlign w:val="center"/>
            <w:hideMark/>
          </w:tcPr>
          <w:p w14:paraId="2F94C8EB" w14:textId="1494076E" w:rsidR="002805D1" w:rsidRPr="0076589C" w:rsidRDefault="00C66F53"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3.62%</w:t>
            </w:r>
          </w:p>
        </w:tc>
        <w:tc>
          <w:tcPr>
            <w:tcW w:w="867" w:type="dxa"/>
            <w:tcBorders>
              <w:top w:val="nil"/>
              <w:left w:val="nil"/>
              <w:bottom w:val="single" w:sz="4" w:space="0" w:color="auto"/>
              <w:right w:val="single" w:sz="4" w:space="0" w:color="auto"/>
            </w:tcBorders>
            <w:shd w:val="clear" w:color="auto" w:fill="70AD47" w:themeFill="accent6"/>
            <w:noWrap/>
            <w:vAlign w:val="center"/>
            <w:hideMark/>
          </w:tcPr>
          <w:p w14:paraId="79ECB0D1" w14:textId="74BC9C94" w:rsidR="002805D1" w:rsidRPr="0076589C" w:rsidRDefault="00C66F53"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12.56%</w:t>
            </w:r>
          </w:p>
        </w:tc>
        <w:tc>
          <w:tcPr>
            <w:tcW w:w="691" w:type="dxa"/>
            <w:tcBorders>
              <w:top w:val="nil"/>
              <w:left w:val="nil"/>
              <w:bottom w:val="single" w:sz="4" w:space="0" w:color="auto"/>
              <w:right w:val="single" w:sz="4" w:space="0" w:color="auto"/>
            </w:tcBorders>
            <w:shd w:val="clear" w:color="auto" w:fill="70AD47" w:themeFill="accent6"/>
            <w:noWrap/>
            <w:vAlign w:val="center"/>
            <w:hideMark/>
          </w:tcPr>
          <w:p w14:paraId="08482CC7" w14:textId="72E115A1" w:rsidR="002805D1" w:rsidRPr="0076589C" w:rsidRDefault="00C66F53"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12.08%</w:t>
            </w:r>
          </w:p>
        </w:tc>
      </w:tr>
      <w:tr w:rsidR="00450014" w:rsidRPr="0076589C" w14:paraId="1760AFB7" w14:textId="77777777" w:rsidTr="4CEA7910">
        <w:trPr>
          <w:trHeight w:val="297"/>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66A3B2AF" w14:textId="77777777" w:rsidR="002805D1" w:rsidRPr="0076589C" w:rsidRDefault="002805D1" w:rsidP="00450014">
            <w:pPr>
              <w:spacing w:after="0" w:line="240" w:lineRule="auto"/>
              <w:ind w:left="0"/>
              <w:rPr>
                <w:rFonts w:ascii="Arial" w:eastAsia="Times New Roman" w:hAnsi="Arial" w:cs="Arial"/>
                <w:b/>
                <w:bCs/>
                <w:color w:val="000000"/>
                <w:sz w:val="14"/>
                <w:szCs w:val="14"/>
              </w:rPr>
            </w:pPr>
            <w:r w:rsidRPr="0076589C">
              <w:rPr>
                <w:rFonts w:ascii="Arial" w:eastAsia="Times New Roman" w:hAnsi="Arial" w:cs="Arial"/>
                <w:b/>
                <w:bCs/>
                <w:color w:val="000000"/>
                <w:sz w:val="14"/>
                <w:szCs w:val="14"/>
              </w:rPr>
              <w:lastRenderedPageBreak/>
              <w:t>Liquidez corriente</w:t>
            </w:r>
          </w:p>
        </w:tc>
        <w:tc>
          <w:tcPr>
            <w:tcW w:w="850" w:type="dxa"/>
            <w:tcBorders>
              <w:top w:val="nil"/>
              <w:left w:val="nil"/>
              <w:bottom w:val="single" w:sz="4" w:space="0" w:color="auto"/>
              <w:right w:val="single" w:sz="4" w:space="0" w:color="auto"/>
            </w:tcBorders>
            <w:shd w:val="clear" w:color="auto" w:fill="FF5050"/>
            <w:noWrap/>
            <w:vAlign w:val="center"/>
            <w:hideMark/>
          </w:tcPr>
          <w:p w14:paraId="310AD83D"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&lt;1.00</w:t>
            </w:r>
          </w:p>
        </w:tc>
        <w:tc>
          <w:tcPr>
            <w:tcW w:w="993" w:type="dxa"/>
            <w:tcBorders>
              <w:top w:val="nil"/>
              <w:left w:val="nil"/>
              <w:bottom w:val="single" w:sz="4" w:space="0" w:color="auto"/>
              <w:right w:val="single" w:sz="4" w:space="0" w:color="auto"/>
            </w:tcBorders>
            <w:shd w:val="clear" w:color="auto" w:fill="FFD966" w:themeFill="accent4" w:themeFillTint="99"/>
            <w:noWrap/>
            <w:vAlign w:val="center"/>
            <w:hideMark/>
          </w:tcPr>
          <w:p w14:paraId="08166EE2"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1.00</w:t>
            </w:r>
          </w:p>
        </w:tc>
        <w:tc>
          <w:tcPr>
            <w:tcW w:w="992" w:type="dxa"/>
            <w:tcBorders>
              <w:top w:val="nil"/>
              <w:left w:val="nil"/>
              <w:bottom w:val="single" w:sz="4" w:space="0" w:color="auto"/>
              <w:right w:val="single" w:sz="4" w:space="0" w:color="auto"/>
            </w:tcBorders>
            <w:shd w:val="clear" w:color="auto" w:fill="70AD47" w:themeFill="accent6"/>
            <w:noWrap/>
            <w:vAlign w:val="center"/>
            <w:hideMark/>
          </w:tcPr>
          <w:p w14:paraId="5FA89BF5"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&gt;1.50</w:t>
            </w:r>
          </w:p>
        </w:tc>
        <w:tc>
          <w:tcPr>
            <w:tcW w:w="1843" w:type="dxa"/>
            <w:tcBorders>
              <w:top w:val="nil"/>
              <w:left w:val="nil"/>
              <w:bottom w:val="single" w:sz="4" w:space="0" w:color="auto"/>
              <w:right w:val="single" w:sz="4" w:space="0" w:color="auto"/>
            </w:tcBorders>
            <w:shd w:val="clear" w:color="auto" w:fill="auto"/>
            <w:noWrap/>
            <w:vAlign w:val="center"/>
            <w:hideMark/>
          </w:tcPr>
          <w:p w14:paraId="6273E742" w14:textId="77777777" w:rsidR="002805D1" w:rsidRPr="0076589C" w:rsidRDefault="002805D1" w:rsidP="00450014">
            <w:pPr>
              <w:spacing w:after="0" w:line="240" w:lineRule="auto"/>
              <w:ind w:left="0"/>
              <w:rPr>
                <w:rFonts w:ascii="Arial" w:eastAsia="Times New Roman" w:hAnsi="Arial" w:cs="Arial"/>
                <w:color w:val="000000"/>
                <w:sz w:val="14"/>
                <w:szCs w:val="14"/>
              </w:rPr>
            </w:pPr>
            <w:r w:rsidRPr="0076589C">
              <w:rPr>
                <w:rFonts w:ascii="Arial" w:eastAsia="Times New Roman" w:hAnsi="Arial" w:cs="Arial"/>
                <w:color w:val="000000"/>
                <w:sz w:val="14"/>
                <w:szCs w:val="14"/>
              </w:rPr>
              <w:t>Activos corrientes/Pasivos corrientes</w:t>
            </w:r>
          </w:p>
        </w:tc>
        <w:tc>
          <w:tcPr>
            <w:tcW w:w="850" w:type="dxa"/>
            <w:tcBorders>
              <w:top w:val="nil"/>
              <w:left w:val="nil"/>
              <w:bottom w:val="single" w:sz="4" w:space="0" w:color="auto"/>
              <w:right w:val="single" w:sz="4" w:space="0" w:color="auto"/>
            </w:tcBorders>
            <w:shd w:val="clear" w:color="auto" w:fill="70AD47" w:themeFill="accent6"/>
            <w:noWrap/>
            <w:vAlign w:val="center"/>
            <w:hideMark/>
          </w:tcPr>
          <w:p w14:paraId="137BC657"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7.72</w:t>
            </w:r>
          </w:p>
        </w:tc>
        <w:tc>
          <w:tcPr>
            <w:tcW w:w="851" w:type="dxa"/>
            <w:tcBorders>
              <w:top w:val="nil"/>
              <w:left w:val="nil"/>
              <w:bottom w:val="single" w:sz="4" w:space="0" w:color="auto"/>
              <w:right w:val="single" w:sz="4" w:space="0" w:color="auto"/>
            </w:tcBorders>
            <w:shd w:val="clear" w:color="auto" w:fill="70AD47" w:themeFill="accent6"/>
            <w:noWrap/>
            <w:vAlign w:val="center"/>
            <w:hideMark/>
          </w:tcPr>
          <w:p w14:paraId="0E74B8A6"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13.29</w:t>
            </w:r>
          </w:p>
        </w:tc>
        <w:tc>
          <w:tcPr>
            <w:tcW w:w="867" w:type="dxa"/>
            <w:tcBorders>
              <w:top w:val="nil"/>
              <w:left w:val="nil"/>
              <w:bottom w:val="single" w:sz="4" w:space="0" w:color="auto"/>
              <w:right w:val="single" w:sz="4" w:space="0" w:color="auto"/>
            </w:tcBorders>
            <w:shd w:val="clear" w:color="auto" w:fill="70AD47" w:themeFill="accent6"/>
            <w:noWrap/>
            <w:vAlign w:val="center"/>
            <w:hideMark/>
          </w:tcPr>
          <w:p w14:paraId="2EDC5EE5"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10.4</w:t>
            </w:r>
          </w:p>
        </w:tc>
        <w:tc>
          <w:tcPr>
            <w:tcW w:w="691" w:type="dxa"/>
            <w:tcBorders>
              <w:top w:val="nil"/>
              <w:left w:val="nil"/>
              <w:bottom w:val="single" w:sz="4" w:space="0" w:color="auto"/>
              <w:right w:val="single" w:sz="4" w:space="0" w:color="auto"/>
            </w:tcBorders>
            <w:shd w:val="clear" w:color="auto" w:fill="70AD47" w:themeFill="accent6"/>
            <w:noWrap/>
            <w:vAlign w:val="center"/>
            <w:hideMark/>
          </w:tcPr>
          <w:p w14:paraId="57313F92"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6.81</w:t>
            </w:r>
          </w:p>
        </w:tc>
      </w:tr>
      <w:tr w:rsidR="00450014" w:rsidRPr="0076589C" w14:paraId="7A850B81" w14:textId="77777777" w:rsidTr="4CEA7910">
        <w:trPr>
          <w:trHeight w:val="595"/>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7341B3A1" w14:textId="77777777" w:rsidR="002805D1" w:rsidRPr="0076589C" w:rsidRDefault="002805D1" w:rsidP="00450014">
            <w:pPr>
              <w:spacing w:after="0" w:line="240" w:lineRule="auto"/>
              <w:ind w:left="0"/>
              <w:rPr>
                <w:rFonts w:ascii="Arial" w:eastAsia="Times New Roman" w:hAnsi="Arial" w:cs="Arial"/>
                <w:b/>
                <w:bCs/>
                <w:color w:val="000000"/>
                <w:sz w:val="14"/>
                <w:szCs w:val="14"/>
              </w:rPr>
            </w:pPr>
            <w:r w:rsidRPr="0076589C">
              <w:rPr>
                <w:rFonts w:ascii="Arial" w:eastAsia="Times New Roman" w:hAnsi="Arial" w:cs="Arial"/>
                <w:b/>
                <w:bCs/>
                <w:color w:val="000000"/>
                <w:sz w:val="14"/>
                <w:szCs w:val="14"/>
              </w:rPr>
              <w:t>Razón rápida</w:t>
            </w:r>
          </w:p>
        </w:tc>
        <w:tc>
          <w:tcPr>
            <w:tcW w:w="850" w:type="dxa"/>
            <w:tcBorders>
              <w:top w:val="nil"/>
              <w:left w:val="nil"/>
              <w:bottom w:val="single" w:sz="4" w:space="0" w:color="auto"/>
              <w:right w:val="single" w:sz="4" w:space="0" w:color="auto"/>
            </w:tcBorders>
            <w:shd w:val="clear" w:color="auto" w:fill="FF5050"/>
            <w:noWrap/>
            <w:vAlign w:val="center"/>
            <w:hideMark/>
          </w:tcPr>
          <w:p w14:paraId="3A951183"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&lt;0.80</w:t>
            </w:r>
          </w:p>
        </w:tc>
        <w:tc>
          <w:tcPr>
            <w:tcW w:w="993" w:type="dxa"/>
            <w:tcBorders>
              <w:top w:val="nil"/>
              <w:left w:val="nil"/>
              <w:bottom w:val="single" w:sz="4" w:space="0" w:color="auto"/>
              <w:right w:val="single" w:sz="4" w:space="0" w:color="auto"/>
            </w:tcBorders>
            <w:shd w:val="clear" w:color="auto" w:fill="FFD966" w:themeFill="accent4" w:themeFillTint="99"/>
            <w:noWrap/>
            <w:vAlign w:val="center"/>
            <w:hideMark/>
          </w:tcPr>
          <w:p w14:paraId="03CDA955"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1.00</w:t>
            </w:r>
          </w:p>
        </w:tc>
        <w:tc>
          <w:tcPr>
            <w:tcW w:w="992" w:type="dxa"/>
            <w:tcBorders>
              <w:top w:val="nil"/>
              <w:left w:val="nil"/>
              <w:bottom w:val="single" w:sz="4" w:space="0" w:color="auto"/>
              <w:right w:val="single" w:sz="4" w:space="0" w:color="auto"/>
            </w:tcBorders>
            <w:shd w:val="clear" w:color="auto" w:fill="70AD47" w:themeFill="accent6"/>
            <w:noWrap/>
            <w:vAlign w:val="center"/>
            <w:hideMark/>
          </w:tcPr>
          <w:p w14:paraId="03E5D416"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&gt;1.20</w:t>
            </w:r>
          </w:p>
        </w:tc>
        <w:tc>
          <w:tcPr>
            <w:tcW w:w="1843" w:type="dxa"/>
            <w:tcBorders>
              <w:top w:val="nil"/>
              <w:left w:val="nil"/>
              <w:bottom w:val="single" w:sz="4" w:space="0" w:color="auto"/>
              <w:right w:val="single" w:sz="4" w:space="0" w:color="auto"/>
            </w:tcBorders>
            <w:shd w:val="clear" w:color="auto" w:fill="auto"/>
            <w:vAlign w:val="center"/>
            <w:hideMark/>
          </w:tcPr>
          <w:p w14:paraId="2305F7EE" w14:textId="244F5C1A" w:rsidR="002805D1" w:rsidRPr="0076589C" w:rsidRDefault="4CEA7910" w:rsidP="00450014">
            <w:pPr>
              <w:spacing w:after="0" w:line="240" w:lineRule="auto"/>
              <w:ind w:left="0"/>
              <w:rPr>
                <w:rFonts w:ascii="Arial" w:eastAsia="Times New Roman" w:hAnsi="Arial" w:cs="Arial"/>
                <w:color w:val="000000"/>
                <w:sz w:val="14"/>
                <w:szCs w:val="14"/>
              </w:rPr>
            </w:pPr>
            <w:r w:rsidRPr="0076589C">
              <w:rPr>
                <w:rFonts w:ascii="Arial" w:eastAsia="Times New Roman" w:hAnsi="Arial" w:cs="Arial"/>
                <w:color w:val="000000" w:themeColor="text1"/>
                <w:sz w:val="14"/>
                <w:szCs w:val="14"/>
              </w:rPr>
              <w:t>(Activos corrientes-Inventarios) /Pasivos corrientes</w:t>
            </w:r>
          </w:p>
        </w:tc>
        <w:tc>
          <w:tcPr>
            <w:tcW w:w="850" w:type="dxa"/>
            <w:tcBorders>
              <w:top w:val="nil"/>
              <w:left w:val="nil"/>
              <w:bottom w:val="single" w:sz="4" w:space="0" w:color="auto"/>
              <w:right w:val="single" w:sz="4" w:space="0" w:color="auto"/>
            </w:tcBorders>
            <w:shd w:val="clear" w:color="auto" w:fill="70AD47" w:themeFill="accent6"/>
            <w:noWrap/>
            <w:vAlign w:val="center"/>
            <w:hideMark/>
          </w:tcPr>
          <w:p w14:paraId="3705382F"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6.43</w:t>
            </w:r>
          </w:p>
        </w:tc>
        <w:tc>
          <w:tcPr>
            <w:tcW w:w="851" w:type="dxa"/>
            <w:tcBorders>
              <w:top w:val="nil"/>
              <w:left w:val="nil"/>
              <w:bottom w:val="single" w:sz="4" w:space="0" w:color="auto"/>
              <w:right w:val="single" w:sz="4" w:space="0" w:color="auto"/>
            </w:tcBorders>
            <w:shd w:val="clear" w:color="auto" w:fill="70AD47" w:themeFill="accent6"/>
            <w:noWrap/>
            <w:vAlign w:val="center"/>
            <w:hideMark/>
          </w:tcPr>
          <w:p w14:paraId="5E492AEE"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11.02</w:t>
            </w:r>
          </w:p>
        </w:tc>
        <w:tc>
          <w:tcPr>
            <w:tcW w:w="867" w:type="dxa"/>
            <w:tcBorders>
              <w:top w:val="nil"/>
              <w:left w:val="nil"/>
              <w:bottom w:val="single" w:sz="4" w:space="0" w:color="auto"/>
              <w:right w:val="single" w:sz="4" w:space="0" w:color="auto"/>
            </w:tcBorders>
            <w:shd w:val="clear" w:color="auto" w:fill="70AD47" w:themeFill="accent6"/>
            <w:noWrap/>
            <w:vAlign w:val="center"/>
            <w:hideMark/>
          </w:tcPr>
          <w:p w14:paraId="3800CDB8"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4.77</w:t>
            </w:r>
          </w:p>
        </w:tc>
        <w:tc>
          <w:tcPr>
            <w:tcW w:w="691" w:type="dxa"/>
            <w:tcBorders>
              <w:top w:val="nil"/>
              <w:left w:val="nil"/>
              <w:bottom w:val="single" w:sz="4" w:space="0" w:color="auto"/>
              <w:right w:val="single" w:sz="4" w:space="0" w:color="auto"/>
            </w:tcBorders>
            <w:shd w:val="clear" w:color="auto" w:fill="70AD47" w:themeFill="accent6"/>
            <w:noWrap/>
            <w:vAlign w:val="center"/>
            <w:hideMark/>
          </w:tcPr>
          <w:p w14:paraId="11E0DCD8"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3.51</w:t>
            </w:r>
          </w:p>
        </w:tc>
      </w:tr>
      <w:tr w:rsidR="00450014" w:rsidRPr="0076589C" w14:paraId="6F96FD00" w14:textId="77777777" w:rsidTr="4CEA7910">
        <w:trPr>
          <w:trHeight w:val="297"/>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5D17472D" w14:textId="77777777" w:rsidR="002805D1" w:rsidRPr="0076589C" w:rsidRDefault="002805D1" w:rsidP="00450014">
            <w:pPr>
              <w:spacing w:after="0" w:line="240" w:lineRule="auto"/>
              <w:ind w:left="0"/>
              <w:rPr>
                <w:rFonts w:ascii="Arial" w:eastAsia="Times New Roman" w:hAnsi="Arial" w:cs="Arial"/>
                <w:b/>
                <w:bCs/>
                <w:color w:val="000000"/>
                <w:sz w:val="14"/>
                <w:szCs w:val="14"/>
              </w:rPr>
            </w:pPr>
            <w:r w:rsidRPr="0076589C">
              <w:rPr>
                <w:rFonts w:ascii="Arial" w:eastAsia="Times New Roman" w:hAnsi="Arial" w:cs="Arial"/>
                <w:b/>
                <w:bCs/>
                <w:color w:val="000000"/>
                <w:sz w:val="14"/>
                <w:szCs w:val="14"/>
              </w:rPr>
              <w:t>Razón de efectivo</w:t>
            </w:r>
          </w:p>
        </w:tc>
        <w:tc>
          <w:tcPr>
            <w:tcW w:w="850" w:type="dxa"/>
            <w:tcBorders>
              <w:top w:val="nil"/>
              <w:left w:val="nil"/>
              <w:bottom w:val="single" w:sz="4" w:space="0" w:color="auto"/>
              <w:right w:val="single" w:sz="4" w:space="0" w:color="auto"/>
            </w:tcBorders>
            <w:shd w:val="clear" w:color="auto" w:fill="FF5050"/>
            <w:noWrap/>
            <w:vAlign w:val="center"/>
            <w:hideMark/>
          </w:tcPr>
          <w:p w14:paraId="6112782A"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&lt;0.50</w:t>
            </w:r>
          </w:p>
        </w:tc>
        <w:tc>
          <w:tcPr>
            <w:tcW w:w="993" w:type="dxa"/>
            <w:tcBorders>
              <w:top w:val="nil"/>
              <w:left w:val="nil"/>
              <w:bottom w:val="single" w:sz="4" w:space="0" w:color="auto"/>
              <w:right w:val="single" w:sz="4" w:space="0" w:color="auto"/>
            </w:tcBorders>
            <w:shd w:val="clear" w:color="auto" w:fill="FFD966" w:themeFill="accent4" w:themeFillTint="99"/>
            <w:noWrap/>
            <w:vAlign w:val="center"/>
            <w:hideMark/>
          </w:tcPr>
          <w:p w14:paraId="1C98D5E7"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0.50-1.00</w:t>
            </w:r>
          </w:p>
        </w:tc>
        <w:tc>
          <w:tcPr>
            <w:tcW w:w="992" w:type="dxa"/>
            <w:tcBorders>
              <w:top w:val="nil"/>
              <w:left w:val="nil"/>
              <w:bottom w:val="single" w:sz="4" w:space="0" w:color="auto"/>
              <w:right w:val="single" w:sz="4" w:space="0" w:color="auto"/>
            </w:tcBorders>
            <w:shd w:val="clear" w:color="auto" w:fill="70AD47" w:themeFill="accent6"/>
            <w:noWrap/>
            <w:vAlign w:val="center"/>
            <w:hideMark/>
          </w:tcPr>
          <w:p w14:paraId="2E52AEF3"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&gt;1.00</w:t>
            </w:r>
          </w:p>
        </w:tc>
        <w:tc>
          <w:tcPr>
            <w:tcW w:w="1843" w:type="dxa"/>
            <w:tcBorders>
              <w:top w:val="nil"/>
              <w:left w:val="nil"/>
              <w:bottom w:val="single" w:sz="4" w:space="0" w:color="auto"/>
              <w:right w:val="single" w:sz="4" w:space="0" w:color="auto"/>
            </w:tcBorders>
            <w:shd w:val="clear" w:color="auto" w:fill="auto"/>
            <w:noWrap/>
            <w:vAlign w:val="center"/>
            <w:hideMark/>
          </w:tcPr>
          <w:p w14:paraId="350E6450" w14:textId="77777777" w:rsidR="002805D1" w:rsidRPr="0076589C" w:rsidRDefault="002805D1" w:rsidP="00450014">
            <w:pPr>
              <w:spacing w:after="0" w:line="240" w:lineRule="auto"/>
              <w:ind w:left="0"/>
              <w:rPr>
                <w:rFonts w:ascii="Arial" w:eastAsia="Times New Roman" w:hAnsi="Arial" w:cs="Arial"/>
                <w:color w:val="000000"/>
                <w:sz w:val="14"/>
                <w:szCs w:val="14"/>
              </w:rPr>
            </w:pPr>
            <w:r w:rsidRPr="0076589C">
              <w:rPr>
                <w:rFonts w:ascii="Arial" w:eastAsia="Times New Roman" w:hAnsi="Arial" w:cs="Arial"/>
                <w:color w:val="000000"/>
                <w:sz w:val="14"/>
                <w:szCs w:val="14"/>
              </w:rPr>
              <w:t>Efectivo/Pasivos corrientes</w:t>
            </w:r>
          </w:p>
        </w:tc>
        <w:tc>
          <w:tcPr>
            <w:tcW w:w="850" w:type="dxa"/>
            <w:tcBorders>
              <w:top w:val="nil"/>
              <w:left w:val="nil"/>
              <w:bottom w:val="single" w:sz="4" w:space="0" w:color="auto"/>
              <w:right w:val="single" w:sz="4" w:space="0" w:color="auto"/>
            </w:tcBorders>
            <w:shd w:val="clear" w:color="auto" w:fill="FFD966" w:themeFill="accent4" w:themeFillTint="99"/>
            <w:noWrap/>
            <w:vAlign w:val="center"/>
            <w:hideMark/>
          </w:tcPr>
          <w:p w14:paraId="042B2835"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0.97</w:t>
            </w:r>
          </w:p>
        </w:tc>
        <w:tc>
          <w:tcPr>
            <w:tcW w:w="851" w:type="dxa"/>
            <w:tcBorders>
              <w:top w:val="nil"/>
              <w:left w:val="nil"/>
              <w:bottom w:val="single" w:sz="4" w:space="0" w:color="auto"/>
              <w:right w:val="single" w:sz="4" w:space="0" w:color="auto"/>
            </w:tcBorders>
            <w:shd w:val="clear" w:color="auto" w:fill="70AD47" w:themeFill="accent6"/>
            <w:noWrap/>
            <w:vAlign w:val="center"/>
            <w:hideMark/>
          </w:tcPr>
          <w:p w14:paraId="06B23640"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1.56</w:t>
            </w:r>
          </w:p>
        </w:tc>
        <w:tc>
          <w:tcPr>
            <w:tcW w:w="867" w:type="dxa"/>
            <w:tcBorders>
              <w:top w:val="nil"/>
              <w:left w:val="nil"/>
              <w:bottom w:val="single" w:sz="4" w:space="0" w:color="auto"/>
              <w:right w:val="single" w:sz="4" w:space="0" w:color="auto"/>
            </w:tcBorders>
            <w:shd w:val="clear" w:color="auto" w:fill="70AD47" w:themeFill="accent6"/>
            <w:noWrap/>
            <w:vAlign w:val="center"/>
            <w:hideMark/>
          </w:tcPr>
          <w:p w14:paraId="7DD7E32D"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1.35</w:t>
            </w:r>
          </w:p>
        </w:tc>
        <w:tc>
          <w:tcPr>
            <w:tcW w:w="691" w:type="dxa"/>
            <w:tcBorders>
              <w:top w:val="nil"/>
              <w:left w:val="nil"/>
              <w:bottom w:val="single" w:sz="4" w:space="0" w:color="auto"/>
              <w:right w:val="single" w:sz="4" w:space="0" w:color="auto"/>
            </w:tcBorders>
            <w:shd w:val="clear" w:color="auto" w:fill="70AD47" w:themeFill="accent6"/>
            <w:noWrap/>
            <w:vAlign w:val="center"/>
            <w:hideMark/>
          </w:tcPr>
          <w:p w14:paraId="5E3342D0"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1.46</w:t>
            </w:r>
          </w:p>
        </w:tc>
      </w:tr>
      <w:tr w:rsidR="00450014" w:rsidRPr="0076589C" w14:paraId="067A5C5B" w14:textId="77777777" w:rsidTr="4CEA7910">
        <w:trPr>
          <w:trHeight w:val="297"/>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0E74E83B" w14:textId="77777777" w:rsidR="002805D1" w:rsidRPr="0076589C" w:rsidRDefault="002805D1" w:rsidP="00450014">
            <w:pPr>
              <w:spacing w:after="0" w:line="240" w:lineRule="auto"/>
              <w:ind w:left="0"/>
              <w:rPr>
                <w:rFonts w:ascii="Arial" w:eastAsia="Times New Roman" w:hAnsi="Arial" w:cs="Arial"/>
                <w:b/>
                <w:bCs/>
                <w:color w:val="000000"/>
                <w:sz w:val="14"/>
                <w:szCs w:val="14"/>
              </w:rPr>
            </w:pPr>
            <w:r w:rsidRPr="0076589C">
              <w:rPr>
                <w:rFonts w:ascii="Arial" w:eastAsia="Times New Roman" w:hAnsi="Arial" w:cs="Arial"/>
                <w:b/>
                <w:bCs/>
                <w:color w:val="000000"/>
                <w:sz w:val="14"/>
                <w:szCs w:val="14"/>
              </w:rPr>
              <w:t>Estructura de capital</w:t>
            </w:r>
          </w:p>
        </w:tc>
        <w:tc>
          <w:tcPr>
            <w:tcW w:w="850" w:type="dxa"/>
            <w:tcBorders>
              <w:top w:val="nil"/>
              <w:left w:val="nil"/>
              <w:bottom w:val="single" w:sz="4" w:space="0" w:color="auto"/>
              <w:right w:val="single" w:sz="4" w:space="0" w:color="auto"/>
            </w:tcBorders>
            <w:shd w:val="clear" w:color="auto" w:fill="FF5050"/>
            <w:noWrap/>
            <w:vAlign w:val="center"/>
            <w:hideMark/>
          </w:tcPr>
          <w:p w14:paraId="35FDE365"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&gt;70%</w:t>
            </w:r>
          </w:p>
        </w:tc>
        <w:tc>
          <w:tcPr>
            <w:tcW w:w="993" w:type="dxa"/>
            <w:tcBorders>
              <w:top w:val="nil"/>
              <w:left w:val="nil"/>
              <w:bottom w:val="single" w:sz="4" w:space="0" w:color="auto"/>
              <w:right w:val="single" w:sz="4" w:space="0" w:color="auto"/>
            </w:tcBorders>
            <w:shd w:val="clear" w:color="auto" w:fill="FFD966" w:themeFill="accent4" w:themeFillTint="99"/>
            <w:noWrap/>
            <w:vAlign w:val="center"/>
            <w:hideMark/>
          </w:tcPr>
          <w:p w14:paraId="680969DD"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50%</w:t>
            </w:r>
          </w:p>
        </w:tc>
        <w:tc>
          <w:tcPr>
            <w:tcW w:w="992" w:type="dxa"/>
            <w:tcBorders>
              <w:top w:val="nil"/>
              <w:left w:val="nil"/>
              <w:bottom w:val="single" w:sz="4" w:space="0" w:color="auto"/>
              <w:right w:val="single" w:sz="4" w:space="0" w:color="auto"/>
            </w:tcBorders>
            <w:shd w:val="clear" w:color="auto" w:fill="70AD47" w:themeFill="accent6"/>
            <w:noWrap/>
            <w:vAlign w:val="center"/>
            <w:hideMark/>
          </w:tcPr>
          <w:p w14:paraId="4C2F2AC3"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&lt;30%</w:t>
            </w:r>
          </w:p>
        </w:tc>
        <w:tc>
          <w:tcPr>
            <w:tcW w:w="1843" w:type="dxa"/>
            <w:tcBorders>
              <w:top w:val="nil"/>
              <w:left w:val="nil"/>
              <w:bottom w:val="single" w:sz="4" w:space="0" w:color="auto"/>
              <w:right w:val="single" w:sz="4" w:space="0" w:color="auto"/>
            </w:tcBorders>
            <w:shd w:val="clear" w:color="auto" w:fill="auto"/>
            <w:noWrap/>
            <w:vAlign w:val="center"/>
            <w:hideMark/>
          </w:tcPr>
          <w:p w14:paraId="48884EC2" w14:textId="77777777" w:rsidR="002805D1" w:rsidRPr="0076589C" w:rsidRDefault="002805D1" w:rsidP="00450014">
            <w:pPr>
              <w:spacing w:after="0" w:line="240" w:lineRule="auto"/>
              <w:ind w:left="0"/>
              <w:rPr>
                <w:rFonts w:ascii="Arial" w:eastAsia="Times New Roman" w:hAnsi="Arial" w:cs="Arial"/>
                <w:color w:val="000000"/>
                <w:sz w:val="14"/>
                <w:szCs w:val="14"/>
              </w:rPr>
            </w:pPr>
            <w:r w:rsidRPr="0076589C">
              <w:rPr>
                <w:rFonts w:ascii="Arial" w:eastAsia="Times New Roman" w:hAnsi="Arial" w:cs="Arial"/>
                <w:color w:val="000000"/>
                <w:sz w:val="14"/>
                <w:szCs w:val="14"/>
              </w:rPr>
              <w:t>Pasivos/Patrimonio</w:t>
            </w:r>
          </w:p>
        </w:tc>
        <w:tc>
          <w:tcPr>
            <w:tcW w:w="850" w:type="dxa"/>
            <w:tcBorders>
              <w:top w:val="nil"/>
              <w:left w:val="nil"/>
              <w:bottom w:val="single" w:sz="4" w:space="0" w:color="auto"/>
              <w:right w:val="single" w:sz="4" w:space="0" w:color="auto"/>
            </w:tcBorders>
            <w:shd w:val="clear" w:color="auto" w:fill="FFD966" w:themeFill="accent4" w:themeFillTint="99"/>
            <w:noWrap/>
            <w:vAlign w:val="center"/>
            <w:hideMark/>
          </w:tcPr>
          <w:p w14:paraId="3042531A"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0.68</w:t>
            </w:r>
          </w:p>
        </w:tc>
        <w:tc>
          <w:tcPr>
            <w:tcW w:w="851" w:type="dxa"/>
            <w:tcBorders>
              <w:top w:val="nil"/>
              <w:left w:val="nil"/>
              <w:bottom w:val="single" w:sz="4" w:space="0" w:color="auto"/>
              <w:right w:val="single" w:sz="4" w:space="0" w:color="auto"/>
            </w:tcBorders>
            <w:shd w:val="clear" w:color="auto" w:fill="70AD47" w:themeFill="accent6"/>
            <w:noWrap/>
            <w:vAlign w:val="center"/>
            <w:hideMark/>
          </w:tcPr>
          <w:p w14:paraId="7B7AD220"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0.28</w:t>
            </w:r>
          </w:p>
        </w:tc>
        <w:tc>
          <w:tcPr>
            <w:tcW w:w="867" w:type="dxa"/>
            <w:tcBorders>
              <w:top w:val="nil"/>
              <w:left w:val="nil"/>
              <w:bottom w:val="single" w:sz="4" w:space="0" w:color="auto"/>
              <w:right w:val="single" w:sz="4" w:space="0" w:color="auto"/>
            </w:tcBorders>
            <w:shd w:val="clear" w:color="auto" w:fill="FFD966" w:themeFill="accent4" w:themeFillTint="99"/>
            <w:noWrap/>
            <w:vAlign w:val="center"/>
            <w:hideMark/>
          </w:tcPr>
          <w:p w14:paraId="31DC12FB"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0.53</w:t>
            </w:r>
          </w:p>
        </w:tc>
        <w:tc>
          <w:tcPr>
            <w:tcW w:w="691" w:type="dxa"/>
            <w:tcBorders>
              <w:top w:val="nil"/>
              <w:left w:val="nil"/>
              <w:bottom w:val="single" w:sz="4" w:space="0" w:color="auto"/>
              <w:right w:val="single" w:sz="4" w:space="0" w:color="auto"/>
            </w:tcBorders>
            <w:shd w:val="clear" w:color="auto" w:fill="FFD966" w:themeFill="accent4" w:themeFillTint="99"/>
            <w:noWrap/>
            <w:vAlign w:val="center"/>
            <w:hideMark/>
          </w:tcPr>
          <w:p w14:paraId="62D0FCAD"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0.56</w:t>
            </w:r>
          </w:p>
        </w:tc>
      </w:tr>
      <w:tr w:rsidR="00450014" w:rsidRPr="0076589C" w14:paraId="45C3BED7" w14:textId="77777777" w:rsidTr="4CEA7910">
        <w:trPr>
          <w:trHeight w:val="297"/>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1F35CAEE" w14:textId="3D3FCE9D" w:rsidR="002805D1" w:rsidRPr="0076589C" w:rsidRDefault="0035488E" w:rsidP="00450014">
            <w:pPr>
              <w:spacing w:after="0" w:line="240" w:lineRule="auto"/>
              <w:ind w:left="0"/>
              <w:rPr>
                <w:rFonts w:ascii="Arial" w:eastAsia="Times New Roman" w:hAnsi="Arial" w:cs="Arial"/>
                <w:b/>
                <w:bCs/>
                <w:color w:val="000000"/>
                <w:sz w:val="14"/>
                <w:szCs w:val="14"/>
              </w:rPr>
            </w:pPr>
            <w:r w:rsidRPr="0076589C">
              <w:rPr>
                <w:rFonts w:ascii="Arial" w:eastAsia="Times New Roman" w:hAnsi="Arial" w:cs="Arial"/>
                <w:b/>
                <w:bCs/>
                <w:color w:val="000000"/>
                <w:sz w:val="14"/>
                <w:szCs w:val="14"/>
              </w:rPr>
              <w:t>índice</w:t>
            </w:r>
            <w:r w:rsidR="002805D1" w:rsidRPr="0076589C">
              <w:rPr>
                <w:rFonts w:ascii="Arial" w:eastAsia="Times New Roman" w:hAnsi="Arial" w:cs="Arial"/>
                <w:b/>
                <w:bCs/>
                <w:color w:val="000000"/>
                <w:sz w:val="14"/>
                <w:szCs w:val="14"/>
              </w:rPr>
              <w:t xml:space="preserve"> de endeudamiento</w:t>
            </w:r>
          </w:p>
        </w:tc>
        <w:tc>
          <w:tcPr>
            <w:tcW w:w="850" w:type="dxa"/>
            <w:tcBorders>
              <w:top w:val="nil"/>
              <w:left w:val="nil"/>
              <w:bottom w:val="single" w:sz="4" w:space="0" w:color="auto"/>
              <w:right w:val="single" w:sz="4" w:space="0" w:color="auto"/>
            </w:tcBorders>
            <w:shd w:val="clear" w:color="auto" w:fill="FF5050"/>
            <w:noWrap/>
            <w:vAlign w:val="center"/>
            <w:hideMark/>
          </w:tcPr>
          <w:p w14:paraId="6DB6C4F4"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&gt;60%</w:t>
            </w:r>
          </w:p>
        </w:tc>
        <w:tc>
          <w:tcPr>
            <w:tcW w:w="993" w:type="dxa"/>
            <w:tcBorders>
              <w:top w:val="nil"/>
              <w:left w:val="nil"/>
              <w:bottom w:val="single" w:sz="4" w:space="0" w:color="auto"/>
              <w:right w:val="single" w:sz="4" w:space="0" w:color="auto"/>
            </w:tcBorders>
            <w:shd w:val="clear" w:color="auto" w:fill="FFD966" w:themeFill="accent4" w:themeFillTint="99"/>
            <w:noWrap/>
            <w:vAlign w:val="center"/>
            <w:hideMark/>
          </w:tcPr>
          <w:p w14:paraId="17AEC333"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50%</w:t>
            </w:r>
          </w:p>
        </w:tc>
        <w:tc>
          <w:tcPr>
            <w:tcW w:w="992" w:type="dxa"/>
            <w:tcBorders>
              <w:top w:val="nil"/>
              <w:left w:val="nil"/>
              <w:bottom w:val="single" w:sz="4" w:space="0" w:color="auto"/>
              <w:right w:val="single" w:sz="4" w:space="0" w:color="auto"/>
            </w:tcBorders>
            <w:shd w:val="clear" w:color="auto" w:fill="70AD47" w:themeFill="accent6"/>
            <w:noWrap/>
            <w:vAlign w:val="center"/>
            <w:hideMark/>
          </w:tcPr>
          <w:p w14:paraId="26832710"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&lt;40%</w:t>
            </w:r>
          </w:p>
        </w:tc>
        <w:tc>
          <w:tcPr>
            <w:tcW w:w="1843" w:type="dxa"/>
            <w:tcBorders>
              <w:top w:val="nil"/>
              <w:left w:val="nil"/>
              <w:bottom w:val="single" w:sz="4" w:space="0" w:color="auto"/>
              <w:right w:val="single" w:sz="4" w:space="0" w:color="auto"/>
            </w:tcBorders>
            <w:shd w:val="clear" w:color="auto" w:fill="auto"/>
            <w:noWrap/>
            <w:vAlign w:val="center"/>
            <w:hideMark/>
          </w:tcPr>
          <w:p w14:paraId="107E58BF" w14:textId="166E8FAD" w:rsidR="002805D1" w:rsidRPr="0076589C" w:rsidRDefault="4CEA7910" w:rsidP="00450014">
            <w:pPr>
              <w:spacing w:after="0" w:line="240" w:lineRule="auto"/>
              <w:ind w:left="0"/>
              <w:rPr>
                <w:rFonts w:ascii="Arial" w:eastAsia="Times New Roman" w:hAnsi="Arial" w:cs="Arial"/>
                <w:color w:val="000000"/>
                <w:sz w:val="14"/>
                <w:szCs w:val="14"/>
              </w:rPr>
            </w:pPr>
            <w:r w:rsidRPr="0076589C">
              <w:rPr>
                <w:rFonts w:ascii="Arial" w:eastAsia="Times New Roman" w:hAnsi="Arial" w:cs="Arial"/>
                <w:color w:val="000000" w:themeColor="text1"/>
                <w:sz w:val="14"/>
                <w:szCs w:val="14"/>
              </w:rPr>
              <w:t>Total de pasivos/Total de activos</w:t>
            </w:r>
          </w:p>
        </w:tc>
        <w:tc>
          <w:tcPr>
            <w:tcW w:w="850" w:type="dxa"/>
            <w:tcBorders>
              <w:top w:val="nil"/>
              <w:left w:val="nil"/>
              <w:bottom w:val="single" w:sz="4" w:space="0" w:color="auto"/>
              <w:right w:val="single" w:sz="4" w:space="0" w:color="auto"/>
            </w:tcBorders>
            <w:shd w:val="clear" w:color="auto" w:fill="70AD47" w:themeFill="accent6"/>
            <w:noWrap/>
            <w:vAlign w:val="center"/>
            <w:hideMark/>
          </w:tcPr>
          <w:p w14:paraId="5A1F593F"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40%</w:t>
            </w:r>
          </w:p>
        </w:tc>
        <w:tc>
          <w:tcPr>
            <w:tcW w:w="851" w:type="dxa"/>
            <w:tcBorders>
              <w:top w:val="nil"/>
              <w:left w:val="nil"/>
              <w:bottom w:val="single" w:sz="4" w:space="0" w:color="auto"/>
              <w:right w:val="single" w:sz="4" w:space="0" w:color="auto"/>
            </w:tcBorders>
            <w:shd w:val="clear" w:color="auto" w:fill="70AD47" w:themeFill="accent6"/>
            <w:noWrap/>
            <w:vAlign w:val="center"/>
            <w:hideMark/>
          </w:tcPr>
          <w:p w14:paraId="7FAFB91F"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36%</w:t>
            </w:r>
          </w:p>
        </w:tc>
        <w:tc>
          <w:tcPr>
            <w:tcW w:w="867" w:type="dxa"/>
            <w:tcBorders>
              <w:top w:val="nil"/>
              <w:left w:val="nil"/>
              <w:bottom w:val="single" w:sz="4" w:space="0" w:color="auto"/>
              <w:right w:val="single" w:sz="4" w:space="0" w:color="auto"/>
            </w:tcBorders>
            <w:shd w:val="clear" w:color="auto" w:fill="70AD47" w:themeFill="accent6"/>
            <w:noWrap/>
            <w:vAlign w:val="center"/>
            <w:hideMark/>
          </w:tcPr>
          <w:p w14:paraId="135DE867"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35%</w:t>
            </w:r>
          </w:p>
        </w:tc>
        <w:tc>
          <w:tcPr>
            <w:tcW w:w="691" w:type="dxa"/>
            <w:tcBorders>
              <w:top w:val="nil"/>
              <w:left w:val="nil"/>
              <w:bottom w:val="single" w:sz="4" w:space="0" w:color="auto"/>
              <w:right w:val="single" w:sz="4" w:space="0" w:color="auto"/>
            </w:tcBorders>
            <w:shd w:val="clear" w:color="auto" w:fill="70AD47" w:themeFill="accent6"/>
            <w:noWrap/>
            <w:vAlign w:val="center"/>
            <w:hideMark/>
          </w:tcPr>
          <w:p w14:paraId="14A980ED" w14:textId="77777777" w:rsidR="002805D1" w:rsidRPr="0076589C" w:rsidRDefault="002805D1" w:rsidP="00450014">
            <w:pPr>
              <w:spacing w:after="0" w:line="240" w:lineRule="auto"/>
              <w:ind w:left="0"/>
              <w:jc w:val="center"/>
              <w:rPr>
                <w:rFonts w:ascii="Arial" w:eastAsia="Times New Roman" w:hAnsi="Arial" w:cs="Arial"/>
                <w:color w:val="000000"/>
                <w:sz w:val="14"/>
                <w:szCs w:val="14"/>
              </w:rPr>
            </w:pPr>
            <w:r w:rsidRPr="0076589C">
              <w:rPr>
                <w:rFonts w:ascii="Arial" w:eastAsia="Times New Roman" w:hAnsi="Arial" w:cs="Arial"/>
                <w:color w:val="000000"/>
                <w:sz w:val="14"/>
                <w:szCs w:val="14"/>
              </w:rPr>
              <w:t>36%</w:t>
            </w:r>
          </w:p>
        </w:tc>
      </w:tr>
    </w:tbl>
    <w:p w14:paraId="16266096" w14:textId="43F13F4B" w:rsidR="0035488E" w:rsidRPr="0076589C" w:rsidRDefault="0035488E" w:rsidP="0035488E">
      <w:pPr>
        <w:pStyle w:val="ImagenyTabla"/>
        <w:rPr>
          <w:noProof w:val="0"/>
        </w:rPr>
      </w:pPr>
      <w:bookmarkStart w:id="302" w:name="_Toc158365603"/>
      <w:r w:rsidRPr="0076589C">
        <w:t xml:space="preserve">Figura </w:t>
      </w:r>
      <w:r w:rsidRPr="0076589C">
        <w:rPr>
          <w:noProof w:val="0"/>
        </w:rPr>
        <w:fldChar w:fldCharType="begin"/>
      </w:r>
      <w:r w:rsidRPr="0076589C">
        <w:rPr>
          <w:noProof w:val="0"/>
        </w:rPr>
        <w:instrText xml:space="preserve"> SEQ Figura \* ARABIC </w:instrText>
      </w:r>
      <w:r w:rsidRPr="0076589C">
        <w:rPr>
          <w:noProof w:val="0"/>
        </w:rPr>
        <w:fldChar w:fldCharType="separate"/>
      </w:r>
      <w:r w:rsidR="009F171A">
        <w:t>18</w:t>
      </w:r>
      <w:r w:rsidRPr="0076589C">
        <w:rPr>
          <w:noProof w:val="0"/>
        </w:rPr>
        <w:fldChar w:fldCharType="end"/>
      </w:r>
      <w:r w:rsidRPr="0076589C">
        <w:t>. Semaforo financiero de IPRA (2019-2022)</w:t>
      </w:r>
      <w:bookmarkEnd w:id="302"/>
    </w:p>
    <w:p w14:paraId="1748FB71" w14:textId="7CBFE0AB" w:rsidR="00904C69" w:rsidRPr="0076589C" w:rsidRDefault="0035488E" w:rsidP="00C81267">
      <w:pPr>
        <w:pStyle w:val="Fuentes"/>
        <w:rPr>
          <w:lang w:val="es-HN"/>
        </w:rPr>
      </w:pPr>
      <w:r w:rsidRPr="0076589C">
        <w:rPr>
          <w:lang w:val="es-HN"/>
        </w:rPr>
        <w:t>Fuente: Elaboración propia con datos de IPRA (2023).</w:t>
      </w:r>
    </w:p>
    <w:p w14:paraId="3C00B405" w14:textId="1CA4BA27" w:rsidR="00AF5DE7" w:rsidRPr="0076589C" w:rsidRDefault="00935DDA" w:rsidP="00775958">
      <w:pPr>
        <w:pStyle w:val="TextoPrincipal"/>
        <w:spacing w:after="0"/>
        <w:rPr>
          <w:lang w:val="es-HN"/>
        </w:rPr>
      </w:pPr>
      <w:r w:rsidRPr="0076589C">
        <w:rPr>
          <w:lang w:val="es-HN"/>
        </w:rPr>
        <w:t>Según se observa en el semáforo financiero de los indicadores de l</w:t>
      </w:r>
      <w:r w:rsidR="00E05C86" w:rsidRPr="0076589C">
        <w:rPr>
          <w:lang w:val="es-HN"/>
        </w:rPr>
        <w:t xml:space="preserve">a situación actual de </w:t>
      </w:r>
      <w:r w:rsidRPr="0076589C">
        <w:rPr>
          <w:lang w:val="es-HN"/>
        </w:rPr>
        <w:t xml:space="preserve">IPRA </w:t>
      </w:r>
      <w:r w:rsidR="00AE67FE" w:rsidRPr="0076589C">
        <w:rPr>
          <w:lang w:val="es-HN"/>
        </w:rPr>
        <w:t>a nivel general mantienen valores dentro de los rangos que son favorables, el</w:t>
      </w:r>
      <w:r w:rsidR="00AE1C55" w:rsidRPr="0076589C">
        <w:rPr>
          <w:lang w:val="es-HN"/>
        </w:rPr>
        <w:t xml:space="preserve"> </w:t>
      </w:r>
      <w:r w:rsidR="00AE67FE" w:rsidRPr="0076589C">
        <w:rPr>
          <w:lang w:val="es-HN"/>
        </w:rPr>
        <w:t>único indicador que no presenta un escenario favorable para ningún año dentro del periodo de 2019-2022</w:t>
      </w:r>
      <w:r w:rsidR="00636C9B" w:rsidRPr="0076589C">
        <w:rPr>
          <w:lang w:val="es-HN"/>
        </w:rPr>
        <w:t xml:space="preserve"> fue el Margen de utilidad net</w:t>
      </w:r>
      <w:r w:rsidR="0095668E" w:rsidRPr="0076589C">
        <w:rPr>
          <w:lang w:val="es-HN"/>
        </w:rPr>
        <w:t>a, lo que se podría entender a</w:t>
      </w:r>
      <w:r w:rsidR="00CA3A29" w:rsidRPr="0076589C">
        <w:rPr>
          <w:lang w:val="es-HN"/>
        </w:rPr>
        <w:t xml:space="preserve"> que la empresa tiene un </w:t>
      </w:r>
      <w:r w:rsidR="00143B2D" w:rsidRPr="0076589C">
        <w:rPr>
          <w:lang w:val="es-HN"/>
        </w:rPr>
        <w:t>desafío</w:t>
      </w:r>
      <w:r w:rsidR="00CA3A29" w:rsidRPr="0076589C">
        <w:rPr>
          <w:lang w:val="es-HN"/>
        </w:rPr>
        <w:t xml:space="preserve"> para mantener una rentabilidad solida después de los gastos de operación</w:t>
      </w:r>
      <w:r w:rsidR="007207D9" w:rsidRPr="0076589C">
        <w:rPr>
          <w:lang w:val="es-HN"/>
        </w:rPr>
        <w:t xml:space="preserve">. Un indicador </w:t>
      </w:r>
      <w:r w:rsidR="00F61D92" w:rsidRPr="0076589C">
        <w:rPr>
          <w:lang w:val="es-HN"/>
        </w:rPr>
        <w:t xml:space="preserve">al </w:t>
      </w:r>
      <w:r w:rsidR="007207D9" w:rsidRPr="0076589C">
        <w:rPr>
          <w:lang w:val="es-HN"/>
        </w:rPr>
        <w:t>que se debe de tener precaución es al de estructura de capital</w:t>
      </w:r>
      <w:r w:rsidR="00FC77E7" w:rsidRPr="0076589C">
        <w:rPr>
          <w:lang w:val="es-HN"/>
        </w:rPr>
        <w:t>, ya que solo para el año 2020 present</w:t>
      </w:r>
      <w:r w:rsidR="00CD5B27" w:rsidRPr="0076589C">
        <w:rPr>
          <w:lang w:val="es-HN"/>
        </w:rPr>
        <w:t>ó</w:t>
      </w:r>
      <w:r w:rsidR="00FC77E7" w:rsidRPr="0076589C">
        <w:rPr>
          <w:lang w:val="es-HN"/>
        </w:rPr>
        <w:t xml:space="preserve"> un escenario favorable, </w:t>
      </w:r>
      <w:r w:rsidR="00CD5B27" w:rsidRPr="0076589C">
        <w:rPr>
          <w:lang w:val="es-HN"/>
        </w:rPr>
        <w:t xml:space="preserve">debido a su dependencia </w:t>
      </w:r>
      <w:r w:rsidR="00AF5DE7" w:rsidRPr="0076589C">
        <w:rPr>
          <w:lang w:val="es-HN"/>
        </w:rPr>
        <w:t>en mayor parte de su capital propio para financiarse, lo que se consideraría como una posición financiera más sólida en términos de riesgo de deuda</w:t>
      </w:r>
      <w:r w:rsidR="00F17CD7" w:rsidRPr="0076589C">
        <w:rPr>
          <w:lang w:val="es-HN"/>
        </w:rPr>
        <w:t>; para los demás años presento valores en el rango de equilibrado.</w:t>
      </w:r>
    </w:p>
    <w:p w14:paraId="5D2CD2D1" w14:textId="6397DE7C" w:rsidR="00CE1DE8" w:rsidRPr="0076589C" w:rsidRDefault="00CE1DE8" w:rsidP="00D92100">
      <w:pPr>
        <w:pStyle w:val="Ttulonivel3"/>
        <w:numPr>
          <w:ilvl w:val="2"/>
          <w:numId w:val="6"/>
        </w:numPr>
      </w:pPr>
      <w:r w:rsidRPr="0076589C">
        <w:br w:type="page"/>
      </w:r>
      <w:bookmarkStart w:id="303" w:name="_Toc158365526"/>
      <w:r w:rsidR="00DF5FB7" w:rsidRPr="0076589C">
        <w:lastRenderedPageBreak/>
        <w:t>TABLA RESUMEN DE RESULTADOS CUANTITATIVOS</w:t>
      </w:r>
      <w:bookmarkEnd w:id="303"/>
      <w:r w:rsidR="00DF5FB7" w:rsidRPr="0076589C">
        <w:t xml:space="preserve"> </w:t>
      </w:r>
    </w:p>
    <w:p w14:paraId="059DEBB4" w14:textId="72848385" w:rsidR="0069395C" w:rsidRPr="0076589C" w:rsidRDefault="0069395C" w:rsidP="0069395C">
      <w:pPr>
        <w:pStyle w:val="ImagenyTabla"/>
      </w:pPr>
      <w:bookmarkStart w:id="304" w:name="_Toc158365576"/>
      <w:r w:rsidRPr="0076589C">
        <w:t xml:space="preserve">Tabla </w:t>
      </w:r>
      <w:r w:rsidRPr="0076589C">
        <w:fldChar w:fldCharType="begin"/>
      </w:r>
      <w:r w:rsidRPr="0076589C">
        <w:instrText xml:space="preserve"> SEQ Tabla \* ARABIC </w:instrText>
      </w:r>
      <w:r w:rsidRPr="0076589C">
        <w:fldChar w:fldCharType="separate"/>
      </w:r>
      <w:r w:rsidR="009F171A">
        <w:t>28</w:t>
      </w:r>
      <w:r w:rsidRPr="0076589C">
        <w:fldChar w:fldCharType="end"/>
      </w:r>
      <w:r w:rsidRPr="0076589C">
        <w:t>. Resumen de resultados cuantitativos</w:t>
      </w:r>
      <w:bookmarkEnd w:id="304"/>
      <w:r w:rsidRPr="0076589C">
        <w:t xml:space="preserve"> </w:t>
      </w:r>
    </w:p>
    <w:tbl>
      <w:tblPr>
        <w:tblW w:w="5000" w:type="pct"/>
        <w:tblLook w:val="04A0" w:firstRow="1" w:lastRow="0" w:firstColumn="1" w:lastColumn="0" w:noHBand="0" w:noVBand="1"/>
      </w:tblPr>
      <w:tblGrid>
        <w:gridCol w:w="3504"/>
        <w:gridCol w:w="1339"/>
        <w:gridCol w:w="1502"/>
        <w:gridCol w:w="1502"/>
        <w:gridCol w:w="1503"/>
      </w:tblGrid>
      <w:tr w:rsidR="00CF4C3A" w:rsidRPr="0076589C" w14:paraId="49B63AB1" w14:textId="77777777" w:rsidTr="00440546">
        <w:trPr>
          <w:trHeight w:val="290"/>
        </w:trPr>
        <w:tc>
          <w:tcPr>
            <w:tcW w:w="5000" w:type="pct"/>
            <w:gridSpan w:val="5"/>
            <w:tcBorders>
              <w:top w:val="single" w:sz="4" w:space="0" w:color="85BADC"/>
              <w:left w:val="single" w:sz="4" w:space="0" w:color="85BADC"/>
              <w:bottom w:val="nil"/>
              <w:right w:val="single" w:sz="4" w:space="0" w:color="85BADC"/>
            </w:tcBorders>
            <w:shd w:val="clear" w:color="000000" w:fill="C9E1EF"/>
            <w:noWrap/>
            <w:vAlign w:val="bottom"/>
            <w:hideMark/>
          </w:tcPr>
          <w:p w14:paraId="0B3D4CC1" w14:textId="15723004" w:rsidR="00CF4C3A" w:rsidRPr="0076589C" w:rsidRDefault="00F22C44" w:rsidP="0069395C">
            <w:pPr>
              <w:spacing w:after="0" w:line="240" w:lineRule="auto"/>
              <w:ind w:left="0"/>
              <w:rPr>
                <w:rFonts w:ascii="Calibri" w:eastAsia="Times New Roman" w:hAnsi="Calibri" w:cs="Calibri"/>
                <w:b/>
                <w:bCs/>
                <w:color w:val="000000"/>
                <w:sz w:val="20"/>
                <w:szCs w:val="20"/>
              </w:rPr>
            </w:pPr>
            <w:r w:rsidRPr="0076589C">
              <w:rPr>
                <w:rFonts w:ascii="Calibri" w:eastAsia="Times New Roman" w:hAnsi="Calibri" w:cs="Calibri"/>
                <w:b/>
                <w:bCs/>
                <w:color w:val="000000"/>
                <w:sz w:val="20"/>
                <w:szCs w:val="20"/>
              </w:rPr>
              <w:t>Resultados cuantitativos</w:t>
            </w:r>
          </w:p>
        </w:tc>
      </w:tr>
      <w:tr w:rsidR="00CF4C3A" w:rsidRPr="0076589C" w14:paraId="7D43DABE" w14:textId="77777777" w:rsidTr="00440546">
        <w:trPr>
          <w:trHeight w:val="290"/>
        </w:trPr>
        <w:tc>
          <w:tcPr>
            <w:tcW w:w="5000" w:type="pct"/>
            <w:gridSpan w:val="5"/>
            <w:tcBorders>
              <w:top w:val="nil"/>
              <w:left w:val="single" w:sz="4" w:space="0" w:color="85BADC"/>
              <w:bottom w:val="nil"/>
              <w:right w:val="single" w:sz="4" w:space="0" w:color="85BADC"/>
            </w:tcBorders>
            <w:shd w:val="clear" w:color="auto" w:fill="auto"/>
            <w:noWrap/>
            <w:vAlign w:val="bottom"/>
            <w:hideMark/>
          </w:tcPr>
          <w:p w14:paraId="6EF66314" w14:textId="77777777" w:rsidR="00CF4C3A" w:rsidRPr="0076589C" w:rsidRDefault="00CF4C3A" w:rsidP="00CF4C3A">
            <w:pPr>
              <w:spacing w:after="0" w:line="240" w:lineRule="auto"/>
              <w:ind w:left="0"/>
              <w:rPr>
                <w:rFonts w:ascii="Calibri" w:eastAsia="Times New Roman" w:hAnsi="Calibri" w:cs="Calibri"/>
                <w:b/>
                <w:bCs/>
                <w:color w:val="000000"/>
                <w:sz w:val="20"/>
                <w:szCs w:val="20"/>
                <w:u w:val="single"/>
                <w:lang w:val="en-US"/>
              </w:rPr>
            </w:pPr>
            <w:r w:rsidRPr="0076589C">
              <w:rPr>
                <w:rFonts w:ascii="Calibri" w:eastAsia="Times New Roman" w:hAnsi="Calibri" w:cs="Calibri"/>
                <w:b/>
                <w:bCs/>
                <w:color w:val="000000"/>
                <w:sz w:val="20"/>
                <w:szCs w:val="20"/>
                <w:u w:val="single"/>
                <w:lang w:val="en-US"/>
              </w:rPr>
              <w:t>Cartera de credito</w:t>
            </w:r>
          </w:p>
        </w:tc>
      </w:tr>
      <w:tr w:rsidR="00FA3BF2" w:rsidRPr="0076589C" w14:paraId="3718FB17" w14:textId="77777777" w:rsidTr="00731C82">
        <w:trPr>
          <w:trHeight w:val="300"/>
        </w:trPr>
        <w:tc>
          <w:tcPr>
            <w:tcW w:w="1874" w:type="pct"/>
            <w:tcBorders>
              <w:top w:val="single" w:sz="4" w:space="0" w:color="auto"/>
              <w:left w:val="single" w:sz="4" w:space="0" w:color="85BADC"/>
              <w:bottom w:val="single" w:sz="8" w:space="0" w:color="85BADC"/>
              <w:right w:val="nil"/>
            </w:tcBorders>
            <w:shd w:val="clear" w:color="000000" w:fill="C9E1EF"/>
            <w:noWrap/>
            <w:vAlign w:val="center"/>
            <w:hideMark/>
          </w:tcPr>
          <w:p w14:paraId="2F2B9B31"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Plazo (días)</w:t>
            </w:r>
          </w:p>
        </w:tc>
        <w:tc>
          <w:tcPr>
            <w:tcW w:w="716" w:type="pct"/>
            <w:tcBorders>
              <w:top w:val="single" w:sz="4" w:space="0" w:color="auto"/>
              <w:left w:val="nil"/>
              <w:bottom w:val="single" w:sz="8" w:space="0" w:color="85BADC"/>
              <w:right w:val="nil"/>
            </w:tcBorders>
            <w:shd w:val="clear" w:color="000000" w:fill="C9E1EF"/>
            <w:noWrap/>
            <w:vAlign w:val="center"/>
            <w:hideMark/>
          </w:tcPr>
          <w:p w14:paraId="36ED7D7E"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2019</w:t>
            </w:r>
          </w:p>
        </w:tc>
        <w:tc>
          <w:tcPr>
            <w:tcW w:w="803" w:type="pct"/>
            <w:tcBorders>
              <w:top w:val="single" w:sz="4" w:space="0" w:color="auto"/>
              <w:left w:val="nil"/>
              <w:bottom w:val="single" w:sz="8" w:space="0" w:color="85BADC"/>
              <w:right w:val="nil"/>
            </w:tcBorders>
            <w:shd w:val="clear" w:color="000000" w:fill="C9E1EF"/>
            <w:noWrap/>
            <w:vAlign w:val="center"/>
            <w:hideMark/>
          </w:tcPr>
          <w:p w14:paraId="4FF42AAE"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2020</w:t>
            </w:r>
          </w:p>
        </w:tc>
        <w:tc>
          <w:tcPr>
            <w:tcW w:w="803" w:type="pct"/>
            <w:tcBorders>
              <w:top w:val="single" w:sz="4" w:space="0" w:color="auto"/>
              <w:left w:val="nil"/>
              <w:bottom w:val="single" w:sz="8" w:space="0" w:color="85BADC"/>
              <w:right w:val="nil"/>
            </w:tcBorders>
            <w:shd w:val="clear" w:color="000000" w:fill="C9E1EF"/>
            <w:noWrap/>
            <w:vAlign w:val="center"/>
            <w:hideMark/>
          </w:tcPr>
          <w:p w14:paraId="6516423B"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2021</w:t>
            </w:r>
          </w:p>
        </w:tc>
        <w:tc>
          <w:tcPr>
            <w:tcW w:w="803" w:type="pct"/>
            <w:tcBorders>
              <w:top w:val="single" w:sz="4" w:space="0" w:color="auto"/>
              <w:left w:val="nil"/>
              <w:bottom w:val="single" w:sz="8" w:space="0" w:color="85BADC"/>
              <w:right w:val="single" w:sz="4" w:space="0" w:color="85BADC"/>
            </w:tcBorders>
            <w:shd w:val="clear" w:color="000000" w:fill="C9E1EF"/>
            <w:noWrap/>
            <w:vAlign w:val="center"/>
            <w:hideMark/>
          </w:tcPr>
          <w:p w14:paraId="21F7B64A"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2022</w:t>
            </w:r>
          </w:p>
        </w:tc>
      </w:tr>
      <w:tr w:rsidR="00CF4C3A" w:rsidRPr="0076589C" w14:paraId="041EFFCB"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546582C3"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Ventas</w:t>
            </w:r>
          </w:p>
        </w:tc>
        <w:tc>
          <w:tcPr>
            <w:tcW w:w="716" w:type="pct"/>
            <w:tcBorders>
              <w:top w:val="nil"/>
              <w:left w:val="nil"/>
              <w:bottom w:val="nil"/>
              <w:right w:val="nil"/>
            </w:tcBorders>
            <w:shd w:val="clear" w:color="auto" w:fill="auto"/>
            <w:noWrap/>
            <w:vAlign w:val="bottom"/>
            <w:hideMark/>
          </w:tcPr>
          <w:p w14:paraId="555651C6"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26105424.64</w:t>
            </w:r>
          </w:p>
        </w:tc>
        <w:tc>
          <w:tcPr>
            <w:tcW w:w="803" w:type="pct"/>
            <w:tcBorders>
              <w:top w:val="nil"/>
              <w:left w:val="nil"/>
              <w:bottom w:val="nil"/>
              <w:right w:val="nil"/>
            </w:tcBorders>
            <w:shd w:val="clear" w:color="auto" w:fill="auto"/>
            <w:noWrap/>
            <w:vAlign w:val="bottom"/>
            <w:hideMark/>
          </w:tcPr>
          <w:p w14:paraId="6B8BF816"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31891032.92</w:t>
            </w:r>
          </w:p>
        </w:tc>
        <w:tc>
          <w:tcPr>
            <w:tcW w:w="803" w:type="pct"/>
            <w:tcBorders>
              <w:top w:val="nil"/>
              <w:left w:val="nil"/>
              <w:bottom w:val="nil"/>
              <w:right w:val="nil"/>
            </w:tcBorders>
            <w:shd w:val="clear" w:color="auto" w:fill="auto"/>
            <w:noWrap/>
            <w:vAlign w:val="bottom"/>
            <w:hideMark/>
          </w:tcPr>
          <w:p w14:paraId="73B9580E"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22321755.08</w:t>
            </w:r>
          </w:p>
        </w:tc>
        <w:tc>
          <w:tcPr>
            <w:tcW w:w="803" w:type="pct"/>
            <w:tcBorders>
              <w:top w:val="nil"/>
              <w:left w:val="nil"/>
              <w:bottom w:val="nil"/>
              <w:right w:val="single" w:sz="4" w:space="0" w:color="85BADC"/>
            </w:tcBorders>
            <w:shd w:val="clear" w:color="auto" w:fill="auto"/>
            <w:noWrap/>
            <w:vAlign w:val="bottom"/>
            <w:hideMark/>
          </w:tcPr>
          <w:p w14:paraId="2873F8DD"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29605010.66</w:t>
            </w:r>
          </w:p>
        </w:tc>
      </w:tr>
      <w:tr w:rsidR="00CF4C3A" w:rsidRPr="0076589C" w14:paraId="60E9F9B2"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3447C97E"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 de crecimiento ventas</w:t>
            </w:r>
          </w:p>
        </w:tc>
        <w:tc>
          <w:tcPr>
            <w:tcW w:w="716" w:type="pct"/>
            <w:tcBorders>
              <w:top w:val="nil"/>
              <w:left w:val="nil"/>
              <w:bottom w:val="nil"/>
              <w:right w:val="nil"/>
            </w:tcBorders>
            <w:shd w:val="clear" w:color="auto" w:fill="auto"/>
            <w:noWrap/>
            <w:vAlign w:val="bottom"/>
            <w:hideMark/>
          </w:tcPr>
          <w:p w14:paraId="4109A9D6"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0.00%</w:t>
            </w:r>
          </w:p>
        </w:tc>
        <w:tc>
          <w:tcPr>
            <w:tcW w:w="803" w:type="pct"/>
            <w:tcBorders>
              <w:top w:val="nil"/>
              <w:left w:val="nil"/>
              <w:bottom w:val="nil"/>
              <w:right w:val="nil"/>
            </w:tcBorders>
            <w:shd w:val="clear" w:color="auto" w:fill="auto"/>
            <w:noWrap/>
            <w:vAlign w:val="bottom"/>
            <w:hideMark/>
          </w:tcPr>
          <w:p w14:paraId="2AC54006"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22.16%</w:t>
            </w:r>
          </w:p>
        </w:tc>
        <w:tc>
          <w:tcPr>
            <w:tcW w:w="803" w:type="pct"/>
            <w:tcBorders>
              <w:top w:val="nil"/>
              <w:left w:val="nil"/>
              <w:bottom w:val="nil"/>
              <w:right w:val="nil"/>
            </w:tcBorders>
            <w:shd w:val="clear" w:color="auto" w:fill="auto"/>
            <w:noWrap/>
            <w:vAlign w:val="bottom"/>
            <w:hideMark/>
          </w:tcPr>
          <w:p w14:paraId="6C35F261"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-30.01%</w:t>
            </w:r>
          </w:p>
        </w:tc>
        <w:tc>
          <w:tcPr>
            <w:tcW w:w="803" w:type="pct"/>
            <w:tcBorders>
              <w:top w:val="nil"/>
              <w:left w:val="nil"/>
              <w:bottom w:val="nil"/>
              <w:right w:val="single" w:sz="4" w:space="0" w:color="85BADC"/>
            </w:tcBorders>
            <w:shd w:val="clear" w:color="auto" w:fill="auto"/>
            <w:noWrap/>
            <w:vAlign w:val="bottom"/>
            <w:hideMark/>
          </w:tcPr>
          <w:p w14:paraId="6CA06906"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32.63%</w:t>
            </w:r>
          </w:p>
        </w:tc>
      </w:tr>
      <w:tr w:rsidR="00CF4C3A" w:rsidRPr="0076589C" w14:paraId="0D662D09"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0B1D1EDF"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Cuentas por cobrar</w:t>
            </w:r>
          </w:p>
        </w:tc>
        <w:tc>
          <w:tcPr>
            <w:tcW w:w="716" w:type="pct"/>
            <w:tcBorders>
              <w:top w:val="nil"/>
              <w:left w:val="nil"/>
              <w:bottom w:val="nil"/>
              <w:right w:val="nil"/>
            </w:tcBorders>
            <w:shd w:val="clear" w:color="auto" w:fill="auto"/>
            <w:noWrap/>
            <w:vAlign w:val="bottom"/>
            <w:hideMark/>
          </w:tcPr>
          <w:p w14:paraId="7736187E"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11548799.61</w:t>
            </w:r>
          </w:p>
        </w:tc>
        <w:tc>
          <w:tcPr>
            <w:tcW w:w="803" w:type="pct"/>
            <w:tcBorders>
              <w:top w:val="nil"/>
              <w:left w:val="nil"/>
              <w:bottom w:val="nil"/>
              <w:right w:val="nil"/>
            </w:tcBorders>
            <w:shd w:val="clear" w:color="auto" w:fill="auto"/>
            <w:noWrap/>
            <w:vAlign w:val="bottom"/>
            <w:hideMark/>
          </w:tcPr>
          <w:p w14:paraId="71567E8D"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11385610.59</w:t>
            </w:r>
          </w:p>
        </w:tc>
        <w:tc>
          <w:tcPr>
            <w:tcW w:w="803" w:type="pct"/>
            <w:tcBorders>
              <w:top w:val="nil"/>
              <w:left w:val="nil"/>
              <w:bottom w:val="nil"/>
              <w:right w:val="nil"/>
            </w:tcBorders>
            <w:shd w:val="clear" w:color="auto" w:fill="auto"/>
            <w:noWrap/>
            <w:vAlign w:val="bottom"/>
            <w:hideMark/>
          </w:tcPr>
          <w:p w14:paraId="1E41CCE7"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6185140.949</w:t>
            </w:r>
          </w:p>
        </w:tc>
        <w:tc>
          <w:tcPr>
            <w:tcW w:w="803" w:type="pct"/>
            <w:tcBorders>
              <w:top w:val="nil"/>
              <w:left w:val="nil"/>
              <w:bottom w:val="nil"/>
              <w:right w:val="single" w:sz="4" w:space="0" w:color="85BADC"/>
            </w:tcBorders>
            <w:shd w:val="clear" w:color="auto" w:fill="auto"/>
            <w:noWrap/>
            <w:vAlign w:val="bottom"/>
            <w:hideMark/>
          </w:tcPr>
          <w:p w14:paraId="5D5E8020"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6783810.31</w:t>
            </w:r>
          </w:p>
        </w:tc>
      </w:tr>
      <w:tr w:rsidR="00CF4C3A" w:rsidRPr="0076589C" w14:paraId="53403077"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23DA6AD8" w14:textId="77777777" w:rsidR="00CF4C3A" w:rsidRPr="0076589C" w:rsidRDefault="00CF4C3A" w:rsidP="00CF4C3A">
            <w:pPr>
              <w:spacing w:after="0" w:line="240" w:lineRule="auto"/>
              <w:ind w:left="0"/>
              <w:rPr>
                <w:rFonts w:ascii="Calibri" w:eastAsia="Times New Roman" w:hAnsi="Calibri" w:cs="Calibri"/>
                <w:color w:val="000000"/>
                <w:sz w:val="20"/>
                <w:szCs w:val="20"/>
              </w:rPr>
            </w:pPr>
            <w:r w:rsidRPr="0076589C">
              <w:rPr>
                <w:rFonts w:ascii="Calibri" w:eastAsia="Times New Roman" w:hAnsi="Calibri" w:cs="Calibri"/>
                <w:color w:val="000000"/>
                <w:sz w:val="20"/>
                <w:szCs w:val="20"/>
              </w:rPr>
              <w:t>%  cuentas por cobrar según ventas</w:t>
            </w:r>
          </w:p>
        </w:tc>
        <w:tc>
          <w:tcPr>
            <w:tcW w:w="716" w:type="pct"/>
            <w:tcBorders>
              <w:top w:val="nil"/>
              <w:left w:val="nil"/>
              <w:bottom w:val="nil"/>
              <w:right w:val="nil"/>
            </w:tcBorders>
            <w:shd w:val="clear" w:color="auto" w:fill="auto"/>
            <w:noWrap/>
            <w:vAlign w:val="bottom"/>
            <w:hideMark/>
          </w:tcPr>
          <w:p w14:paraId="0D419945"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44.24%</w:t>
            </w:r>
          </w:p>
        </w:tc>
        <w:tc>
          <w:tcPr>
            <w:tcW w:w="803" w:type="pct"/>
            <w:tcBorders>
              <w:top w:val="nil"/>
              <w:left w:val="nil"/>
              <w:bottom w:val="nil"/>
              <w:right w:val="nil"/>
            </w:tcBorders>
            <w:shd w:val="clear" w:color="auto" w:fill="auto"/>
            <w:noWrap/>
            <w:vAlign w:val="bottom"/>
            <w:hideMark/>
          </w:tcPr>
          <w:p w14:paraId="28A19368"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35.70%</w:t>
            </w:r>
          </w:p>
        </w:tc>
        <w:tc>
          <w:tcPr>
            <w:tcW w:w="803" w:type="pct"/>
            <w:tcBorders>
              <w:top w:val="nil"/>
              <w:left w:val="nil"/>
              <w:bottom w:val="nil"/>
              <w:right w:val="nil"/>
            </w:tcBorders>
            <w:shd w:val="clear" w:color="auto" w:fill="auto"/>
            <w:noWrap/>
            <w:vAlign w:val="bottom"/>
            <w:hideMark/>
          </w:tcPr>
          <w:p w14:paraId="59A0BE1E"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27.71%</w:t>
            </w:r>
          </w:p>
        </w:tc>
        <w:tc>
          <w:tcPr>
            <w:tcW w:w="803" w:type="pct"/>
            <w:tcBorders>
              <w:top w:val="nil"/>
              <w:left w:val="nil"/>
              <w:bottom w:val="nil"/>
              <w:right w:val="single" w:sz="4" w:space="0" w:color="85BADC"/>
            </w:tcBorders>
            <w:shd w:val="clear" w:color="auto" w:fill="auto"/>
            <w:noWrap/>
            <w:vAlign w:val="bottom"/>
            <w:hideMark/>
          </w:tcPr>
          <w:p w14:paraId="06AA6DBA"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22.91%</w:t>
            </w:r>
          </w:p>
        </w:tc>
      </w:tr>
      <w:tr w:rsidR="00CF4C3A" w:rsidRPr="0076589C" w14:paraId="40E55E88"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60903266"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Crecimiento Porcentual (%)</w:t>
            </w:r>
          </w:p>
        </w:tc>
        <w:tc>
          <w:tcPr>
            <w:tcW w:w="716" w:type="pct"/>
            <w:tcBorders>
              <w:top w:val="nil"/>
              <w:left w:val="nil"/>
              <w:bottom w:val="nil"/>
              <w:right w:val="nil"/>
            </w:tcBorders>
            <w:shd w:val="clear" w:color="auto" w:fill="auto"/>
            <w:noWrap/>
            <w:vAlign w:val="bottom"/>
            <w:hideMark/>
          </w:tcPr>
          <w:p w14:paraId="16EA65D9"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0.00%</w:t>
            </w:r>
          </w:p>
        </w:tc>
        <w:tc>
          <w:tcPr>
            <w:tcW w:w="803" w:type="pct"/>
            <w:tcBorders>
              <w:top w:val="nil"/>
              <w:left w:val="nil"/>
              <w:bottom w:val="nil"/>
              <w:right w:val="nil"/>
            </w:tcBorders>
            <w:shd w:val="clear" w:color="auto" w:fill="auto"/>
            <w:noWrap/>
            <w:vAlign w:val="bottom"/>
            <w:hideMark/>
          </w:tcPr>
          <w:p w14:paraId="3951F3CC"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-1.41%</w:t>
            </w:r>
          </w:p>
        </w:tc>
        <w:tc>
          <w:tcPr>
            <w:tcW w:w="803" w:type="pct"/>
            <w:tcBorders>
              <w:top w:val="nil"/>
              <w:left w:val="nil"/>
              <w:bottom w:val="nil"/>
              <w:right w:val="nil"/>
            </w:tcBorders>
            <w:shd w:val="clear" w:color="auto" w:fill="auto"/>
            <w:noWrap/>
            <w:vAlign w:val="bottom"/>
            <w:hideMark/>
          </w:tcPr>
          <w:p w14:paraId="1802BB45"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-45.68%</w:t>
            </w:r>
          </w:p>
        </w:tc>
        <w:tc>
          <w:tcPr>
            <w:tcW w:w="803" w:type="pct"/>
            <w:tcBorders>
              <w:top w:val="nil"/>
              <w:left w:val="nil"/>
              <w:bottom w:val="nil"/>
              <w:right w:val="single" w:sz="4" w:space="0" w:color="85BADC"/>
            </w:tcBorders>
            <w:shd w:val="clear" w:color="auto" w:fill="auto"/>
            <w:noWrap/>
            <w:vAlign w:val="bottom"/>
            <w:hideMark/>
          </w:tcPr>
          <w:p w14:paraId="3BD6F798"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9.68%</w:t>
            </w:r>
          </w:p>
        </w:tc>
      </w:tr>
      <w:tr w:rsidR="00CF4C3A" w:rsidRPr="0076589C" w14:paraId="027CFAD0" w14:textId="77777777" w:rsidTr="00731C82">
        <w:trPr>
          <w:trHeight w:val="300"/>
        </w:trPr>
        <w:tc>
          <w:tcPr>
            <w:tcW w:w="1874" w:type="pct"/>
            <w:tcBorders>
              <w:top w:val="nil"/>
              <w:left w:val="single" w:sz="4" w:space="0" w:color="85BADC"/>
              <w:bottom w:val="double" w:sz="6" w:space="0" w:color="85BADC"/>
              <w:right w:val="nil"/>
            </w:tcBorders>
            <w:shd w:val="clear" w:color="auto" w:fill="auto"/>
            <w:noWrap/>
            <w:vAlign w:val="bottom"/>
            <w:hideMark/>
          </w:tcPr>
          <w:p w14:paraId="3A6858DB"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Crecimiento Monetario (L)</w:t>
            </w:r>
          </w:p>
        </w:tc>
        <w:tc>
          <w:tcPr>
            <w:tcW w:w="716" w:type="pct"/>
            <w:tcBorders>
              <w:top w:val="nil"/>
              <w:left w:val="nil"/>
              <w:bottom w:val="double" w:sz="6" w:space="0" w:color="85BADC"/>
              <w:right w:val="nil"/>
            </w:tcBorders>
            <w:shd w:val="clear" w:color="auto" w:fill="auto"/>
            <w:noWrap/>
            <w:vAlign w:val="bottom"/>
            <w:hideMark/>
          </w:tcPr>
          <w:p w14:paraId="50258E0B"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0</w:t>
            </w:r>
          </w:p>
        </w:tc>
        <w:tc>
          <w:tcPr>
            <w:tcW w:w="803" w:type="pct"/>
            <w:tcBorders>
              <w:top w:val="nil"/>
              <w:left w:val="nil"/>
              <w:bottom w:val="double" w:sz="6" w:space="0" w:color="85BADC"/>
              <w:right w:val="nil"/>
            </w:tcBorders>
            <w:shd w:val="clear" w:color="auto" w:fill="auto"/>
            <w:noWrap/>
            <w:vAlign w:val="bottom"/>
            <w:hideMark/>
          </w:tcPr>
          <w:p w14:paraId="4BC71696"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-163189.02</w:t>
            </w:r>
          </w:p>
        </w:tc>
        <w:tc>
          <w:tcPr>
            <w:tcW w:w="803" w:type="pct"/>
            <w:tcBorders>
              <w:top w:val="nil"/>
              <w:left w:val="nil"/>
              <w:bottom w:val="double" w:sz="6" w:space="0" w:color="85BADC"/>
              <w:right w:val="nil"/>
            </w:tcBorders>
            <w:shd w:val="clear" w:color="auto" w:fill="auto"/>
            <w:noWrap/>
            <w:vAlign w:val="bottom"/>
            <w:hideMark/>
          </w:tcPr>
          <w:p w14:paraId="2FBA431F"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-5200469.641</w:t>
            </w:r>
          </w:p>
        </w:tc>
        <w:tc>
          <w:tcPr>
            <w:tcW w:w="803" w:type="pct"/>
            <w:tcBorders>
              <w:top w:val="nil"/>
              <w:left w:val="nil"/>
              <w:bottom w:val="double" w:sz="6" w:space="0" w:color="85BADC"/>
              <w:right w:val="single" w:sz="4" w:space="0" w:color="85BADC"/>
            </w:tcBorders>
            <w:shd w:val="clear" w:color="auto" w:fill="auto"/>
            <w:noWrap/>
            <w:vAlign w:val="bottom"/>
            <w:hideMark/>
          </w:tcPr>
          <w:p w14:paraId="17ADD2CF"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598669.361</w:t>
            </w:r>
          </w:p>
        </w:tc>
      </w:tr>
      <w:tr w:rsidR="00CF4C3A" w:rsidRPr="0076589C" w14:paraId="3A26F130" w14:textId="77777777" w:rsidTr="00440546">
        <w:trPr>
          <w:trHeight w:val="300"/>
        </w:trPr>
        <w:tc>
          <w:tcPr>
            <w:tcW w:w="5000" w:type="pct"/>
            <w:gridSpan w:val="5"/>
            <w:tcBorders>
              <w:top w:val="double" w:sz="6" w:space="0" w:color="85BADC"/>
              <w:left w:val="single" w:sz="4" w:space="0" w:color="85BADC"/>
              <w:bottom w:val="nil"/>
              <w:right w:val="single" w:sz="4" w:space="0" w:color="85BADC"/>
            </w:tcBorders>
            <w:shd w:val="clear" w:color="auto" w:fill="auto"/>
            <w:noWrap/>
            <w:vAlign w:val="bottom"/>
            <w:hideMark/>
          </w:tcPr>
          <w:p w14:paraId="0FAEA61A" w14:textId="77777777" w:rsidR="00CF4C3A" w:rsidRPr="0076589C" w:rsidRDefault="00CF4C3A" w:rsidP="00CF4C3A">
            <w:pPr>
              <w:spacing w:after="0" w:line="240" w:lineRule="auto"/>
              <w:ind w:left="0"/>
              <w:jc w:val="center"/>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 </w:t>
            </w:r>
          </w:p>
        </w:tc>
      </w:tr>
      <w:tr w:rsidR="00CF4C3A" w:rsidRPr="0076589C" w14:paraId="6D096329" w14:textId="77777777" w:rsidTr="00440546">
        <w:trPr>
          <w:trHeight w:val="290"/>
        </w:trPr>
        <w:tc>
          <w:tcPr>
            <w:tcW w:w="5000" w:type="pct"/>
            <w:gridSpan w:val="5"/>
            <w:tcBorders>
              <w:top w:val="nil"/>
              <w:left w:val="single" w:sz="4" w:space="0" w:color="85BADC"/>
              <w:bottom w:val="nil"/>
              <w:right w:val="single" w:sz="4" w:space="0" w:color="85BADC"/>
            </w:tcBorders>
            <w:shd w:val="clear" w:color="auto" w:fill="auto"/>
            <w:noWrap/>
            <w:vAlign w:val="bottom"/>
            <w:hideMark/>
          </w:tcPr>
          <w:p w14:paraId="31224ED8" w14:textId="77777777" w:rsidR="00CF4C3A" w:rsidRPr="0076589C" w:rsidRDefault="00CF4C3A" w:rsidP="00CF4C3A">
            <w:pPr>
              <w:spacing w:after="0" w:line="240" w:lineRule="auto"/>
              <w:ind w:left="0"/>
              <w:rPr>
                <w:rFonts w:ascii="Calibri" w:eastAsia="Times New Roman" w:hAnsi="Calibri" w:cs="Calibri"/>
                <w:b/>
                <w:bCs/>
                <w:color w:val="000000"/>
                <w:sz w:val="20"/>
                <w:szCs w:val="20"/>
                <w:u w:val="single"/>
              </w:rPr>
            </w:pPr>
            <w:r w:rsidRPr="0076589C">
              <w:rPr>
                <w:rFonts w:ascii="Calibri" w:eastAsia="Times New Roman" w:hAnsi="Calibri" w:cs="Calibri"/>
                <w:b/>
                <w:bCs/>
                <w:color w:val="000000"/>
                <w:sz w:val="20"/>
                <w:szCs w:val="20"/>
                <w:u w:val="single"/>
              </w:rPr>
              <w:t>Antigüedad de las Cuentas por cobrar</w:t>
            </w:r>
          </w:p>
          <w:p w14:paraId="5A6B9A40" w14:textId="06EF9B37" w:rsidR="00CF4C3A" w:rsidRPr="0076589C" w:rsidRDefault="00CF4C3A" w:rsidP="00CF4C3A">
            <w:pPr>
              <w:spacing w:after="0" w:line="240" w:lineRule="auto"/>
              <w:ind w:left="0"/>
              <w:rPr>
                <w:rFonts w:ascii="Calibri" w:eastAsia="Times New Roman" w:hAnsi="Calibri" w:cs="Calibri"/>
                <w:b/>
                <w:bCs/>
                <w:color w:val="000000"/>
                <w:sz w:val="20"/>
                <w:szCs w:val="20"/>
                <w:u w:val="single"/>
              </w:rPr>
            </w:pPr>
            <w:r w:rsidRPr="0076589C">
              <w:rPr>
                <w:rFonts w:ascii="Calibri" w:eastAsia="Times New Roman" w:hAnsi="Calibri" w:cs="Calibri"/>
                <w:b/>
                <w:bCs/>
                <w:color w:val="000000"/>
                <w:sz w:val="20"/>
                <w:szCs w:val="20"/>
                <w:u w:val="single"/>
              </w:rPr>
              <w:t> </w:t>
            </w:r>
          </w:p>
        </w:tc>
      </w:tr>
      <w:tr w:rsidR="00CF4C3A" w:rsidRPr="0076589C" w14:paraId="42E8FD04" w14:textId="77777777" w:rsidTr="00731C82">
        <w:trPr>
          <w:trHeight w:val="640"/>
        </w:trPr>
        <w:tc>
          <w:tcPr>
            <w:tcW w:w="1874" w:type="pct"/>
            <w:tcBorders>
              <w:top w:val="single" w:sz="4" w:space="0" w:color="auto"/>
              <w:left w:val="single" w:sz="4" w:space="0" w:color="85BADC"/>
              <w:bottom w:val="single" w:sz="8" w:space="0" w:color="85BADC"/>
              <w:right w:val="nil"/>
            </w:tcBorders>
            <w:shd w:val="clear" w:color="000000" w:fill="C9E1EF"/>
            <w:noWrap/>
            <w:vAlign w:val="center"/>
            <w:hideMark/>
          </w:tcPr>
          <w:p w14:paraId="1C2E1AE7"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rPr>
            </w:pPr>
            <w:r w:rsidRPr="0076589C">
              <w:rPr>
                <w:rFonts w:ascii="Calibri" w:eastAsia="Times New Roman" w:hAnsi="Calibri" w:cs="Calibri"/>
                <w:b/>
                <w:bCs/>
                <w:i/>
                <w:iCs/>
                <w:color w:val="000000"/>
                <w:sz w:val="20"/>
                <w:szCs w:val="20"/>
              </w:rPr>
              <w:t> </w:t>
            </w:r>
          </w:p>
        </w:tc>
        <w:tc>
          <w:tcPr>
            <w:tcW w:w="716" w:type="pct"/>
            <w:tcBorders>
              <w:top w:val="single" w:sz="4" w:space="0" w:color="auto"/>
              <w:left w:val="nil"/>
              <w:bottom w:val="single" w:sz="8" w:space="0" w:color="85BADC"/>
              <w:right w:val="nil"/>
            </w:tcBorders>
            <w:shd w:val="clear" w:color="000000" w:fill="C9E1EF"/>
            <w:noWrap/>
            <w:vAlign w:val="center"/>
            <w:hideMark/>
          </w:tcPr>
          <w:p w14:paraId="2FCABEE6"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rPr>
            </w:pPr>
            <w:r w:rsidRPr="0076589C">
              <w:rPr>
                <w:rFonts w:ascii="Calibri" w:eastAsia="Times New Roman" w:hAnsi="Calibri" w:cs="Calibri"/>
                <w:b/>
                <w:bCs/>
                <w:i/>
                <w:iCs/>
                <w:color w:val="000000"/>
                <w:sz w:val="20"/>
                <w:szCs w:val="20"/>
              </w:rPr>
              <w:t> </w:t>
            </w:r>
          </w:p>
        </w:tc>
        <w:tc>
          <w:tcPr>
            <w:tcW w:w="803" w:type="pct"/>
            <w:tcBorders>
              <w:top w:val="single" w:sz="4" w:space="0" w:color="auto"/>
              <w:left w:val="nil"/>
              <w:bottom w:val="single" w:sz="8" w:space="0" w:color="85BADC"/>
              <w:right w:val="nil"/>
            </w:tcBorders>
            <w:shd w:val="clear" w:color="000000" w:fill="C9E1EF"/>
            <w:vAlign w:val="center"/>
            <w:hideMark/>
          </w:tcPr>
          <w:p w14:paraId="100A5320"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Tasa de Crecimiento 2019-2020</w:t>
            </w:r>
          </w:p>
        </w:tc>
        <w:tc>
          <w:tcPr>
            <w:tcW w:w="803" w:type="pct"/>
            <w:tcBorders>
              <w:top w:val="single" w:sz="4" w:space="0" w:color="auto"/>
              <w:left w:val="nil"/>
              <w:bottom w:val="single" w:sz="8" w:space="0" w:color="85BADC"/>
              <w:right w:val="nil"/>
            </w:tcBorders>
            <w:shd w:val="clear" w:color="000000" w:fill="C9E1EF"/>
            <w:vAlign w:val="center"/>
            <w:hideMark/>
          </w:tcPr>
          <w:p w14:paraId="7723B6BB"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Tasa de Crecimiento 2020-2021</w:t>
            </w:r>
          </w:p>
        </w:tc>
        <w:tc>
          <w:tcPr>
            <w:tcW w:w="803" w:type="pct"/>
            <w:tcBorders>
              <w:top w:val="single" w:sz="4" w:space="0" w:color="auto"/>
              <w:left w:val="nil"/>
              <w:bottom w:val="single" w:sz="8" w:space="0" w:color="85BADC"/>
              <w:right w:val="single" w:sz="4" w:space="0" w:color="85BADC"/>
            </w:tcBorders>
            <w:shd w:val="clear" w:color="000000" w:fill="C9E1EF"/>
            <w:vAlign w:val="center"/>
            <w:hideMark/>
          </w:tcPr>
          <w:p w14:paraId="30262868"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Tasa de Crecimiento 2021-2022</w:t>
            </w:r>
          </w:p>
        </w:tc>
      </w:tr>
      <w:tr w:rsidR="00CF4C3A" w:rsidRPr="0076589C" w14:paraId="7881C218"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7F3F571E"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Plazo (días)</w:t>
            </w:r>
          </w:p>
        </w:tc>
        <w:tc>
          <w:tcPr>
            <w:tcW w:w="716" w:type="pct"/>
            <w:tcBorders>
              <w:top w:val="nil"/>
              <w:left w:val="nil"/>
              <w:bottom w:val="nil"/>
              <w:right w:val="nil"/>
            </w:tcBorders>
            <w:shd w:val="clear" w:color="auto" w:fill="auto"/>
            <w:noWrap/>
            <w:vAlign w:val="bottom"/>
            <w:hideMark/>
          </w:tcPr>
          <w:p w14:paraId="3BFE23D8"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p>
        </w:tc>
        <w:tc>
          <w:tcPr>
            <w:tcW w:w="803" w:type="pct"/>
            <w:tcBorders>
              <w:top w:val="nil"/>
              <w:left w:val="nil"/>
              <w:bottom w:val="nil"/>
              <w:right w:val="nil"/>
            </w:tcBorders>
            <w:shd w:val="clear" w:color="auto" w:fill="auto"/>
            <w:noWrap/>
            <w:vAlign w:val="bottom"/>
            <w:hideMark/>
          </w:tcPr>
          <w:p w14:paraId="1FB1D862" w14:textId="77777777" w:rsidR="00CF4C3A" w:rsidRPr="0076589C" w:rsidRDefault="00CF4C3A" w:rsidP="00CF4C3A">
            <w:pPr>
              <w:spacing w:after="0" w:line="240" w:lineRule="auto"/>
              <w:ind w:left="0"/>
              <w:jc w:val="right"/>
              <w:rPr>
                <w:rFonts w:ascii="Calibri" w:eastAsia="Times New Roman" w:hAnsi="Calibri" w:cs="Calibri"/>
                <w:b/>
                <w:bCs/>
                <w:color w:val="000000"/>
                <w:sz w:val="20"/>
                <w:szCs w:val="20"/>
                <w:lang w:val="en-US"/>
              </w:rPr>
            </w:pPr>
            <w:r w:rsidRPr="0076589C">
              <w:rPr>
                <w:rFonts w:ascii="Calibri" w:eastAsia="Times New Roman" w:hAnsi="Calibri" w:cs="Calibri"/>
                <w:b/>
                <w:bCs/>
                <w:color w:val="000000"/>
                <w:sz w:val="20"/>
                <w:szCs w:val="20"/>
                <w:lang w:val="en-US"/>
              </w:rPr>
              <w:t>Porcentual (%)</w:t>
            </w:r>
          </w:p>
        </w:tc>
        <w:tc>
          <w:tcPr>
            <w:tcW w:w="803" w:type="pct"/>
            <w:tcBorders>
              <w:top w:val="nil"/>
              <w:left w:val="nil"/>
              <w:bottom w:val="nil"/>
              <w:right w:val="nil"/>
            </w:tcBorders>
            <w:shd w:val="clear" w:color="auto" w:fill="auto"/>
            <w:noWrap/>
            <w:vAlign w:val="bottom"/>
            <w:hideMark/>
          </w:tcPr>
          <w:p w14:paraId="04C6E2F3" w14:textId="77777777" w:rsidR="00CF4C3A" w:rsidRPr="0076589C" w:rsidRDefault="00CF4C3A" w:rsidP="00CF4C3A">
            <w:pPr>
              <w:spacing w:after="0" w:line="240" w:lineRule="auto"/>
              <w:ind w:left="0"/>
              <w:jc w:val="right"/>
              <w:rPr>
                <w:rFonts w:ascii="Calibri" w:eastAsia="Times New Roman" w:hAnsi="Calibri" w:cs="Calibri"/>
                <w:b/>
                <w:bCs/>
                <w:color w:val="000000"/>
                <w:sz w:val="20"/>
                <w:szCs w:val="20"/>
                <w:lang w:val="en-US"/>
              </w:rPr>
            </w:pPr>
            <w:r w:rsidRPr="0076589C">
              <w:rPr>
                <w:rFonts w:ascii="Calibri" w:eastAsia="Times New Roman" w:hAnsi="Calibri" w:cs="Calibri"/>
                <w:b/>
                <w:bCs/>
                <w:color w:val="000000"/>
                <w:sz w:val="20"/>
                <w:szCs w:val="20"/>
                <w:lang w:val="en-US"/>
              </w:rPr>
              <w:t>Porcentual (%)</w:t>
            </w:r>
          </w:p>
        </w:tc>
        <w:tc>
          <w:tcPr>
            <w:tcW w:w="803" w:type="pct"/>
            <w:tcBorders>
              <w:top w:val="nil"/>
              <w:left w:val="nil"/>
              <w:bottom w:val="nil"/>
              <w:right w:val="single" w:sz="4" w:space="0" w:color="85BADC"/>
            </w:tcBorders>
            <w:shd w:val="clear" w:color="auto" w:fill="auto"/>
            <w:noWrap/>
            <w:vAlign w:val="bottom"/>
            <w:hideMark/>
          </w:tcPr>
          <w:p w14:paraId="5CFD325B" w14:textId="77777777" w:rsidR="00CF4C3A" w:rsidRPr="0076589C" w:rsidRDefault="00CF4C3A" w:rsidP="00CF4C3A">
            <w:pPr>
              <w:spacing w:after="0" w:line="240" w:lineRule="auto"/>
              <w:ind w:left="0"/>
              <w:jc w:val="right"/>
              <w:rPr>
                <w:rFonts w:ascii="Calibri" w:eastAsia="Times New Roman" w:hAnsi="Calibri" w:cs="Calibri"/>
                <w:b/>
                <w:bCs/>
                <w:color w:val="000000"/>
                <w:sz w:val="20"/>
                <w:szCs w:val="20"/>
                <w:lang w:val="en-US"/>
              </w:rPr>
            </w:pPr>
            <w:r w:rsidRPr="0076589C">
              <w:rPr>
                <w:rFonts w:ascii="Calibri" w:eastAsia="Times New Roman" w:hAnsi="Calibri" w:cs="Calibri"/>
                <w:b/>
                <w:bCs/>
                <w:color w:val="000000"/>
                <w:sz w:val="20"/>
                <w:szCs w:val="20"/>
                <w:lang w:val="en-US"/>
              </w:rPr>
              <w:t>Porcentual (%)</w:t>
            </w:r>
          </w:p>
        </w:tc>
      </w:tr>
      <w:tr w:rsidR="00CF4C3A" w:rsidRPr="0076589C" w14:paraId="52A56403"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25000849"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Actual</w:t>
            </w:r>
          </w:p>
        </w:tc>
        <w:tc>
          <w:tcPr>
            <w:tcW w:w="716" w:type="pct"/>
            <w:tcBorders>
              <w:top w:val="nil"/>
              <w:left w:val="nil"/>
              <w:bottom w:val="nil"/>
              <w:right w:val="nil"/>
            </w:tcBorders>
            <w:shd w:val="clear" w:color="auto" w:fill="auto"/>
            <w:noWrap/>
            <w:vAlign w:val="bottom"/>
            <w:hideMark/>
          </w:tcPr>
          <w:p w14:paraId="0D4A8BD9"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p>
        </w:tc>
        <w:tc>
          <w:tcPr>
            <w:tcW w:w="803" w:type="pct"/>
            <w:tcBorders>
              <w:top w:val="nil"/>
              <w:left w:val="nil"/>
              <w:bottom w:val="nil"/>
              <w:right w:val="nil"/>
            </w:tcBorders>
            <w:shd w:val="clear" w:color="auto" w:fill="auto"/>
            <w:noWrap/>
            <w:vAlign w:val="bottom"/>
            <w:hideMark/>
          </w:tcPr>
          <w:p w14:paraId="7FE3C790"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-33.45%</w:t>
            </w:r>
          </w:p>
        </w:tc>
        <w:tc>
          <w:tcPr>
            <w:tcW w:w="803" w:type="pct"/>
            <w:tcBorders>
              <w:top w:val="nil"/>
              <w:left w:val="nil"/>
              <w:bottom w:val="nil"/>
              <w:right w:val="nil"/>
            </w:tcBorders>
            <w:shd w:val="clear" w:color="auto" w:fill="auto"/>
            <w:noWrap/>
            <w:vAlign w:val="bottom"/>
            <w:hideMark/>
          </w:tcPr>
          <w:p w14:paraId="606BE74E"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-61.08%</w:t>
            </w:r>
          </w:p>
        </w:tc>
        <w:tc>
          <w:tcPr>
            <w:tcW w:w="803" w:type="pct"/>
            <w:tcBorders>
              <w:top w:val="nil"/>
              <w:left w:val="nil"/>
              <w:bottom w:val="nil"/>
              <w:right w:val="single" w:sz="4" w:space="0" w:color="85BADC"/>
            </w:tcBorders>
            <w:shd w:val="clear" w:color="auto" w:fill="auto"/>
            <w:noWrap/>
            <w:vAlign w:val="bottom"/>
            <w:hideMark/>
          </w:tcPr>
          <w:p w14:paraId="26958F40"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98.73%</w:t>
            </w:r>
          </w:p>
        </w:tc>
      </w:tr>
      <w:tr w:rsidR="00CF4C3A" w:rsidRPr="0076589C" w14:paraId="782ABE56"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2DFAB828"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30</w:t>
            </w:r>
          </w:p>
        </w:tc>
        <w:tc>
          <w:tcPr>
            <w:tcW w:w="716" w:type="pct"/>
            <w:tcBorders>
              <w:top w:val="nil"/>
              <w:left w:val="nil"/>
              <w:bottom w:val="nil"/>
              <w:right w:val="nil"/>
            </w:tcBorders>
            <w:shd w:val="clear" w:color="auto" w:fill="auto"/>
            <w:noWrap/>
            <w:vAlign w:val="bottom"/>
            <w:hideMark/>
          </w:tcPr>
          <w:p w14:paraId="0677B40C"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p>
        </w:tc>
        <w:tc>
          <w:tcPr>
            <w:tcW w:w="803" w:type="pct"/>
            <w:tcBorders>
              <w:top w:val="nil"/>
              <w:left w:val="nil"/>
              <w:bottom w:val="nil"/>
              <w:right w:val="nil"/>
            </w:tcBorders>
            <w:shd w:val="clear" w:color="auto" w:fill="auto"/>
            <w:noWrap/>
            <w:vAlign w:val="bottom"/>
            <w:hideMark/>
          </w:tcPr>
          <w:p w14:paraId="3942D7D9"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-14.19%</w:t>
            </w:r>
          </w:p>
        </w:tc>
        <w:tc>
          <w:tcPr>
            <w:tcW w:w="803" w:type="pct"/>
            <w:tcBorders>
              <w:top w:val="nil"/>
              <w:left w:val="nil"/>
              <w:bottom w:val="nil"/>
              <w:right w:val="nil"/>
            </w:tcBorders>
            <w:shd w:val="clear" w:color="auto" w:fill="auto"/>
            <w:noWrap/>
            <w:vAlign w:val="bottom"/>
            <w:hideMark/>
          </w:tcPr>
          <w:p w14:paraId="545F6F1B"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7.91%</w:t>
            </w:r>
          </w:p>
        </w:tc>
        <w:tc>
          <w:tcPr>
            <w:tcW w:w="803" w:type="pct"/>
            <w:tcBorders>
              <w:top w:val="nil"/>
              <w:left w:val="nil"/>
              <w:bottom w:val="nil"/>
              <w:right w:val="single" w:sz="4" w:space="0" w:color="85BADC"/>
            </w:tcBorders>
            <w:shd w:val="clear" w:color="auto" w:fill="auto"/>
            <w:noWrap/>
            <w:vAlign w:val="bottom"/>
            <w:hideMark/>
          </w:tcPr>
          <w:p w14:paraId="6C363F64"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-18.86%</w:t>
            </w:r>
          </w:p>
        </w:tc>
      </w:tr>
      <w:tr w:rsidR="00CF4C3A" w:rsidRPr="0076589C" w14:paraId="258E8341"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1AD4CF5F"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60</w:t>
            </w:r>
          </w:p>
        </w:tc>
        <w:tc>
          <w:tcPr>
            <w:tcW w:w="716" w:type="pct"/>
            <w:tcBorders>
              <w:top w:val="nil"/>
              <w:left w:val="nil"/>
              <w:bottom w:val="nil"/>
              <w:right w:val="nil"/>
            </w:tcBorders>
            <w:shd w:val="clear" w:color="auto" w:fill="auto"/>
            <w:noWrap/>
            <w:vAlign w:val="bottom"/>
            <w:hideMark/>
          </w:tcPr>
          <w:p w14:paraId="7124392A"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p>
        </w:tc>
        <w:tc>
          <w:tcPr>
            <w:tcW w:w="803" w:type="pct"/>
            <w:tcBorders>
              <w:top w:val="nil"/>
              <w:left w:val="nil"/>
              <w:bottom w:val="nil"/>
              <w:right w:val="nil"/>
            </w:tcBorders>
            <w:shd w:val="clear" w:color="auto" w:fill="auto"/>
            <w:noWrap/>
            <w:vAlign w:val="bottom"/>
            <w:hideMark/>
          </w:tcPr>
          <w:p w14:paraId="15B1EF4E"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2.25%</w:t>
            </w:r>
          </w:p>
        </w:tc>
        <w:tc>
          <w:tcPr>
            <w:tcW w:w="803" w:type="pct"/>
            <w:tcBorders>
              <w:top w:val="nil"/>
              <w:left w:val="nil"/>
              <w:bottom w:val="nil"/>
              <w:right w:val="nil"/>
            </w:tcBorders>
            <w:shd w:val="clear" w:color="auto" w:fill="auto"/>
            <w:noWrap/>
            <w:vAlign w:val="bottom"/>
            <w:hideMark/>
          </w:tcPr>
          <w:p w14:paraId="66363E4D"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-22.55%</w:t>
            </w:r>
          </w:p>
        </w:tc>
        <w:tc>
          <w:tcPr>
            <w:tcW w:w="803" w:type="pct"/>
            <w:tcBorders>
              <w:top w:val="nil"/>
              <w:left w:val="nil"/>
              <w:bottom w:val="nil"/>
              <w:right w:val="single" w:sz="4" w:space="0" w:color="85BADC"/>
            </w:tcBorders>
            <w:shd w:val="clear" w:color="auto" w:fill="auto"/>
            <w:noWrap/>
            <w:vAlign w:val="bottom"/>
            <w:hideMark/>
          </w:tcPr>
          <w:p w14:paraId="4A010E4D"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99.21%</w:t>
            </w:r>
          </w:p>
        </w:tc>
      </w:tr>
      <w:tr w:rsidR="00CF4C3A" w:rsidRPr="0076589C" w14:paraId="36FC8106"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674E21F0"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90</w:t>
            </w:r>
          </w:p>
        </w:tc>
        <w:tc>
          <w:tcPr>
            <w:tcW w:w="716" w:type="pct"/>
            <w:tcBorders>
              <w:top w:val="nil"/>
              <w:left w:val="nil"/>
              <w:bottom w:val="nil"/>
              <w:right w:val="nil"/>
            </w:tcBorders>
            <w:shd w:val="clear" w:color="auto" w:fill="auto"/>
            <w:noWrap/>
            <w:vAlign w:val="bottom"/>
            <w:hideMark/>
          </w:tcPr>
          <w:p w14:paraId="3B78DF69"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p>
        </w:tc>
        <w:tc>
          <w:tcPr>
            <w:tcW w:w="803" w:type="pct"/>
            <w:tcBorders>
              <w:top w:val="nil"/>
              <w:left w:val="nil"/>
              <w:bottom w:val="nil"/>
              <w:right w:val="nil"/>
            </w:tcBorders>
            <w:shd w:val="clear" w:color="auto" w:fill="auto"/>
            <w:noWrap/>
            <w:vAlign w:val="bottom"/>
            <w:hideMark/>
          </w:tcPr>
          <w:p w14:paraId="271F9637"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39.30%</w:t>
            </w:r>
          </w:p>
        </w:tc>
        <w:tc>
          <w:tcPr>
            <w:tcW w:w="803" w:type="pct"/>
            <w:tcBorders>
              <w:top w:val="nil"/>
              <w:left w:val="nil"/>
              <w:bottom w:val="nil"/>
              <w:right w:val="nil"/>
            </w:tcBorders>
            <w:shd w:val="clear" w:color="auto" w:fill="auto"/>
            <w:noWrap/>
            <w:vAlign w:val="bottom"/>
            <w:hideMark/>
          </w:tcPr>
          <w:p w14:paraId="01D27202"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-26.06%</w:t>
            </w:r>
          </w:p>
        </w:tc>
        <w:tc>
          <w:tcPr>
            <w:tcW w:w="803" w:type="pct"/>
            <w:tcBorders>
              <w:top w:val="nil"/>
              <w:left w:val="nil"/>
              <w:bottom w:val="nil"/>
              <w:right w:val="single" w:sz="4" w:space="0" w:color="85BADC"/>
            </w:tcBorders>
            <w:shd w:val="clear" w:color="auto" w:fill="auto"/>
            <w:noWrap/>
            <w:vAlign w:val="bottom"/>
            <w:hideMark/>
          </w:tcPr>
          <w:p w14:paraId="016C68C8"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-68.78%</w:t>
            </w:r>
          </w:p>
        </w:tc>
      </w:tr>
      <w:tr w:rsidR="00CF4C3A" w:rsidRPr="0076589C" w14:paraId="3F2E1264" w14:textId="77777777" w:rsidTr="00731C82">
        <w:trPr>
          <w:trHeight w:val="300"/>
        </w:trPr>
        <w:tc>
          <w:tcPr>
            <w:tcW w:w="1874" w:type="pct"/>
            <w:tcBorders>
              <w:top w:val="nil"/>
              <w:left w:val="single" w:sz="4" w:space="0" w:color="85BADC"/>
              <w:bottom w:val="double" w:sz="6" w:space="0" w:color="85BADC"/>
              <w:right w:val="nil"/>
            </w:tcBorders>
            <w:shd w:val="clear" w:color="auto" w:fill="auto"/>
            <w:noWrap/>
            <w:vAlign w:val="bottom"/>
            <w:hideMark/>
          </w:tcPr>
          <w:p w14:paraId="0FEE8EC8"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Más de 90</w:t>
            </w:r>
          </w:p>
        </w:tc>
        <w:tc>
          <w:tcPr>
            <w:tcW w:w="716" w:type="pct"/>
            <w:tcBorders>
              <w:top w:val="nil"/>
              <w:left w:val="nil"/>
              <w:bottom w:val="double" w:sz="6" w:space="0" w:color="85BADC"/>
              <w:right w:val="nil"/>
            </w:tcBorders>
            <w:shd w:val="clear" w:color="auto" w:fill="auto"/>
            <w:noWrap/>
            <w:vAlign w:val="bottom"/>
            <w:hideMark/>
          </w:tcPr>
          <w:p w14:paraId="4DE83997"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 </w:t>
            </w:r>
          </w:p>
        </w:tc>
        <w:tc>
          <w:tcPr>
            <w:tcW w:w="803" w:type="pct"/>
            <w:tcBorders>
              <w:top w:val="nil"/>
              <w:left w:val="nil"/>
              <w:bottom w:val="double" w:sz="6" w:space="0" w:color="85BADC"/>
              <w:right w:val="nil"/>
            </w:tcBorders>
            <w:shd w:val="clear" w:color="auto" w:fill="auto"/>
            <w:noWrap/>
            <w:vAlign w:val="bottom"/>
            <w:hideMark/>
          </w:tcPr>
          <w:p w14:paraId="60F632C4"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-51.30%</w:t>
            </w:r>
          </w:p>
        </w:tc>
        <w:tc>
          <w:tcPr>
            <w:tcW w:w="803" w:type="pct"/>
            <w:tcBorders>
              <w:top w:val="nil"/>
              <w:left w:val="nil"/>
              <w:bottom w:val="double" w:sz="6" w:space="0" w:color="85BADC"/>
              <w:right w:val="nil"/>
            </w:tcBorders>
            <w:shd w:val="clear" w:color="auto" w:fill="auto"/>
            <w:noWrap/>
            <w:vAlign w:val="bottom"/>
            <w:hideMark/>
          </w:tcPr>
          <w:p w14:paraId="60066C08"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-8.91%</w:t>
            </w:r>
          </w:p>
        </w:tc>
        <w:tc>
          <w:tcPr>
            <w:tcW w:w="803" w:type="pct"/>
            <w:tcBorders>
              <w:top w:val="nil"/>
              <w:left w:val="nil"/>
              <w:bottom w:val="double" w:sz="6" w:space="0" w:color="85BADC"/>
              <w:right w:val="single" w:sz="4" w:space="0" w:color="85BADC"/>
            </w:tcBorders>
            <w:shd w:val="clear" w:color="auto" w:fill="auto"/>
            <w:noWrap/>
            <w:vAlign w:val="bottom"/>
            <w:hideMark/>
          </w:tcPr>
          <w:p w14:paraId="716B5F25"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-15.60%</w:t>
            </w:r>
          </w:p>
        </w:tc>
      </w:tr>
      <w:tr w:rsidR="00CF4C3A" w:rsidRPr="0076589C" w14:paraId="21AC6BD5" w14:textId="77777777" w:rsidTr="00440546">
        <w:trPr>
          <w:trHeight w:val="300"/>
        </w:trPr>
        <w:tc>
          <w:tcPr>
            <w:tcW w:w="5000" w:type="pct"/>
            <w:gridSpan w:val="5"/>
            <w:tcBorders>
              <w:top w:val="nil"/>
              <w:left w:val="single" w:sz="4" w:space="0" w:color="85BADC"/>
              <w:bottom w:val="nil"/>
              <w:right w:val="single" w:sz="4" w:space="0" w:color="85BADC"/>
            </w:tcBorders>
            <w:shd w:val="clear" w:color="auto" w:fill="auto"/>
            <w:noWrap/>
            <w:vAlign w:val="bottom"/>
            <w:hideMark/>
          </w:tcPr>
          <w:p w14:paraId="65845B38" w14:textId="77777777" w:rsidR="00CF4C3A" w:rsidRPr="0076589C" w:rsidRDefault="00CF4C3A" w:rsidP="00CF4C3A">
            <w:pPr>
              <w:spacing w:after="0" w:line="240" w:lineRule="auto"/>
              <w:ind w:left="0"/>
              <w:jc w:val="center"/>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 </w:t>
            </w:r>
          </w:p>
        </w:tc>
      </w:tr>
      <w:tr w:rsidR="00CF4C3A" w:rsidRPr="0076589C" w14:paraId="2C87616A" w14:textId="77777777" w:rsidTr="00440546">
        <w:trPr>
          <w:trHeight w:val="290"/>
        </w:trPr>
        <w:tc>
          <w:tcPr>
            <w:tcW w:w="5000" w:type="pct"/>
            <w:gridSpan w:val="5"/>
            <w:tcBorders>
              <w:top w:val="nil"/>
              <w:left w:val="single" w:sz="4" w:space="0" w:color="85BADC"/>
              <w:bottom w:val="nil"/>
              <w:right w:val="single" w:sz="4" w:space="0" w:color="85BADC"/>
            </w:tcBorders>
            <w:shd w:val="clear" w:color="auto" w:fill="auto"/>
            <w:noWrap/>
            <w:vAlign w:val="bottom"/>
            <w:hideMark/>
          </w:tcPr>
          <w:p w14:paraId="58117668" w14:textId="77777777" w:rsidR="00CF4C3A" w:rsidRPr="0076589C" w:rsidRDefault="00CF4C3A" w:rsidP="00CF4C3A">
            <w:pPr>
              <w:spacing w:after="0" w:line="240" w:lineRule="auto"/>
              <w:ind w:left="0"/>
              <w:rPr>
                <w:rFonts w:ascii="Calibri" w:eastAsia="Times New Roman" w:hAnsi="Calibri" w:cs="Calibri"/>
                <w:b/>
                <w:bCs/>
                <w:color w:val="000000"/>
                <w:sz w:val="20"/>
                <w:szCs w:val="20"/>
                <w:u w:val="single"/>
              </w:rPr>
            </w:pPr>
            <w:r w:rsidRPr="0076589C">
              <w:rPr>
                <w:rFonts w:ascii="Calibri" w:eastAsia="Times New Roman" w:hAnsi="Calibri" w:cs="Calibri"/>
                <w:b/>
                <w:bCs/>
                <w:color w:val="000000"/>
                <w:sz w:val="20"/>
                <w:szCs w:val="20"/>
                <w:u w:val="single"/>
              </w:rPr>
              <w:t>Antigüedad de las Cuentas por cobrar</w:t>
            </w:r>
          </w:p>
          <w:p w14:paraId="7F6DA607" w14:textId="53434DEE" w:rsidR="00CF4C3A" w:rsidRPr="0076589C" w:rsidRDefault="00CF4C3A" w:rsidP="00CF4C3A">
            <w:pPr>
              <w:spacing w:after="0" w:line="240" w:lineRule="auto"/>
              <w:ind w:left="0"/>
              <w:rPr>
                <w:rFonts w:ascii="Calibri" w:eastAsia="Times New Roman" w:hAnsi="Calibri" w:cs="Calibri"/>
                <w:b/>
                <w:bCs/>
                <w:color w:val="000000"/>
                <w:sz w:val="20"/>
                <w:szCs w:val="20"/>
                <w:u w:val="single"/>
              </w:rPr>
            </w:pPr>
            <w:r w:rsidRPr="0076589C">
              <w:rPr>
                <w:rFonts w:ascii="Calibri" w:eastAsia="Times New Roman" w:hAnsi="Calibri" w:cs="Calibri"/>
                <w:b/>
                <w:bCs/>
                <w:color w:val="000000"/>
                <w:sz w:val="20"/>
                <w:szCs w:val="20"/>
                <w:u w:val="single"/>
              </w:rPr>
              <w:t> </w:t>
            </w:r>
          </w:p>
        </w:tc>
      </w:tr>
      <w:tr w:rsidR="00FA3BF2" w:rsidRPr="0076589C" w14:paraId="24430B1C" w14:textId="77777777" w:rsidTr="00731C82">
        <w:trPr>
          <w:trHeight w:val="300"/>
        </w:trPr>
        <w:tc>
          <w:tcPr>
            <w:tcW w:w="1874" w:type="pct"/>
            <w:tcBorders>
              <w:top w:val="single" w:sz="4" w:space="0" w:color="auto"/>
              <w:left w:val="single" w:sz="4" w:space="0" w:color="85BADC"/>
              <w:bottom w:val="single" w:sz="8" w:space="0" w:color="85BADC"/>
              <w:right w:val="nil"/>
            </w:tcBorders>
            <w:shd w:val="clear" w:color="000000" w:fill="C9E1EF"/>
            <w:noWrap/>
            <w:vAlign w:val="center"/>
            <w:hideMark/>
          </w:tcPr>
          <w:p w14:paraId="60B0F78C"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Plazo (días)</w:t>
            </w:r>
          </w:p>
        </w:tc>
        <w:tc>
          <w:tcPr>
            <w:tcW w:w="716" w:type="pct"/>
            <w:tcBorders>
              <w:top w:val="single" w:sz="4" w:space="0" w:color="auto"/>
              <w:left w:val="nil"/>
              <w:bottom w:val="single" w:sz="8" w:space="0" w:color="85BADC"/>
              <w:right w:val="nil"/>
            </w:tcBorders>
            <w:shd w:val="clear" w:color="000000" w:fill="C9E1EF"/>
            <w:noWrap/>
            <w:vAlign w:val="center"/>
            <w:hideMark/>
          </w:tcPr>
          <w:p w14:paraId="0015A01D"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2019</w:t>
            </w:r>
          </w:p>
        </w:tc>
        <w:tc>
          <w:tcPr>
            <w:tcW w:w="803" w:type="pct"/>
            <w:tcBorders>
              <w:top w:val="single" w:sz="4" w:space="0" w:color="auto"/>
              <w:left w:val="nil"/>
              <w:bottom w:val="single" w:sz="8" w:space="0" w:color="85BADC"/>
              <w:right w:val="nil"/>
            </w:tcBorders>
            <w:shd w:val="clear" w:color="000000" w:fill="C9E1EF"/>
            <w:noWrap/>
            <w:vAlign w:val="center"/>
            <w:hideMark/>
          </w:tcPr>
          <w:p w14:paraId="58AC1B60"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2020</w:t>
            </w:r>
          </w:p>
        </w:tc>
        <w:tc>
          <w:tcPr>
            <w:tcW w:w="803" w:type="pct"/>
            <w:tcBorders>
              <w:top w:val="single" w:sz="4" w:space="0" w:color="auto"/>
              <w:left w:val="nil"/>
              <w:bottom w:val="single" w:sz="8" w:space="0" w:color="85BADC"/>
              <w:right w:val="nil"/>
            </w:tcBorders>
            <w:shd w:val="clear" w:color="000000" w:fill="C9E1EF"/>
            <w:noWrap/>
            <w:vAlign w:val="center"/>
            <w:hideMark/>
          </w:tcPr>
          <w:p w14:paraId="5DA31D79"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2021</w:t>
            </w:r>
          </w:p>
        </w:tc>
        <w:tc>
          <w:tcPr>
            <w:tcW w:w="803" w:type="pct"/>
            <w:tcBorders>
              <w:top w:val="single" w:sz="4" w:space="0" w:color="auto"/>
              <w:left w:val="nil"/>
              <w:bottom w:val="single" w:sz="8" w:space="0" w:color="85BADC"/>
              <w:right w:val="single" w:sz="4" w:space="0" w:color="85BADC"/>
            </w:tcBorders>
            <w:shd w:val="clear" w:color="000000" w:fill="C9E1EF"/>
            <w:noWrap/>
            <w:vAlign w:val="center"/>
            <w:hideMark/>
          </w:tcPr>
          <w:p w14:paraId="55AE8C23"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2022</w:t>
            </w:r>
          </w:p>
        </w:tc>
      </w:tr>
      <w:tr w:rsidR="00CF4C3A" w:rsidRPr="0076589C" w14:paraId="0A3C389C"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3B0DF655"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Actual</w:t>
            </w:r>
          </w:p>
        </w:tc>
        <w:tc>
          <w:tcPr>
            <w:tcW w:w="716" w:type="pct"/>
            <w:tcBorders>
              <w:top w:val="nil"/>
              <w:left w:val="nil"/>
              <w:bottom w:val="nil"/>
              <w:right w:val="nil"/>
            </w:tcBorders>
            <w:shd w:val="clear" w:color="auto" w:fill="auto"/>
            <w:noWrap/>
            <w:vAlign w:val="bottom"/>
            <w:hideMark/>
          </w:tcPr>
          <w:p w14:paraId="21AFE775"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3844956.76</w:t>
            </w:r>
          </w:p>
        </w:tc>
        <w:tc>
          <w:tcPr>
            <w:tcW w:w="803" w:type="pct"/>
            <w:tcBorders>
              <w:top w:val="nil"/>
              <w:left w:val="nil"/>
              <w:bottom w:val="nil"/>
              <w:right w:val="nil"/>
            </w:tcBorders>
            <w:shd w:val="clear" w:color="auto" w:fill="auto"/>
            <w:noWrap/>
            <w:vAlign w:val="bottom"/>
            <w:hideMark/>
          </w:tcPr>
          <w:p w14:paraId="744F3F67"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2558764.74</w:t>
            </w:r>
          </w:p>
        </w:tc>
        <w:tc>
          <w:tcPr>
            <w:tcW w:w="803" w:type="pct"/>
            <w:tcBorders>
              <w:top w:val="nil"/>
              <w:left w:val="nil"/>
              <w:bottom w:val="nil"/>
              <w:right w:val="nil"/>
            </w:tcBorders>
            <w:shd w:val="clear" w:color="auto" w:fill="auto"/>
            <w:noWrap/>
            <w:vAlign w:val="bottom"/>
            <w:hideMark/>
          </w:tcPr>
          <w:p w14:paraId="1F4052B3"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995859.79</w:t>
            </w:r>
          </w:p>
        </w:tc>
        <w:tc>
          <w:tcPr>
            <w:tcW w:w="803" w:type="pct"/>
            <w:tcBorders>
              <w:top w:val="nil"/>
              <w:left w:val="nil"/>
              <w:bottom w:val="nil"/>
              <w:right w:val="single" w:sz="4" w:space="0" w:color="85BADC"/>
            </w:tcBorders>
            <w:shd w:val="clear" w:color="auto" w:fill="auto"/>
            <w:noWrap/>
            <w:vAlign w:val="bottom"/>
            <w:hideMark/>
          </w:tcPr>
          <w:p w14:paraId="01B14F4F"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1979087.95</w:t>
            </w:r>
          </w:p>
        </w:tc>
      </w:tr>
      <w:tr w:rsidR="00CF4C3A" w:rsidRPr="0076589C" w14:paraId="0EAA5582"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435460E9"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30</w:t>
            </w:r>
          </w:p>
        </w:tc>
        <w:tc>
          <w:tcPr>
            <w:tcW w:w="716" w:type="pct"/>
            <w:tcBorders>
              <w:top w:val="nil"/>
              <w:left w:val="nil"/>
              <w:bottom w:val="nil"/>
              <w:right w:val="nil"/>
            </w:tcBorders>
            <w:shd w:val="clear" w:color="auto" w:fill="auto"/>
            <w:noWrap/>
            <w:vAlign w:val="bottom"/>
            <w:hideMark/>
          </w:tcPr>
          <w:p w14:paraId="1716A9DF"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2256292.58</w:t>
            </w:r>
          </w:p>
        </w:tc>
        <w:tc>
          <w:tcPr>
            <w:tcW w:w="803" w:type="pct"/>
            <w:tcBorders>
              <w:top w:val="nil"/>
              <w:left w:val="nil"/>
              <w:bottom w:val="nil"/>
              <w:right w:val="nil"/>
            </w:tcBorders>
            <w:shd w:val="clear" w:color="auto" w:fill="auto"/>
            <w:noWrap/>
            <w:vAlign w:val="bottom"/>
            <w:hideMark/>
          </w:tcPr>
          <w:p w14:paraId="5B7F9565"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1936144.06</w:t>
            </w:r>
          </w:p>
        </w:tc>
        <w:tc>
          <w:tcPr>
            <w:tcW w:w="803" w:type="pct"/>
            <w:tcBorders>
              <w:top w:val="nil"/>
              <w:left w:val="nil"/>
              <w:bottom w:val="nil"/>
              <w:right w:val="nil"/>
            </w:tcBorders>
            <w:shd w:val="clear" w:color="auto" w:fill="auto"/>
            <w:noWrap/>
            <w:vAlign w:val="bottom"/>
            <w:hideMark/>
          </w:tcPr>
          <w:p w14:paraId="4893252C"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2089249.4</w:t>
            </w:r>
          </w:p>
        </w:tc>
        <w:tc>
          <w:tcPr>
            <w:tcW w:w="803" w:type="pct"/>
            <w:tcBorders>
              <w:top w:val="nil"/>
              <w:left w:val="nil"/>
              <w:bottom w:val="nil"/>
              <w:right w:val="single" w:sz="4" w:space="0" w:color="85BADC"/>
            </w:tcBorders>
            <w:shd w:val="clear" w:color="auto" w:fill="auto"/>
            <w:noWrap/>
            <w:vAlign w:val="bottom"/>
            <w:hideMark/>
          </w:tcPr>
          <w:p w14:paraId="5005EEE3"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1695274.18</w:t>
            </w:r>
          </w:p>
        </w:tc>
      </w:tr>
      <w:tr w:rsidR="00CF4C3A" w:rsidRPr="0076589C" w14:paraId="24C6A656"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379F03F0"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60</w:t>
            </w:r>
          </w:p>
        </w:tc>
        <w:tc>
          <w:tcPr>
            <w:tcW w:w="716" w:type="pct"/>
            <w:tcBorders>
              <w:top w:val="nil"/>
              <w:left w:val="nil"/>
              <w:bottom w:val="nil"/>
              <w:right w:val="nil"/>
            </w:tcBorders>
            <w:shd w:val="clear" w:color="auto" w:fill="auto"/>
            <w:noWrap/>
            <w:vAlign w:val="bottom"/>
            <w:hideMark/>
          </w:tcPr>
          <w:p w14:paraId="6A66F25D"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920238.677</w:t>
            </w:r>
          </w:p>
        </w:tc>
        <w:tc>
          <w:tcPr>
            <w:tcW w:w="803" w:type="pct"/>
            <w:tcBorders>
              <w:top w:val="nil"/>
              <w:left w:val="nil"/>
              <w:bottom w:val="nil"/>
              <w:right w:val="nil"/>
            </w:tcBorders>
            <w:shd w:val="clear" w:color="auto" w:fill="auto"/>
            <w:noWrap/>
            <w:vAlign w:val="bottom"/>
            <w:hideMark/>
          </w:tcPr>
          <w:p w14:paraId="0A6CD45F"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940911.94</w:t>
            </w:r>
          </w:p>
        </w:tc>
        <w:tc>
          <w:tcPr>
            <w:tcW w:w="803" w:type="pct"/>
            <w:tcBorders>
              <w:top w:val="nil"/>
              <w:left w:val="nil"/>
              <w:bottom w:val="nil"/>
              <w:right w:val="nil"/>
            </w:tcBorders>
            <w:shd w:val="clear" w:color="auto" w:fill="auto"/>
            <w:noWrap/>
            <w:vAlign w:val="bottom"/>
            <w:hideMark/>
          </w:tcPr>
          <w:p w14:paraId="0C1BFA49"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728728.83</w:t>
            </w:r>
          </w:p>
        </w:tc>
        <w:tc>
          <w:tcPr>
            <w:tcW w:w="803" w:type="pct"/>
            <w:tcBorders>
              <w:top w:val="nil"/>
              <w:left w:val="nil"/>
              <w:bottom w:val="nil"/>
              <w:right w:val="single" w:sz="4" w:space="0" w:color="85BADC"/>
            </w:tcBorders>
            <w:shd w:val="clear" w:color="auto" w:fill="auto"/>
            <w:noWrap/>
            <w:vAlign w:val="bottom"/>
            <w:hideMark/>
          </w:tcPr>
          <w:p w14:paraId="285D77B8"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1451685.78</w:t>
            </w:r>
          </w:p>
        </w:tc>
      </w:tr>
      <w:tr w:rsidR="00CF4C3A" w:rsidRPr="0076589C" w14:paraId="193F2581"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73E7F892"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90</w:t>
            </w:r>
          </w:p>
        </w:tc>
        <w:tc>
          <w:tcPr>
            <w:tcW w:w="716" w:type="pct"/>
            <w:tcBorders>
              <w:top w:val="nil"/>
              <w:left w:val="nil"/>
              <w:bottom w:val="nil"/>
              <w:right w:val="nil"/>
            </w:tcBorders>
            <w:shd w:val="clear" w:color="auto" w:fill="auto"/>
            <w:noWrap/>
            <w:vAlign w:val="bottom"/>
            <w:hideMark/>
          </w:tcPr>
          <w:p w14:paraId="2537F63F"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615590.63</w:t>
            </w:r>
          </w:p>
        </w:tc>
        <w:tc>
          <w:tcPr>
            <w:tcW w:w="803" w:type="pct"/>
            <w:tcBorders>
              <w:top w:val="nil"/>
              <w:left w:val="nil"/>
              <w:bottom w:val="nil"/>
              <w:right w:val="nil"/>
            </w:tcBorders>
            <w:shd w:val="clear" w:color="auto" w:fill="auto"/>
            <w:noWrap/>
            <w:vAlign w:val="bottom"/>
            <w:hideMark/>
          </w:tcPr>
          <w:p w14:paraId="6EEE9671"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857524.71</w:t>
            </w:r>
          </w:p>
        </w:tc>
        <w:tc>
          <w:tcPr>
            <w:tcW w:w="803" w:type="pct"/>
            <w:tcBorders>
              <w:top w:val="nil"/>
              <w:left w:val="nil"/>
              <w:bottom w:val="nil"/>
              <w:right w:val="nil"/>
            </w:tcBorders>
            <w:shd w:val="clear" w:color="auto" w:fill="auto"/>
            <w:noWrap/>
            <w:vAlign w:val="bottom"/>
            <w:hideMark/>
          </w:tcPr>
          <w:p w14:paraId="520E58CC"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634080.62</w:t>
            </w:r>
          </w:p>
        </w:tc>
        <w:tc>
          <w:tcPr>
            <w:tcW w:w="803" w:type="pct"/>
            <w:tcBorders>
              <w:top w:val="nil"/>
              <w:left w:val="nil"/>
              <w:bottom w:val="nil"/>
              <w:right w:val="single" w:sz="4" w:space="0" w:color="85BADC"/>
            </w:tcBorders>
            <w:shd w:val="clear" w:color="auto" w:fill="auto"/>
            <w:noWrap/>
            <w:vAlign w:val="bottom"/>
            <w:hideMark/>
          </w:tcPr>
          <w:p w14:paraId="0B716BBF"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197985.78</w:t>
            </w:r>
          </w:p>
        </w:tc>
      </w:tr>
      <w:tr w:rsidR="00CF4C3A" w:rsidRPr="0076589C" w14:paraId="2AF39D58"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268E724C"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Más de 90</w:t>
            </w:r>
          </w:p>
        </w:tc>
        <w:tc>
          <w:tcPr>
            <w:tcW w:w="716" w:type="pct"/>
            <w:tcBorders>
              <w:top w:val="nil"/>
              <w:left w:val="nil"/>
              <w:bottom w:val="nil"/>
              <w:right w:val="nil"/>
            </w:tcBorders>
            <w:shd w:val="clear" w:color="auto" w:fill="auto"/>
            <w:noWrap/>
            <w:vAlign w:val="bottom"/>
            <w:hideMark/>
          </w:tcPr>
          <w:p w14:paraId="41C39C6F"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3911720.97</w:t>
            </w:r>
          </w:p>
        </w:tc>
        <w:tc>
          <w:tcPr>
            <w:tcW w:w="803" w:type="pct"/>
            <w:tcBorders>
              <w:top w:val="nil"/>
              <w:left w:val="nil"/>
              <w:bottom w:val="nil"/>
              <w:right w:val="nil"/>
            </w:tcBorders>
            <w:shd w:val="clear" w:color="auto" w:fill="auto"/>
            <w:noWrap/>
            <w:vAlign w:val="bottom"/>
            <w:hideMark/>
          </w:tcPr>
          <w:p w14:paraId="08552B77"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1904882.45</w:t>
            </w:r>
          </w:p>
        </w:tc>
        <w:tc>
          <w:tcPr>
            <w:tcW w:w="803" w:type="pct"/>
            <w:tcBorders>
              <w:top w:val="nil"/>
              <w:left w:val="nil"/>
              <w:bottom w:val="nil"/>
              <w:right w:val="nil"/>
            </w:tcBorders>
            <w:shd w:val="clear" w:color="auto" w:fill="auto"/>
            <w:noWrap/>
            <w:vAlign w:val="bottom"/>
            <w:hideMark/>
          </w:tcPr>
          <w:p w14:paraId="46711F3D"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1735125.31</w:t>
            </w:r>
          </w:p>
        </w:tc>
        <w:tc>
          <w:tcPr>
            <w:tcW w:w="803" w:type="pct"/>
            <w:tcBorders>
              <w:top w:val="nil"/>
              <w:left w:val="nil"/>
              <w:bottom w:val="nil"/>
              <w:right w:val="single" w:sz="4" w:space="0" w:color="85BADC"/>
            </w:tcBorders>
            <w:shd w:val="clear" w:color="auto" w:fill="auto"/>
            <w:noWrap/>
            <w:vAlign w:val="bottom"/>
            <w:hideMark/>
          </w:tcPr>
          <w:p w14:paraId="7CC84B09"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1464383.43</w:t>
            </w:r>
          </w:p>
        </w:tc>
      </w:tr>
      <w:tr w:rsidR="00CF4C3A" w:rsidRPr="0076589C" w14:paraId="2CA1061A" w14:textId="77777777" w:rsidTr="00731C82">
        <w:trPr>
          <w:trHeight w:val="300"/>
        </w:trPr>
        <w:tc>
          <w:tcPr>
            <w:tcW w:w="1874" w:type="pct"/>
            <w:tcBorders>
              <w:top w:val="nil"/>
              <w:left w:val="single" w:sz="4" w:space="0" w:color="85BADC"/>
              <w:bottom w:val="double" w:sz="6" w:space="0" w:color="85BADC"/>
              <w:right w:val="nil"/>
            </w:tcBorders>
            <w:shd w:val="clear" w:color="auto" w:fill="auto"/>
            <w:noWrap/>
            <w:vAlign w:val="bottom"/>
            <w:hideMark/>
          </w:tcPr>
          <w:p w14:paraId="5EE80339" w14:textId="77777777" w:rsidR="00CF4C3A" w:rsidRPr="0076589C" w:rsidRDefault="00CF4C3A" w:rsidP="00CF4C3A">
            <w:pPr>
              <w:spacing w:after="0" w:line="240" w:lineRule="auto"/>
              <w:ind w:left="0"/>
              <w:rPr>
                <w:rFonts w:ascii="Calibri" w:eastAsia="Times New Roman" w:hAnsi="Calibri" w:cs="Calibri"/>
                <w:color w:val="000000"/>
                <w:sz w:val="20"/>
                <w:szCs w:val="20"/>
              </w:rPr>
            </w:pPr>
            <w:r w:rsidRPr="0076589C">
              <w:rPr>
                <w:rFonts w:ascii="Calibri" w:eastAsia="Times New Roman" w:hAnsi="Calibri" w:cs="Calibri"/>
                <w:color w:val="000000"/>
                <w:sz w:val="20"/>
                <w:szCs w:val="20"/>
              </w:rPr>
              <w:t>Total de la Cuenta por cobrar</w:t>
            </w:r>
          </w:p>
        </w:tc>
        <w:tc>
          <w:tcPr>
            <w:tcW w:w="716" w:type="pct"/>
            <w:tcBorders>
              <w:top w:val="nil"/>
              <w:left w:val="nil"/>
              <w:bottom w:val="double" w:sz="6" w:space="0" w:color="85BADC"/>
              <w:right w:val="nil"/>
            </w:tcBorders>
            <w:shd w:val="clear" w:color="auto" w:fill="auto"/>
            <w:noWrap/>
            <w:vAlign w:val="bottom"/>
            <w:hideMark/>
          </w:tcPr>
          <w:p w14:paraId="05D07BC6"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11548799.62</w:t>
            </w:r>
          </w:p>
        </w:tc>
        <w:tc>
          <w:tcPr>
            <w:tcW w:w="803" w:type="pct"/>
            <w:tcBorders>
              <w:top w:val="nil"/>
              <w:left w:val="nil"/>
              <w:bottom w:val="double" w:sz="6" w:space="0" w:color="85BADC"/>
              <w:right w:val="nil"/>
            </w:tcBorders>
            <w:shd w:val="clear" w:color="auto" w:fill="auto"/>
            <w:noWrap/>
            <w:vAlign w:val="bottom"/>
            <w:hideMark/>
          </w:tcPr>
          <w:p w14:paraId="2A291B25"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8198227.9</w:t>
            </w:r>
          </w:p>
        </w:tc>
        <w:tc>
          <w:tcPr>
            <w:tcW w:w="803" w:type="pct"/>
            <w:tcBorders>
              <w:top w:val="nil"/>
              <w:left w:val="nil"/>
              <w:bottom w:val="double" w:sz="6" w:space="0" w:color="85BADC"/>
              <w:right w:val="nil"/>
            </w:tcBorders>
            <w:shd w:val="clear" w:color="auto" w:fill="auto"/>
            <w:noWrap/>
            <w:vAlign w:val="bottom"/>
            <w:hideMark/>
          </w:tcPr>
          <w:p w14:paraId="06032779"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6183043.95</w:t>
            </w:r>
          </w:p>
        </w:tc>
        <w:tc>
          <w:tcPr>
            <w:tcW w:w="803" w:type="pct"/>
            <w:tcBorders>
              <w:top w:val="nil"/>
              <w:left w:val="nil"/>
              <w:bottom w:val="double" w:sz="6" w:space="0" w:color="85BADC"/>
              <w:right w:val="single" w:sz="4" w:space="0" w:color="85BADC"/>
            </w:tcBorders>
            <w:shd w:val="clear" w:color="auto" w:fill="auto"/>
            <w:noWrap/>
            <w:vAlign w:val="bottom"/>
            <w:hideMark/>
          </w:tcPr>
          <w:p w14:paraId="420DF5F1"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6788417.12</w:t>
            </w:r>
          </w:p>
        </w:tc>
      </w:tr>
      <w:tr w:rsidR="00CF4C3A" w:rsidRPr="0076589C" w14:paraId="528B1961" w14:textId="77777777" w:rsidTr="00440546">
        <w:trPr>
          <w:trHeight w:val="300"/>
        </w:trPr>
        <w:tc>
          <w:tcPr>
            <w:tcW w:w="5000" w:type="pct"/>
            <w:gridSpan w:val="5"/>
            <w:tcBorders>
              <w:top w:val="nil"/>
              <w:left w:val="single" w:sz="4" w:space="0" w:color="85BADC"/>
              <w:bottom w:val="nil"/>
              <w:right w:val="single" w:sz="4" w:space="0" w:color="85BADC"/>
            </w:tcBorders>
            <w:shd w:val="clear" w:color="auto" w:fill="auto"/>
            <w:noWrap/>
            <w:vAlign w:val="bottom"/>
            <w:hideMark/>
          </w:tcPr>
          <w:p w14:paraId="3873EE56" w14:textId="77777777" w:rsidR="00CF4C3A" w:rsidRPr="0076589C" w:rsidRDefault="00CF4C3A" w:rsidP="00CF4C3A">
            <w:pPr>
              <w:spacing w:after="0" w:line="240" w:lineRule="auto"/>
              <w:ind w:left="0"/>
              <w:jc w:val="center"/>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 </w:t>
            </w:r>
          </w:p>
        </w:tc>
      </w:tr>
      <w:tr w:rsidR="00CF4C3A" w:rsidRPr="0076589C" w14:paraId="2F2948DE" w14:textId="77777777" w:rsidTr="00440546">
        <w:trPr>
          <w:trHeight w:val="290"/>
        </w:trPr>
        <w:tc>
          <w:tcPr>
            <w:tcW w:w="5000" w:type="pct"/>
            <w:gridSpan w:val="5"/>
            <w:tcBorders>
              <w:top w:val="nil"/>
              <w:left w:val="single" w:sz="4" w:space="0" w:color="85BADC"/>
              <w:bottom w:val="nil"/>
              <w:right w:val="single" w:sz="4" w:space="0" w:color="85BADC"/>
            </w:tcBorders>
            <w:shd w:val="clear" w:color="auto" w:fill="auto"/>
            <w:noWrap/>
            <w:vAlign w:val="bottom"/>
            <w:hideMark/>
          </w:tcPr>
          <w:p w14:paraId="3D598AA9" w14:textId="77777777" w:rsidR="00CF4C3A" w:rsidRPr="0076589C" w:rsidRDefault="00CF4C3A" w:rsidP="00CF4C3A">
            <w:pPr>
              <w:spacing w:after="0" w:line="240" w:lineRule="auto"/>
              <w:ind w:left="0"/>
              <w:rPr>
                <w:rFonts w:ascii="Calibri" w:eastAsia="Times New Roman" w:hAnsi="Calibri" w:cs="Calibri"/>
                <w:b/>
                <w:bCs/>
                <w:color w:val="000000"/>
                <w:sz w:val="20"/>
                <w:szCs w:val="20"/>
                <w:u w:val="single"/>
              </w:rPr>
            </w:pPr>
            <w:r w:rsidRPr="0076589C">
              <w:rPr>
                <w:rFonts w:ascii="Calibri" w:eastAsia="Times New Roman" w:hAnsi="Calibri" w:cs="Calibri"/>
                <w:b/>
                <w:bCs/>
                <w:color w:val="000000"/>
                <w:sz w:val="20"/>
                <w:szCs w:val="20"/>
                <w:u w:val="single"/>
              </w:rPr>
              <w:t>Antigüedad de las Cuentas por cobrar</w:t>
            </w:r>
          </w:p>
        </w:tc>
      </w:tr>
      <w:tr w:rsidR="00FA3BF2" w:rsidRPr="0076589C" w14:paraId="7384B7F9" w14:textId="77777777" w:rsidTr="00731C82">
        <w:trPr>
          <w:trHeight w:val="300"/>
        </w:trPr>
        <w:tc>
          <w:tcPr>
            <w:tcW w:w="1874" w:type="pct"/>
            <w:tcBorders>
              <w:top w:val="single" w:sz="4" w:space="0" w:color="auto"/>
              <w:left w:val="single" w:sz="4" w:space="0" w:color="85BADC"/>
              <w:bottom w:val="single" w:sz="8" w:space="0" w:color="85BADC"/>
              <w:right w:val="nil"/>
            </w:tcBorders>
            <w:shd w:val="clear" w:color="000000" w:fill="C9E1EF"/>
            <w:noWrap/>
            <w:vAlign w:val="center"/>
            <w:hideMark/>
          </w:tcPr>
          <w:p w14:paraId="5DDD2D76"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Plazo (días)</w:t>
            </w:r>
          </w:p>
        </w:tc>
        <w:tc>
          <w:tcPr>
            <w:tcW w:w="716" w:type="pct"/>
            <w:tcBorders>
              <w:top w:val="single" w:sz="4" w:space="0" w:color="auto"/>
              <w:left w:val="nil"/>
              <w:bottom w:val="single" w:sz="8" w:space="0" w:color="85BADC"/>
              <w:right w:val="nil"/>
            </w:tcBorders>
            <w:shd w:val="clear" w:color="000000" w:fill="C9E1EF"/>
            <w:noWrap/>
            <w:vAlign w:val="center"/>
            <w:hideMark/>
          </w:tcPr>
          <w:p w14:paraId="0925E648"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2019</w:t>
            </w:r>
          </w:p>
        </w:tc>
        <w:tc>
          <w:tcPr>
            <w:tcW w:w="803" w:type="pct"/>
            <w:tcBorders>
              <w:top w:val="single" w:sz="4" w:space="0" w:color="auto"/>
              <w:left w:val="nil"/>
              <w:bottom w:val="single" w:sz="8" w:space="0" w:color="85BADC"/>
              <w:right w:val="nil"/>
            </w:tcBorders>
            <w:shd w:val="clear" w:color="000000" w:fill="C9E1EF"/>
            <w:noWrap/>
            <w:vAlign w:val="center"/>
            <w:hideMark/>
          </w:tcPr>
          <w:p w14:paraId="0E00068A"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2020</w:t>
            </w:r>
          </w:p>
        </w:tc>
        <w:tc>
          <w:tcPr>
            <w:tcW w:w="803" w:type="pct"/>
            <w:tcBorders>
              <w:top w:val="single" w:sz="4" w:space="0" w:color="auto"/>
              <w:left w:val="nil"/>
              <w:bottom w:val="single" w:sz="8" w:space="0" w:color="85BADC"/>
              <w:right w:val="nil"/>
            </w:tcBorders>
            <w:shd w:val="clear" w:color="000000" w:fill="C9E1EF"/>
            <w:noWrap/>
            <w:vAlign w:val="center"/>
            <w:hideMark/>
          </w:tcPr>
          <w:p w14:paraId="3207A052"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2021</w:t>
            </w:r>
          </w:p>
        </w:tc>
        <w:tc>
          <w:tcPr>
            <w:tcW w:w="803" w:type="pct"/>
            <w:tcBorders>
              <w:top w:val="single" w:sz="4" w:space="0" w:color="auto"/>
              <w:left w:val="nil"/>
              <w:bottom w:val="single" w:sz="8" w:space="0" w:color="85BADC"/>
              <w:right w:val="single" w:sz="4" w:space="0" w:color="85BADC"/>
            </w:tcBorders>
            <w:shd w:val="clear" w:color="000000" w:fill="C9E1EF"/>
            <w:noWrap/>
            <w:vAlign w:val="center"/>
            <w:hideMark/>
          </w:tcPr>
          <w:p w14:paraId="699E2880"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2022</w:t>
            </w:r>
          </w:p>
        </w:tc>
      </w:tr>
      <w:tr w:rsidR="00CF4C3A" w:rsidRPr="0076589C" w14:paraId="56C0B9D1"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4592C6DD"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Actual</w:t>
            </w:r>
          </w:p>
        </w:tc>
        <w:tc>
          <w:tcPr>
            <w:tcW w:w="716" w:type="pct"/>
            <w:tcBorders>
              <w:top w:val="nil"/>
              <w:left w:val="nil"/>
              <w:bottom w:val="nil"/>
              <w:right w:val="nil"/>
            </w:tcBorders>
            <w:shd w:val="clear" w:color="auto" w:fill="auto"/>
            <w:noWrap/>
            <w:vAlign w:val="bottom"/>
            <w:hideMark/>
          </w:tcPr>
          <w:p w14:paraId="2AE3EC6B"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33.29%</w:t>
            </w:r>
          </w:p>
        </w:tc>
        <w:tc>
          <w:tcPr>
            <w:tcW w:w="803" w:type="pct"/>
            <w:tcBorders>
              <w:top w:val="nil"/>
              <w:left w:val="nil"/>
              <w:bottom w:val="nil"/>
              <w:right w:val="nil"/>
            </w:tcBorders>
            <w:shd w:val="clear" w:color="auto" w:fill="auto"/>
            <w:noWrap/>
            <w:vAlign w:val="bottom"/>
            <w:hideMark/>
          </w:tcPr>
          <w:p w14:paraId="04F1A070"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31.21%</w:t>
            </w:r>
          </w:p>
        </w:tc>
        <w:tc>
          <w:tcPr>
            <w:tcW w:w="803" w:type="pct"/>
            <w:tcBorders>
              <w:top w:val="nil"/>
              <w:left w:val="nil"/>
              <w:bottom w:val="nil"/>
              <w:right w:val="nil"/>
            </w:tcBorders>
            <w:shd w:val="clear" w:color="auto" w:fill="auto"/>
            <w:noWrap/>
            <w:vAlign w:val="bottom"/>
            <w:hideMark/>
          </w:tcPr>
          <w:p w14:paraId="44A49AD1"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16.11%</w:t>
            </w:r>
          </w:p>
        </w:tc>
        <w:tc>
          <w:tcPr>
            <w:tcW w:w="803" w:type="pct"/>
            <w:tcBorders>
              <w:top w:val="nil"/>
              <w:left w:val="nil"/>
              <w:bottom w:val="nil"/>
              <w:right w:val="single" w:sz="4" w:space="0" w:color="85BADC"/>
            </w:tcBorders>
            <w:shd w:val="clear" w:color="auto" w:fill="auto"/>
            <w:noWrap/>
            <w:vAlign w:val="bottom"/>
            <w:hideMark/>
          </w:tcPr>
          <w:p w14:paraId="79D40B41"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29.15%</w:t>
            </w:r>
          </w:p>
        </w:tc>
      </w:tr>
      <w:tr w:rsidR="00CF4C3A" w:rsidRPr="0076589C" w14:paraId="5E15CF25"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3AA574D9"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30</w:t>
            </w:r>
          </w:p>
        </w:tc>
        <w:tc>
          <w:tcPr>
            <w:tcW w:w="716" w:type="pct"/>
            <w:tcBorders>
              <w:top w:val="nil"/>
              <w:left w:val="nil"/>
              <w:bottom w:val="nil"/>
              <w:right w:val="nil"/>
            </w:tcBorders>
            <w:shd w:val="clear" w:color="auto" w:fill="auto"/>
            <w:noWrap/>
            <w:vAlign w:val="bottom"/>
            <w:hideMark/>
          </w:tcPr>
          <w:p w14:paraId="78806E36"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19.54%</w:t>
            </w:r>
          </w:p>
        </w:tc>
        <w:tc>
          <w:tcPr>
            <w:tcW w:w="803" w:type="pct"/>
            <w:tcBorders>
              <w:top w:val="nil"/>
              <w:left w:val="nil"/>
              <w:bottom w:val="nil"/>
              <w:right w:val="nil"/>
            </w:tcBorders>
            <w:shd w:val="clear" w:color="auto" w:fill="auto"/>
            <w:noWrap/>
            <w:vAlign w:val="bottom"/>
            <w:hideMark/>
          </w:tcPr>
          <w:p w14:paraId="72111576"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23.62%</w:t>
            </w:r>
          </w:p>
        </w:tc>
        <w:tc>
          <w:tcPr>
            <w:tcW w:w="803" w:type="pct"/>
            <w:tcBorders>
              <w:top w:val="nil"/>
              <w:left w:val="nil"/>
              <w:bottom w:val="nil"/>
              <w:right w:val="nil"/>
            </w:tcBorders>
            <w:shd w:val="clear" w:color="auto" w:fill="auto"/>
            <w:noWrap/>
            <w:vAlign w:val="bottom"/>
            <w:hideMark/>
          </w:tcPr>
          <w:p w14:paraId="147135D9"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33.79%</w:t>
            </w:r>
          </w:p>
        </w:tc>
        <w:tc>
          <w:tcPr>
            <w:tcW w:w="803" w:type="pct"/>
            <w:tcBorders>
              <w:top w:val="nil"/>
              <w:left w:val="nil"/>
              <w:bottom w:val="nil"/>
              <w:right w:val="single" w:sz="4" w:space="0" w:color="85BADC"/>
            </w:tcBorders>
            <w:shd w:val="clear" w:color="auto" w:fill="auto"/>
            <w:noWrap/>
            <w:vAlign w:val="bottom"/>
            <w:hideMark/>
          </w:tcPr>
          <w:p w14:paraId="562B818D"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24.97%</w:t>
            </w:r>
          </w:p>
        </w:tc>
      </w:tr>
      <w:tr w:rsidR="00CF4C3A" w:rsidRPr="0076589C" w14:paraId="652CCF6D"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05B89EE1"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60</w:t>
            </w:r>
          </w:p>
        </w:tc>
        <w:tc>
          <w:tcPr>
            <w:tcW w:w="716" w:type="pct"/>
            <w:tcBorders>
              <w:top w:val="nil"/>
              <w:left w:val="nil"/>
              <w:bottom w:val="nil"/>
              <w:right w:val="nil"/>
            </w:tcBorders>
            <w:shd w:val="clear" w:color="auto" w:fill="auto"/>
            <w:noWrap/>
            <w:vAlign w:val="bottom"/>
            <w:hideMark/>
          </w:tcPr>
          <w:p w14:paraId="16B3C873"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7.97%</w:t>
            </w:r>
          </w:p>
        </w:tc>
        <w:tc>
          <w:tcPr>
            <w:tcW w:w="803" w:type="pct"/>
            <w:tcBorders>
              <w:top w:val="nil"/>
              <w:left w:val="nil"/>
              <w:bottom w:val="nil"/>
              <w:right w:val="nil"/>
            </w:tcBorders>
            <w:shd w:val="clear" w:color="auto" w:fill="auto"/>
            <w:noWrap/>
            <w:vAlign w:val="bottom"/>
            <w:hideMark/>
          </w:tcPr>
          <w:p w14:paraId="0A1DABC9"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11.48%</w:t>
            </w:r>
          </w:p>
        </w:tc>
        <w:tc>
          <w:tcPr>
            <w:tcW w:w="803" w:type="pct"/>
            <w:tcBorders>
              <w:top w:val="nil"/>
              <w:left w:val="nil"/>
              <w:bottom w:val="nil"/>
              <w:right w:val="nil"/>
            </w:tcBorders>
            <w:shd w:val="clear" w:color="auto" w:fill="auto"/>
            <w:noWrap/>
            <w:vAlign w:val="bottom"/>
            <w:hideMark/>
          </w:tcPr>
          <w:p w14:paraId="2F5406DA"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11.79%</w:t>
            </w:r>
          </w:p>
        </w:tc>
        <w:tc>
          <w:tcPr>
            <w:tcW w:w="803" w:type="pct"/>
            <w:tcBorders>
              <w:top w:val="nil"/>
              <w:left w:val="nil"/>
              <w:bottom w:val="nil"/>
              <w:right w:val="single" w:sz="4" w:space="0" w:color="85BADC"/>
            </w:tcBorders>
            <w:shd w:val="clear" w:color="auto" w:fill="auto"/>
            <w:noWrap/>
            <w:vAlign w:val="bottom"/>
            <w:hideMark/>
          </w:tcPr>
          <w:p w14:paraId="4597A1F3"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21.38%</w:t>
            </w:r>
          </w:p>
        </w:tc>
      </w:tr>
      <w:tr w:rsidR="00CF4C3A" w:rsidRPr="0076589C" w14:paraId="399C9E1C"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031E74E0"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90</w:t>
            </w:r>
          </w:p>
        </w:tc>
        <w:tc>
          <w:tcPr>
            <w:tcW w:w="716" w:type="pct"/>
            <w:tcBorders>
              <w:top w:val="nil"/>
              <w:left w:val="nil"/>
              <w:bottom w:val="nil"/>
              <w:right w:val="nil"/>
            </w:tcBorders>
            <w:shd w:val="clear" w:color="auto" w:fill="auto"/>
            <w:noWrap/>
            <w:vAlign w:val="bottom"/>
            <w:hideMark/>
          </w:tcPr>
          <w:p w14:paraId="4276548C"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5.33%</w:t>
            </w:r>
          </w:p>
        </w:tc>
        <w:tc>
          <w:tcPr>
            <w:tcW w:w="803" w:type="pct"/>
            <w:tcBorders>
              <w:top w:val="nil"/>
              <w:left w:val="nil"/>
              <w:bottom w:val="nil"/>
              <w:right w:val="nil"/>
            </w:tcBorders>
            <w:shd w:val="clear" w:color="auto" w:fill="auto"/>
            <w:noWrap/>
            <w:vAlign w:val="bottom"/>
            <w:hideMark/>
          </w:tcPr>
          <w:p w14:paraId="509647EB"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10.46%</w:t>
            </w:r>
          </w:p>
        </w:tc>
        <w:tc>
          <w:tcPr>
            <w:tcW w:w="803" w:type="pct"/>
            <w:tcBorders>
              <w:top w:val="nil"/>
              <w:left w:val="nil"/>
              <w:bottom w:val="nil"/>
              <w:right w:val="nil"/>
            </w:tcBorders>
            <w:shd w:val="clear" w:color="auto" w:fill="auto"/>
            <w:noWrap/>
            <w:vAlign w:val="bottom"/>
            <w:hideMark/>
          </w:tcPr>
          <w:p w14:paraId="3051D0AC"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10.26%</w:t>
            </w:r>
          </w:p>
        </w:tc>
        <w:tc>
          <w:tcPr>
            <w:tcW w:w="803" w:type="pct"/>
            <w:tcBorders>
              <w:top w:val="nil"/>
              <w:left w:val="nil"/>
              <w:bottom w:val="nil"/>
              <w:right w:val="single" w:sz="4" w:space="0" w:color="85BADC"/>
            </w:tcBorders>
            <w:shd w:val="clear" w:color="auto" w:fill="auto"/>
            <w:noWrap/>
            <w:vAlign w:val="bottom"/>
            <w:hideMark/>
          </w:tcPr>
          <w:p w14:paraId="4DBF2934"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2.92%</w:t>
            </w:r>
          </w:p>
        </w:tc>
      </w:tr>
      <w:tr w:rsidR="00CF4C3A" w:rsidRPr="0076589C" w14:paraId="54379585" w14:textId="77777777" w:rsidTr="00731C82">
        <w:trPr>
          <w:trHeight w:val="300"/>
        </w:trPr>
        <w:tc>
          <w:tcPr>
            <w:tcW w:w="1874" w:type="pct"/>
            <w:tcBorders>
              <w:top w:val="nil"/>
              <w:left w:val="single" w:sz="4" w:space="0" w:color="85BADC"/>
              <w:bottom w:val="double" w:sz="6" w:space="0" w:color="85BADC"/>
              <w:right w:val="nil"/>
            </w:tcBorders>
            <w:shd w:val="clear" w:color="auto" w:fill="auto"/>
            <w:noWrap/>
            <w:vAlign w:val="bottom"/>
            <w:hideMark/>
          </w:tcPr>
          <w:p w14:paraId="486A796E"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Más de 90</w:t>
            </w:r>
          </w:p>
        </w:tc>
        <w:tc>
          <w:tcPr>
            <w:tcW w:w="716" w:type="pct"/>
            <w:tcBorders>
              <w:top w:val="nil"/>
              <w:left w:val="nil"/>
              <w:bottom w:val="double" w:sz="6" w:space="0" w:color="85BADC"/>
              <w:right w:val="nil"/>
            </w:tcBorders>
            <w:shd w:val="clear" w:color="auto" w:fill="auto"/>
            <w:noWrap/>
            <w:vAlign w:val="bottom"/>
            <w:hideMark/>
          </w:tcPr>
          <w:p w14:paraId="37C141F6"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33.87%</w:t>
            </w:r>
          </w:p>
        </w:tc>
        <w:tc>
          <w:tcPr>
            <w:tcW w:w="803" w:type="pct"/>
            <w:tcBorders>
              <w:top w:val="nil"/>
              <w:left w:val="nil"/>
              <w:bottom w:val="double" w:sz="6" w:space="0" w:color="85BADC"/>
              <w:right w:val="nil"/>
            </w:tcBorders>
            <w:shd w:val="clear" w:color="auto" w:fill="auto"/>
            <w:noWrap/>
            <w:vAlign w:val="bottom"/>
            <w:hideMark/>
          </w:tcPr>
          <w:p w14:paraId="0C0C3B69"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23.24%</w:t>
            </w:r>
          </w:p>
        </w:tc>
        <w:tc>
          <w:tcPr>
            <w:tcW w:w="803" w:type="pct"/>
            <w:tcBorders>
              <w:top w:val="nil"/>
              <w:left w:val="nil"/>
              <w:bottom w:val="double" w:sz="6" w:space="0" w:color="85BADC"/>
              <w:right w:val="nil"/>
            </w:tcBorders>
            <w:shd w:val="clear" w:color="auto" w:fill="auto"/>
            <w:noWrap/>
            <w:vAlign w:val="bottom"/>
            <w:hideMark/>
          </w:tcPr>
          <w:p w14:paraId="4C4FD1BB"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28.06%</w:t>
            </w:r>
          </w:p>
        </w:tc>
        <w:tc>
          <w:tcPr>
            <w:tcW w:w="803" w:type="pct"/>
            <w:tcBorders>
              <w:top w:val="nil"/>
              <w:left w:val="nil"/>
              <w:bottom w:val="double" w:sz="6" w:space="0" w:color="85BADC"/>
              <w:right w:val="single" w:sz="4" w:space="0" w:color="85BADC"/>
            </w:tcBorders>
            <w:shd w:val="clear" w:color="auto" w:fill="auto"/>
            <w:noWrap/>
            <w:vAlign w:val="bottom"/>
            <w:hideMark/>
          </w:tcPr>
          <w:p w14:paraId="2D2DE1AE"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21.57%</w:t>
            </w:r>
          </w:p>
        </w:tc>
      </w:tr>
    </w:tbl>
    <w:p w14:paraId="3F2F7AF3" w14:textId="77777777" w:rsidR="00731C82" w:rsidRPr="0076589C" w:rsidRDefault="00731C82">
      <w:r w:rsidRPr="0076589C">
        <w:br w:type="page"/>
      </w:r>
    </w:p>
    <w:tbl>
      <w:tblPr>
        <w:tblW w:w="5000" w:type="pct"/>
        <w:tblLook w:val="04A0" w:firstRow="1" w:lastRow="0" w:firstColumn="1" w:lastColumn="0" w:noHBand="0" w:noVBand="1"/>
      </w:tblPr>
      <w:tblGrid>
        <w:gridCol w:w="3504"/>
        <w:gridCol w:w="1339"/>
        <w:gridCol w:w="1502"/>
        <w:gridCol w:w="1502"/>
        <w:gridCol w:w="1503"/>
      </w:tblGrid>
      <w:tr w:rsidR="00CF4C3A" w:rsidRPr="0076589C" w14:paraId="276A540A" w14:textId="77777777" w:rsidTr="00440546">
        <w:trPr>
          <w:trHeight w:val="300"/>
        </w:trPr>
        <w:tc>
          <w:tcPr>
            <w:tcW w:w="5000" w:type="pct"/>
            <w:gridSpan w:val="5"/>
            <w:tcBorders>
              <w:top w:val="nil"/>
              <w:left w:val="single" w:sz="4" w:space="0" w:color="85BADC"/>
              <w:bottom w:val="nil"/>
              <w:right w:val="single" w:sz="4" w:space="0" w:color="85BADC"/>
            </w:tcBorders>
            <w:shd w:val="clear" w:color="auto" w:fill="auto"/>
            <w:noWrap/>
            <w:vAlign w:val="bottom"/>
            <w:hideMark/>
          </w:tcPr>
          <w:p w14:paraId="736FE9D4" w14:textId="51F500E0" w:rsidR="00CF4C3A" w:rsidRPr="0076589C" w:rsidRDefault="00CF4C3A" w:rsidP="00CF4C3A">
            <w:pPr>
              <w:spacing w:after="0" w:line="240" w:lineRule="auto"/>
              <w:ind w:left="0"/>
              <w:jc w:val="center"/>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lastRenderedPageBreak/>
              <w:t> </w:t>
            </w:r>
          </w:p>
        </w:tc>
      </w:tr>
      <w:tr w:rsidR="00CF4C3A" w:rsidRPr="0076589C" w14:paraId="2F2DBB14" w14:textId="77777777" w:rsidTr="00440546">
        <w:trPr>
          <w:trHeight w:val="290"/>
        </w:trPr>
        <w:tc>
          <w:tcPr>
            <w:tcW w:w="5000" w:type="pct"/>
            <w:gridSpan w:val="5"/>
            <w:tcBorders>
              <w:top w:val="nil"/>
              <w:left w:val="single" w:sz="4" w:space="0" w:color="85BADC"/>
              <w:bottom w:val="nil"/>
              <w:right w:val="single" w:sz="4" w:space="0" w:color="85BADC"/>
            </w:tcBorders>
            <w:shd w:val="clear" w:color="auto" w:fill="auto"/>
            <w:noWrap/>
            <w:vAlign w:val="bottom"/>
            <w:hideMark/>
          </w:tcPr>
          <w:p w14:paraId="3526DE5F" w14:textId="77777777" w:rsidR="00CF4C3A" w:rsidRPr="0076589C" w:rsidRDefault="00CF4C3A" w:rsidP="00CF4C3A">
            <w:pPr>
              <w:spacing w:after="0" w:line="240" w:lineRule="auto"/>
              <w:ind w:left="0"/>
              <w:rPr>
                <w:rFonts w:ascii="Calibri" w:eastAsia="Times New Roman" w:hAnsi="Calibri" w:cs="Calibri"/>
                <w:b/>
                <w:bCs/>
                <w:color w:val="000000"/>
                <w:sz w:val="20"/>
                <w:szCs w:val="20"/>
                <w:u w:val="single"/>
              </w:rPr>
            </w:pPr>
            <w:r w:rsidRPr="0076589C">
              <w:rPr>
                <w:rFonts w:ascii="Calibri" w:eastAsia="Times New Roman" w:hAnsi="Calibri" w:cs="Calibri"/>
                <w:b/>
                <w:bCs/>
                <w:color w:val="000000"/>
                <w:sz w:val="20"/>
                <w:szCs w:val="20"/>
                <w:u w:val="single"/>
              </w:rPr>
              <w:t>Rotación de las cuentas por cobrar</w:t>
            </w:r>
          </w:p>
        </w:tc>
      </w:tr>
      <w:tr w:rsidR="00FA3BF2" w:rsidRPr="0076589C" w14:paraId="56B4CA68" w14:textId="77777777" w:rsidTr="00731C82">
        <w:trPr>
          <w:trHeight w:val="300"/>
        </w:trPr>
        <w:tc>
          <w:tcPr>
            <w:tcW w:w="1874" w:type="pct"/>
            <w:tcBorders>
              <w:top w:val="single" w:sz="4" w:space="0" w:color="auto"/>
              <w:left w:val="single" w:sz="4" w:space="0" w:color="85BADC"/>
              <w:bottom w:val="single" w:sz="8" w:space="0" w:color="85BADC"/>
              <w:right w:val="nil"/>
            </w:tcBorders>
            <w:shd w:val="clear" w:color="000000" w:fill="C9E1EF"/>
            <w:noWrap/>
            <w:vAlign w:val="center"/>
            <w:hideMark/>
          </w:tcPr>
          <w:p w14:paraId="086EBC92"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Plazo (días)</w:t>
            </w:r>
          </w:p>
        </w:tc>
        <w:tc>
          <w:tcPr>
            <w:tcW w:w="716" w:type="pct"/>
            <w:tcBorders>
              <w:top w:val="single" w:sz="4" w:space="0" w:color="auto"/>
              <w:left w:val="nil"/>
              <w:bottom w:val="single" w:sz="8" w:space="0" w:color="85BADC"/>
              <w:right w:val="nil"/>
            </w:tcBorders>
            <w:shd w:val="clear" w:color="000000" w:fill="C9E1EF"/>
            <w:noWrap/>
            <w:vAlign w:val="center"/>
            <w:hideMark/>
          </w:tcPr>
          <w:p w14:paraId="1B44D966"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2019</w:t>
            </w:r>
          </w:p>
        </w:tc>
        <w:tc>
          <w:tcPr>
            <w:tcW w:w="803" w:type="pct"/>
            <w:tcBorders>
              <w:top w:val="single" w:sz="4" w:space="0" w:color="auto"/>
              <w:left w:val="nil"/>
              <w:bottom w:val="single" w:sz="8" w:space="0" w:color="85BADC"/>
              <w:right w:val="nil"/>
            </w:tcBorders>
            <w:shd w:val="clear" w:color="000000" w:fill="C9E1EF"/>
            <w:noWrap/>
            <w:vAlign w:val="center"/>
            <w:hideMark/>
          </w:tcPr>
          <w:p w14:paraId="3B54E5E9"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2020</w:t>
            </w:r>
          </w:p>
        </w:tc>
        <w:tc>
          <w:tcPr>
            <w:tcW w:w="803" w:type="pct"/>
            <w:tcBorders>
              <w:top w:val="single" w:sz="4" w:space="0" w:color="auto"/>
              <w:left w:val="nil"/>
              <w:bottom w:val="single" w:sz="8" w:space="0" w:color="85BADC"/>
              <w:right w:val="nil"/>
            </w:tcBorders>
            <w:shd w:val="clear" w:color="000000" w:fill="C9E1EF"/>
            <w:noWrap/>
            <w:vAlign w:val="center"/>
            <w:hideMark/>
          </w:tcPr>
          <w:p w14:paraId="4304FCE7"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2021</w:t>
            </w:r>
          </w:p>
        </w:tc>
        <w:tc>
          <w:tcPr>
            <w:tcW w:w="803" w:type="pct"/>
            <w:tcBorders>
              <w:top w:val="single" w:sz="4" w:space="0" w:color="auto"/>
              <w:left w:val="nil"/>
              <w:bottom w:val="single" w:sz="8" w:space="0" w:color="85BADC"/>
              <w:right w:val="single" w:sz="4" w:space="0" w:color="85BADC"/>
            </w:tcBorders>
            <w:shd w:val="clear" w:color="000000" w:fill="C9E1EF"/>
            <w:noWrap/>
            <w:vAlign w:val="center"/>
            <w:hideMark/>
          </w:tcPr>
          <w:p w14:paraId="3166FAEB"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2022</w:t>
            </w:r>
          </w:p>
        </w:tc>
      </w:tr>
      <w:tr w:rsidR="00CF4C3A" w:rsidRPr="0076589C" w14:paraId="0031AFB2"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70C5EB18"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Ventas</w:t>
            </w:r>
          </w:p>
        </w:tc>
        <w:tc>
          <w:tcPr>
            <w:tcW w:w="716" w:type="pct"/>
            <w:tcBorders>
              <w:top w:val="nil"/>
              <w:left w:val="nil"/>
              <w:bottom w:val="nil"/>
              <w:right w:val="nil"/>
            </w:tcBorders>
            <w:shd w:val="clear" w:color="auto" w:fill="auto"/>
            <w:noWrap/>
            <w:vAlign w:val="bottom"/>
            <w:hideMark/>
          </w:tcPr>
          <w:p w14:paraId="73D8E676"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26105424.64</w:t>
            </w:r>
          </w:p>
        </w:tc>
        <w:tc>
          <w:tcPr>
            <w:tcW w:w="803" w:type="pct"/>
            <w:tcBorders>
              <w:top w:val="nil"/>
              <w:left w:val="nil"/>
              <w:bottom w:val="nil"/>
              <w:right w:val="nil"/>
            </w:tcBorders>
            <w:shd w:val="clear" w:color="auto" w:fill="auto"/>
            <w:noWrap/>
            <w:vAlign w:val="bottom"/>
            <w:hideMark/>
          </w:tcPr>
          <w:p w14:paraId="630E28B0"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31891032.92</w:t>
            </w:r>
          </w:p>
        </w:tc>
        <w:tc>
          <w:tcPr>
            <w:tcW w:w="803" w:type="pct"/>
            <w:tcBorders>
              <w:top w:val="nil"/>
              <w:left w:val="nil"/>
              <w:bottom w:val="nil"/>
              <w:right w:val="nil"/>
            </w:tcBorders>
            <w:shd w:val="clear" w:color="auto" w:fill="auto"/>
            <w:noWrap/>
            <w:vAlign w:val="bottom"/>
            <w:hideMark/>
          </w:tcPr>
          <w:p w14:paraId="313BD077"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22321755.08</w:t>
            </w:r>
          </w:p>
        </w:tc>
        <w:tc>
          <w:tcPr>
            <w:tcW w:w="803" w:type="pct"/>
            <w:tcBorders>
              <w:top w:val="nil"/>
              <w:left w:val="nil"/>
              <w:bottom w:val="nil"/>
              <w:right w:val="single" w:sz="4" w:space="0" w:color="85BADC"/>
            </w:tcBorders>
            <w:shd w:val="clear" w:color="auto" w:fill="auto"/>
            <w:noWrap/>
            <w:vAlign w:val="bottom"/>
            <w:hideMark/>
          </w:tcPr>
          <w:p w14:paraId="5EB9279E"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29605010.66</w:t>
            </w:r>
          </w:p>
        </w:tc>
      </w:tr>
      <w:tr w:rsidR="00CF4C3A" w:rsidRPr="0076589C" w14:paraId="250B5508" w14:textId="77777777" w:rsidTr="00731C82">
        <w:trPr>
          <w:trHeight w:val="300"/>
        </w:trPr>
        <w:tc>
          <w:tcPr>
            <w:tcW w:w="1874" w:type="pct"/>
            <w:tcBorders>
              <w:top w:val="nil"/>
              <w:left w:val="single" w:sz="4" w:space="0" w:color="85BADC"/>
              <w:bottom w:val="double" w:sz="6" w:space="0" w:color="85BADC"/>
              <w:right w:val="nil"/>
            </w:tcBorders>
            <w:shd w:val="clear" w:color="auto" w:fill="auto"/>
            <w:noWrap/>
            <w:vAlign w:val="bottom"/>
            <w:hideMark/>
          </w:tcPr>
          <w:p w14:paraId="0D2DE43C" w14:textId="77777777" w:rsidR="00CF4C3A" w:rsidRPr="0076589C" w:rsidRDefault="00CF4C3A" w:rsidP="00CF4C3A">
            <w:pPr>
              <w:spacing w:after="0" w:line="240" w:lineRule="auto"/>
              <w:ind w:left="0"/>
              <w:rPr>
                <w:rFonts w:ascii="Calibri" w:eastAsia="Times New Roman" w:hAnsi="Calibri" w:cs="Calibri"/>
                <w:color w:val="000000"/>
                <w:sz w:val="20"/>
                <w:szCs w:val="20"/>
              </w:rPr>
            </w:pPr>
            <w:r w:rsidRPr="0076589C">
              <w:rPr>
                <w:rFonts w:ascii="Calibri" w:eastAsia="Times New Roman" w:hAnsi="Calibri" w:cs="Calibri"/>
                <w:color w:val="000000"/>
                <w:sz w:val="20"/>
                <w:szCs w:val="20"/>
              </w:rPr>
              <w:t>Promedio de cuentas por cobrar</w:t>
            </w:r>
          </w:p>
        </w:tc>
        <w:tc>
          <w:tcPr>
            <w:tcW w:w="716" w:type="pct"/>
            <w:tcBorders>
              <w:top w:val="nil"/>
              <w:left w:val="nil"/>
              <w:bottom w:val="double" w:sz="6" w:space="0" w:color="85BADC"/>
              <w:right w:val="nil"/>
            </w:tcBorders>
            <w:shd w:val="clear" w:color="auto" w:fill="auto"/>
            <w:noWrap/>
            <w:vAlign w:val="bottom"/>
            <w:hideMark/>
          </w:tcPr>
          <w:p w14:paraId="3499777D"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11804804.12</w:t>
            </w:r>
          </w:p>
        </w:tc>
        <w:tc>
          <w:tcPr>
            <w:tcW w:w="803" w:type="pct"/>
            <w:tcBorders>
              <w:top w:val="nil"/>
              <w:left w:val="nil"/>
              <w:bottom w:val="double" w:sz="6" w:space="0" w:color="85BADC"/>
              <w:right w:val="nil"/>
            </w:tcBorders>
            <w:shd w:val="clear" w:color="auto" w:fill="auto"/>
            <w:noWrap/>
            <w:vAlign w:val="bottom"/>
            <w:hideMark/>
          </w:tcPr>
          <w:p w14:paraId="7E89C645"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11467205.1</w:t>
            </w:r>
          </w:p>
        </w:tc>
        <w:tc>
          <w:tcPr>
            <w:tcW w:w="803" w:type="pct"/>
            <w:tcBorders>
              <w:top w:val="nil"/>
              <w:left w:val="nil"/>
              <w:bottom w:val="double" w:sz="6" w:space="0" w:color="85BADC"/>
              <w:right w:val="nil"/>
            </w:tcBorders>
            <w:shd w:val="clear" w:color="auto" w:fill="auto"/>
            <w:noWrap/>
            <w:vAlign w:val="bottom"/>
            <w:hideMark/>
          </w:tcPr>
          <w:p w14:paraId="06884E27"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8785375.77</w:t>
            </w:r>
          </w:p>
        </w:tc>
        <w:tc>
          <w:tcPr>
            <w:tcW w:w="803" w:type="pct"/>
            <w:tcBorders>
              <w:top w:val="nil"/>
              <w:left w:val="nil"/>
              <w:bottom w:val="double" w:sz="6" w:space="0" w:color="85BADC"/>
              <w:right w:val="single" w:sz="4" w:space="0" w:color="85BADC"/>
            </w:tcBorders>
            <w:shd w:val="clear" w:color="auto" w:fill="auto"/>
            <w:noWrap/>
            <w:vAlign w:val="bottom"/>
            <w:hideMark/>
          </w:tcPr>
          <w:p w14:paraId="362ADA74"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6484475.63</w:t>
            </w:r>
          </w:p>
        </w:tc>
      </w:tr>
      <w:tr w:rsidR="00CF4C3A" w:rsidRPr="0076589C" w14:paraId="20B5C253" w14:textId="77777777" w:rsidTr="00731C82">
        <w:trPr>
          <w:trHeight w:val="310"/>
        </w:trPr>
        <w:tc>
          <w:tcPr>
            <w:tcW w:w="1874" w:type="pct"/>
            <w:tcBorders>
              <w:top w:val="nil"/>
              <w:left w:val="single" w:sz="4" w:space="0" w:color="85BADC"/>
              <w:bottom w:val="double" w:sz="6" w:space="0" w:color="85BADC"/>
              <w:right w:val="nil"/>
            </w:tcBorders>
            <w:shd w:val="clear" w:color="auto" w:fill="auto"/>
            <w:noWrap/>
            <w:vAlign w:val="bottom"/>
            <w:hideMark/>
          </w:tcPr>
          <w:p w14:paraId="3EC9D2EC"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RCxC  Veces</w:t>
            </w:r>
          </w:p>
        </w:tc>
        <w:tc>
          <w:tcPr>
            <w:tcW w:w="716" w:type="pct"/>
            <w:tcBorders>
              <w:top w:val="nil"/>
              <w:left w:val="nil"/>
              <w:bottom w:val="double" w:sz="6" w:space="0" w:color="85BADC"/>
              <w:right w:val="nil"/>
            </w:tcBorders>
            <w:shd w:val="clear" w:color="auto" w:fill="auto"/>
            <w:noWrap/>
            <w:vAlign w:val="bottom"/>
            <w:hideMark/>
          </w:tcPr>
          <w:p w14:paraId="5FAD785B"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2.211423788</w:t>
            </w:r>
          </w:p>
        </w:tc>
        <w:tc>
          <w:tcPr>
            <w:tcW w:w="803" w:type="pct"/>
            <w:tcBorders>
              <w:top w:val="nil"/>
              <w:left w:val="nil"/>
              <w:bottom w:val="double" w:sz="6" w:space="0" w:color="85BADC"/>
              <w:right w:val="nil"/>
            </w:tcBorders>
            <w:shd w:val="clear" w:color="auto" w:fill="auto"/>
            <w:noWrap/>
            <w:vAlign w:val="bottom"/>
            <w:hideMark/>
          </w:tcPr>
          <w:p w14:paraId="1CEF25FC"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2.781064143</w:t>
            </w:r>
          </w:p>
        </w:tc>
        <w:tc>
          <w:tcPr>
            <w:tcW w:w="803" w:type="pct"/>
            <w:tcBorders>
              <w:top w:val="nil"/>
              <w:left w:val="nil"/>
              <w:bottom w:val="double" w:sz="6" w:space="0" w:color="85BADC"/>
              <w:right w:val="nil"/>
            </w:tcBorders>
            <w:shd w:val="clear" w:color="auto" w:fill="auto"/>
            <w:noWrap/>
            <w:vAlign w:val="bottom"/>
            <w:hideMark/>
          </w:tcPr>
          <w:p w14:paraId="1D90EFBE"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2.540785467</w:t>
            </w:r>
          </w:p>
        </w:tc>
        <w:tc>
          <w:tcPr>
            <w:tcW w:w="803" w:type="pct"/>
            <w:tcBorders>
              <w:top w:val="nil"/>
              <w:left w:val="nil"/>
              <w:bottom w:val="double" w:sz="6" w:space="0" w:color="85BADC"/>
              <w:right w:val="single" w:sz="4" w:space="0" w:color="85BADC"/>
            </w:tcBorders>
            <w:shd w:val="clear" w:color="auto" w:fill="auto"/>
            <w:noWrap/>
            <w:vAlign w:val="bottom"/>
            <w:hideMark/>
          </w:tcPr>
          <w:p w14:paraId="5C4A1288"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4.565521154</w:t>
            </w:r>
          </w:p>
        </w:tc>
      </w:tr>
      <w:tr w:rsidR="00CF4C3A" w:rsidRPr="0076589C" w14:paraId="4F72CC9A" w14:textId="77777777" w:rsidTr="00440546">
        <w:trPr>
          <w:trHeight w:val="300"/>
        </w:trPr>
        <w:tc>
          <w:tcPr>
            <w:tcW w:w="5000" w:type="pct"/>
            <w:gridSpan w:val="5"/>
            <w:tcBorders>
              <w:top w:val="nil"/>
              <w:left w:val="single" w:sz="4" w:space="0" w:color="85BADC"/>
              <w:bottom w:val="nil"/>
              <w:right w:val="single" w:sz="4" w:space="0" w:color="85BADC"/>
            </w:tcBorders>
            <w:shd w:val="clear" w:color="auto" w:fill="auto"/>
            <w:noWrap/>
            <w:vAlign w:val="bottom"/>
            <w:hideMark/>
          </w:tcPr>
          <w:p w14:paraId="77ECB899" w14:textId="77777777" w:rsidR="00CF4C3A" w:rsidRPr="0076589C" w:rsidRDefault="00CF4C3A" w:rsidP="00CF4C3A">
            <w:pPr>
              <w:spacing w:after="0" w:line="240" w:lineRule="auto"/>
              <w:ind w:left="0"/>
              <w:jc w:val="center"/>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 </w:t>
            </w:r>
          </w:p>
        </w:tc>
      </w:tr>
      <w:tr w:rsidR="00CF4C3A" w:rsidRPr="0076589C" w14:paraId="23FBA07C" w14:textId="77777777" w:rsidTr="00440546">
        <w:trPr>
          <w:trHeight w:val="290"/>
        </w:trPr>
        <w:tc>
          <w:tcPr>
            <w:tcW w:w="5000" w:type="pct"/>
            <w:gridSpan w:val="5"/>
            <w:tcBorders>
              <w:top w:val="nil"/>
              <w:left w:val="single" w:sz="4" w:space="0" w:color="85BADC"/>
              <w:bottom w:val="nil"/>
              <w:right w:val="single" w:sz="4" w:space="0" w:color="85BADC"/>
            </w:tcBorders>
            <w:shd w:val="clear" w:color="auto" w:fill="auto"/>
            <w:noWrap/>
            <w:vAlign w:val="bottom"/>
            <w:hideMark/>
          </w:tcPr>
          <w:p w14:paraId="02201614" w14:textId="77777777" w:rsidR="00CF4C3A" w:rsidRPr="0076589C" w:rsidRDefault="00CF4C3A" w:rsidP="00CF4C3A">
            <w:pPr>
              <w:spacing w:after="0" w:line="240" w:lineRule="auto"/>
              <w:ind w:left="0"/>
              <w:rPr>
                <w:rFonts w:ascii="Calibri" w:eastAsia="Times New Roman" w:hAnsi="Calibri" w:cs="Calibri"/>
                <w:b/>
                <w:bCs/>
                <w:color w:val="000000"/>
                <w:sz w:val="20"/>
                <w:szCs w:val="20"/>
                <w:u w:val="single"/>
                <w:lang w:val="en-US"/>
              </w:rPr>
            </w:pPr>
            <w:r w:rsidRPr="0076589C">
              <w:rPr>
                <w:rFonts w:ascii="Calibri" w:eastAsia="Times New Roman" w:hAnsi="Calibri" w:cs="Calibri"/>
                <w:b/>
                <w:bCs/>
                <w:color w:val="000000"/>
                <w:sz w:val="20"/>
                <w:szCs w:val="20"/>
                <w:u w:val="single"/>
                <w:lang w:val="en-US"/>
              </w:rPr>
              <w:t>Periodo promedio de cobro</w:t>
            </w:r>
          </w:p>
        </w:tc>
      </w:tr>
      <w:tr w:rsidR="00FA3BF2" w:rsidRPr="0076589C" w14:paraId="0B7587DE" w14:textId="77777777" w:rsidTr="00731C82">
        <w:trPr>
          <w:trHeight w:val="300"/>
        </w:trPr>
        <w:tc>
          <w:tcPr>
            <w:tcW w:w="1874" w:type="pct"/>
            <w:tcBorders>
              <w:top w:val="single" w:sz="4" w:space="0" w:color="auto"/>
              <w:left w:val="single" w:sz="4" w:space="0" w:color="85BADC"/>
              <w:bottom w:val="single" w:sz="8" w:space="0" w:color="85BADC"/>
              <w:right w:val="nil"/>
            </w:tcBorders>
            <w:shd w:val="clear" w:color="000000" w:fill="C9E1EF"/>
            <w:noWrap/>
            <w:vAlign w:val="center"/>
            <w:hideMark/>
          </w:tcPr>
          <w:p w14:paraId="074876C4"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Plazo (días)</w:t>
            </w:r>
          </w:p>
        </w:tc>
        <w:tc>
          <w:tcPr>
            <w:tcW w:w="716" w:type="pct"/>
            <w:tcBorders>
              <w:top w:val="single" w:sz="4" w:space="0" w:color="auto"/>
              <w:left w:val="nil"/>
              <w:bottom w:val="single" w:sz="8" w:space="0" w:color="85BADC"/>
              <w:right w:val="nil"/>
            </w:tcBorders>
            <w:shd w:val="clear" w:color="000000" w:fill="C9E1EF"/>
            <w:noWrap/>
            <w:vAlign w:val="center"/>
            <w:hideMark/>
          </w:tcPr>
          <w:p w14:paraId="0200ECC9"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2019</w:t>
            </w:r>
          </w:p>
        </w:tc>
        <w:tc>
          <w:tcPr>
            <w:tcW w:w="803" w:type="pct"/>
            <w:tcBorders>
              <w:top w:val="single" w:sz="4" w:space="0" w:color="auto"/>
              <w:left w:val="nil"/>
              <w:bottom w:val="single" w:sz="8" w:space="0" w:color="85BADC"/>
              <w:right w:val="nil"/>
            </w:tcBorders>
            <w:shd w:val="clear" w:color="000000" w:fill="C9E1EF"/>
            <w:noWrap/>
            <w:vAlign w:val="center"/>
            <w:hideMark/>
          </w:tcPr>
          <w:p w14:paraId="78889B9B"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2020</w:t>
            </w:r>
          </w:p>
        </w:tc>
        <w:tc>
          <w:tcPr>
            <w:tcW w:w="803" w:type="pct"/>
            <w:tcBorders>
              <w:top w:val="single" w:sz="4" w:space="0" w:color="auto"/>
              <w:left w:val="nil"/>
              <w:bottom w:val="single" w:sz="8" w:space="0" w:color="85BADC"/>
              <w:right w:val="nil"/>
            </w:tcBorders>
            <w:shd w:val="clear" w:color="000000" w:fill="C9E1EF"/>
            <w:noWrap/>
            <w:vAlign w:val="center"/>
            <w:hideMark/>
          </w:tcPr>
          <w:p w14:paraId="2BC6792E"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2021</w:t>
            </w:r>
          </w:p>
        </w:tc>
        <w:tc>
          <w:tcPr>
            <w:tcW w:w="803" w:type="pct"/>
            <w:tcBorders>
              <w:top w:val="single" w:sz="4" w:space="0" w:color="auto"/>
              <w:left w:val="nil"/>
              <w:bottom w:val="single" w:sz="8" w:space="0" w:color="85BADC"/>
              <w:right w:val="single" w:sz="4" w:space="0" w:color="85BADC"/>
            </w:tcBorders>
            <w:shd w:val="clear" w:color="000000" w:fill="C9E1EF"/>
            <w:noWrap/>
            <w:vAlign w:val="center"/>
            <w:hideMark/>
          </w:tcPr>
          <w:p w14:paraId="7823AB74"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2022</w:t>
            </w:r>
          </w:p>
        </w:tc>
      </w:tr>
      <w:tr w:rsidR="00CF4C3A" w:rsidRPr="0076589C" w14:paraId="7AF5FD16"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36E9F38A"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Ventas</w:t>
            </w:r>
          </w:p>
        </w:tc>
        <w:tc>
          <w:tcPr>
            <w:tcW w:w="716" w:type="pct"/>
            <w:tcBorders>
              <w:top w:val="nil"/>
              <w:left w:val="nil"/>
              <w:bottom w:val="nil"/>
              <w:right w:val="nil"/>
            </w:tcBorders>
            <w:shd w:val="clear" w:color="auto" w:fill="auto"/>
            <w:noWrap/>
            <w:vAlign w:val="bottom"/>
            <w:hideMark/>
          </w:tcPr>
          <w:p w14:paraId="4830CF32"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26105424.64</w:t>
            </w:r>
          </w:p>
        </w:tc>
        <w:tc>
          <w:tcPr>
            <w:tcW w:w="803" w:type="pct"/>
            <w:tcBorders>
              <w:top w:val="nil"/>
              <w:left w:val="nil"/>
              <w:bottom w:val="nil"/>
              <w:right w:val="nil"/>
            </w:tcBorders>
            <w:shd w:val="clear" w:color="auto" w:fill="auto"/>
            <w:noWrap/>
            <w:vAlign w:val="bottom"/>
            <w:hideMark/>
          </w:tcPr>
          <w:p w14:paraId="138997BE"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31891032.92</w:t>
            </w:r>
          </w:p>
        </w:tc>
        <w:tc>
          <w:tcPr>
            <w:tcW w:w="803" w:type="pct"/>
            <w:tcBorders>
              <w:top w:val="nil"/>
              <w:left w:val="nil"/>
              <w:bottom w:val="nil"/>
              <w:right w:val="nil"/>
            </w:tcBorders>
            <w:shd w:val="clear" w:color="auto" w:fill="auto"/>
            <w:noWrap/>
            <w:vAlign w:val="bottom"/>
            <w:hideMark/>
          </w:tcPr>
          <w:p w14:paraId="208F210D"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22321755.08</w:t>
            </w:r>
          </w:p>
        </w:tc>
        <w:tc>
          <w:tcPr>
            <w:tcW w:w="803" w:type="pct"/>
            <w:tcBorders>
              <w:top w:val="nil"/>
              <w:left w:val="nil"/>
              <w:bottom w:val="nil"/>
              <w:right w:val="single" w:sz="4" w:space="0" w:color="85BADC"/>
            </w:tcBorders>
            <w:shd w:val="clear" w:color="auto" w:fill="auto"/>
            <w:noWrap/>
            <w:vAlign w:val="bottom"/>
            <w:hideMark/>
          </w:tcPr>
          <w:p w14:paraId="2DF3BF13"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29605010.66</w:t>
            </w:r>
          </w:p>
        </w:tc>
      </w:tr>
      <w:tr w:rsidR="00CF4C3A" w:rsidRPr="0076589C" w14:paraId="2C316C5B"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49FB363E" w14:textId="77777777" w:rsidR="00CF4C3A" w:rsidRPr="0076589C" w:rsidRDefault="00CF4C3A" w:rsidP="00CF4C3A">
            <w:pPr>
              <w:spacing w:after="0" w:line="240" w:lineRule="auto"/>
              <w:ind w:left="0"/>
              <w:rPr>
                <w:rFonts w:ascii="Calibri" w:eastAsia="Times New Roman" w:hAnsi="Calibri" w:cs="Calibri"/>
                <w:color w:val="000000"/>
                <w:sz w:val="20"/>
                <w:szCs w:val="20"/>
              </w:rPr>
            </w:pPr>
            <w:r w:rsidRPr="0076589C">
              <w:rPr>
                <w:rFonts w:ascii="Calibri" w:eastAsia="Times New Roman" w:hAnsi="Calibri" w:cs="Calibri"/>
                <w:color w:val="000000"/>
                <w:sz w:val="20"/>
                <w:szCs w:val="20"/>
              </w:rPr>
              <w:t>Promedio de cuentas por cobrar</w:t>
            </w:r>
          </w:p>
        </w:tc>
        <w:tc>
          <w:tcPr>
            <w:tcW w:w="716" w:type="pct"/>
            <w:tcBorders>
              <w:top w:val="nil"/>
              <w:left w:val="nil"/>
              <w:bottom w:val="nil"/>
              <w:right w:val="nil"/>
            </w:tcBorders>
            <w:shd w:val="clear" w:color="auto" w:fill="auto"/>
            <w:noWrap/>
            <w:vAlign w:val="bottom"/>
            <w:hideMark/>
          </w:tcPr>
          <w:p w14:paraId="455CCF1A"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11804804.12</w:t>
            </w:r>
          </w:p>
        </w:tc>
        <w:tc>
          <w:tcPr>
            <w:tcW w:w="803" w:type="pct"/>
            <w:tcBorders>
              <w:top w:val="nil"/>
              <w:left w:val="nil"/>
              <w:bottom w:val="nil"/>
              <w:right w:val="nil"/>
            </w:tcBorders>
            <w:shd w:val="clear" w:color="auto" w:fill="auto"/>
            <w:noWrap/>
            <w:vAlign w:val="bottom"/>
            <w:hideMark/>
          </w:tcPr>
          <w:p w14:paraId="1481E579"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11467205.1</w:t>
            </w:r>
          </w:p>
        </w:tc>
        <w:tc>
          <w:tcPr>
            <w:tcW w:w="803" w:type="pct"/>
            <w:tcBorders>
              <w:top w:val="nil"/>
              <w:left w:val="nil"/>
              <w:bottom w:val="nil"/>
              <w:right w:val="nil"/>
            </w:tcBorders>
            <w:shd w:val="clear" w:color="auto" w:fill="auto"/>
            <w:noWrap/>
            <w:vAlign w:val="bottom"/>
            <w:hideMark/>
          </w:tcPr>
          <w:p w14:paraId="564D224E"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8785375.77</w:t>
            </w:r>
          </w:p>
        </w:tc>
        <w:tc>
          <w:tcPr>
            <w:tcW w:w="803" w:type="pct"/>
            <w:tcBorders>
              <w:top w:val="nil"/>
              <w:left w:val="nil"/>
              <w:bottom w:val="nil"/>
              <w:right w:val="single" w:sz="4" w:space="0" w:color="85BADC"/>
            </w:tcBorders>
            <w:shd w:val="clear" w:color="auto" w:fill="auto"/>
            <w:noWrap/>
            <w:vAlign w:val="bottom"/>
            <w:hideMark/>
          </w:tcPr>
          <w:p w14:paraId="6829F1E2"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6484475.63</w:t>
            </w:r>
          </w:p>
        </w:tc>
      </w:tr>
      <w:tr w:rsidR="00CF4C3A" w:rsidRPr="0076589C" w14:paraId="49CAB53A"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7F169F32"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PPC Días</w:t>
            </w:r>
          </w:p>
        </w:tc>
        <w:tc>
          <w:tcPr>
            <w:tcW w:w="716" w:type="pct"/>
            <w:tcBorders>
              <w:top w:val="nil"/>
              <w:left w:val="nil"/>
              <w:bottom w:val="nil"/>
              <w:right w:val="nil"/>
            </w:tcBorders>
            <w:shd w:val="clear" w:color="auto" w:fill="auto"/>
            <w:noWrap/>
            <w:vAlign w:val="bottom"/>
            <w:hideMark/>
          </w:tcPr>
          <w:p w14:paraId="21E62D96"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165.0520366</w:t>
            </w:r>
          </w:p>
        </w:tc>
        <w:tc>
          <w:tcPr>
            <w:tcW w:w="803" w:type="pct"/>
            <w:tcBorders>
              <w:top w:val="nil"/>
              <w:left w:val="nil"/>
              <w:bottom w:val="nil"/>
              <w:right w:val="nil"/>
            </w:tcBorders>
            <w:shd w:val="clear" w:color="auto" w:fill="auto"/>
            <w:noWrap/>
            <w:vAlign w:val="bottom"/>
            <w:hideMark/>
          </w:tcPr>
          <w:p w14:paraId="166FA70A"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131.2447255</w:t>
            </w:r>
          </w:p>
        </w:tc>
        <w:tc>
          <w:tcPr>
            <w:tcW w:w="803" w:type="pct"/>
            <w:tcBorders>
              <w:top w:val="nil"/>
              <w:left w:val="nil"/>
              <w:bottom w:val="nil"/>
              <w:right w:val="nil"/>
            </w:tcBorders>
            <w:shd w:val="clear" w:color="auto" w:fill="auto"/>
            <w:noWrap/>
            <w:vAlign w:val="bottom"/>
            <w:hideMark/>
          </w:tcPr>
          <w:p w14:paraId="5467F26A"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143.6563632</w:t>
            </w:r>
          </w:p>
        </w:tc>
        <w:tc>
          <w:tcPr>
            <w:tcW w:w="803" w:type="pct"/>
            <w:tcBorders>
              <w:top w:val="nil"/>
              <w:left w:val="nil"/>
              <w:bottom w:val="nil"/>
              <w:right w:val="single" w:sz="4" w:space="0" w:color="85BADC"/>
            </w:tcBorders>
            <w:shd w:val="clear" w:color="auto" w:fill="auto"/>
            <w:noWrap/>
            <w:vAlign w:val="bottom"/>
            <w:hideMark/>
          </w:tcPr>
          <w:p w14:paraId="32CBA6CC"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79.94706139</w:t>
            </w:r>
          </w:p>
        </w:tc>
      </w:tr>
      <w:tr w:rsidR="00CF4C3A" w:rsidRPr="0076589C" w14:paraId="74F08062" w14:textId="77777777" w:rsidTr="00731C82">
        <w:trPr>
          <w:trHeight w:val="300"/>
        </w:trPr>
        <w:tc>
          <w:tcPr>
            <w:tcW w:w="1874" w:type="pct"/>
            <w:tcBorders>
              <w:top w:val="nil"/>
              <w:left w:val="single" w:sz="4" w:space="0" w:color="85BADC"/>
              <w:bottom w:val="double" w:sz="6" w:space="0" w:color="85BADC"/>
              <w:right w:val="nil"/>
            </w:tcBorders>
            <w:shd w:val="clear" w:color="auto" w:fill="auto"/>
            <w:noWrap/>
            <w:vAlign w:val="bottom"/>
            <w:hideMark/>
          </w:tcPr>
          <w:p w14:paraId="0097591A"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PPC Meses</w:t>
            </w:r>
          </w:p>
        </w:tc>
        <w:tc>
          <w:tcPr>
            <w:tcW w:w="716" w:type="pct"/>
            <w:tcBorders>
              <w:top w:val="nil"/>
              <w:left w:val="nil"/>
              <w:bottom w:val="double" w:sz="6" w:space="0" w:color="85BADC"/>
              <w:right w:val="nil"/>
            </w:tcBorders>
            <w:shd w:val="clear" w:color="auto" w:fill="auto"/>
            <w:noWrap/>
            <w:vAlign w:val="bottom"/>
            <w:hideMark/>
          </w:tcPr>
          <w:p w14:paraId="4941E48E"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5.501734554</w:t>
            </w:r>
          </w:p>
        </w:tc>
        <w:tc>
          <w:tcPr>
            <w:tcW w:w="803" w:type="pct"/>
            <w:tcBorders>
              <w:top w:val="nil"/>
              <w:left w:val="nil"/>
              <w:bottom w:val="double" w:sz="6" w:space="0" w:color="85BADC"/>
              <w:right w:val="nil"/>
            </w:tcBorders>
            <w:shd w:val="clear" w:color="auto" w:fill="auto"/>
            <w:noWrap/>
            <w:vAlign w:val="bottom"/>
            <w:hideMark/>
          </w:tcPr>
          <w:p w14:paraId="7FE9F892"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4.374824183</w:t>
            </w:r>
          </w:p>
        </w:tc>
        <w:tc>
          <w:tcPr>
            <w:tcW w:w="803" w:type="pct"/>
            <w:tcBorders>
              <w:top w:val="nil"/>
              <w:left w:val="nil"/>
              <w:bottom w:val="double" w:sz="6" w:space="0" w:color="85BADC"/>
              <w:right w:val="nil"/>
            </w:tcBorders>
            <w:shd w:val="clear" w:color="auto" w:fill="auto"/>
            <w:noWrap/>
            <w:vAlign w:val="bottom"/>
            <w:hideMark/>
          </w:tcPr>
          <w:p w14:paraId="4DF1EE4D"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4.788545441</w:t>
            </w:r>
          </w:p>
        </w:tc>
        <w:tc>
          <w:tcPr>
            <w:tcW w:w="803" w:type="pct"/>
            <w:tcBorders>
              <w:top w:val="nil"/>
              <w:left w:val="nil"/>
              <w:bottom w:val="double" w:sz="6" w:space="0" w:color="85BADC"/>
              <w:right w:val="single" w:sz="4" w:space="0" w:color="85BADC"/>
            </w:tcBorders>
            <w:shd w:val="clear" w:color="auto" w:fill="auto"/>
            <w:noWrap/>
            <w:vAlign w:val="bottom"/>
            <w:hideMark/>
          </w:tcPr>
          <w:p w14:paraId="554FE427"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2.664902046</w:t>
            </w:r>
          </w:p>
        </w:tc>
      </w:tr>
      <w:tr w:rsidR="00CF4C3A" w:rsidRPr="0076589C" w14:paraId="707A38B7" w14:textId="77777777" w:rsidTr="00440546">
        <w:trPr>
          <w:trHeight w:val="300"/>
        </w:trPr>
        <w:tc>
          <w:tcPr>
            <w:tcW w:w="5000" w:type="pct"/>
            <w:gridSpan w:val="5"/>
            <w:tcBorders>
              <w:top w:val="double" w:sz="6" w:space="0" w:color="85BADC"/>
              <w:left w:val="single" w:sz="4" w:space="0" w:color="85BADC"/>
              <w:bottom w:val="nil"/>
              <w:right w:val="single" w:sz="4" w:space="0" w:color="85BADC"/>
            </w:tcBorders>
            <w:shd w:val="clear" w:color="auto" w:fill="auto"/>
            <w:noWrap/>
            <w:vAlign w:val="bottom"/>
            <w:hideMark/>
          </w:tcPr>
          <w:p w14:paraId="497A3619" w14:textId="77777777" w:rsidR="00CF4C3A" w:rsidRPr="0076589C" w:rsidRDefault="00CF4C3A" w:rsidP="00CF4C3A">
            <w:pPr>
              <w:spacing w:after="0" w:line="240" w:lineRule="auto"/>
              <w:ind w:left="0"/>
              <w:jc w:val="center"/>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 </w:t>
            </w:r>
          </w:p>
        </w:tc>
      </w:tr>
      <w:tr w:rsidR="00CF4C3A" w:rsidRPr="0076589C" w14:paraId="4D03D5B2" w14:textId="77777777" w:rsidTr="00440546">
        <w:trPr>
          <w:trHeight w:val="290"/>
        </w:trPr>
        <w:tc>
          <w:tcPr>
            <w:tcW w:w="5000" w:type="pct"/>
            <w:gridSpan w:val="5"/>
            <w:tcBorders>
              <w:top w:val="nil"/>
              <w:left w:val="single" w:sz="4" w:space="0" w:color="85BADC"/>
              <w:bottom w:val="nil"/>
              <w:right w:val="single" w:sz="4" w:space="0" w:color="85BADC"/>
            </w:tcBorders>
            <w:shd w:val="clear" w:color="auto" w:fill="auto"/>
            <w:noWrap/>
            <w:vAlign w:val="bottom"/>
            <w:hideMark/>
          </w:tcPr>
          <w:p w14:paraId="1BDECA4E" w14:textId="77777777" w:rsidR="00CF4C3A" w:rsidRPr="0076589C" w:rsidRDefault="00CF4C3A" w:rsidP="00CF4C3A">
            <w:pPr>
              <w:spacing w:after="0" w:line="240" w:lineRule="auto"/>
              <w:ind w:left="0"/>
              <w:rPr>
                <w:rFonts w:ascii="Calibri" w:eastAsia="Times New Roman" w:hAnsi="Calibri" w:cs="Calibri"/>
                <w:b/>
                <w:bCs/>
                <w:color w:val="000000"/>
                <w:sz w:val="20"/>
                <w:szCs w:val="20"/>
                <w:u w:val="single"/>
                <w:lang w:val="en-US"/>
              </w:rPr>
            </w:pPr>
            <w:r w:rsidRPr="0076589C">
              <w:rPr>
                <w:rFonts w:ascii="Calibri" w:eastAsia="Times New Roman" w:hAnsi="Calibri" w:cs="Calibri"/>
                <w:b/>
                <w:bCs/>
                <w:color w:val="000000"/>
                <w:sz w:val="20"/>
                <w:szCs w:val="20"/>
                <w:u w:val="single"/>
                <w:lang w:val="en-US"/>
              </w:rPr>
              <w:t>Indicadores Financieros de IPRA</w:t>
            </w:r>
          </w:p>
        </w:tc>
      </w:tr>
      <w:tr w:rsidR="00FA3BF2" w:rsidRPr="0076589C" w14:paraId="34297A4E" w14:textId="77777777" w:rsidTr="00731C82">
        <w:trPr>
          <w:trHeight w:val="300"/>
        </w:trPr>
        <w:tc>
          <w:tcPr>
            <w:tcW w:w="1874" w:type="pct"/>
            <w:tcBorders>
              <w:top w:val="single" w:sz="4" w:space="0" w:color="auto"/>
              <w:left w:val="single" w:sz="4" w:space="0" w:color="85BADC"/>
              <w:bottom w:val="single" w:sz="8" w:space="0" w:color="85BADC"/>
              <w:right w:val="nil"/>
            </w:tcBorders>
            <w:shd w:val="clear" w:color="000000" w:fill="C9E1EF"/>
            <w:noWrap/>
            <w:vAlign w:val="center"/>
            <w:hideMark/>
          </w:tcPr>
          <w:p w14:paraId="2729F2D2"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Indicador</w:t>
            </w:r>
          </w:p>
        </w:tc>
        <w:tc>
          <w:tcPr>
            <w:tcW w:w="716" w:type="pct"/>
            <w:tcBorders>
              <w:top w:val="single" w:sz="4" w:space="0" w:color="auto"/>
              <w:left w:val="nil"/>
              <w:bottom w:val="single" w:sz="8" w:space="0" w:color="85BADC"/>
              <w:right w:val="nil"/>
            </w:tcBorders>
            <w:shd w:val="clear" w:color="000000" w:fill="C9E1EF"/>
            <w:noWrap/>
            <w:vAlign w:val="center"/>
            <w:hideMark/>
          </w:tcPr>
          <w:p w14:paraId="0F551E03"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2019</w:t>
            </w:r>
          </w:p>
        </w:tc>
        <w:tc>
          <w:tcPr>
            <w:tcW w:w="803" w:type="pct"/>
            <w:tcBorders>
              <w:top w:val="single" w:sz="4" w:space="0" w:color="auto"/>
              <w:left w:val="nil"/>
              <w:bottom w:val="single" w:sz="8" w:space="0" w:color="85BADC"/>
              <w:right w:val="nil"/>
            </w:tcBorders>
            <w:shd w:val="clear" w:color="000000" w:fill="C9E1EF"/>
            <w:noWrap/>
            <w:vAlign w:val="center"/>
            <w:hideMark/>
          </w:tcPr>
          <w:p w14:paraId="4F6D03A6"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2020</w:t>
            </w:r>
          </w:p>
        </w:tc>
        <w:tc>
          <w:tcPr>
            <w:tcW w:w="803" w:type="pct"/>
            <w:tcBorders>
              <w:top w:val="single" w:sz="4" w:space="0" w:color="auto"/>
              <w:left w:val="nil"/>
              <w:bottom w:val="single" w:sz="8" w:space="0" w:color="85BADC"/>
              <w:right w:val="nil"/>
            </w:tcBorders>
            <w:shd w:val="clear" w:color="000000" w:fill="C9E1EF"/>
            <w:noWrap/>
            <w:vAlign w:val="center"/>
            <w:hideMark/>
          </w:tcPr>
          <w:p w14:paraId="2431D7BD"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2021</w:t>
            </w:r>
          </w:p>
        </w:tc>
        <w:tc>
          <w:tcPr>
            <w:tcW w:w="803" w:type="pct"/>
            <w:tcBorders>
              <w:top w:val="single" w:sz="4" w:space="0" w:color="auto"/>
              <w:left w:val="nil"/>
              <w:bottom w:val="single" w:sz="8" w:space="0" w:color="85BADC"/>
              <w:right w:val="single" w:sz="4" w:space="0" w:color="85BADC"/>
            </w:tcBorders>
            <w:shd w:val="clear" w:color="000000" w:fill="C9E1EF"/>
            <w:noWrap/>
            <w:vAlign w:val="center"/>
            <w:hideMark/>
          </w:tcPr>
          <w:p w14:paraId="272E3EBC"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2022</w:t>
            </w:r>
          </w:p>
        </w:tc>
      </w:tr>
      <w:tr w:rsidR="00CF4C3A" w:rsidRPr="0076589C" w14:paraId="4AA282E7"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3645CB2B"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Margen de utilidad bruta</w:t>
            </w:r>
          </w:p>
        </w:tc>
        <w:tc>
          <w:tcPr>
            <w:tcW w:w="716" w:type="pct"/>
            <w:tcBorders>
              <w:top w:val="nil"/>
              <w:left w:val="nil"/>
              <w:bottom w:val="nil"/>
              <w:right w:val="nil"/>
            </w:tcBorders>
            <w:shd w:val="clear" w:color="auto" w:fill="auto"/>
            <w:noWrap/>
            <w:vAlign w:val="bottom"/>
            <w:hideMark/>
          </w:tcPr>
          <w:p w14:paraId="2E8FF961"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36.00%</w:t>
            </w:r>
          </w:p>
        </w:tc>
        <w:tc>
          <w:tcPr>
            <w:tcW w:w="803" w:type="pct"/>
            <w:tcBorders>
              <w:top w:val="nil"/>
              <w:left w:val="nil"/>
              <w:bottom w:val="nil"/>
              <w:right w:val="nil"/>
            </w:tcBorders>
            <w:shd w:val="clear" w:color="auto" w:fill="auto"/>
            <w:noWrap/>
            <w:vAlign w:val="bottom"/>
            <w:hideMark/>
          </w:tcPr>
          <w:p w14:paraId="645EC006"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26.00%</w:t>
            </w:r>
          </w:p>
        </w:tc>
        <w:tc>
          <w:tcPr>
            <w:tcW w:w="803" w:type="pct"/>
            <w:tcBorders>
              <w:top w:val="nil"/>
              <w:left w:val="nil"/>
              <w:bottom w:val="nil"/>
              <w:right w:val="nil"/>
            </w:tcBorders>
            <w:shd w:val="clear" w:color="auto" w:fill="auto"/>
            <w:noWrap/>
            <w:vAlign w:val="bottom"/>
            <w:hideMark/>
          </w:tcPr>
          <w:p w14:paraId="21F99274"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36.00%</w:t>
            </w:r>
          </w:p>
        </w:tc>
        <w:tc>
          <w:tcPr>
            <w:tcW w:w="803" w:type="pct"/>
            <w:tcBorders>
              <w:top w:val="nil"/>
              <w:left w:val="nil"/>
              <w:bottom w:val="nil"/>
              <w:right w:val="single" w:sz="4" w:space="0" w:color="85BADC"/>
            </w:tcBorders>
            <w:shd w:val="clear" w:color="auto" w:fill="auto"/>
            <w:noWrap/>
            <w:vAlign w:val="bottom"/>
            <w:hideMark/>
          </w:tcPr>
          <w:p w14:paraId="7E7431AC"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34.00%</w:t>
            </w:r>
          </w:p>
        </w:tc>
      </w:tr>
      <w:tr w:rsidR="00CF4C3A" w:rsidRPr="0076589C" w14:paraId="1E6094D2"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5784B5A7"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Margen de utilidad neta</w:t>
            </w:r>
          </w:p>
        </w:tc>
        <w:tc>
          <w:tcPr>
            <w:tcW w:w="716" w:type="pct"/>
            <w:tcBorders>
              <w:top w:val="nil"/>
              <w:left w:val="nil"/>
              <w:bottom w:val="nil"/>
              <w:right w:val="nil"/>
            </w:tcBorders>
            <w:shd w:val="clear" w:color="auto" w:fill="auto"/>
            <w:noWrap/>
            <w:vAlign w:val="bottom"/>
            <w:hideMark/>
          </w:tcPr>
          <w:p w14:paraId="1939AA6D"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7.00%</w:t>
            </w:r>
          </w:p>
        </w:tc>
        <w:tc>
          <w:tcPr>
            <w:tcW w:w="803" w:type="pct"/>
            <w:tcBorders>
              <w:top w:val="nil"/>
              <w:left w:val="nil"/>
              <w:bottom w:val="nil"/>
              <w:right w:val="nil"/>
            </w:tcBorders>
            <w:shd w:val="clear" w:color="auto" w:fill="auto"/>
            <w:noWrap/>
            <w:vAlign w:val="bottom"/>
            <w:hideMark/>
          </w:tcPr>
          <w:p w14:paraId="544BDA82"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3.00%</w:t>
            </w:r>
          </w:p>
        </w:tc>
        <w:tc>
          <w:tcPr>
            <w:tcW w:w="803" w:type="pct"/>
            <w:tcBorders>
              <w:top w:val="nil"/>
              <w:left w:val="nil"/>
              <w:bottom w:val="nil"/>
              <w:right w:val="nil"/>
            </w:tcBorders>
            <w:shd w:val="clear" w:color="auto" w:fill="auto"/>
            <w:noWrap/>
            <w:vAlign w:val="bottom"/>
            <w:hideMark/>
          </w:tcPr>
          <w:p w14:paraId="7D0A8EEE"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8.00%</w:t>
            </w:r>
          </w:p>
        </w:tc>
        <w:tc>
          <w:tcPr>
            <w:tcW w:w="803" w:type="pct"/>
            <w:tcBorders>
              <w:top w:val="nil"/>
              <w:left w:val="nil"/>
              <w:bottom w:val="nil"/>
              <w:right w:val="single" w:sz="4" w:space="0" w:color="85BADC"/>
            </w:tcBorders>
            <w:shd w:val="clear" w:color="auto" w:fill="auto"/>
            <w:noWrap/>
            <w:vAlign w:val="bottom"/>
            <w:hideMark/>
          </w:tcPr>
          <w:p w14:paraId="191A3B45"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6.00%</w:t>
            </w:r>
          </w:p>
        </w:tc>
      </w:tr>
      <w:tr w:rsidR="00CF4C3A" w:rsidRPr="0076589C" w14:paraId="74045F3E"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7A39EC17"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ROA</w:t>
            </w:r>
          </w:p>
        </w:tc>
        <w:tc>
          <w:tcPr>
            <w:tcW w:w="716" w:type="pct"/>
            <w:tcBorders>
              <w:top w:val="nil"/>
              <w:left w:val="nil"/>
              <w:bottom w:val="nil"/>
              <w:right w:val="nil"/>
            </w:tcBorders>
            <w:shd w:val="clear" w:color="auto" w:fill="auto"/>
            <w:noWrap/>
            <w:vAlign w:val="bottom"/>
            <w:hideMark/>
          </w:tcPr>
          <w:p w14:paraId="1B232A37"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10.15%</w:t>
            </w:r>
          </w:p>
        </w:tc>
        <w:tc>
          <w:tcPr>
            <w:tcW w:w="803" w:type="pct"/>
            <w:tcBorders>
              <w:top w:val="nil"/>
              <w:left w:val="nil"/>
              <w:bottom w:val="nil"/>
              <w:right w:val="nil"/>
            </w:tcBorders>
            <w:shd w:val="clear" w:color="auto" w:fill="auto"/>
            <w:noWrap/>
            <w:vAlign w:val="bottom"/>
            <w:hideMark/>
          </w:tcPr>
          <w:p w14:paraId="2F173D33"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4.64%</w:t>
            </w:r>
          </w:p>
        </w:tc>
        <w:tc>
          <w:tcPr>
            <w:tcW w:w="803" w:type="pct"/>
            <w:tcBorders>
              <w:top w:val="nil"/>
              <w:left w:val="nil"/>
              <w:bottom w:val="nil"/>
              <w:right w:val="nil"/>
            </w:tcBorders>
            <w:shd w:val="clear" w:color="auto" w:fill="auto"/>
            <w:noWrap/>
            <w:vAlign w:val="bottom"/>
            <w:hideMark/>
          </w:tcPr>
          <w:p w14:paraId="2993905D"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8.22%</w:t>
            </w:r>
          </w:p>
        </w:tc>
        <w:tc>
          <w:tcPr>
            <w:tcW w:w="803" w:type="pct"/>
            <w:tcBorders>
              <w:top w:val="nil"/>
              <w:left w:val="nil"/>
              <w:bottom w:val="nil"/>
              <w:right w:val="single" w:sz="4" w:space="0" w:color="85BADC"/>
            </w:tcBorders>
            <w:shd w:val="clear" w:color="auto" w:fill="auto"/>
            <w:noWrap/>
            <w:vAlign w:val="bottom"/>
            <w:hideMark/>
          </w:tcPr>
          <w:p w14:paraId="1D161A87"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7.76%</w:t>
            </w:r>
          </w:p>
        </w:tc>
      </w:tr>
      <w:tr w:rsidR="00CF4C3A" w:rsidRPr="0076589C" w14:paraId="0A0599FB"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66C6C22F"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ROE</w:t>
            </w:r>
          </w:p>
        </w:tc>
        <w:tc>
          <w:tcPr>
            <w:tcW w:w="716" w:type="pct"/>
            <w:tcBorders>
              <w:top w:val="nil"/>
              <w:left w:val="nil"/>
              <w:bottom w:val="nil"/>
              <w:right w:val="nil"/>
            </w:tcBorders>
            <w:shd w:val="clear" w:color="auto" w:fill="auto"/>
            <w:noWrap/>
            <w:vAlign w:val="bottom"/>
            <w:hideMark/>
          </w:tcPr>
          <w:p w14:paraId="72147E3B"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17.00%</w:t>
            </w:r>
          </w:p>
        </w:tc>
        <w:tc>
          <w:tcPr>
            <w:tcW w:w="803" w:type="pct"/>
            <w:tcBorders>
              <w:top w:val="nil"/>
              <w:left w:val="nil"/>
              <w:bottom w:val="nil"/>
              <w:right w:val="nil"/>
            </w:tcBorders>
            <w:shd w:val="clear" w:color="auto" w:fill="auto"/>
            <w:noWrap/>
            <w:vAlign w:val="bottom"/>
            <w:hideMark/>
          </w:tcPr>
          <w:p w14:paraId="173B92A0"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3.62%</w:t>
            </w:r>
          </w:p>
        </w:tc>
        <w:tc>
          <w:tcPr>
            <w:tcW w:w="803" w:type="pct"/>
            <w:tcBorders>
              <w:top w:val="nil"/>
              <w:left w:val="nil"/>
              <w:bottom w:val="nil"/>
              <w:right w:val="nil"/>
            </w:tcBorders>
            <w:shd w:val="clear" w:color="auto" w:fill="auto"/>
            <w:noWrap/>
            <w:vAlign w:val="bottom"/>
            <w:hideMark/>
          </w:tcPr>
          <w:p w14:paraId="6374BAE5"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12.56%</w:t>
            </w:r>
          </w:p>
        </w:tc>
        <w:tc>
          <w:tcPr>
            <w:tcW w:w="803" w:type="pct"/>
            <w:tcBorders>
              <w:top w:val="nil"/>
              <w:left w:val="nil"/>
              <w:bottom w:val="nil"/>
              <w:right w:val="single" w:sz="4" w:space="0" w:color="85BADC"/>
            </w:tcBorders>
            <w:shd w:val="clear" w:color="auto" w:fill="auto"/>
            <w:noWrap/>
            <w:vAlign w:val="bottom"/>
            <w:hideMark/>
          </w:tcPr>
          <w:p w14:paraId="1032DAEE"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12.08%</w:t>
            </w:r>
          </w:p>
        </w:tc>
      </w:tr>
      <w:tr w:rsidR="00CF4C3A" w:rsidRPr="0076589C" w14:paraId="1FE08B54"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13F0EA88"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Liquidez corriente</w:t>
            </w:r>
          </w:p>
        </w:tc>
        <w:tc>
          <w:tcPr>
            <w:tcW w:w="716" w:type="pct"/>
            <w:tcBorders>
              <w:top w:val="nil"/>
              <w:left w:val="nil"/>
              <w:bottom w:val="nil"/>
              <w:right w:val="nil"/>
            </w:tcBorders>
            <w:shd w:val="clear" w:color="auto" w:fill="auto"/>
            <w:noWrap/>
            <w:vAlign w:val="bottom"/>
            <w:hideMark/>
          </w:tcPr>
          <w:p w14:paraId="1C622DAA"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7.72</w:t>
            </w:r>
          </w:p>
        </w:tc>
        <w:tc>
          <w:tcPr>
            <w:tcW w:w="803" w:type="pct"/>
            <w:tcBorders>
              <w:top w:val="nil"/>
              <w:left w:val="nil"/>
              <w:bottom w:val="nil"/>
              <w:right w:val="nil"/>
            </w:tcBorders>
            <w:shd w:val="clear" w:color="auto" w:fill="auto"/>
            <w:noWrap/>
            <w:vAlign w:val="bottom"/>
            <w:hideMark/>
          </w:tcPr>
          <w:p w14:paraId="7D7E8674"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13.29</w:t>
            </w:r>
          </w:p>
        </w:tc>
        <w:tc>
          <w:tcPr>
            <w:tcW w:w="803" w:type="pct"/>
            <w:tcBorders>
              <w:top w:val="nil"/>
              <w:left w:val="nil"/>
              <w:bottom w:val="nil"/>
              <w:right w:val="nil"/>
            </w:tcBorders>
            <w:shd w:val="clear" w:color="auto" w:fill="auto"/>
            <w:noWrap/>
            <w:vAlign w:val="bottom"/>
            <w:hideMark/>
          </w:tcPr>
          <w:p w14:paraId="79F91D14"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10.4</w:t>
            </w:r>
          </w:p>
        </w:tc>
        <w:tc>
          <w:tcPr>
            <w:tcW w:w="803" w:type="pct"/>
            <w:tcBorders>
              <w:top w:val="nil"/>
              <w:left w:val="nil"/>
              <w:bottom w:val="nil"/>
              <w:right w:val="single" w:sz="4" w:space="0" w:color="85BADC"/>
            </w:tcBorders>
            <w:shd w:val="clear" w:color="auto" w:fill="auto"/>
            <w:noWrap/>
            <w:vAlign w:val="bottom"/>
            <w:hideMark/>
          </w:tcPr>
          <w:p w14:paraId="64DD7BBA"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6.81</w:t>
            </w:r>
          </w:p>
        </w:tc>
      </w:tr>
      <w:tr w:rsidR="00CF4C3A" w:rsidRPr="0076589C" w14:paraId="13E5527B"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044DD98E"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Razón rápida</w:t>
            </w:r>
          </w:p>
        </w:tc>
        <w:tc>
          <w:tcPr>
            <w:tcW w:w="716" w:type="pct"/>
            <w:tcBorders>
              <w:top w:val="nil"/>
              <w:left w:val="nil"/>
              <w:bottom w:val="nil"/>
              <w:right w:val="nil"/>
            </w:tcBorders>
            <w:shd w:val="clear" w:color="auto" w:fill="auto"/>
            <w:noWrap/>
            <w:vAlign w:val="bottom"/>
            <w:hideMark/>
          </w:tcPr>
          <w:p w14:paraId="399FCD5D"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6.43</w:t>
            </w:r>
          </w:p>
        </w:tc>
        <w:tc>
          <w:tcPr>
            <w:tcW w:w="803" w:type="pct"/>
            <w:tcBorders>
              <w:top w:val="nil"/>
              <w:left w:val="nil"/>
              <w:bottom w:val="nil"/>
              <w:right w:val="nil"/>
            </w:tcBorders>
            <w:shd w:val="clear" w:color="auto" w:fill="auto"/>
            <w:noWrap/>
            <w:vAlign w:val="bottom"/>
            <w:hideMark/>
          </w:tcPr>
          <w:p w14:paraId="42964C24"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11.02</w:t>
            </w:r>
          </w:p>
        </w:tc>
        <w:tc>
          <w:tcPr>
            <w:tcW w:w="803" w:type="pct"/>
            <w:tcBorders>
              <w:top w:val="nil"/>
              <w:left w:val="nil"/>
              <w:bottom w:val="nil"/>
              <w:right w:val="nil"/>
            </w:tcBorders>
            <w:shd w:val="clear" w:color="auto" w:fill="auto"/>
            <w:noWrap/>
            <w:vAlign w:val="bottom"/>
            <w:hideMark/>
          </w:tcPr>
          <w:p w14:paraId="1AF3D560"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4.77</w:t>
            </w:r>
          </w:p>
        </w:tc>
        <w:tc>
          <w:tcPr>
            <w:tcW w:w="803" w:type="pct"/>
            <w:tcBorders>
              <w:top w:val="nil"/>
              <w:left w:val="nil"/>
              <w:bottom w:val="nil"/>
              <w:right w:val="single" w:sz="4" w:space="0" w:color="85BADC"/>
            </w:tcBorders>
            <w:shd w:val="clear" w:color="auto" w:fill="auto"/>
            <w:noWrap/>
            <w:vAlign w:val="bottom"/>
            <w:hideMark/>
          </w:tcPr>
          <w:p w14:paraId="174D849E"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3.51</w:t>
            </w:r>
          </w:p>
        </w:tc>
      </w:tr>
      <w:tr w:rsidR="00CF4C3A" w:rsidRPr="0076589C" w14:paraId="27F92D0D"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5F99EB2F"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Razón de efectivo</w:t>
            </w:r>
          </w:p>
        </w:tc>
        <w:tc>
          <w:tcPr>
            <w:tcW w:w="716" w:type="pct"/>
            <w:tcBorders>
              <w:top w:val="nil"/>
              <w:left w:val="nil"/>
              <w:bottom w:val="nil"/>
              <w:right w:val="nil"/>
            </w:tcBorders>
            <w:shd w:val="clear" w:color="auto" w:fill="auto"/>
            <w:noWrap/>
            <w:vAlign w:val="bottom"/>
            <w:hideMark/>
          </w:tcPr>
          <w:p w14:paraId="2EE05440"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0.97</w:t>
            </w:r>
          </w:p>
        </w:tc>
        <w:tc>
          <w:tcPr>
            <w:tcW w:w="803" w:type="pct"/>
            <w:tcBorders>
              <w:top w:val="nil"/>
              <w:left w:val="nil"/>
              <w:bottom w:val="nil"/>
              <w:right w:val="nil"/>
            </w:tcBorders>
            <w:shd w:val="clear" w:color="auto" w:fill="auto"/>
            <w:noWrap/>
            <w:vAlign w:val="bottom"/>
            <w:hideMark/>
          </w:tcPr>
          <w:p w14:paraId="6F0CDD7C"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1.56</w:t>
            </w:r>
          </w:p>
        </w:tc>
        <w:tc>
          <w:tcPr>
            <w:tcW w:w="803" w:type="pct"/>
            <w:tcBorders>
              <w:top w:val="nil"/>
              <w:left w:val="nil"/>
              <w:bottom w:val="nil"/>
              <w:right w:val="nil"/>
            </w:tcBorders>
            <w:shd w:val="clear" w:color="auto" w:fill="auto"/>
            <w:noWrap/>
            <w:vAlign w:val="bottom"/>
            <w:hideMark/>
          </w:tcPr>
          <w:p w14:paraId="5B99CDC3"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1.35</w:t>
            </w:r>
          </w:p>
        </w:tc>
        <w:tc>
          <w:tcPr>
            <w:tcW w:w="803" w:type="pct"/>
            <w:tcBorders>
              <w:top w:val="nil"/>
              <w:left w:val="nil"/>
              <w:bottom w:val="nil"/>
              <w:right w:val="single" w:sz="4" w:space="0" w:color="85BADC"/>
            </w:tcBorders>
            <w:shd w:val="clear" w:color="auto" w:fill="auto"/>
            <w:noWrap/>
            <w:vAlign w:val="bottom"/>
            <w:hideMark/>
          </w:tcPr>
          <w:p w14:paraId="3677AB73"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1.46</w:t>
            </w:r>
          </w:p>
        </w:tc>
      </w:tr>
      <w:tr w:rsidR="00CF4C3A" w:rsidRPr="0076589C" w14:paraId="3CCFBC13" w14:textId="77777777" w:rsidTr="00731C82">
        <w:trPr>
          <w:trHeight w:val="290"/>
        </w:trPr>
        <w:tc>
          <w:tcPr>
            <w:tcW w:w="1874" w:type="pct"/>
            <w:tcBorders>
              <w:top w:val="nil"/>
              <w:left w:val="single" w:sz="4" w:space="0" w:color="85BADC"/>
              <w:bottom w:val="nil"/>
              <w:right w:val="nil"/>
            </w:tcBorders>
            <w:shd w:val="clear" w:color="auto" w:fill="auto"/>
            <w:noWrap/>
            <w:vAlign w:val="bottom"/>
            <w:hideMark/>
          </w:tcPr>
          <w:p w14:paraId="1D421022"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Estructura de capital</w:t>
            </w:r>
          </w:p>
        </w:tc>
        <w:tc>
          <w:tcPr>
            <w:tcW w:w="716" w:type="pct"/>
            <w:tcBorders>
              <w:top w:val="nil"/>
              <w:left w:val="nil"/>
              <w:bottom w:val="nil"/>
              <w:right w:val="nil"/>
            </w:tcBorders>
            <w:shd w:val="clear" w:color="auto" w:fill="auto"/>
            <w:noWrap/>
            <w:vAlign w:val="bottom"/>
            <w:hideMark/>
          </w:tcPr>
          <w:p w14:paraId="0A71BBFA"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68.00%</w:t>
            </w:r>
          </w:p>
        </w:tc>
        <w:tc>
          <w:tcPr>
            <w:tcW w:w="803" w:type="pct"/>
            <w:tcBorders>
              <w:top w:val="nil"/>
              <w:left w:val="nil"/>
              <w:bottom w:val="nil"/>
              <w:right w:val="nil"/>
            </w:tcBorders>
            <w:shd w:val="clear" w:color="auto" w:fill="auto"/>
            <w:noWrap/>
            <w:vAlign w:val="bottom"/>
            <w:hideMark/>
          </w:tcPr>
          <w:p w14:paraId="48450E35"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28.00%</w:t>
            </w:r>
          </w:p>
        </w:tc>
        <w:tc>
          <w:tcPr>
            <w:tcW w:w="803" w:type="pct"/>
            <w:tcBorders>
              <w:top w:val="nil"/>
              <w:left w:val="nil"/>
              <w:bottom w:val="nil"/>
              <w:right w:val="nil"/>
            </w:tcBorders>
            <w:shd w:val="clear" w:color="auto" w:fill="auto"/>
            <w:noWrap/>
            <w:vAlign w:val="bottom"/>
            <w:hideMark/>
          </w:tcPr>
          <w:p w14:paraId="1C3EDD6D"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53.00%</w:t>
            </w:r>
          </w:p>
        </w:tc>
        <w:tc>
          <w:tcPr>
            <w:tcW w:w="803" w:type="pct"/>
            <w:tcBorders>
              <w:top w:val="nil"/>
              <w:left w:val="nil"/>
              <w:bottom w:val="nil"/>
              <w:right w:val="single" w:sz="4" w:space="0" w:color="85BADC"/>
            </w:tcBorders>
            <w:shd w:val="clear" w:color="auto" w:fill="auto"/>
            <w:noWrap/>
            <w:vAlign w:val="bottom"/>
            <w:hideMark/>
          </w:tcPr>
          <w:p w14:paraId="32C14DBB"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56.00%</w:t>
            </w:r>
          </w:p>
        </w:tc>
      </w:tr>
      <w:tr w:rsidR="00CF4C3A" w:rsidRPr="0076589C" w14:paraId="3F12986D" w14:textId="77777777" w:rsidTr="00731C82">
        <w:trPr>
          <w:trHeight w:val="300"/>
        </w:trPr>
        <w:tc>
          <w:tcPr>
            <w:tcW w:w="1874" w:type="pct"/>
            <w:tcBorders>
              <w:top w:val="nil"/>
              <w:left w:val="single" w:sz="4" w:space="0" w:color="85BADC"/>
              <w:bottom w:val="double" w:sz="6" w:space="0" w:color="85BADC"/>
              <w:right w:val="nil"/>
            </w:tcBorders>
            <w:shd w:val="clear" w:color="auto" w:fill="auto"/>
            <w:noWrap/>
            <w:vAlign w:val="bottom"/>
            <w:hideMark/>
          </w:tcPr>
          <w:p w14:paraId="086F0723"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índice de endeudamiento</w:t>
            </w:r>
          </w:p>
        </w:tc>
        <w:tc>
          <w:tcPr>
            <w:tcW w:w="716" w:type="pct"/>
            <w:tcBorders>
              <w:top w:val="nil"/>
              <w:left w:val="nil"/>
              <w:bottom w:val="double" w:sz="6" w:space="0" w:color="85BADC"/>
              <w:right w:val="nil"/>
            </w:tcBorders>
            <w:shd w:val="clear" w:color="auto" w:fill="auto"/>
            <w:noWrap/>
            <w:vAlign w:val="bottom"/>
            <w:hideMark/>
          </w:tcPr>
          <w:p w14:paraId="26718236"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40.00%</w:t>
            </w:r>
          </w:p>
        </w:tc>
        <w:tc>
          <w:tcPr>
            <w:tcW w:w="803" w:type="pct"/>
            <w:tcBorders>
              <w:top w:val="nil"/>
              <w:left w:val="nil"/>
              <w:bottom w:val="double" w:sz="6" w:space="0" w:color="85BADC"/>
              <w:right w:val="nil"/>
            </w:tcBorders>
            <w:shd w:val="clear" w:color="auto" w:fill="auto"/>
            <w:noWrap/>
            <w:vAlign w:val="bottom"/>
            <w:hideMark/>
          </w:tcPr>
          <w:p w14:paraId="6B9D29CE"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36.00%</w:t>
            </w:r>
          </w:p>
        </w:tc>
        <w:tc>
          <w:tcPr>
            <w:tcW w:w="803" w:type="pct"/>
            <w:tcBorders>
              <w:top w:val="nil"/>
              <w:left w:val="nil"/>
              <w:bottom w:val="double" w:sz="6" w:space="0" w:color="85BADC"/>
              <w:right w:val="nil"/>
            </w:tcBorders>
            <w:shd w:val="clear" w:color="auto" w:fill="auto"/>
            <w:noWrap/>
            <w:vAlign w:val="bottom"/>
            <w:hideMark/>
          </w:tcPr>
          <w:p w14:paraId="0759BC06"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35.00%</w:t>
            </w:r>
          </w:p>
        </w:tc>
        <w:tc>
          <w:tcPr>
            <w:tcW w:w="803" w:type="pct"/>
            <w:tcBorders>
              <w:top w:val="nil"/>
              <w:left w:val="nil"/>
              <w:bottom w:val="double" w:sz="6" w:space="0" w:color="85BADC"/>
              <w:right w:val="single" w:sz="4" w:space="0" w:color="85BADC"/>
            </w:tcBorders>
            <w:shd w:val="clear" w:color="auto" w:fill="auto"/>
            <w:noWrap/>
            <w:vAlign w:val="bottom"/>
            <w:hideMark/>
          </w:tcPr>
          <w:p w14:paraId="188EF325"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36.00%</w:t>
            </w:r>
          </w:p>
        </w:tc>
      </w:tr>
      <w:tr w:rsidR="00CF4C3A" w:rsidRPr="0076589C" w14:paraId="6F835C60" w14:textId="77777777" w:rsidTr="00440546">
        <w:trPr>
          <w:trHeight w:val="300"/>
        </w:trPr>
        <w:tc>
          <w:tcPr>
            <w:tcW w:w="5000" w:type="pct"/>
            <w:gridSpan w:val="5"/>
            <w:tcBorders>
              <w:top w:val="nil"/>
              <w:left w:val="single" w:sz="4" w:space="0" w:color="85BADC"/>
              <w:bottom w:val="nil"/>
              <w:right w:val="single" w:sz="4" w:space="0" w:color="85BADC"/>
            </w:tcBorders>
            <w:shd w:val="clear" w:color="auto" w:fill="auto"/>
            <w:noWrap/>
            <w:vAlign w:val="bottom"/>
            <w:hideMark/>
          </w:tcPr>
          <w:p w14:paraId="476E5A19" w14:textId="77777777" w:rsidR="00CF4C3A" w:rsidRPr="0076589C" w:rsidRDefault="00CF4C3A" w:rsidP="00CF4C3A">
            <w:pPr>
              <w:spacing w:after="0" w:line="240" w:lineRule="auto"/>
              <w:ind w:left="0"/>
              <w:jc w:val="center"/>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 </w:t>
            </w:r>
          </w:p>
        </w:tc>
      </w:tr>
      <w:tr w:rsidR="00CF4C3A" w:rsidRPr="0076589C" w14:paraId="3264FCC5" w14:textId="77777777" w:rsidTr="00440546">
        <w:trPr>
          <w:trHeight w:val="290"/>
        </w:trPr>
        <w:tc>
          <w:tcPr>
            <w:tcW w:w="5000" w:type="pct"/>
            <w:gridSpan w:val="5"/>
            <w:tcBorders>
              <w:top w:val="nil"/>
              <w:left w:val="single" w:sz="4" w:space="0" w:color="85BADC"/>
              <w:bottom w:val="nil"/>
              <w:right w:val="single" w:sz="4" w:space="0" w:color="85BADC"/>
            </w:tcBorders>
            <w:shd w:val="clear" w:color="auto" w:fill="auto"/>
            <w:noWrap/>
            <w:vAlign w:val="bottom"/>
            <w:hideMark/>
          </w:tcPr>
          <w:p w14:paraId="1D7BD347" w14:textId="77777777" w:rsidR="00CF4C3A" w:rsidRPr="0076589C" w:rsidRDefault="00CF4C3A" w:rsidP="00CF4C3A">
            <w:pPr>
              <w:spacing w:after="0" w:line="240" w:lineRule="auto"/>
              <w:ind w:left="0"/>
              <w:rPr>
                <w:rFonts w:ascii="Calibri" w:eastAsia="Times New Roman" w:hAnsi="Calibri" w:cs="Calibri"/>
                <w:b/>
                <w:bCs/>
                <w:i/>
                <w:iCs/>
                <w:color w:val="000000"/>
                <w:sz w:val="20"/>
                <w:szCs w:val="20"/>
                <w:u w:val="single"/>
                <w:lang w:val="en-US"/>
              </w:rPr>
            </w:pPr>
            <w:r w:rsidRPr="0076589C">
              <w:rPr>
                <w:rFonts w:ascii="Calibri" w:eastAsia="Times New Roman" w:hAnsi="Calibri" w:cs="Calibri"/>
                <w:b/>
                <w:bCs/>
                <w:i/>
                <w:iCs/>
                <w:color w:val="000000"/>
                <w:sz w:val="20"/>
                <w:szCs w:val="20"/>
                <w:u w:val="single"/>
                <w:lang w:val="en-US"/>
              </w:rPr>
              <w:t>ROE Sistema Dupont</w:t>
            </w:r>
          </w:p>
        </w:tc>
      </w:tr>
      <w:tr w:rsidR="00FA3BF2" w:rsidRPr="0076589C" w14:paraId="1E81E9E6" w14:textId="77777777" w:rsidTr="00731C82">
        <w:trPr>
          <w:trHeight w:val="300"/>
        </w:trPr>
        <w:tc>
          <w:tcPr>
            <w:tcW w:w="1874" w:type="pct"/>
            <w:tcBorders>
              <w:top w:val="single" w:sz="4" w:space="0" w:color="auto"/>
              <w:left w:val="single" w:sz="4" w:space="0" w:color="85BADC"/>
              <w:bottom w:val="single" w:sz="8" w:space="0" w:color="85BADC"/>
              <w:right w:val="nil"/>
            </w:tcBorders>
            <w:shd w:val="clear" w:color="000000" w:fill="C9E1EF"/>
            <w:noWrap/>
            <w:vAlign w:val="center"/>
            <w:hideMark/>
          </w:tcPr>
          <w:p w14:paraId="6741F153"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 </w:t>
            </w:r>
          </w:p>
        </w:tc>
        <w:tc>
          <w:tcPr>
            <w:tcW w:w="716" w:type="pct"/>
            <w:tcBorders>
              <w:top w:val="single" w:sz="4" w:space="0" w:color="auto"/>
              <w:left w:val="nil"/>
              <w:bottom w:val="single" w:sz="8" w:space="0" w:color="85BADC"/>
              <w:right w:val="nil"/>
            </w:tcBorders>
            <w:shd w:val="clear" w:color="000000" w:fill="C9E1EF"/>
            <w:noWrap/>
            <w:vAlign w:val="center"/>
            <w:hideMark/>
          </w:tcPr>
          <w:p w14:paraId="67D3DC3C"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2019</w:t>
            </w:r>
          </w:p>
        </w:tc>
        <w:tc>
          <w:tcPr>
            <w:tcW w:w="803" w:type="pct"/>
            <w:tcBorders>
              <w:top w:val="single" w:sz="4" w:space="0" w:color="auto"/>
              <w:left w:val="nil"/>
              <w:bottom w:val="single" w:sz="8" w:space="0" w:color="85BADC"/>
              <w:right w:val="nil"/>
            </w:tcBorders>
            <w:shd w:val="clear" w:color="000000" w:fill="C9E1EF"/>
            <w:noWrap/>
            <w:vAlign w:val="center"/>
            <w:hideMark/>
          </w:tcPr>
          <w:p w14:paraId="45B4D6E4"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2020</w:t>
            </w:r>
          </w:p>
        </w:tc>
        <w:tc>
          <w:tcPr>
            <w:tcW w:w="803" w:type="pct"/>
            <w:tcBorders>
              <w:top w:val="single" w:sz="4" w:space="0" w:color="auto"/>
              <w:left w:val="nil"/>
              <w:bottom w:val="single" w:sz="8" w:space="0" w:color="85BADC"/>
              <w:right w:val="single" w:sz="4" w:space="0" w:color="auto"/>
            </w:tcBorders>
            <w:shd w:val="clear" w:color="000000" w:fill="C9E1EF"/>
            <w:noWrap/>
            <w:vAlign w:val="center"/>
            <w:hideMark/>
          </w:tcPr>
          <w:p w14:paraId="45A4D4A6"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2021</w:t>
            </w:r>
          </w:p>
        </w:tc>
        <w:tc>
          <w:tcPr>
            <w:tcW w:w="803" w:type="pct"/>
            <w:tcBorders>
              <w:top w:val="single" w:sz="4" w:space="0" w:color="auto"/>
              <w:left w:val="nil"/>
              <w:bottom w:val="single" w:sz="8" w:space="0" w:color="85BADC"/>
              <w:right w:val="single" w:sz="4" w:space="0" w:color="85BADC"/>
            </w:tcBorders>
            <w:shd w:val="clear" w:color="000000" w:fill="C9E1EF"/>
            <w:noWrap/>
            <w:vAlign w:val="center"/>
            <w:hideMark/>
          </w:tcPr>
          <w:p w14:paraId="5F7ECCC1" w14:textId="77777777" w:rsidR="00CF4C3A" w:rsidRPr="0076589C" w:rsidRDefault="00CF4C3A" w:rsidP="00CF4C3A">
            <w:pPr>
              <w:spacing w:after="0" w:line="240" w:lineRule="auto"/>
              <w:ind w:left="0"/>
              <w:jc w:val="center"/>
              <w:rPr>
                <w:rFonts w:ascii="Calibri" w:eastAsia="Times New Roman" w:hAnsi="Calibri" w:cs="Calibri"/>
                <w:b/>
                <w:bCs/>
                <w:i/>
                <w:iCs/>
                <w:color w:val="000000"/>
                <w:sz w:val="20"/>
                <w:szCs w:val="20"/>
                <w:lang w:val="en-US"/>
              </w:rPr>
            </w:pPr>
            <w:r w:rsidRPr="0076589C">
              <w:rPr>
                <w:rFonts w:ascii="Calibri" w:eastAsia="Times New Roman" w:hAnsi="Calibri" w:cs="Calibri"/>
                <w:b/>
                <w:bCs/>
                <w:i/>
                <w:iCs/>
                <w:color w:val="000000"/>
                <w:sz w:val="20"/>
                <w:szCs w:val="20"/>
                <w:lang w:val="en-US"/>
              </w:rPr>
              <w:t>2022</w:t>
            </w:r>
          </w:p>
        </w:tc>
      </w:tr>
      <w:tr w:rsidR="00CF4C3A" w:rsidRPr="0076589C" w14:paraId="7BC5F963" w14:textId="77777777" w:rsidTr="00731C82">
        <w:trPr>
          <w:trHeight w:val="300"/>
        </w:trPr>
        <w:tc>
          <w:tcPr>
            <w:tcW w:w="1874" w:type="pct"/>
            <w:tcBorders>
              <w:top w:val="nil"/>
              <w:left w:val="single" w:sz="4" w:space="0" w:color="85BADC"/>
              <w:bottom w:val="double" w:sz="6" w:space="0" w:color="85BADC"/>
              <w:right w:val="nil"/>
            </w:tcBorders>
            <w:shd w:val="clear" w:color="auto" w:fill="auto"/>
            <w:noWrap/>
            <w:vAlign w:val="bottom"/>
            <w:hideMark/>
          </w:tcPr>
          <w:p w14:paraId="78F6D19A"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ROE Sistema Dupont</w:t>
            </w:r>
          </w:p>
        </w:tc>
        <w:tc>
          <w:tcPr>
            <w:tcW w:w="716" w:type="pct"/>
            <w:tcBorders>
              <w:top w:val="nil"/>
              <w:left w:val="nil"/>
              <w:bottom w:val="double" w:sz="6" w:space="0" w:color="85BADC"/>
              <w:right w:val="nil"/>
            </w:tcBorders>
            <w:shd w:val="clear" w:color="auto" w:fill="auto"/>
            <w:noWrap/>
            <w:vAlign w:val="bottom"/>
            <w:hideMark/>
          </w:tcPr>
          <w:p w14:paraId="2FD3F1DD"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1.26%</w:t>
            </w:r>
          </w:p>
        </w:tc>
        <w:tc>
          <w:tcPr>
            <w:tcW w:w="803" w:type="pct"/>
            <w:tcBorders>
              <w:top w:val="nil"/>
              <w:left w:val="nil"/>
              <w:bottom w:val="double" w:sz="6" w:space="0" w:color="85BADC"/>
              <w:right w:val="nil"/>
            </w:tcBorders>
            <w:shd w:val="clear" w:color="auto" w:fill="auto"/>
            <w:noWrap/>
            <w:vAlign w:val="bottom"/>
            <w:hideMark/>
          </w:tcPr>
          <w:p w14:paraId="70F27AEE"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0.10%</w:t>
            </w:r>
          </w:p>
        </w:tc>
        <w:tc>
          <w:tcPr>
            <w:tcW w:w="803" w:type="pct"/>
            <w:tcBorders>
              <w:top w:val="nil"/>
              <w:left w:val="nil"/>
              <w:bottom w:val="double" w:sz="6" w:space="0" w:color="85BADC"/>
              <w:right w:val="nil"/>
            </w:tcBorders>
            <w:shd w:val="clear" w:color="auto" w:fill="auto"/>
            <w:noWrap/>
            <w:vAlign w:val="bottom"/>
            <w:hideMark/>
          </w:tcPr>
          <w:p w14:paraId="2162FFE3"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0.99%</w:t>
            </w:r>
          </w:p>
        </w:tc>
        <w:tc>
          <w:tcPr>
            <w:tcW w:w="803" w:type="pct"/>
            <w:tcBorders>
              <w:top w:val="nil"/>
              <w:left w:val="nil"/>
              <w:bottom w:val="double" w:sz="6" w:space="0" w:color="85BADC"/>
              <w:right w:val="single" w:sz="4" w:space="0" w:color="85BADC"/>
            </w:tcBorders>
            <w:shd w:val="clear" w:color="auto" w:fill="auto"/>
            <w:noWrap/>
            <w:vAlign w:val="bottom"/>
            <w:hideMark/>
          </w:tcPr>
          <w:p w14:paraId="6DFF7204" w14:textId="77777777" w:rsidR="00CF4C3A" w:rsidRPr="0076589C" w:rsidRDefault="00CF4C3A" w:rsidP="00CF4C3A">
            <w:pPr>
              <w:spacing w:after="0" w:line="240" w:lineRule="auto"/>
              <w:ind w:left="0"/>
              <w:jc w:val="right"/>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0.77%</w:t>
            </w:r>
          </w:p>
        </w:tc>
      </w:tr>
      <w:tr w:rsidR="00CF4C3A" w:rsidRPr="0076589C" w14:paraId="280E7B9E" w14:textId="77777777" w:rsidTr="00731C82">
        <w:trPr>
          <w:trHeight w:val="300"/>
        </w:trPr>
        <w:tc>
          <w:tcPr>
            <w:tcW w:w="1874" w:type="pct"/>
            <w:tcBorders>
              <w:top w:val="nil"/>
              <w:left w:val="single" w:sz="4" w:space="0" w:color="85BADC"/>
              <w:bottom w:val="single" w:sz="4" w:space="0" w:color="85BADC"/>
              <w:right w:val="nil"/>
            </w:tcBorders>
            <w:shd w:val="clear" w:color="auto" w:fill="auto"/>
            <w:noWrap/>
            <w:vAlign w:val="bottom"/>
            <w:hideMark/>
          </w:tcPr>
          <w:p w14:paraId="74FD4791"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 </w:t>
            </w:r>
          </w:p>
        </w:tc>
        <w:tc>
          <w:tcPr>
            <w:tcW w:w="716" w:type="pct"/>
            <w:tcBorders>
              <w:top w:val="nil"/>
              <w:left w:val="nil"/>
              <w:bottom w:val="single" w:sz="4" w:space="0" w:color="85BADC"/>
              <w:right w:val="nil"/>
            </w:tcBorders>
            <w:shd w:val="clear" w:color="auto" w:fill="auto"/>
            <w:noWrap/>
            <w:vAlign w:val="bottom"/>
            <w:hideMark/>
          </w:tcPr>
          <w:p w14:paraId="33AF8894"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 </w:t>
            </w:r>
          </w:p>
        </w:tc>
        <w:tc>
          <w:tcPr>
            <w:tcW w:w="803" w:type="pct"/>
            <w:tcBorders>
              <w:top w:val="nil"/>
              <w:left w:val="nil"/>
              <w:bottom w:val="single" w:sz="4" w:space="0" w:color="85BADC"/>
              <w:right w:val="nil"/>
            </w:tcBorders>
            <w:shd w:val="clear" w:color="auto" w:fill="auto"/>
            <w:noWrap/>
            <w:vAlign w:val="bottom"/>
            <w:hideMark/>
          </w:tcPr>
          <w:p w14:paraId="701755D4"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 </w:t>
            </w:r>
          </w:p>
        </w:tc>
        <w:tc>
          <w:tcPr>
            <w:tcW w:w="803" w:type="pct"/>
            <w:tcBorders>
              <w:top w:val="nil"/>
              <w:left w:val="nil"/>
              <w:bottom w:val="single" w:sz="4" w:space="0" w:color="85BADC"/>
              <w:right w:val="nil"/>
            </w:tcBorders>
            <w:shd w:val="clear" w:color="auto" w:fill="auto"/>
            <w:noWrap/>
            <w:vAlign w:val="bottom"/>
            <w:hideMark/>
          </w:tcPr>
          <w:p w14:paraId="4A448B78"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 </w:t>
            </w:r>
          </w:p>
        </w:tc>
        <w:tc>
          <w:tcPr>
            <w:tcW w:w="803" w:type="pct"/>
            <w:tcBorders>
              <w:top w:val="nil"/>
              <w:left w:val="nil"/>
              <w:bottom w:val="single" w:sz="4" w:space="0" w:color="85BADC"/>
              <w:right w:val="single" w:sz="4" w:space="0" w:color="85BADC"/>
            </w:tcBorders>
            <w:shd w:val="clear" w:color="auto" w:fill="auto"/>
            <w:noWrap/>
            <w:vAlign w:val="bottom"/>
            <w:hideMark/>
          </w:tcPr>
          <w:p w14:paraId="42A75256" w14:textId="77777777" w:rsidR="00CF4C3A" w:rsidRPr="0076589C" w:rsidRDefault="00CF4C3A" w:rsidP="00CF4C3A">
            <w:pPr>
              <w:spacing w:after="0" w:line="240" w:lineRule="auto"/>
              <w:ind w:left="0"/>
              <w:rPr>
                <w:rFonts w:ascii="Calibri" w:eastAsia="Times New Roman" w:hAnsi="Calibri" w:cs="Calibri"/>
                <w:color w:val="000000"/>
                <w:sz w:val="20"/>
                <w:szCs w:val="20"/>
                <w:lang w:val="en-US"/>
              </w:rPr>
            </w:pPr>
            <w:r w:rsidRPr="0076589C">
              <w:rPr>
                <w:rFonts w:ascii="Calibri" w:eastAsia="Times New Roman" w:hAnsi="Calibri" w:cs="Calibri"/>
                <w:color w:val="000000"/>
                <w:sz w:val="20"/>
                <w:szCs w:val="20"/>
                <w:lang w:val="en-US"/>
              </w:rPr>
              <w:t> </w:t>
            </w:r>
          </w:p>
        </w:tc>
      </w:tr>
    </w:tbl>
    <w:p w14:paraId="077ACABA" w14:textId="4E51B6D6" w:rsidR="00775958" w:rsidRPr="0076589C" w:rsidRDefault="0069395C" w:rsidP="0069395C">
      <w:pPr>
        <w:pStyle w:val="Fuentes"/>
        <w:rPr>
          <w:lang w:val="es-HN"/>
        </w:rPr>
      </w:pPr>
      <w:r w:rsidRPr="0076589C">
        <w:rPr>
          <w:lang w:val="es-HN"/>
        </w:rPr>
        <w:t>Fuente: Elaboración propia con datos de IPRA (2023).</w:t>
      </w:r>
    </w:p>
    <w:p w14:paraId="436BCD51" w14:textId="77777777" w:rsidR="0069395C" w:rsidRPr="0076589C" w:rsidRDefault="0069395C" w:rsidP="0069395C">
      <w:pPr>
        <w:pStyle w:val="Fuentes"/>
        <w:rPr>
          <w:lang w:val="es-HN"/>
        </w:rPr>
      </w:pPr>
    </w:p>
    <w:p w14:paraId="12509FBC" w14:textId="47DC4029" w:rsidR="00DA7825" w:rsidRPr="0076589C" w:rsidRDefault="1C8D6E3A" w:rsidP="00494616">
      <w:pPr>
        <w:pStyle w:val="Ttulo2"/>
        <w:numPr>
          <w:ilvl w:val="0"/>
          <w:numId w:val="29"/>
        </w:numPr>
        <w:ind w:left="357" w:hanging="357"/>
      </w:pPr>
      <w:bookmarkStart w:id="305" w:name="_Toc158365527"/>
      <w:r w:rsidRPr="0076589C">
        <w:t>RESULTADOS Y ANÁLISIS DE LAS TÉCNICAS CUALITATIVAS</w:t>
      </w:r>
      <w:bookmarkEnd w:id="305"/>
    </w:p>
    <w:p w14:paraId="0E19453C" w14:textId="77777777" w:rsidR="00775958" w:rsidRPr="0076589C" w:rsidRDefault="1C8D6E3A" w:rsidP="00775958">
      <w:pPr>
        <w:pStyle w:val="TextoPrincipal"/>
        <w:spacing w:after="0"/>
        <w:rPr>
          <w:lang w:val="es-HN"/>
        </w:rPr>
      </w:pPr>
      <w:r w:rsidRPr="0076589C">
        <w:rPr>
          <w:lang w:val="es-HN"/>
        </w:rPr>
        <w:t>En esta sección se presentan los resultados con técnicas cualitativas que se derivan de la aplicación de un instrumento, para este caso se aplicó una entrevista al gerente financiero de la empresa con el propósito de conocer y recopilar información cualitativa para las variables de cartera de crédito, política de cobranza, política de crédito</w:t>
      </w:r>
      <w:r w:rsidR="00775958" w:rsidRPr="0076589C">
        <w:rPr>
          <w:lang w:val="es-HN"/>
        </w:rPr>
        <w:t>.</w:t>
      </w:r>
    </w:p>
    <w:p w14:paraId="3A0CA505" w14:textId="36199296" w:rsidR="00DA7825" w:rsidRPr="0076589C" w:rsidRDefault="1C8D6E3A" w:rsidP="00775958">
      <w:pPr>
        <w:pStyle w:val="TextoPrincipal"/>
        <w:spacing w:after="0"/>
        <w:rPr>
          <w:lang w:val="es-HN"/>
        </w:rPr>
      </w:pPr>
      <w:r w:rsidRPr="0076589C">
        <w:rPr>
          <w:lang w:val="es-HN"/>
        </w:rPr>
        <w:t xml:space="preserve"> </w:t>
      </w:r>
    </w:p>
    <w:p w14:paraId="2BBA7F8D" w14:textId="61747051" w:rsidR="00DA7825" w:rsidRPr="0076589C" w:rsidRDefault="1C8D6E3A" w:rsidP="00173AE7">
      <w:pPr>
        <w:pStyle w:val="Ttulonivel3"/>
        <w:numPr>
          <w:ilvl w:val="0"/>
          <w:numId w:val="40"/>
        </w:numPr>
        <w:ind w:left="720" w:firstLine="0"/>
      </w:pPr>
      <w:bookmarkStart w:id="306" w:name="_Toc158365528"/>
      <w:r w:rsidRPr="0076589C">
        <w:lastRenderedPageBreak/>
        <w:t>ANÁLISIS DE CARTERA DE CRÉDITO</w:t>
      </w:r>
      <w:bookmarkEnd w:id="306"/>
    </w:p>
    <w:p w14:paraId="79CC07D6" w14:textId="7FDDD323" w:rsidR="00DE2B3F" w:rsidRPr="0076589C" w:rsidRDefault="1C8D6E3A" w:rsidP="00775958">
      <w:pPr>
        <w:pStyle w:val="TextoPrincipal"/>
        <w:keepNext/>
        <w:keepLines/>
        <w:spacing w:after="0"/>
        <w:rPr>
          <w:lang w:val="es-HN"/>
        </w:rPr>
      </w:pPr>
      <w:r w:rsidRPr="0076589C">
        <w:rPr>
          <w:lang w:val="es-HN"/>
        </w:rPr>
        <w:t>Este análisis se basa en una dimensión llamada financiera la cual se centra en una serie de preguntas realizadas al gerente financiero de la empresa IPRA sobre el riesgo crediticio, las cuales permite a la organización obtener información precisa y actualizada sobre su cartera de crédito, lo que a su vez les ayuda a tomar decisiones informadas para optimizar su gestión financiera y reducir los riesgos asociados con la concesión de crédito.</w:t>
      </w:r>
    </w:p>
    <w:p w14:paraId="521F1E85" w14:textId="77777777" w:rsidR="00775958" w:rsidRPr="0076589C" w:rsidRDefault="00775958" w:rsidP="00775958">
      <w:pPr>
        <w:pStyle w:val="TextoPrincipal"/>
        <w:keepNext/>
        <w:keepLines/>
        <w:spacing w:after="0"/>
        <w:rPr>
          <w:lang w:val="es-HN"/>
        </w:rPr>
      </w:pPr>
    </w:p>
    <w:p w14:paraId="71B06DEC" w14:textId="371383EE" w:rsidR="006237B2" w:rsidRPr="0076589C" w:rsidRDefault="1C8D6E3A" w:rsidP="003B1A49">
      <w:pPr>
        <w:pStyle w:val="Ttulonivel4"/>
        <w:numPr>
          <w:ilvl w:val="0"/>
          <w:numId w:val="41"/>
        </w:numPr>
        <w:ind w:left="1440" w:firstLine="0"/>
      </w:pPr>
      <w:bookmarkStart w:id="307" w:name="_Hlk150071436"/>
      <w:r w:rsidRPr="0076589C">
        <w:t>DIMENSIÓN FINANCIERA</w:t>
      </w:r>
    </w:p>
    <w:bookmarkEnd w:id="307"/>
    <w:p w14:paraId="7F70E792" w14:textId="13982E25" w:rsidR="00A124A2" w:rsidRPr="0076589C" w:rsidRDefault="1C8D6E3A" w:rsidP="00775958">
      <w:pPr>
        <w:pStyle w:val="TextoPrincipal"/>
        <w:spacing w:after="0"/>
        <w:rPr>
          <w:lang w:val="es-HN"/>
        </w:rPr>
      </w:pPr>
      <w:r w:rsidRPr="0076589C">
        <w:rPr>
          <w:lang w:val="es-HN"/>
        </w:rPr>
        <w:t>Se utilizó la dimensión financiera la cual emerge como un pilar crucial en la gestión del riesgo crediticio. Que permite destacar la importancia de evaluar con precisión la salud financiera de la cartera de crédito, subrayando la necesidad de estrategias sólidas para mitigar riesgos y optimizar el rendimiento económico.</w:t>
      </w:r>
    </w:p>
    <w:p w14:paraId="469ABB7C" w14:textId="77777777" w:rsidR="00775958" w:rsidRPr="0076589C" w:rsidRDefault="00775958" w:rsidP="00775958">
      <w:pPr>
        <w:pStyle w:val="TextoPrincipal"/>
        <w:spacing w:after="0"/>
        <w:rPr>
          <w:lang w:val="es-HN"/>
        </w:rPr>
      </w:pPr>
    </w:p>
    <w:p w14:paraId="6C215F2B" w14:textId="26C57046" w:rsidR="00D854CF" w:rsidRPr="0076589C" w:rsidRDefault="1C8D6E3A" w:rsidP="00224735">
      <w:pPr>
        <w:pStyle w:val="Nivel5"/>
        <w:numPr>
          <w:ilvl w:val="0"/>
          <w:numId w:val="42"/>
        </w:numPr>
        <w:ind w:left="1440" w:firstLine="0"/>
      </w:pPr>
      <w:r w:rsidRPr="0076589C">
        <w:t>RIESGO CREDITICIO</w:t>
      </w:r>
    </w:p>
    <w:p w14:paraId="05B15232" w14:textId="6E61AD38" w:rsidR="00AE4F4A" w:rsidRPr="0076589C" w:rsidRDefault="1C8D6E3A" w:rsidP="00AE4F4A">
      <w:pPr>
        <w:pStyle w:val="TextoPrincipal"/>
        <w:rPr>
          <w:lang w:val="es-HN"/>
        </w:rPr>
      </w:pPr>
      <w:bookmarkStart w:id="308" w:name="_Hlk150463893"/>
      <w:r w:rsidRPr="0076589C">
        <w:rPr>
          <w:lang w:val="es-HN"/>
        </w:rPr>
        <w:t>Para el riesgo crediticio se plante</w:t>
      </w:r>
      <w:r w:rsidR="00A7642D" w:rsidRPr="0076589C">
        <w:rPr>
          <w:lang w:val="es-HN"/>
        </w:rPr>
        <w:t>ó</w:t>
      </w:r>
      <w:r w:rsidRPr="0076589C">
        <w:rPr>
          <w:lang w:val="es-HN"/>
        </w:rPr>
        <w:t xml:space="preserve"> tres preguntas que fueron aplicadas en la entrevista con el gerente financiero de IPRA con el fin de conocer sobre </w:t>
      </w:r>
      <w:bookmarkEnd w:id="308"/>
      <w:r w:rsidRPr="0076589C">
        <w:rPr>
          <w:lang w:val="es-HN"/>
        </w:rPr>
        <w:t>las cuentas incobrables que se manejan en la empresa, la cantidad y monto de las cuentas, la estrategia para su recuperación y si aplican alguna medida legal.</w:t>
      </w:r>
    </w:p>
    <w:p w14:paraId="2B183F78" w14:textId="2EB3FDBD" w:rsidR="00B23CE8" w:rsidRPr="0076589C" w:rsidRDefault="1C8D6E3A" w:rsidP="00775958">
      <w:pPr>
        <w:pStyle w:val="TextoPrincipal"/>
        <w:rPr>
          <w:lang w:val="es-HN"/>
        </w:rPr>
      </w:pPr>
      <w:r w:rsidRPr="0076589C">
        <w:rPr>
          <w:lang w:val="es-HN"/>
        </w:rPr>
        <w:t>Para la variable de cartera de crédito, como indicador se planteó el riesgo crediticio</w:t>
      </w:r>
    </w:p>
    <w:p w14:paraId="53488153" w14:textId="123C4C83" w:rsidR="00212B75" w:rsidRPr="0076589C" w:rsidRDefault="1C8D6E3A" w:rsidP="00212B75">
      <w:pPr>
        <w:pStyle w:val="ImagenyTabla"/>
        <w:rPr>
          <w:noProof w:val="0"/>
        </w:rPr>
      </w:pPr>
      <w:bookmarkStart w:id="309" w:name="_Toc158365577"/>
      <w:r w:rsidRPr="0076589C">
        <w:t xml:space="preserve">Tabla </w:t>
      </w:r>
      <w:r w:rsidR="00212B75" w:rsidRPr="0076589C">
        <w:rPr>
          <w:noProof w:val="0"/>
        </w:rPr>
        <w:fldChar w:fldCharType="begin"/>
      </w:r>
      <w:r w:rsidR="00212B75" w:rsidRPr="0076589C">
        <w:rPr>
          <w:noProof w:val="0"/>
        </w:rPr>
        <w:instrText xml:space="preserve"> SEQ Tabla \* ARABIC </w:instrText>
      </w:r>
      <w:r w:rsidR="00212B75" w:rsidRPr="0076589C">
        <w:rPr>
          <w:noProof w:val="0"/>
        </w:rPr>
        <w:fldChar w:fldCharType="separate"/>
      </w:r>
      <w:r w:rsidR="009F171A">
        <w:t>29</w:t>
      </w:r>
      <w:r w:rsidR="00212B75" w:rsidRPr="0076589C">
        <w:rPr>
          <w:noProof w:val="0"/>
        </w:rPr>
        <w:fldChar w:fldCharType="end"/>
      </w:r>
      <w:r w:rsidRPr="0076589C">
        <w:t>. Preguntas Riesgo Crediticio</w:t>
      </w:r>
      <w:bookmarkEnd w:id="309"/>
      <w:r w:rsidRPr="0076589C">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6"/>
        <w:gridCol w:w="4121"/>
        <w:gridCol w:w="3403"/>
      </w:tblGrid>
      <w:tr w:rsidR="00F03EF3" w:rsidRPr="0076589C" w14:paraId="6A51110D" w14:textId="77777777" w:rsidTr="1C8D6E3A">
        <w:trPr>
          <w:trHeight w:val="320"/>
        </w:trPr>
        <w:tc>
          <w:tcPr>
            <w:tcW w:w="976" w:type="pct"/>
            <w:shd w:val="clear" w:color="auto" w:fill="85BADC"/>
            <w:noWrap/>
            <w:vAlign w:val="bottom"/>
            <w:hideMark/>
          </w:tcPr>
          <w:p w14:paraId="6CB709BE" w14:textId="77777777" w:rsidR="000D1F50" w:rsidRPr="0076589C" w:rsidRDefault="1C8D6E3A" w:rsidP="000D1F50">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themeColor="text1"/>
                <w:sz w:val="20"/>
                <w:szCs w:val="20"/>
              </w:rPr>
              <w:t>Pregunta</w:t>
            </w:r>
          </w:p>
        </w:tc>
        <w:tc>
          <w:tcPr>
            <w:tcW w:w="2204" w:type="pct"/>
            <w:shd w:val="clear" w:color="auto" w:fill="85BADC"/>
            <w:vAlign w:val="bottom"/>
            <w:hideMark/>
          </w:tcPr>
          <w:p w14:paraId="44FDA666" w14:textId="762C4BF7" w:rsidR="000D1F50" w:rsidRPr="0076589C" w:rsidRDefault="1C8D6E3A" w:rsidP="000D1F50">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themeColor="text1"/>
                <w:sz w:val="20"/>
                <w:szCs w:val="20"/>
              </w:rPr>
              <w:t>Respuesta</w:t>
            </w:r>
          </w:p>
        </w:tc>
        <w:tc>
          <w:tcPr>
            <w:tcW w:w="1820" w:type="pct"/>
            <w:shd w:val="clear" w:color="auto" w:fill="85BADC"/>
            <w:noWrap/>
            <w:vAlign w:val="bottom"/>
            <w:hideMark/>
          </w:tcPr>
          <w:p w14:paraId="51E571F1" w14:textId="77777777" w:rsidR="000D1F50" w:rsidRPr="0076589C" w:rsidRDefault="1C8D6E3A" w:rsidP="000D1F50">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themeColor="text1"/>
                <w:sz w:val="20"/>
                <w:szCs w:val="20"/>
              </w:rPr>
              <w:t>Interpretación</w:t>
            </w:r>
          </w:p>
        </w:tc>
      </w:tr>
      <w:tr w:rsidR="000D1F50" w:rsidRPr="0076589C" w14:paraId="03EB4DB4" w14:textId="77777777" w:rsidTr="1C8D6E3A">
        <w:trPr>
          <w:trHeight w:val="1266"/>
        </w:trPr>
        <w:tc>
          <w:tcPr>
            <w:tcW w:w="976" w:type="pct"/>
            <w:shd w:val="clear" w:color="auto" w:fill="auto"/>
            <w:vAlign w:val="center"/>
            <w:hideMark/>
          </w:tcPr>
          <w:p w14:paraId="43080C25" w14:textId="77777777" w:rsidR="000D1F50" w:rsidRPr="0076589C" w:rsidRDefault="1C8D6E3A" w:rsidP="002D34B3">
            <w:pPr>
              <w:spacing w:after="0" w:line="240" w:lineRule="auto"/>
              <w:ind w:left="0"/>
              <w:jc w:val="both"/>
              <w:rPr>
                <w:rFonts w:eastAsia="Times New Roman" w:cs="Times New Roman"/>
                <w:color w:val="000000"/>
                <w:sz w:val="20"/>
                <w:szCs w:val="20"/>
              </w:rPr>
            </w:pPr>
            <w:r w:rsidRPr="0076589C">
              <w:rPr>
                <w:rFonts w:eastAsia="Times New Roman" w:cs="Times New Roman"/>
                <w:color w:val="000000" w:themeColor="text1"/>
                <w:sz w:val="20"/>
                <w:szCs w:val="20"/>
              </w:rPr>
              <w:t xml:space="preserve">Durante el periodo de 2019-2022 ¿Cuántas cuentas incobrables ha tenido IPRA y cuál ha sido el monto anualmente? </w:t>
            </w:r>
          </w:p>
        </w:tc>
        <w:tc>
          <w:tcPr>
            <w:tcW w:w="2204" w:type="pct"/>
            <w:shd w:val="clear" w:color="auto" w:fill="auto"/>
            <w:vAlign w:val="center"/>
            <w:hideMark/>
          </w:tcPr>
          <w:p w14:paraId="26C6BAEA" w14:textId="77777777" w:rsidR="000D1F50" w:rsidRPr="0076589C" w:rsidRDefault="1C8D6E3A" w:rsidP="002D34B3">
            <w:pPr>
              <w:spacing w:after="0" w:line="240" w:lineRule="auto"/>
              <w:ind w:left="0"/>
              <w:jc w:val="both"/>
              <w:rPr>
                <w:rFonts w:eastAsia="Times New Roman" w:cs="Times New Roman"/>
                <w:color w:val="000000"/>
                <w:sz w:val="20"/>
                <w:szCs w:val="20"/>
              </w:rPr>
            </w:pPr>
            <w:r w:rsidRPr="0076589C">
              <w:rPr>
                <w:rFonts w:eastAsia="Times New Roman" w:cs="Times New Roman"/>
                <w:color w:val="000000" w:themeColor="text1"/>
                <w:sz w:val="20"/>
                <w:szCs w:val="20"/>
              </w:rPr>
              <w:t xml:space="preserve">En el balance de la empresa siempre se refleja un 10% estimado para cuenta incobrable, siempre queda presupuestado el porcentaje de la venta como cuenta incobrable, usualmente ese monto se utiliza muy poco, por lo tanto, se podría decir que de cuentas incobrables de la empresa se estima que salen alrededor unos L 100,000 al año por mucho, ya que usualmente se mantiene el proceso de cobro. Técnicamente en algunos lugares, luego de 120 días se convierte como cuenta incobrable pero dada a la relación que se tiene a largo plazo con los clientes al final siempre se recupera el dinero. </w:t>
            </w:r>
            <w:r w:rsidR="000D1F50" w:rsidRPr="0076589C">
              <w:br/>
            </w:r>
            <w:r w:rsidRPr="0076589C">
              <w:rPr>
                <w:rFonts w:eastAsia="Times New Roman" w:cs="Times New Roman"/>
                <w:color w:val="000000" w:themeColor="text1"/>
                <w:sz w:val="20"/>
                <w:szCs w:val="20"/>
              </w:rPr>
              <w:t xml:space="preserve">Se utiliza como cuentas incobrables ya cuando un cliente cierra, básicamente cuando este ha cierre es por quiebra o porque ha tenido incidentes de </w:t>
            </w:r>
            <w:r w:rsidRPr="0076589C">
              <w:rPr>
                <w:rFonts w:eastAsia="Times New Roman" w:cs="Times New Roman"/>
                <w:color w:val="000000" w:themeColor="text1"/>
                <w:sz w:val="20"/>
                <w:szCs w:val="20"/>
              </w:rPr>
              <w:lastRenderedPageBreak/>
              <w:t>fuerza mayor, como ser un incendio o ese tipo de situaciones, es ahí cuando realmente en la empresa se aplica una cuenta incobrable. De otra manera, siempre se mantiene el proceso de cobro en la empresa, lo que minimiza en utilizar las cuentas incobrables.</w:t>
            </w:r>
          </w:p>
        </w:tc>
        <w:tc>
          <w:tcPr>
            <w:tcW w:w="1820" w:type="pct"/>
            <w:shd w:val="clear" w:color="auto" w:fill="auto"/>
            <w:vAlign w:val="center"/>
            <w:hideMark/>
          </w:tcPr>
          <w:p w14:paraId="30FD63D2" w14:textId="7455AE97" w:rsidR="000D1F50" w:rsidRPr="0076589C" w:rsidRDefault="1C8D6E3A" w:rsidP="002D34B3">
            <w:pPr>
              <w:spacing w:after="0" w:line="240" w:lineRule="auto"/>
              <w:ind w:left="0"/>
              <w:jc w:val="both"/>
              <w:rPr>
                <w:rFonts w:eastAsia="Times New Roman" w:cs="Times New Roman"/>
                <w:color w:val="000000"/>
                <w:sz w:val="20"/>
                <w:szCs w:val="20"/>
              </w:rPr>
            </w:pPr>
            <w:r w:rsidRPr="0076589C">
              <w:rPr>
                <w:rFonts w:eastAsia="Times New Roman" w:cs="Times New Roman"/>
                <w:color w:val="000000" w:themeColor="text1"/>
                <w:sz w:val="20"/>
                <w:szCs w:val="20"/>
              </w:rPr>
              <w:lastRenderedPageBreak/>
              <w:t>La empresa reserva un 10% de las ventas como una estimación para cuentas incobrables en su balance, lo que significa que se presupuesta el porcentaje para cubrir las posibles deudas no pagadas por los clientes. Sin embargo, en la empresa rara vez se utiliza el monto estimado, ya que la empresa generalmente recupera el dinero y solo se convierte en cuenta incobrable cuando el cliente cierra debido a quiebre o un evento extraordinario.</w:t>
            </w:r>
          </w:p>
        </w:tc>
      </w:tr>
      <w:tr w:rsidR="0A203B78" w:rsidRPr="0076589C" w14:paraId="0C4A092F" w14:textId="77777777" w:rsidTr="1C8D6E3A">
        <w:trPr>
          <w:trHeight w:val="3520"/>
        </w:trPr>
        <w:tc>
          <w:tcPr>
            <w:tcW w:w="976" w:type="pct"/>
            <w:shd w:val="clear" w:color="auto" w:fill="auto"/>
            <w:vAlign w:val="center"/>
            <w:hideMark/>
          </w:tcPr>
          <w:p w14:paraId="406F4DB8" w14:textId="77777777"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 xml:space="preserve">¿En IPRA que estrategia manejan para la recuperación cuentas incobrables?  </w:t>
            </w:r>
          </w:p>
          <w:p w14:paraId="385DBBB1" w14:textId="5449F62F" w:rsidR="0A203B78" w:rsidRPr="0076589C" w:rsidRDefault="0A203B78" w:rsidP="0A203B78">
            <w:pPr>
              <w:spacing w:line="240" w:lineRule="auto"/>
              <w:ind w:left="0"/>
              <w:jc w:val="both"/>
              <w:rPr>
                <w:rFonts w:eastAsia="Times New Roman" w:cs="Times New Roman"/>
                <w:color w:val="000000" w:themeColor="text1"/>
                <w:sz w:val="20"/>
                <w:szCs w:val="20"/>
              </w:rPr>
            </w:pPr>
          </w:p>
        </w:tc>
        <w:tc>
          <w:tcPr>
            <w:tcW w:w="2204" w:type="pct"/>
            <w:shd w:val="clear" w:color="auto" w:fill="auto"/>
            <w:vAlign w:val="center"/>
            <w:hideMark/>
          </w:tcPr>
          <w:p w14:paraId="21EE3D9A" w14:textId="784EE0F2"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Se tiene un contacto constante con los clientes por medio del departamento de cobro, los cuales están contactando al cliente, debido a que la naturaleza del negocio es la recompra. Por lo tanto, se visita de manera frecuente tanto el equipo comercial para promocionar los productos, así como el equipo de crédito tratando de recuperar las cuentas. En algunas ocasiones cuando el cliente deja de pagar y la cuenta se acumula en una gran cantidad se llegan a acuerdos donde se le dice al cliente que se le puede vender un monto, pero ellos necesitan hacer un pago al contado, otra estrategia que se utiliza es de que en una venta el 70% se le aplica a un producto nuevo y el 30% aplicándosela a la cuenta vieja, de esta manera se le ayuda al cliente a que siga comprando.</w:t>
            </w:r>
          </w:p>
        </w:tc>
        <w:tc>
          <w:tcPr>
            <w:tcW w:w="1820" w:type="pct"/>
            <w:shd w:val="clear" w:color="auto" w:fill="auto"/>
            <w:vAlign w:val="center"/>
            <w:hideMark/>
          </w:tcPr>
          <w:p w14:paraId="5AD7AD07" w14:textId="472CD6C3"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La empresa mantiene una relación constante con sus clientes, utiliza estrategias flexibles para la recuperación de las cuentas pendientes y brinda opciones a los clientes morosos para mantenerlos involucrados en el proceso de compra.</w:t>
            </w:r>
          </w:p>
          <w:p w14:paraId="0F8BE8DF" w14:textId="08184EB7" w:rsidR="0A203B78" w:rsidRPr="0076589C" w:rsidRDefault="0A203B78" w:rsidP="0A203B78">
            <w:pPr>
              <w:spacing w:line="240" w:lineRule="auto"/>
              <w:ind w:left="0"/>
              <w:jc w:val="both"/>
              <w:rPr>
                <w:rFonts w:eastAsia="Times New Roman" w:cs="Times New Roman"/>
                <w:color w:val="000000" w:themeColor="text1"/>
                <w:sz w:val="20"/>
                <w:szCs w:val="20"/>
              </w:rPr>
            </w:pPr>
          </w:p>
        </w:tc>
      </w:tr>
      <w:tr w:rsidR="0A203B78" w:rsidRPr="0076589C" w14:paraId="6D492B6B" w14:textId="77777777" w:rsidTr="1C8D6E3A">
        <w:trPr>
          <w:trHeight w:val="329"/>
        </w:trPr>
        <w:tc>
          <w:tcPr>
            <w:tcW w:w="976" w:type="pct"/>
            <w:shd w:val="clear" w:color="auto" w:fill="auto"/>
            <w:vAlign w:val="center"/>
            <w:hideMark/>
          </w:tcPr>
          <w:p w14:paraId="7272FB0E" w14:textId="7E7658FA"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¿Aplican medidas legales para lograr la recuperación de la cuenta incobrable?</w:t>
            </w:r>
          </w:p>
        </w:tc>
        <w:tc>
          <w:tcPr>
            <w:tcW w:w="2204" w:type="pct"/>
            <w:shd w:val="clear" w:color="auto" w:fill="auto"/>
            <w:vAlign w:val="center"/>
            <w:hideMark/>
          </w:tcPr>
          <w:p w14:paraId="7CDB2198" w14:textId="16BC165D"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No se ha aplicado ninguna medida legal, nunca se ha visto la necesidad de utilizar esta medida ya que si aplica una medida legal se puede llegar a perder el cliente.</w:t>
            </w:r>
          </w:p>
        </w:tc>
        <w:tc>
          <w:tcPr>
            <w:tcW w:w="1820" w:type="pct"/>
            <w:shd w:val="clear" w:color="auto" w:fill="auto"/>
            <w:vAlign w:val="center"/>
            <w:hideMark/>
          </w:tcPr>
          <w:p w14:paraId="0AE3ED22" w14:textId="4D02DBFE"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La empresa no ha tomado medidas legales para recuperar cuentas pendientes de sus clientes.</w:t>
            </w:r>
          </w:p>
        </w:tc>
      </w:tr>
    </w:tbl>
    <w:p w14:paraId="5ADA645B" w14:textId="0F09DF13" w:rsidR="0A203B78" w:rsidRPr="0076589C" w:rsidRDefault="1C8D6E3A" w:rsidP="00775958">
      <w:pPr>
        <w:pStyle w:val="Fuentes"/>
        <w:spacing w:after="0"/>
        <w:rPr>
          <w:lang w:val="es-HN"/>
        </w:rPr>
      </w:pPr>
      <w:r w:rsidRPr="0076589C">
        <w:rPr>
          <w:lang w:val="es-HN"/>
        </w:rPr>
        <w:t>Fuente: Elaboración propia con datos de IPRA (2023).</w:t>
      </w:r>
    </w:p>
    <w:p w14:paraId="09598524" w14:textId="77777777" w:rsidR="00775958" w:rsidRPr="0076589C" w:rsidRDefault="00775958" w:rsidP="00775958">
      <w:pPr>
        <w:pStyle w:val="Fuentes"/>
        <w:spacing w:after="0"/>
        <w:rPr>
          <w:lang w:val="es-HN"/>
        </w:rPr>
      </w:pPr>
    </w:p>
    <w:p w14:paraId="3D2925FF" w14:textId="5F5CC23E" w:rsidR="00DA7825" w:rsidRPr="0076589C" w:rsidRDefault="1C8D6E3A" w:rsidP="008A72D8">
      <w:pPr>
        <w:pStyle w:val="Ttulonivel3"/>
        <w:numPr>
          <w:ilvl w:val="0"/>
          <w:numId w:val="40"/>
        </w:numPr>
        <w:ind w:left="720" w:firstLine="0"/>
      </w:pPr>
      <w:bookmarkStart w:id="310" w:name="_Toc158365529"/>
      <w:r w:rsidRPr="0076589C">
        <w:t>ANÁLISIS DE POLÍTICA DE CRÉDITO</w:t>
      </w:r>
      <w:bookmarkEnd w:id="310"/>
    </w:p>
    <w:p w14:paraId="157190FE" w14:textId="1757B2F9" w:rsidR="0030625D" w:rsidRPr="0076589C" w:rsidRDefault="1C8D6E3A" w:rsidP="00775958">
      <w:pPr>
        <w:pStyle w:val="TextoPrincipal"/>
        <w:spacing w:after="0"/>
        <w:rPr>
          <w:lang w:val="es-HN"/>
        </w:rPr>
      </w:pPr>
      <w:r w:rsidRPr="0076589C">
        <w:rPr>
          <w:lang w:val="es-HN"/>
        </w:rPr>
        <w:t>Para llevar a cabo el análisis de la política de crédito de manera efectiva, se recurre a una entrevista con el gerente financiero revela una conexión intrínseca entre las decisiones crediticias y la dimensión política. La entrevista proporciona perspectivas esenciales sobre cómo las consideraciones políticas, tanto internas como externas, influyen en la formulación y ejecución de estrategias de crédito, delineando así un marco integral para el análisis de la política crediticia en el contexto empresarial.</w:t>
      </w:r>
    </w:p>
    <w:p w14:paraId="20BBB080" w14:textId="77777777" w:rsidR="00775958" w:rsidRPr="0076589C" w:rsidRDefault="00775958" w:rsidP="00775958">
      <w:pPr>
        <w:pStyle w:val="TextoPrincipal"/>
        <w:spacing w:after="0"/>
        <w:rPr>
          <w:lang w:val="es-HN"/>
        </w:rPr>
      </w:pPr>
    </w:p>
    <w:p w14:paraId="20F673CD" w14:textId="653F559E" w:rsidR="00B818B9" w:rsidRPr="0076589C" w:rsidRDefault="1C8D6E3A" w:rsidP="008A72D8">
      <w:pPr>
        <w:pStyle w:val="Ttulonivel4"/>
        <w:numPr>
          <w:ilvl w:val="0"/>
          <w:numId w:val="43"/>
        </w:numPr>
        <w:ind w:left="1440" w:firstLine="0"/>
      </w:pPr>
      <w:bookmarkStart w:id="311" w:name="_Hlk150071617"/>
      <w:r w:rsidRPr="0076589C">
        <w:t xml:space="preserve">DIMENSIÓN POLÍTICA </w:t>
      </w:r>
    </w:p>
    <w:bookmarkEnd w:id="311"/>
    <w:p w14:paraId="08378D12" w14:textId="151E733E" w:rsidR="0030625D" w:rsidRPr="0076589C" w:rsidRDefault="1C8D6E3A" w:rsidP="000838EB">
      <w:pPr>
        <w:pStyle w:val="TextoPrincipal"/>
        <w:rPr>
          <w:lang w:val="es-HN"/>
        </w:rPr>
      </w:pPr>
      <w:r w:rsidRPr="0076589C">
        <w:rPr>
          <w:lang w:val="es-HN"/>
        </w:rPr>
        <w:t xml:space="preserve">La dimensión política ejerce una influencia significativa en los procesos de crédito establecidos en la política crediticia de una empresa. Las decisiones gubernamentales, las regulaciones financieras y el clima político en general pueden impactar directamente en la viabilidad y ejecución de dicha política. Por ejemplo, cambios en las tasas de interés, medidas </w:t>
      </w:r>
      <w:r w:rsidRPr="0076589C">
        <w:rPr>
          <w:lang w:val="es-HN"/>
        </w:rPr>
        <w:lastRenderedPageBreak/>
        <w:t>fiscales o políticas económicas pueden afectar la capacidad de los clientes para cumplir con sus obligaciones crediticias.</w:t>
      </w:r>
    </w:p>
    <w:p w14:paraId="08C7B47A" w14:textId="77777777" w:rsidR="004F37CC" w:rsidRPr="0076589C" w:rsidRDefault="1C8D6E3A" w:rsidP="00224735">
      <w:pPr>
        <w:pStyle w:val="Nivel5"/>
        <w:numPr>
          <w:ilvl w:val="0"/>
          <w:numId w:val="28"/>
        </w:numPr>
        <w:ind w:left="1440" w:firstLine="0"/>
      </w:pPr>
      <w:r w:rsidRPr="0076589C">
        <w:t>PROCESO DE CRÉDITO</w:t>
      </w:r>
    </w:p>
    <w:p w14:paraId="4C0E7BD1" w14:textId="2B4A62A9" w:rsidR="00A639B7" w:rsidRPr="0076589C" w:rsidRDefault="1C8D6E3A" w:rsidP="004F37CC">
      <w:pPr>
        <w:pStyle w:val="TextoPrincipal"/>
        <w:rPr>
          <w:lang w:val="es-HN"/>
        </w:rPr>
      </w:pPr>
      <w:bookmarkStart w:id="312" w:name="_Hlk150465250"/>
      <w:r w:rsidRPr="0076589C">
        <w:rPr>
          <w:lang w:val="es-HN"/>
        </w:rPr>
        <w:t>Para el proceso de crédito se plante</w:t>
      </w:r>
      <w:r w:rsidR="00A7642D" w:rsidRPr="0076589C">
        <w:rPr>
          <w:lang w:val="es-HN"/>
        </w:rPr>
        <w:t>ó</w:t>
      </w:r>
      <w:r w:rsidRPr="0076589C">
        <w:rPr>
          <w:lang w:val="es-HN"/>
        </w:rPr>
        <w:t xml:space="preserve"> tres preguntas que fueron aplicadas en la entrevista con el gerente financiero de IPRA con el fin de conocer sobre la existencia de una política de crédito vigente en la empresa, el procedimiento aplicado para otorgar crédito a los clientes y las debilidades del actual proceso de crédito.</w:t>
      </w:r>
    </w:p>
    <w:p w14:paraId="43B9B61C" w14:textId="6CF3BC36" w:rsidR="00E9166E" w:rsidRPr="0076589C" w:rsidRDefault="1C8D6E3A" w:rsidP="00B723A3">
      <w:pPr>
        <w:pStyle w:val="ImagenyTabla"/>
        <w:rPr>
          <w:noProof w:val="0"/>
        </w:rPr>
      </w:pPr>
      <w:bookmarkStart w:id="313" w:name="_Toc158365578"/>
      <w:r w:rsidRPr="0076589C">
        <w:t xml:space="preserve">Tabla </w:t>
      </w:r>
      <w:r w:rsidR="00E9166E" w:rsidRPr="0076589C">
        <w:rPr>
          <w:noProof w:val="0"/>
        </w:rPr>
        <w:fldChar w:fldCharType="begin"/>
      </w:r>
      <w:r w:rsidR="00E9166E" w:rsidRPr="0076589C">
        <w:rPr>
          <w:noProof w:val="0"/>
        </w:rPr>
        <w:instrText xml:space="preserve"> SEQ Tabla \* ARABIC </w:instrText>
      </w:r>
      <w:r w:rsidR="00E9166E" w:rsidRPr="0076589C">
        <w:rPr>
          <w:noProof w:val="0"/>
        </w:rPr>
        <w:fldChar w:fldCharType="separate"/>
      </w:r>
      <w:r w:rsidR="009F171A">
        <w:t>30</w:t>
      </w:r>
      <w:r w:rsidR="00E9166E" w:rsidRPr="0076589C">
        <w:rPr>
          <w:noProof w:val="0"/>
        </w:rPr>
        <w:fldChar w:fldCharType="end"/>
      </w:r>
      <w:r w:rsidRPr="0076589C">
        <w:t>. Preguntas Proceso de Crédito</w:t>
      </w:r>
      <w:bookmarkEnd w:id="313"/>
      <w:r w:rsidRPr="0076589C">
        <w:t xml:space="preserve">  </w:t>
      </w:r>
    </w:p>
    <w:tbl>
      <w:tblPr>
        <w:tblW w:w="5000" w:type="pct"/>
        <w:tblLook w:val="04A0" w:firstRow="1" w:lastRow="0" w:firstColumn="1" w:lastColumn="0" w:noHBand="0" w:noVBand="1"/>
      </w:tblPr>
      <w:tblGrid>
        <w:gridCol w:w="1825"/>
        <w:gridCol w:w="4273"/>
        <w:gridCol w:w="3252"/>
      </w:tblGrid>
      <w:tr w:rsidR="00C61270" w:rsidRPr="0076589C" w14:paraId="0D22428E" w14:textId="77777777" w:rsidTr="00ED1E97">
        <w:trPr>
          <w:trHeight w:val="320"/>
          <w:tblHeader/>
        </w:trPr>
        <w:tc>
          <w:tcPr>
            <w:tcW w:w="976" w:type="pct"/>
            <w:tcBorders>
              <w:top w:val="single" w:sz="4" w:space="0" w:color="auto"/>
              <w:left w:val="single" w:sz="4" w:space="0" w:color="auto"/>
              <w:bottom w:val="single" w:sz="4" w:space="0" w:color="auto"/>
              <w:right w:val="nil"/>
            </w:tcBorders>
            <w:shd w:val="clear" w:color="auto" w:fill="85BADC"/>
            <w:noWrap/>
            <w:vAlign w:val="bottom"/>
            <w:hideMark/>
          </w:tcPr>
          <w:bookmarkEnd w:id="312"/>
          <w:p w14:paraId="62E08C48" w14:textId="77777777" w:rsidR="00C61270" w:rsidRPr="0076589C" w:rsidRDefault="1C8D6E3A" w:rsidP="00C61270">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themeColor="text1"/>
                <w:sz w:val="20"/>
                <w:szCs w:val="20"/>
              </w:rPr>
              <w:t>Pregunta</w:t>
            </w:r>
          </w:p>
        </w:tc>
        <w:tc>
          <w:tcPr>
            <w:tcW w:w="2285" w:type="pct"/>
            <w:tcBorders>
              <w:top w:val="single" w:sz="4" w:space="0" w:color="auto"/>
              <w:left w:val="single" w:sz="4" w:space="0" w:color="auto"/>
              <w:bottom w:val="single" w:sz="4" w:space="0" w:color="auto"/>
              <w:right w:val="single" w:sz="4" w:space="0" w:color="auto"/>
            </w:tcBorders>
            <w:shd w:val="clear" w:color="auto" w:fill="85BADC"/>
            <w:vAlign w:val="bottom"/>
            <w:hideMark/>
          </w:tcPr>
          <w:p w14:paraId="5B729C81" w14:textId="77777777" w:rsidR="00C61270" w:rsidRPr="0076589C" w:rsidRDefault="1C8D6E3A" w:rsidP="00C61270">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themeColor="text1"/>
                <w:sz w:val="20"/>
                <w:szCs w:val="20"/>
              </w:rPr>
              <w:t>Respuesta</w:t>
            </w:r>
          </w:p>
        </w:tc>
        <w:tc>
          <w:tcPr>
            <w:tcW w:w="1739" w:type="pct"/>
            <w:tcBorders>
              <w:top w:val="single" w:sz="4" w:space="0" w:color="auto"/>
              <w:left w:val="nil"/>
              <w:bottom w:val="single" w:sz="4" w:space="0" w:color="auto"/>
              <w:right w:val="single" w:sz="4" w:space="0" w:color="auto"/>
            </w:tcBorders>
            <w:shd w:val="clear" w:color="auto" w:fill="85BADC"/>
            <w:noWrap/>
            <w:vAlign w:val="bottom"/>
            <w:hideMark/>
          </w:tcPr>
          <w:p w14:paraId="56EAEA10" w14:textId="77777777" w:rsidR="00C61270" w:rsidRPr="0076589C" w:rsidRDefault="1C8D6E3A" w:rsidP="00C61270">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themeColor="text1"/>
                <w:sz w:val="20"/>
                <w:szCs w:val="20"/>
              </w:rPr>
              <w:t>Interpretación</w:t>
            </w:r>
          </w:p>
        </w:tc>
      </w:tr>
      <w:tr w:rsidR="00C61270" w:rsidRPr="0076589C" w14:paraId="21A31157" w14:textId="77777777" w:rsidTr="1C8D6E3A">
        <w:trPr>
          <w:trHeight w:val="699"/>
        </w:trPr>
        <w:tc>
          <w:tcPr>
            <w:tcW w:w="976" w:type="pct"/>
            <w:tcBorders>
              <w:top w:val="single" w:sz="4" w:space="0" w:color="auto"/>
              <w:left w:val="single" w:sz="4" w:space="0" w:color="auto"/>
              <w:bottom w:val="single" w:sz="4" w:space="0" w:color="auto"/>
              <w:right w:val="nil"/>
            </w:tcBorders>
            <w:shd w:val="clear" w:color="auto" w:fill="auto"/>
            <w:vAlign w:val="center"/>
            <w:hideMark/>
          </w:tcPr>
          <w:p w14:paraId="765FF3C9" w14:textId="77777777" w:rsidR="00C61270" w:rsidRPr="0076589C" w:rsidRDefault="1C8D6E3A" w:rsidP="004D717E">
            <w:pPr>
              <w:spacing w:after="0" w:line="240" w:lineRule="auto"/>
              <w:ind w:left="0"/>
              <w:jc w:val="both"/>
              <w:rPr>
                <w:rFonts w:eastAsia="Times New Roman" w:cs="Times New Roman"/>
                <w:color w:val="000000"/>
                <w:sz w:val="20"/>
                <w:szCs w:val="20"/>
              </w:rPr>
            </w:pPr>
            <w:r w:rsidRPr="0076589C">
              <w:rPr>
                <w:rFonts w:eastAsia="Times New Roman" w:cs="Times New Roman"/>
                <w:color w:val="000000" w:themeColor="text1"/>
                <w:sz w:val="20"/>
                <w:szCs w:val="20"/>
              </w:rPr>
              <w:t xml:space="preserve">¿Cuentan con una política de crédito vigente? </w:t>
            </w:r>
          </w:p>
        </w:tc>
        <w:tc>
          <w:tcPr>
            <w:tcW w:w="22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A185AAE" w14:textId="77777777" w:rsidR="00C61270" w:rsidRPr="0076589C" w:rsidRDefault="1C8D6E3A" w:rsidP="004D717E">
            <w:pPr>
              <w:spacing w:after="0" w:line="240" w:lineRule="auto"/>
              <w:ind w:left="0"/>
              <w:jc w:val="both"/>
              <w:rPr>
                <w:rFonts w:eastAsia="Times New Roman" w:cs="Times New Roman"/>
                <w:color w:val="000000"/>
                <w:sz w:val="20"/>
                <w:szCs w:val="20"/>
              </w:rPr>
            </w:pPr>
            <w:r w:rsidRPr="0076589C">
              <w:rPr>
                <w:rFonts w:eastAsia="Times New Roman" w:cs="Times New Roman"/>
                <w:color w:val="000000" w:themeColor="text1"/>
                <w:sz w:val="20"/>
                <w:szCs w:val="20"/>
              </w:rPr>
              <w:t>Si, si hay una política de crédito vigente. Cuando se apertura un cliente nuevo las primeras dos compras son con pagos de contado y luego se le asigna una línea de crédito y se le dan 30 días de crédito, el cliente va utilizando sus líneas de crédito según va desarrollándose. Cuando el cliente va teniendo una mayor necesidad de línea de crédito, se le abre la línea de crédito o el límite de crédito siempre bajo esas condiciones. Además, si un cliente hace un pago a 30 días se le da un descuento especial de pronto pago del 5%. Si no paga después de los 30 días se va disminuyendo ese descuento por pronto pago hasta llegar a cero. La política de crédito está documentada.</w:t>
            </w:r>
          </w:p>
        </w:tc>
        <w:tc>
          <w:tcPr>
            <w:tcW w:w="1739" w:type="pct"/>
            <w:tcBorders>
              <w:top w:val="single" w:sz="4" w:space="0" w:color="auto"/>
              <w:left w:val="nil"/>
              <w:bottom w:val="single" w:sz="4" w:space="0" w:color="auto"/>
              <w:right w:val="single" w:sz="4" w:space="0" w:color="auto"/>
            </w:tcBorders>
            <w:shd w:val="clear" w:color="auto" w:fill="auto"/>
            <w:vAlign w:val="center"/>
            <w:hideMark/>
          </w:tcPr>
          <w:p w14:paraId="735BBE5E" w14:textId="77777777" w:rsidR="00C61270" w:rsidRPr="0076589C" w:rsidRDefault="1C8D6E3A" w:rsidP="004D717E">
            <w:pPr>
              <w:spacing w:after="0" w:line="240" w:lineRule="auto"/>
              <w:ind w:left="0"/>
              <w:jc w:val="both"/>
              <w:rPr>
                <w:rFonts w:eastAsia="Times New Roman" w:cs="Times New Roman"/>
                <w:color w:val="000000"/>
                <w:sz w:val="20"/>
                <w:szCs w:val="20"/>
              </w:rPr>
            </w:pPr>
            <w:r w:rsidRPr="0076589C">
              <w:rPr>
                <w:rFonts w:eastAsia="Times New Roman" w:cs="Times New Roman"/>
                <w:color w:val="000000" w:themeColor="text1"/>
                <w:sz w:val="20"/>
                <w:szCs w:val="20"/>
              </w:rPr>
              <w:t>La empresa tiene una política de crédito bien definida que se aplica a los clientes nuevos y existentes. Esta política se basa en condiciones claras, incentivos para el pago puntual y reglas para la gestión del crédito, y está documentada para garantizar su transparencia y aplicación consistente.</w:t>
            </w:r>
          </w:p>
        </w:tc>
      </w:tr>
      <w:tr w:rsidR="0A203B78" w:rsidRPr="0076589C" w14:paraId="019B2CF5" w14:textId="77777777" w:rsidTr="1C8D6E3A">
        <w:trPr>
          <w:trHeight w:val="1245"/>
        </w:trPr>
        <w:tc>
          <w:tcPr>
            <w:tcW w:w="976" w:type="pct"/>
            <w:tcBorders>
              <w:top w:val="single" w:sz="4" w:space="0" w:color="auto"/>
              <w:left w:val="single" w:sz="4" w:space="0" w:color="auto"/>
              <w:bottom w:val="single" w:sz="4" w:space="0" w:color="auto"/>
              <w:right w:val="nil"/>
            </w:tcBorders>
            <w:shd w:val="clear" w:color="auto" w:fill="auto"/>
            <w:vAlign w:val="center"/>
            <w:hideMark/>
          </w:tcPr>
          <w:p w14:paraId="7976B1D8" w14:textId="3031F626"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¿Cuál es el procedimiento actual para otorgar crédito a sus clientes?</w:t>
            </w:r>
          </w:p>
        </w:tc>
        <w:tc>
          <w:tcPr>
            <w:tcW w:w="22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F0295FA" w14:textId="18ABD37E"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En las políticas se le da L 5,000 de crédito de entrada a todos y luego se va regulando según las necesidades del límite de crédito del cliente.</w:t>
            </w:r>
          </w:p>
        </w:tc>
        <w:tc>
          <w:tcPr>
            <w:tcW w:w="1739" w:type="pct"/>
            <w:tcBorders>
              <w:top w:val="single" w:sz="4" w:space="0" w:color="auto"/>
              <w:left w:val="nil"/>
              <w:bottom w:val="single" w:sz="4" w:space="0" w:color="auto"/>
              <w:right w:val="single" w:sz="4" w:space="0" w:color="auto"/>
            </w:tcBorders>
            <w:shd w:val="clear" w:color="auto" w:fill="auto"/>
            <w:vAlign w:val="center"/>
            <w:hideMark/>
          </w:tcPr>
          <w:p w14:paraId="6CD35B4D" w14:textId="191F29E3"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La empresa otorga inicialmente a todos los clientes un crédito de L 5,000 como un límite de crédito base cuando comienzan a hacer negocios con la empresa.</w:t>
            </w:r>
          </w:p>
          <w:p w14:paraId="43F64111" w14:textId="04E357E9" w:rsidR="0A203B78" w:rsidRPr="0076589C" w:rsidRDefault="0A203B78" w:rsidP="0A203B78">
            <w:pPr>
              <w:spacing w:after="0" w:line="240" w:lineRule="auto"/>
              <w:ind w:left="0"/>
              <w:jc w:val="both"/>
              <w:rPr>
                <w:rFonts w:eastAsia="Times New Roman" w:cs="Times New Roman"/>
                <w:color w:val="000000" w:themeColor="text1"/>
                <w:sz w:val="20"/>
                <w:szCs w:val="20"/>
              </w:rPr>
            </w:pPr>
          </w:p>
        </w:tc>
      </w:tr>
      <w:tr w:rsidR="0A203B78" w:rsidRPr="0076589C" w14:paraId="454D8982" w14:textId="77777777" w:rsidTr="1C8D6E3A">
        <w:trPr>
          <w:trHeight w:val="2170"/>
        </w:trPr>
        <w:tc>
          <w:tcPr>
            <w:tcW w:w="976" w:type="pct"/>
            <w:tcBorders>
              <w:top w:val="single" w:sz="4" w:space="0" w:color="auto"/>
              <w:left w:val="single" w:sz="4" w:space="0" w:color="auto"/>
              <w:bottom w:val="single" w:sz="4" w:space="0" w:color="auto"/>
              <w:right w:val="nil"/>
            </w:tcBorders>
            <w:shd w:val="clear" w:color="auto" w:fill="auto"/>
            <w:vAlign w:val="center"/>
            <w:hideMark/>
          </w:tcPr>
          <w:p w14:paraId="713CB8A9" w14:textId="77777777"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¿Considera que el proceso actual de crédito tiene debilidades?, y si es así, ¿cuáles son esas debilidades? </w:t>
            </w:r>
          </w:p>
          <w:p w14:paraId="21257A2D" w14:textId="616F7B7D" w:rsidR="0A203B78" w:rsidRPr="0076589C" w:rsidRDefault="0A203B78" w:rsidP="0A203B78">
            <w:pPr>
              <w:spacing w:line="240" w:lineRule="auto"/>
              <w:ind w:left="0"/>
              <w:jc w:val="both"/>
              <w:rPr>
                <w:rFonts w:eastAsia="Times New Roman" w:cs="Times New Roman"/>
                <w:color w:val="000000" w:themeColor="text1"/>
                <w:sz w:val="20"/>
                <w:szCs w:val="20"/>
              </w:rPr>
            </w:pPr>
          </w:p>
        </w:tc>
        <w:tc>
          <w:tcPr>
            <w:tcW w:w="22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BA8C88E" w14:textId="0A774962"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Naturalmente, uno desearía tener un proveedor de servicios que nos diera un riesgo crediticio de los clientes, así como la capacidad de pago de los clientes, sería algo interesante que existiera en el mercado. Porque al inicio como empresa se le da crédito a la gente con buena fe, ya que no hay un buro de crédito, salvo el bancario, pero no hay un buro de crédito real donde uno pueda validar el comportamiento en el desempeño crediticio de tal cliente especifico.</w:t>
            </w:r>
          </w:p>
        </w:tc>
        <w:tc>
          <w:tcPr>
            <w:tcW w:w="1739" w:type="pct"/>
            <w:tcBorders>
              <w:top w:val="single" w:sz="4" w:space="0" w:color="auto"/>
              <w:left w:val="nil"/>
              <w:bottom w:val="single" w:sz="4" w:space="0" w:color="auto"/>
              <w:right w:val="single" w:sz="4" w:space="0" w:color="auto"/>
            </w:tcBorders>
            <w:shd w:val="clear" w:color="auto" w:fill="auto"/>
            <w:vAlign w:val="center"/>
            <w:hideMark/>
          </w:tcPr>
          <w:p w14:paraId="144F2E6B" w14:textId="256810BF"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La empresa considera que su proceso de gestión de crédito tiene debilidades debido a la falta de información detallada y a la dependencia de la buena fe de los clientes. La falta de un "buro de crédito real" limita su capacidad de evaluar y validar el comportamiento crediticio de manera efectiva.</w:t>
            </w:r>
          </w:p>
        </w:tc>
      </w:tr>
    </w:tbl>
    <w:p w14:paraId="00047B95" w14:textId="1B9011B3" w:rsidR="00C61270" w:rsidRPr="0076589C" w:rsidRDefault="1C8D6E3A" w:rsidP="00775958">
      <w:pPr>
        <w:pStyle w:val="Fuentes"/>
        <w:spacing w:after="0"/>
        <w:rPr>
          <w:lang w:val="es-HN"/>
        </w:rPr>
      </w:pPr>
      <w:bookmarkStart w:id="314" w:name="_Hlk150467184"/>
      <w:bookmarkEnd w:id="314"/>
      <w:r w:rsidRPr="0076589C">
        <w:rPr>
          <w:lang w:val="es-HN"/>
        </w:rPr>
        <w:t>Fuente: Elaboración propia con datos de IPRA (2023).</w:t>
      </w:r>
    </w:p>
    <w:p w14:paraId="528F0AE0" w14:textId="77777777" w:rsidR="00775958" w:rsidRPr="0076589C" w:rsidRDefault="00775958" w:rsidP="00775958">
      <w:pPr>
        <w:pStyle w:val="Fuentes"/>
        <w:spacing w:after="0"/>
        <w:rPr>
          <w:lang w:val="es-HN"/>
        </w:rPr>
      </w:pPr>
    </w:p>
    <w:p w14:paraId="2B546B65" w14:textId="25C178A8" w:rsidR="00A639B7" w:rsidRPr="0076589C" w:rsidRDefault="1C8D6E3A" w:rsidP="00224735">
      <w:pPr>
        <w:pStyle w:val="Nivel5"/>
        <w:numPr>
          <w:ilvl w:val="0"/>
          <w:numId w:val="28"/>
        </w:numPr>
        <w:ind w:left="1440" w:firstLine="0"/>
      </w:pPr>
      <w:r w:rsidRPr="0076589C">
        <w:t>LÍMITES DE CRÉDITO</w:t>
      </w:r>
    </w:p>
    <w:p w14:paraId="52676A21" w14:textId="2687B4A4" w:rsidR="00890AED" w:rsidRPr="0076589C" w:rsidRDefault="1C8D6E3A" w:rsidP="006739BE">
      <w:pPr>
        <w:pStyle w:val="TextoPrincipal"/>
        <w:rPr>
          <w:lang w:val="es-HN"/>
        </w:rPr>
      </w:pPr>
      <w:r w:rsidRPr="0076589C">
        <w:rPr>
          <w:lang w:val="es-HN"/>
        </w:rPr>
        <w:t>Para los límites de crédito se plante</w:t>
      </w:r>
      <w:r w:rsidR="00A7642D" w:rsidRPr="0076589C">
        <w:rPr>
          <w:lang w:val="es-HN"/>
        </w:rPr>
        <w:t>ó</w:t>
      </w:r>
      <w:r w:rsidRPr="0076589C">
        <w:rPr>
          <w:lang w:val="es-HN"/>
        </w:rPr>
        <w:t xml:space="preserve"> dos preguntas que fueron aplicadas en la entrevista con el gerente financiero de IPRA con el fin de conocer sobre la frecuencia utilizan en los límites </w:t>
      </w:r>
      <w:r w:rsidRPr="0076589C">
        <w:rPr>
          <w:lang w:val="es-HN"/>
        </w:rPr>
        <w:lastRenderedPageBreak/>
        <w:t xml:space="preserve">de crédito de sus clientes, cuáles son los factores que consideran para aumentar o disminuir el límite de crédito. </w:t>
      </w:r>
    </w:p>
    <w:p w14:paraId="607CC000" w14:textId="06512551" w:rsidR="00940A1F" w:rsidRPr="0076589C" w:rsidRDefault="1C8D6E3A" w:rsidP="00E9166E">
      <w:pPr>
        <w:pStyle w:val="ImagenyTabla"/>
        <w:rPr>
          <w:noProof w:val="0"/>
        </w:rPr>
      </w:pPr>
      <w:bookmarkStart w:id="315" w:name="_Toc158365579"/>
      <w:r w:rsidRPr="0076589C">
        <w:t xml:space="preserve">Tabla </w:t>
      </w:r>
      <w:r w:rsidR="00E9166E" w:rsidRPr="0076589C">
        <w:rPr>
          <w:noProof w:val="0"/>
        </w:rPr>
        <w:fldChar w:fldCharType="begin"/>
      </w:r>
      <w:r w:rsidR="00E9166E" w:rsidRPr="0076589C">
        <w:rPr>
          <w:noProof w:val="0"/>
        </w:rPr>
        <w:instrText xml:space="preserve"> SEQ Tabla \* ARABIC </w:instrText>
      </w:r>
      <w:r w:rsidR="00E9166E" w:rsidRPr="0076589C">
        <w:rPr>
          <w:noProof w:val="0"/>
        </w:rPr>
        <w:fldChar w:fldCharType="separate"/>
      </w:r>
      <w:r w:rsidR="009F171A">
        <w:t>31</w:t>
      </w:r>
      <w:r w:rsidR="00E9166E" w:rsidRPr="0076589C">
        <w:rPr>
          <w:noProof w:val="0"/>
        </w:rPr>
        <w:fldChar w:fldCharType="end"/>
      </w:r>
      <w:r w:rsidRPr="0076589C">
        <w:t>. Preguntas de Limites de Crédito</w:t>
      </w:r>
      <w:bookmarkEnd w:id="315"/>
    </w:p>
    <w:tbl>
      <w:tblPr>
        <w:tblW w:w="5000" w:type="pct"/>
        <w:tblLook w:val="04A0" w:firstRow="1" w:lastRow="0" w:firstColumn="1" w:lastColumn="0" w:noHBand="0" w:noVBand="1"/>
      </w:tblPr>
      <w:tblGrid>
        <w:gridCol w:w="1825"/>
        <w:gridCol w:w="4273"/>
        <w:gridCol w:w="3252"/>
      </w:tblGrid>
      <w:tr w:rsidR="004F2756" w:rsidRPr="0076589C" w14:paraId="3C40D476" w14:textId="77777777" w:rsidTr="1C8D6E3A">
        <w:trPr>
          <w:trHeight w:val="320"/>
        </w:trPr>
        <w:tc>
          <w:tcPr>
            <w:tcW w:w="976" w:type="pct"/>
            <w:tcBorders>
              <w:top w:val="single" w:sz="4" w:space="0" w:color="auto"/>
              <w:left w:val="single" w:sz="4" w:space="0" w:color="auto"/>
              <w:bottom w:val="single" w:sz="4" w:space="0" w:color="auto"/>
              <w:right w:val="nil"/>
            </w:tcBorders>
            <w:shd w:val="clear" w:color="auto" w:fill="85BADC"/>
            <w:noWrap/>
            <w:vAlign w:val="bottom"/>
            <w:hideMark/>
          </w:tcPr>
          <w:p w14:paraId="32F48629" w14:textId="77777777" w:rsidR="004F2756" w:rsidRPr="0076589C" w:rsidRDefault="1C8D6E3A" w:rsidP="004F2756">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themeColor="text1"/>
                <w:sz w:val="20"/>
                <w:szCs w:val="20"/>
              </w:rPr>
              <w:t>Pregunta</w:t>
            </w:r>
          </w:p>
        </w:tc>
        <w:tc>
          <w:tcPr>
            <w:tcW w:w="2285" w:type="pct"/>
            <w:tcBorders>
              <w:top w:val="single" w:sz="4" w:space="0" w:color="auto"/>
              <w:left w:val="single" w:sz="4" w:space="0" w:color="auto"/>
              <w:bottom w:val="single" w:sz="4" w:space="0" w:color="auto"/>
              <w:right w:val="single" w:sz="4" w:space="0" w:color="auto"/>
            </w:tcBorders>
            <w:shd w:val="clear" w:color="auto" w:fill="85BADC"/>
            <w:vAlign w:val="bottom"/>
            <w:hideMark/>
          </w:tcPr>
          <w:p w14:paraId="69CB9DAC" w14:textId="77777777" w:rsidR="004F2756" w:rsidRPr="0076589C" w:rsidRDefault="1C8D6E3A" w:rsidP="004F2756">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themeColor="text1"/>
                <w:sz w:val="20"/>
                <w:szCs w:val="20"/>
              </w:rPr>
              <w:t>Respuesta</w:t>
            </w:r>
          </w:p>
        </w:tc>
        <w:tc>
          <w:tcPr>
            <w:tcW w:w="1739" w:type="pct"/>
            <w:tcBorders>
              <w:top w:val="single" w:sz="4" w:space="0" w:color="auto"/>
              <w:left w:val="nil"/>
              <w:bottom w:val="single" w:sz="4" w:space="0" w:color="auto"/>
              <w:right w:val="single" w:sz="4" w:space="0" w:color="auto"/>
            </w:tcBorders>
            <w:shd w:val="clear" w:color="auto" w:fill="85BADC"/>
            <w:noWrap/>
            <w:vAlign w:val="bottom"/>
            <w:hideMark/>
          </w:tcPr>
          <w:p w14:paraId="436CB3F7" w14:textId="77777777" w:rsidR="004F2756" w:rsidRPr="0076589C" w:rsidRDefault="1C8D6E3A" w:rsidP="004F2756">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themeColor="text1"/>
                <w:sz w:val="20"/>
                <w:szCs w:val="20"/>
              </w:rPr>
              <w:t>Interpretación</w:t>
            </w:r>
          </w:p>
        </w:tc>
      </w:tr>
      <w:tr w:rsidR="004F2756" w:rsidRPr="0076589C" w14:paraId="6770C78F" w14:textId="77777777" w:rsidTr="1C8D6E3A">
        <w:trPr>
          <w:trHeight w:val="1240"/>
        </w:trPr>
        <w:tc>
          <w:tcPr>
            <w:tcW w:w="976" w:type="pct"/>
            <w:tcBorders>
              <w:top w:val="single" w:sz="4" w:space="0" w:color="auto"/>
              <w:left w:val="single" w:sz="4" w:space="0" w:color="auto"/>
              <w:bottom w:val="single" w:sz="4" w:space="0" w:color="auto"/>
              <w:right w:val="nil"/>
            </w:tcBorders>
            <w:shd w:val="clear" w:color="auto" w:fill="auto"/>
            <w:vAlign w:val="center"/>
            <w:hideMark/>
          </w:tcPr>
          <w:p w14:paraId="1E238285" w14:textId="77777777" w:rsidR="004F2756" w:rsidRPr="0076589C" w:rsidRDefault="1C8D6E3A" w:rsidP="00716E87">
            <w:pPr>
              <w:spacing w:after="0" w:line="240" w:lineRule="auto"/>
              <w:ind w:left="0"/>
              <w:jc w:val="both"/>
              <w:rPr>
                <w:rFonts w:eastAsia="Times New Roman" w:cs="Times New Roman"/>
                <w:color w:val="000000"/>
                <w:sz w:val="20"/>
                <w:szCs w:val="20"/>
              </w:rPr>
            </w:pPr>
            <w:r w:rsidRPr="0076589C">
              <w:rPr>
                <w:rFonts w:eastAsia="Times New Roman" w:cs="Times New Roman"/>
                <w:color w:val="000000" w:themeColor="text1"/>
                <w:sz w:val="20"/>
                <w:szCs w:val="20"/>
              </w:rPr>
              <w:t xml:space="preserve">¿Con que frecuencia actualizan los límites de crédito a sus clientes? </w:t>
            </w:r>
          </w:p>
        </w:tc>
        <w:tc>
          <w:tcPr>
            <w:tcW w:w="22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352DF03" w14:textId="6A343A27" w:rsidR="004F2756" w:rsidRPr="0076589C" w:rsidRDefault="003774BB" w:rsidP="00716E87">
            <w:pPr>
              <w:spacing w:after="0" w:line="240" w:lineRule="auto"/>
              <w:ind w:left="0"/>
              <w:jc w:val="both"/>
              <w:rPr>
                <w:rFonts w:eastAsia="Times New Roman" w:cs="Times New Roman"/>
                <w:color w:val="000000"/>
                <w:sz w:val="20"/>
                <w:szCs w:val="20"/>
              </w:rPr>
            </w:pPr>
            <w:r w:rsidRPr="0076589C">
              <w:rPr>
                <w:rFonts w:eastAsia="Times New Roman" w:cs="Times New Roman"/>
                <w:color w:val="000000"/>
                <w:sz w:val="20"/>
                <w:szCs w:val="20"/>
              </w:rPr>
              <w:t>Actualmente no se están actualizando los límites de crédito ya que se deben hacer de manera manual y puede requerir de bastante tiempo operativo.</w:t>
            </w:r>
          </w:p>
        </w:tc>
        <w:tc>
          <w:tcPr>
            <w:tcW w:w="1739" w:type="pct"/>
            <w:tcBorders>
              <w:top w:val="single" w:sz="4" w:space="0" w:color="auto"/>
              <w:left w:val="nil"/>
              <w:bottom w:val="single" w:sz="4" w:space="0" w:color="auto"/>
              <w:right w:val="single" w:sz="4" w:space="0" w:color="auto"/>
            </w:tcBorders>
            <w:shd w:val="clear" w:color="auto" w:fill="auto"/>
            <w:vAlign w:val="center"/>
            <w:hideMark/>
          </w:tcPr>
          <w:p w14:paraId="2D4266DC" w14:textId="4BB7BAAB" w:rsidR="004F2756" w:rsidRPr="0076589C" w:rsidRDefault="1C8D6E3A" w:rsidP="00716E87">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 xml:space="preserve">La empresa </w:t>
            </w:r>
            <w:r w:rsidR="003774BB" w:rsidRPr="0076589C">
              <w:rPr>
                <w:rFonts w:eastAsia="Times New Roman" w:cs="Times New Roman"/>
                <w:color w:val="000000" w:themeColor="text1"/>
                <w:sz w:val="20"/>
                <w:szCs w:val="20"/>
              </w:rPr>
              <w:t xml:space="preserve">no </w:t>
            </w:r>
            <w:r w:rsidRPr="0076589C">
              <w:rPr>
                <w:rFonts w:eastAsia="Times New Roman" w:cs="Times New Roman"/>
                <w:color w:val="000000" w:themeColor="text1"/>
                <w:sz w:val="20"/>
                <w:szCs w:val="20"/>
              </w:rPr>
              <w:t xml:space="preserve">realiza ajustes periódicos en los límites de crédito de sus clientes, </w:t>
            </w:r>
            <w:r w:rsidR="003774BB" w:rsidRPr="0076589C">
              <w:rPr>
                <w:rFonts w:eastAsia="Times New Roman" w:cs="Times New Roman"/>
                <w:color w:val="000000" w:themeColor="text1"/>
                <w:sz w:val="20"/>
                <w:szCs w:val="20"/>
              </w:rPr>
              <w:t xml:space="preserve">los que se podrían actualizar </w:t>
            </w:r>
            <w:r w:rsidRPr="0076589C">
              <w:rPr>
                <w:rFonts w:eastAsia="Times New Roman" w:cs="Times New Roman"/>
                <w:color w:val="000000" w:themeColor="text1"/>
                <w:sz w:val="20"/>
                <w:szCs w:val="20"/>
              </w:rPr>
              <w:t>cada 6 meses</w:t>
            </w:r>
            <w:r w:rsidR="003774BB" w:rsidRPr="0076589C">
              <w:rPr>
                <w:rFonts w:eastAsia="Times New Roman" w:cs="Times New Roman"/>
                <w:color w:val="000000" w:themeColor="text1"/>
                <w:sz w:val="20"/>
                <w:szCs w:val="20"/>
              </w:rPr>
              <w:t xml:space="preserve"> o una vez al año, para mantener una gestión de crédito eficiente que refleje los cambios en  </w:t>
            </w:r>
            <w:r w:rsidRPr="0076589C">
              <w:rPr>
                <w:rFonts w:eastAsia="Times New Roman" w:cs="Times New Roman"/>
                <w:color w:val="000000" w:themeColor="text1"/>
                <w:sz w:val="20"/>
                <w:szCs w:val="20"/>
              </w:rPr>
              <w:t>la capacidad crediticia de los clientes.</w:t>
            </w:r>
          </w:p>
        </w:tc>
      </w:tr>
      <w:tr w:rsidR="0A203B78" w:rsidRPr="0076589C" w14:paraId="35D7515D" w14:textId="77777777" w:rsidTr="1C8D6E3A">
        <w:trPr>
          <w:trHeight w:val="1240"/>
        </w:trPr>
        <w:tc>
          <w:tcPr>
            <w:tcW w:w="976" w:type="pct"/>
            <w:tcBorders>
              <w:top w:val="single" w:sz="4" w:space="0" w:color="auto"/>
              <w:left w:val="single" w:sz="4" w:space="0" w:color="auto"/>
              <w:bottom w:val="single" w:sz="4" w:space="0" w:color="auto"/>
              <w:right w:val="nil"/>
            </w:tcBorders>
            <w:shd w:val="clear" w:color="auto" w:fill="auto"/>
            <w:vAlign w:val="center"/>
            <w:hideMark/>
          </w:tcPr>
          <w:p w14:paraId="1C510C12" w14:textId="0F89DD79" w:rsidR="0A203B78" w:rsidRPr="0076589C" w:rsidRDefault="1C8D6E3A" w:rsidP="0A203B78">
            <w:pPr>
              <w:spacing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¿Cuáles son los factores a considerar para aumentar/ disminuir el límite de crédito de un cliente?</w:t>
            </w:r>
          </w:p>
        </w:tc>
        <w:tc>
          <w:tcPr>
            <w:tcW w:w="22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B60C080" w14:textId="08DEC721"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Las ventas. Usualmente en el sistema de gestión de la empresa, cuando el cliente se ha sobrepasado de su límite de crédito se pide una autorización especial cuando esto comienza a ser recurrente el estar aplicando a que exceda el límite, mejor se evalúa cuánto compra la persona, como está pagando, para ver si vale la pena aumentar su límite de crédito, porque si no se convierte en una carga administrativa para la empresa que cada vez que compra se le va a estar dando esta autorización especial.</w:t>
            </w:r>
          </w:p>
        </w:tc>
        <w:tc>
          <w:tcPr>
            <w:tcW w:w="1739" w:type="pct"/>
            <w:tcBorders>
              <w:top w:val="single" w:sz="4" w:space="0" w:color="auto"/>
              <w:left w:val="nil"/>
              <w:bottom w:val="single" w:sz="4" w:space="0" w:color="auto"/>
              <w:right w:val="single" w:sz="4" w:space="0" w:color="auto"/>
            </w:tcBorders>
            <w:shd w:val="clear" w:color="auto" w:fill="auto"/>
            <w:vAlign w:val="center"/>
            <w:hideMark/>
          </w:tcPr>
          <w:p w14:paraId="5BDD8A86" w14:textId="77777777"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La empresa con la gestión de los límites de crédito de sus clientes y considera factores como las ventas, el comportamiento de compra y pago, y la eficiencia administrativa al decidir si aumenta o disminuye los límites de crédito de un cliente.</w:t>
            </w:r>
          </w:p>
          <w:p w14:paraId="1C71E509" w14:textId="53D70499" w:rsidR="0A203B78" w:rsidRPr="0076589C" w:rsidRDefault="0A203B78" w:rsidP="0A203B78">
            <w:pPr>
              <w:spacing w:line="240" w:lineRule="auto"/>
              <w:ind w:left="0"/>
              <w:jc w:val="both"/>
              <w:rPr>
                <w:rFonts w:eastAsia="Times New Roman" w:cs="Times New Roman"/>
                <w:color w:val="000000" w:themeColor="text1"/>
                <w:sz w:val="20"/>
                <w:szCs w:val="20"/>
              </w:rPr>
            </w:pPr>
          </w:p>
        </w:tc>
      </w:tr>
    </w:tbl>
    <w:p w14:paraId="765AD8E2" w14:textId="1232B837" w:rsidR="0A203B78" w:rsidRPr="0076589C" w:rsidRDefault="1C8D6E3A" w:rsidP="00775958">
      <w:pPr>
        <w:pStyle w:val="Fuentes"/>
        <w:spacing w:after="0"/>
        <w:rPr>
          <w:lang w:val="es-HN"/>
        </w:rPr>
      </w:pPr>
      <w:r w:rsidRPr="0076589C">
        <w:rPr>
          <w:lang w:val="es-HN"/>
        </w:rPr>
        <w:t>Fuente: Elaboración propia con datos de IPRA (2023).</w:t>
      </w:r>
    </w:p>
    <w:p w14:paraId="010D4F11" w14:textId="77777777" w:rsidR="00775958" w:rsidRPr="0076589C" w:rsidRDefault="00775958" w:rsidP="00775958">
      <w:pPr>
        <w:pStyle w:val="Fuentes"/>
        <w:spacing w:after="0"/>
        <w:rPr>
          <w:lang w:val="es-HN"/>
        </w:rPr>
      </w:pPr>
    </w:p>
    <w:p w14:paraId="747FDB81" w14:textId="3B0DE7C7" w:rsidR="00DA7825" w:rsidRPr="0076589C" w:rsidRDefault="1C8D6E3A" w:rsidP="00890AED">
      <w:pPr>
        <w:pStyle w:val="Ttulonivel3"/>
        <w:numPr>
          <w:ilvl w:val="0"/>
          <w:numId w:val="40"/>
        </w:numPr>
        <w:ind w:left="720" w:firstLine="0"/>
      </w:pPr>
      <w:bookmarkStart w:id="316" w:name="_Toc158365530"/>
      <w:r w:rsidRPr="0076589C">
        <w:t>ANÁLISIS DE POLITICA DE COBRANZA</w:t>
      </w:r>
      <w:bookmarkEnd w:id="316"/>
      <w:r w:rsidRPr="0076589C">
        <w:t xml:space="preserve"> </w:t>
      </w:r>
    </w:p>
    <w:p w14:paraId="56BB7AC2" w14:textId="07C1A0B6" w:rsidR="00611157" w:rsidRPr="0076589C" w:rsidRDefault="1C8D6E3A" w:rsidP="00F34765">
      <w:pPr>
        <w:pStyle w:val="TextoPrincipal"/>
        <w:spacing w:after="0"/>
        <w:rPr>
          <w:lang w:val="es-HN"/>
        </w:rPr>
      </w:pPr>
      <w:r w:rsidRPr="0076589C">
        <w:rPr>
          <w:lang w:val="es-HN"/>
        </w:rPr>
        <w:t>El análisis de la política de cobranza de una empresa se revela como un proceso complejo donde la dimensión política desempeña un papel esencial. Este análisis se desglosa en dos vertientes clave: comunicación con los clientes y la política. Al hacer una entrevista al área financiera, se busca desentrañar cómo las decisiones políticas, tanto internas como externas, influyen en la efectividad de la política de cobranza. Desde regulaciones gubernamentales hasta dinámicas empresariales, esta estrategia de entrevista proporciona una perspectiva única para comprender la interconexión entre la dimensión política y la gestión de cuentas por cobrar, generando así un enfoque integral y adaptativo en este crucial aspecto financiero.</w:t>
      </w:r>
    </w:p>
    <w:p w14:paraId="67B7931A" w14:textId="77777777" w:rsidR="00F34765" w:rsidRPr="0076589C" w:rsidRDefault="00F34765" w:rsidP="00F34765">
      <w:pPr>
        <w:pStyle w:val="TextoPrincipal"/>
        <w:spacing w:after="0"/>
        <w:rPr>
          <w:lang w:val="es-HN"/>
        </w:rPr>
      </w:pPr>
    </w:p>
    <w:p w14:paraId="50D0696B" w14:textId="77777777" w:rsidR="00D90649" w:rsidRPr="0076589C" w:rsidRDefault="1C8D6E3A" w:rsidP="00890AED">
      <w:pPr>
        <w:pStyle w:val="Ttulonivel4"/>
        <w:numPr>
          <w:ilvl w:val="0"/>
          <w:numId w:val="44"/>
        </w:numPr>
        <w:ind w:left="1440" w:firstLine="0"/>
      </w:pPr>
      <w:bookmarkStart w:id="317" w:name="_Hlk150071812"/>
      <w:r w:rsidRPr="0076589C">
        <w:t xml:space="preserve">DIMENSIÓN POLÍTICA </w:t>
      </w:r>
    </w:p>
    <w:p w14:paraId="039DCB4B" w14:textId="23E52E8A" w:rsidR="00820F37" w:rsidRPr="0076589C" w:rsidRDefault="1C8D6E3A" w:rsidP="00F151E8">
      <w:pPr>
        <w:pStyle w:val="TextoPrincipal"/>
        <w:spacing w:after="0"/>
        <w:rPr>
          <w:lang w:val="es-HN"/>
        </w:rPr>
      </w:pPr>
      <w:r w:rsidRPr="0076589C">
        <w:rPr>
          <w:lang w:val="es-HN"/>
        </w:rPr>
        <w:t xml:space="preserve">La dimensión política en el análisis de un proceso de cobranza de una empresa abarca la interacción compleja entre las decisiones políticas y la gestión de cuentas por cobrar. Las relaciones políticas con clientes y socios comerciales pueden afectar las dinámicas de pago. Con </w:t>
      </w:r>
      <w:r w:rsidRPr="0076589C">
        <w:rPr>
          <w:lang w:val="es-HN"/>
        </w:rPr>
        <w:lastRenderedPageBreak/>
        <w:t>las preguntas de la entrevista se busca comprender cómo estas variables políticas impactan la efectividad de la política de cobranza. La adaptabilidad a cambios políticos y la anticipación de posibles implicaciones son esenciales para diseñar estrategias de cobranza efectivas.</w:t>
      </w:r>
    </w:p>
    <w:p w14:paraId="5BD51A3F" w14:textId="538C9BF9" w:rsidR="003A1BB0" w:rsidRPr="0076589C" w:rsidRDefault="1C8D6E3A" w:rsidP="00224735">
      <w:pPr>
        <w:pStyle w:val="Nivel5"/>
        <w:numPr>
          <w:ilvl w:val="0"/>
          <w:numId w:val="45"/>
        </w:numPr>
        <w:ind w:left="1440" w:firstLine="0"/>
      </w:pPr>
      <w:r w:rsidRPr="0076589C">
        <w:t>PROCESO DE COBRO</w:t>
      </w:r>
    </w:p>
    <w:bookmarkEnd w:id="317"/>
    <w:p w14:paraId="0F94E860" w14:textId="217831FE" w:rsidR="00D90649" w:rsidRPr="0076589C" w:rsidRDefault="1C8D6E3A" w:rsidP="00D90649">
      <w:pPr>
        <w:pStyle w:val="TextoPrincipal"/>
        <w:rPr>
          <w:lang w:val="es-HN"/>
        </w:rPr>
      </w:pPr>
      <w:r w:rsidRPr="0076589C">
        <w:rPr>
          <w:lang w:val="es-HN"/>
        </w:rPr>
        <w:t xml:space="preserve">Para el proceso de cobro se </w:t>
      </w:r>
      <w:bookmarkStart w:id="318" w:name="_Hlk150466246"/>
      <w:r w:rsidRPr="0076589C">
        <w:rPr>
          <w:lang w:val="es-HN"/>
        </w:rPr>
        <w:t>plante</w:t>
      </w:r>
      <w:r w:rsidR="00A7642D" w:rsidRPr="0076589C">
        <w:rPr>
          <w:lang w:val="es-HN"/>
        </w:rPr>
        <w:t xml:space="preserve">ó </w:t>
      </w:r>
      <w:r w:rsidRPr="0076589C">
        <w:rPr>
          <w:lang w:val="es-HN"/>
        </w:rPr>
        <w:t xml:space="preserve">seis (6) preguntas que fueron aplicadas en la entrevista con el gerente financiero de IPRA con el fin de conocer </w:t>
      </w:r>
      <w:bookmarkEnd w:id="318"/>
      <w:r w:rsidRPr="0076589C">
        <w:rPr>
          <w:lang w:val="es-HN"/>
        </w:rPr>
        <w:t>sobre si cuentan una política de cobro vigente, cual es el actual procedimiento de cobro, si el proceso de cobro tiene debilidades, cuáles son los incentivos por el pago que ofrecen actualmente, la frecuencia con la que revisan las gestiones de cobro y conocer las estrategias que utilizan para una recuperación exitosa de cobros.</w:t>
      </w:r>
    </w:p>
    <w:p w14:paraId="69153DAD" w14:textId="1E5E430A" w:rsidR="0059059D" w:rsidRPr="0076589C" w:rsidRDefault="1C8D6E3A" w:rsidP="00E9166E">
      <w:pPr>
        <w:pStyle w:val="ImagenyTabla"/>
        <w:rPr>
          <w:noProof w:val="0"/>
        </w:rPr>
      </w:pPr>
      <w:bookmarkStart w:id="319" w:name="_Toc158365580"/>
      <w:r w:rsidRPr="0076589C">
        <w:t xml:space="preserve">Tabla </w:t>
      </w:r>
      <w:r w:rsidR="00E9166E" w:rsidRPr="0076589C">
        <w:rPr>
          <w:noProof w:val="0"/>
        </w:rPr>
        <w:fldChar w:fldCharType="begin"/>
      </w:r>
      <w:r w:rsidR="00E9166E" w:rsidRPr="0076589C">
        <w:rPr>
          <w:noProof w:val="0"/>
        </w:rPr>
        <w:instrText xml:space="preserve"> SEQ Tabla \* ARABIC </w:instrText>
      </w:r>
      <w:r w:rsidR="00E9166E" w:rsidRPr="0076589C">
        <w:rPr>
          <w:noProof w:val="0"/>
        </w:rPr>
        <w:fldChar w:fldCharType="separate"/>
      </w:r>
      <w:r w:rsidR="009F171A">
        <w:t>32</w:t>
      </w:r>
      <w:r w:rsidR="00E9166E" w:rsidRPr="0076589C">
        <w:rPr>
          <w:noProof w:val="0"/>
        </w:rPr>
        <w:fldChar w:fldCharType="end"/>
      </w:r>
      <w:r w:rsidRPr="0076589C">
        <w:t>. Preguntas del Proceso de Cobro</w:t>
      </w:r>
      <w:bookmarkEnd w:id="319"/>
    </w:p>
    <w:tbl>
      <w:tblPr>
        <w:tblW w:w="5000" w:type="pct"/>
        <w:tblLook w:val="04A0" w:firstRow="1" w:lastRow="0" w:firstColumn="1" w:lastColumn="0" w:noHBand="0" w:noVBand="1"/>
      </w:tblPr>
      <w:tblGrid>
        <w:gridCol w:w="1825"/>
        <w:gridCol w:w="4273"/>
        <w:gridCol w:w="3252"/>
      </w:tblGrid>
      <w:tr w:rsidR="0011791D" w:rsidRPr="0076589C" w14:paraId="4D12DF25" w14:textId="77777777" w:rsidTr="7FAD8741">
        <w:trPr>
          <w:trHeight w:val="320"/>
          <w:tblHeader/>
        </w:trPr>
        <w:tc>
          <w:tcPr>
            <w:tcW w:w="976" w:type="pct"/>
            <w:tcBorders>
              <w:top w:val="single" w:sz="4" w:space="0" w:color="auto"/>
              <w:left w:val="single" w:sz="4" w:space="0" w:color="auto"/>
              <w:bottom w:val="single" w:sz="4" w:space="0" w:color="auto"/>
              <w:right w:val="nil"/>
            </w:tcBorders>
            <w:shd w:val="clear" w:color="auto" w:fill="85BADC"/>
            <w:noWrap/>
            <w:vAlign w:val="bottom"/>
            <w:hideMark/>
          </w:tcPr>
          <w:p w14:paraId="218738A7" w14:textId="77777777" w:rsidR="0011791D" w:rsidRPr="0076589C" w:rsidRDefault="1C8D6E3A" w:rsidP="0011791D">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themeColor="text1"/>
                <w:sz w:val="20"/>
                <w:szCs w:val="20"/>
              </w:rPr>
              <w:t>Pregunta</w:t>
            </w:r>
          </w:p>
        </w:tc>
        <w:tc>
          <w:tcPr>
            <w:tcW w:w="2285" w:type="pct"/>
            <w:tcBorders>
              <w:top w:val="single" w:sz="4" w:space="0" w:color="auto"/>
              <w:left w:val="single" w:sz="4" w:space="0" w:color="auto"/>
              <w:bottom w:val="single" w:sz="4" w:space="0" w:color="auto"/>
              <w:right w:val="single" w:sz="4" w:space="0" w:color="auto"/>
            </w:tcBorders>
            <w:shd w:val="clear" w:color="auto" w:fill="85BADC"/>
            <w:vAlign w:val="bottom"/>
            <w:hideMark/>
          </w:tcPr>
          <w:p w14:paraId="5B9532E3" w14:textId="77777777" w:rsidR="0011791D" w:rsidRPr="0076589C" w:rsidRDefault="1C8D6E3A" w:rsidP="0011791D">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themeColor="text1"/>
                <w:sz w:val="20"/>
                <w:szCs w:val="20"/>
              </w:rPr>
              <w:t>Respuesta</w:t>
            </w:r>
          </w:p>
        </w:tc>
        <w:tc>
          <w:tcPr>
            <w:tcW w:w="1739" w:type="pct"/>
            <w:tcBorders>
              <w:top w:val="single" w:sz="4" w:space="0" w:color="auto"/>
              <w:left w:val="nil"/>
              <w:bottom w:val="single" w:sz="4" w:space="0" w:color="auto"/>
              <w:right w:val="single" w:sz="4" w:space="0" w:color="auto"/>
            </w:tcBorders>
            <w:shd w:val="clear" w:color="auto" w:fill="85BADC"/>
            <w:noWrap/>
            <w:vAlign w:val="bottom"/>
            <w:hideMark/>
          </w:tcPr>
          <w:p w14:paraId="05CE0E9A" w14:textId="77777777" w:rsidR="0011791D" w:rsidRPr="0076589C" w:rsidRDefault="1C8D6E3A" w:rsidP="0011791D">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themeColor="text1"/>
                <w:sz w:val="20"/>
                <w:szCs w:val="20"/>
              </w:rPr>
              <w:t>Interpretación</w:t>
            </w:r>
          </w:p>
        </w:tc>
      </w:tr>
      <w:tr w:rsidR="0011791D" w:rsidRPr="0076589C" w14:paraId="3FC4E16F" w14:textId="77777777" w:rsidTr="7FAD8741">
        <w:trPr>
          <w:trHeight w:val="620"/>
        </w:trPr>
        <w:tc>
          <w:tcPr>
            <w:tcW w:w="976" w:type="pct"/>
            <w:tcBorders>
              <w:top w:val="single" w:sz="4" w:space="0" w:color="auto"/>
              <w:left w:val="single" w:sz="4" w:space="0" w:color="auto"/>
              <w:bottom w:val="single" w:sz="4" w:space="0" w:color="auto"/>
              <w:right w:val="nil"/>
            </w:tcBorders>
            <w:shd w:val="clear" w:color="auto" w:fill="auto"/>
            <w:vAlign w:val="center"/>
            <w:hideMark/>
          </w:tcPr>
          <w:p w14:paraId="680766EE" w14:textId="77777777" w:rsidR="0011791D" w:rsidRPr="0076589C" w:rsidRDefault="1C8D6E3A" w:rsidP="00716E87">
            <w:pPr>
              <w:spacing w:after="0" w:line="240" w:lineRule="auto"/>
              <w:ind w:left="0"/>
              <w:jc w:val="both"/>
              <w:rPr>
                <w:rFonts w:eastAsia="Times New Roman" w:cs="Times New Roman"/>
                <w:color w:val="000000"/>
                <w:sz w:val="20"/>
                <w:szCs w:val="20"/>
              </w:rPr>
            </w:pPr>
            <w:r w:rsidRPr="0076589C">
              <w:rPr>
                <w:rFonts w:eastAsia="Times New Roman" w:cs="Times New Roman"/>
                <w:color w:val="000000" w:themeColor="text1"/>
                <w:sz w:val="20"/>
                <w:szCs w:val="20"/>
              </w:rPr>
              <w:t xml:space="preserve">¿Cuentan con una política de cobro vigente? </w:t>
            </w:r>
          </w:p>
        </w:tc>
        <w:tc>
          <w:tcPr>
            <w:tcW w:w="22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F04A627" w14:textId="7E669632" w:rsidR="0011791D" w:rsidRPr="0076589C" w:rsidRDefault="1C8D6E3A" w:rsidP="00716E87">
            <w:pPr>
              <w:spacing w:after="0" w:line="240" w:lineRule="auto"/>
              <w:ind w:left="0"/>
              <w:jc w:val="both"/>
              <w:rPr>
                <w:rFonts w:eastAsia="Times New Roman" w:cs="Times New Roman"/>
                <w:color w:val="000000"/>
                <w:sz w:val="20"/>
                <w:szCs w:val="20"/>
              </w:rPr>
            </w:pPr>
            <w:r w:rsidRPr="0076589C">
              <w:rPr>
                <w:rFonts w:eastAsia="Times New Roman" w:cs="Times New Roman"/>
                <w:color w:val="000000" w:themeColor="text1"/>
                <w:sz w:val="20"/>
                <w:szCs w:val="20"/>
              </w:rPr>
              <w:t>Si, se aplica a la misma política de crédito ya que es la política de crédito y cobro.</w:t>
            </w:r>
          </w:p>
        </w:tc>
        <w:tc>
          <w:tcPr>
            <w:tcW w:w="1739" w:type="pct"/>
            <w:tcBorders>
              <w:top w:val="single" w:sz="4" w:space="0" w:color="auto"/>
              <w:left w:val="nil"/>
              <w:bottom w:val="single" w:sz="4" w:space="0" w:color="auto"/>
              <w:right w:val="single" w:sz="4" w:space="0" w:color="auto"/>
            </w:tcBorders>
            <w:shd w:val="clear" w:color="auto" w:fill="auto"/>
            <w:vAlign w:val="center"/>
            <w:hideMark/>
          </w:tcPr>
          <w:p w14:paraId="7067235F" w14:textId="051F1566" w:rsidR="0011791D" w:rsidRPr="0076589C" w:rsidRDefault="1C8D6E3A" w:rsidP="00716E87">
            <w:pPr>
              <w:spacing w:after="0" w:line="240" w:lineRule="auto"/>
              <w:ind w:left="0"/>
              <w:jc w:val="both"/>
              <w:rPr>
                <w:rFonts w:eastAsia="Times New Roman" w:cs="Times New Roman"/>
                <w:color w:val="000000"/>
                <w:sz w:val="20"/>
                <w:szCs w:val="20"/>
              </w:rPr>
            </w:pPr>
            <w:r w:rsidRPr="0076589C">
              <w:rPr>
                <w:rFonts w:eastAsia="Times New Roman" w:cs="Times New Roman"/>
                <w:color w:val="000000" w:themeColor="text1"/>
                <w:sz w:val="20"/>
                <w:szCs w:val="20"/>
              </w:rPr>
              <w:t>La empresa si tiene una política de cobro vigente.</w:t>
            </w:r>
          </w:p>
        </w:tc>
      </w:tr>
      <w:tr w:rsidR="0A203B78" w:rsidRPr="0076589C" w14:paraId="034F58F4" w14:textId="77777777" w:rsidTr="7FAD8741">
        <w:trPr>
          <w:trHeight w:val="620"/>
        </w:trPr>
        <w:tc>
          <w:tcPr>
            <w:tcW w:w="976" w:type="pct"/>
            <w:tcBorders>
              <w:top w:val="single" w:sz="4" w:space="0" w:color="auto"/>
              <w:left w:val="single" w:sz="4" w:space="0" w:color="auto"/>
              <w:bottom w:val="single" w:sz="4" w:space="0" w:color="auto"/>
              <w:right w:val="nil"/>
            </w:tcBorders>
            <w:shd w:val="clear" w:color="auto" w:fill="auto"/>
            <w:vAlign w:val="center"/>
            <w:hideMark/>
          </w:tcPr>
          <w:p w14:paraId="3F367075" w14:textId="35E3C6C4"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¿Cuál es el procedimiento actual de cobro?</w:t>
            </w:r>
          </w:p>
        </w:tc>
        <w:tc>
          <w:tcPr>
            <w:tcW w:w="22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FF39B17" w14:textId="17478E7E"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El proceso de cobro se realiza por agentes de cobro, en las zonas urbanas se tiene un cobrador específico que sólo realiza la labor de cobro y en las zonas interurbanas, el vendedor hace la gestión de ventas y de cobro. Lo que sucede es que viene la factura al departamento de crédito y cobranza, se hace una programación de las facturas próximas a vencer y se le entregan sus facturas a cada agente cobrador para que comience el proceso y la gestión de cobro, se hace su respectiva notificación al cliente que ya están sus facturas por vencer o ya están vencidas, si el cliente paga, se ejecuta el recibo y este es procesado en el sistema y se da por pagada la factura.</w:t>
            </w:r>
          </w:p>
        </w:tc>
        <w:tc>
          <w:tcPr>
            <w:tcW w:w="1739" w:type="pct"/>
            <w:tcBorders>
              <w:top w:val="single" w:sz="4" w:space="0" w:color="auto"/>
              <w:left w:val="nil"/>
              <w:bottom w:val="single" w:sz="4" w:space="0" w:color="auto"/>
              <w:right w:val="single" w:sz="4" w:space="0" w:color="auto"/>
            </w:tcBorders>
            <w:shd w:val="clear" w:color="auto" w:fill="auto"/>
            <w:vAlign w:val="center"/>
            <w:hideMark/>
          </w:tcPr>
          <w:p w14:paraId="37FDD8FF" w14:textId="510E9BD9"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La empresa tiene un proceso organizado para gestionar el cobro de facturas, con roles específicos para los agentes de cobro en zonas urbanas y los vendedores en zonas interurbanas. Se hace un seguimiento y registro de las facturas pendientes, y los pagos se registran en el sistema para dar por pagadas las facturas.</w:t>
            </w:r>
            <w:r w:rsidR="00AF588D" w:rsidRPr="0076589C">
              <w:rPr>
                <w:rFonts w:eastAsia="Times New Roman" w:cs="Times New Roman"/>
                <w:color w:val="000000" w:themeColor="text1"/>
                <w:sz w:val="20"/>
                <w:szCs w:val="20"/>
              </w:rPr>
              <w:t xml:space="preserve"> A pesar de que la empresa IPRA cuenta con un proceso de cobro </w:t>
            </w:r>
            <w:r w:rsidR="00882E39" w:rsidRPr="0076589C">
              <w:rPr>
                <w:rFonts w:eastAsia="Times New Roman" w:cs="Times New Roman"/>
                <w:color w:val="000000" w:themeColor="text1"/>
                <w:sz w:val="20"/>
                <w:szCs w:val="20"/>
              </w:rPr>
              <w:t xml:space="preserve">bien definido, existen oportunidades de mejora basándose en las mejores </w:t>
            </w:r>
            <w:r w:rsidR="00545ADC" w:rsidRPr="0076589C">
              <w:rPr>
                <w:rFonts w:eastAsia="Times New Roman" w:cs="Times New Roman"/>
                <w:color w:val="000000" w:themeColor="text1"/>
                <w:sz w:val="20"/>
                <w:szCs w:val="20"/>
              </w:rPr>
              <w:t>prácticas</w:t>
            </w:r>
            <w:r w:rsidR="00882E39" w:rsidRPr="0076589C">
              <w:rPr>
                <w:rFonts w:eastAsia="Times New Roman" w:cs="Times New Roman"/>
                <w:color w:val="000000" w:themeColor="text1"/>
                <w:sz w:val="20"/>
                <w:szCs w:val="20"/>
              </w:rPr>
              <w:t xml:space="preserve"> de estrategias de cobranza</w:t>
            </w:r>
            <w:r w:rsidR="00442013" w:rsidRPr="0076589C">
              <w:rPr>
                <w:rFonts w:eastAsia="Times New Roman" w:cs="Times New Roman"/>
                <w:color w:val="000000" w:themeColor="text1"/>
                <w:sz w:val="20"/>
                <w:szCs w:val="20"/>
              </w:rPr>
              <w:t>.</w:t>
            </w:r>
            <w:r w:rsidR="00882E39" w:rsidRPr="0076589C">
              <w:rPr>
                <w:rFonts w:eastAsia="Times New Roman" w:cs="Times New Roman"/>
                <w:color w:val="000000" w:themeColor="text1"/>
                <w:sz w:val="20"/>
                <w:szCs w:val="20"/>
              </w:rPr>
              <w:t xml:space="preserve"> </w:t>
            </w:r>
            <w:r w:rsidR="00297E07" w:rsidRPr="0076589C">
              <w:rPr>
                <w:rFonts w:eastAsia="Times New Roman" w:cs="Times New Roman"/>
                <w:color w:val="000000" w:themeColor="text1"/>
                <w:sz w:val="20"/>
                <w:szCs w:val="20"/>
              </w:rPr>
              <w:t xml:space="preserve">Comparando estas </w:t>
            </w:r>
            <w:r w:rsidR="001217B4" w:rsidRPr="0076589C">
              <w:rPr>
                <w:rFonts w:eastAsia="Times New Roman" w:cs="Times New Roman"/>
                <w:color w:val="000000" w:themeColor="text1"/>
                <w:sz w:val="20"/>
                <w:szCs w:val="20"/>
              </w:rPr>
              <w:t>con las que maneja actualmente IPRA</w:t>
            </w:r>
            <w:r w:rsidR="00297E07" w:rsidRPr="0076589C">
              <w:rPr>
                <w:rFonts w:eastAsia="Times New Roman" w:cs="Times New Roman"/>
                <w:color w:val="000000" w:themeColor="text1"/>
                <w:sz w:val="20"/>
                <w:szCs w:val="20"/>
              </w:rPr>
              <w:t xml:space="preserve"> </w:t>
            </w:r>
            <w:r w:rsidR="001217B4" w:rsidRPr="0076589C">
              <w:rPr>
                <w:rFonts w:eastAsia="Times New Roman" w:cs="Times New Roman"/>
                <w:color w:val="000000" w:themeColor="text1"/>
                <w:sz w:val="20"/>
                <w:szCs w:val="20"/>
              </w:rPr>
              <w:t xml:space="preserve">se debería implementar la evaluación de riesgos, utilización de tecnologías, capacitación del personal </w:t>
            </w:r>
            <w:r w:rsidR="00210AAA" w:rsidRPr="0076589C">
              <w:rPr>
                <w:rFonts w:eastAsia="Times New Roman" w:cs="Times New Roman"/>
                <w:color w:val="000000" w:themeColor="text1"/>
                <w:sz w:val="20"/>
                <w:szCs w:val="20"/>
              </w:rPr>
              <w:t>para eficientar el proceso de cobro.</w:t>
            </w:r>
            <w:r w:rsidR="00975EC2" w:rsidRPr="0076589C">
              <w:rPr>
                <w:rFonts w:eastAsia="Times New Roman" w:cs="Times New Roman"/>
                <w:color w:val="000000" w:themeColor="text1"/>
                <w:sz w:val="20"/>
                <w:szCs w:val="20"/>
              </w:rPr>
              <w:t xml:space="preserve"> </w:t>
            </w:r>
          </w:p>
        </w:tc>
      </w:tr>
      <w:tr w:rsidR="0A203B78" w:rsidRPr="0076589C" w14:paraId="5A189DC8" w14:textId="77777777" w:rsidTr="7FAD8741">
        <w:trPr>
          <w:trHeight w:val="620"/>
        </w:trPr>
        <w:tc>
          <w:tcPr>
            <w:tcW w:w="976" w:type="pct"/>
            <w:tcBorders>
              <w:top w:val="single" w:sz="4" w:space="0" w:color="auto"/>
              <w:left w:val="single" w:sz="4" w:space="0" w:color="auto"/>
              <w:bottom w:val="single" w:sz="4" w:space="0" w:color="auto"/>
              <w:right w:val="nil"/>
            </w:tcBorders>
            <w:shd w:val="clear" w:color="auto" w:fill="auto"/>
            <w:vAlign w:val="center"/>
            <w:hideMark/>
          </w:tcPr>
          <w:p w14:paraId="37E39381" w14:textId="30EDB61A" w:rsidR="0A203B78" w:rsidRPr="0076589C" w:rsidRDefault="1C8D6E3A" w:rsidP="0A203B78">
            <w:pPr>
              <w:spacing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¿Considera que el proceso actual de cobro tiene debilidades?, y si es así, ¿cuáles son esas debilidades?</w:t>
            </w:r>
          </w:p>
        </w:tc>
        <w:tc>
          <w:tcPr>
            <w:tcW w:w="22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0BDF49E" w14:textId="58833609"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Todavía tenemos un proceso en papel, todavía no se ha llegado a modernizar esa parte del proceso, por lo tanto, la información en algunas veces llega tardía, dado que probablemente el cliente pagó, pero el cobrador anda en diferentes gestiones y se tardan de 2 o 3 días en dar la información lo que podría ser un área de mejora.</w:t>
            </w:r>
          </w:p>
        </w:tc>
        <w:tc>
          <w:tcPr>
            <w:tcW w:w="1739" w:type="pct"/>
            <w:tcBorders>
              <w:top w:val="single" w:sz="4" w:space="0" w:color="auto"/>
              <w:left w:val="nil"/>
              <w:bottom w:val="single" w:sz="4" w:space="0" w:color="auto"/>
              <w:right w:val="single" w:sz="4" w:space="0" w:color="auto"/>
            </w:tcBorders>
            <w:shd w:val="clear" w:color="auto" w:fill="auto"/>
            <w:vAlign w:val="center"/>
            <w:hideMark/>
          </w:tcPr>
          <w:p w14:paraId="3E625C9C" w14:textId="7EAC9C6B" w:rsidR="0A203B78" w:rsidRPr="0076589C" w:rsidRDefault="7FAD8741"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La empresa es consciente de que su proceso de cobro basado en papel generando retrasos en la obtención de información actualizada y considera que modernizar esta área del proceso podría ser una mejora significativa.</w:t>
            </w:r>
          </w:p>
          <w:p w14:paraId="06B70C2E" w14:textId="74A5094D" w:rsidR="0A203B78" w:rsidRPr="0076589C" w:rsidRDefault="0A203B78" w:rsidP="0A203B78">
            <w:pPr>
              <w:spacing w:after="0" w:line="240" w:lineRule="auto"/>
              <w:ind w:left="0"/>
              <w:jc w:val="both"/>
              <w:rPr>
                <w:rFonts w:eastAsia="Times New Roman" w:cs="Times New Roman"/>
                <w:color w:val="000000" w:themeColor="text1"/>
                <w:sz w:val="20"/>
                <w:szCs w:val="20"/>
              </w:rPr>
            </w:pPr>
          </w:p>
        </w:tc>
      </w:tr>
      <w:tr w:rsidR="0A203B78" w:rsidRPr="0076589C" w14:paraId="2D7A7AB7" w14:textId="77777777" w:rsidTr="7FAD8741">
        <w:trPr>
          <w:trHeight w:val="620"/>
        </w:trPr>
        <w:tc>
          <w:tcPr>
            <w:tcW w:w="976" w:type="pct"/>
            <w:tcBorders>
              <w:top w:val="single" w:sz="4" w:space="0" w:color="auto"/>
              <w:left w:val="single" w:sz="4" w:space="0" w:color="auto"/>
              <w:bottom w:val="single" w:sz="4" w:space="0" w:color="auto"/>
              <w:right w:val="nil"/>
            </w:tcBorders>
            <w:shd w:val="clear" w:color="auto" w:fill="auto"/>
            <w:vAlign w:val="center"/>
            <w:hideMark/>
          </w:tcPr>
          <w:p w14:paraId="03E9C85D" w14:textId="789540C5"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¿Cuáles son los incentivos por el pago que ofrecen actualmente?</w:t>
            </w:r>
          </w:p>
        </w:tc>
        <w:tc>
          <w:tcPr>
            <w:tcW w:w="22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003FB5C" w14:textId="7900E2C7"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El cobrador recibe la comisión y el cliente el descuento por pronto pago.</w:t>
            </w:r>
          </w:p>
        </w:tc>
        <w:tc>
          <w:tcPr>
            <w:tcW w:w="1739" w:type="pct"/>
            <w:tcBorders>
              <w:top w:val="single" w:sz="4" w:space="0" w:color="auto"/>
              <w:left w:val="nil"/>
              <w:bottom w:val="single" w:sz="4" w:space="0" w:color="auto"/>
              <w:right w:val="single" w:sz="4" w:space="0" w:color="auto"/>
            </w:tcBorders>
            <w:shd w:val="clear" w:color="auto" w:fill="auto"/>
            <w:vAlign w:val="center"/>
            <w:hideMark/>
          </w:tcPr>
          <w:p w14:paraId="6EB5371E" w14:textId="788DB401"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Los incentivos por el pago es que el cobrador recibe la comisión y el cliente el descuento por pronto pago.</w:t>
            </w:r>
          </w:p>
        </w:tc>
      </w:tr>
      <w:tr w:rsidR="0A203B78" w:rsidRPr="0076589C" w14:paraId="30F0C14A" w14:textId="77777777" w:rsidTr="7FAD8741">
        <w:trPr>
          <w:trHeight w:val="620"/>
        </w:trPr>
        <w:tc>
          <w:tcPr>
            <w:tcW w:w="976" w:type="pct"/>
            <w:tcBorders>
              <w:top w:val="single" w:sz="4" w:space="0" w:color="auto"/>
              <w:left w:val="single" w:sz="4" w:space="0" w:color="auto"/>
              <w:bottom w:val="single" w:sz="4" w:space="0" w:color="auto"/>
              <w:right w:val="nil"/>
            </w:tcBorders>
            <w:shd w:val="clear" w:color="auto" w:fill="auto"/>
            <w:vAlign w:val="center"/>
            <w:hideMark/>
          </w:tcPr>
          <w:p w14:paraId="3A19DA41" w14:textId="6E7C2AAB"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 xml:space="preserve">¿Con que frecuencia se </w:t>
            </w:r>
            <w:r w:rsidRPr="0076589C">
              <w:rPr>
                <w:rFonts w:eastAsia="Times New Roman" w:cs="Times New Roman"/>
                <w:color w:val="000000" w:themeColor="text1"/>
                <w:sz w:val="20"/>
                <w:szCs w:val="20"/>
              </w:rPr>
              <w:lastRenderedPageBreak/>
              <w:t>supervisan las gestiones de cobro?</w:t>
            </w:r>
          </w:p>
        </w:tc>
        <w:tc>
          <w:tcPr>
            <w:tcW w:w="22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DDCB780" w14:textId="76171B67"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lastRenderedPageBreak/>
              <w:t>Constante, los arqueos se hacen cada 3 meses.</w:t>
            </w:r>
          </w:p>
        </w:tc>
        <w:tc>
          <w:tcPr>
            <w:tcW w:w="1739" w:type="pct"/>
            <w:tcBorders>
              <w:top w:val="single" w:sz="4" w:space="0" w:color="auto"/>
              <w:left w:val="nil"/>
              <w:bottom w:val="single" w:sz="4" w:space="0" w:color="auto"/>
              <w:right w:val="single" w:sz="4" w:space="0" w:color="auto"/>
            </w:tcBorders>
            <w:shd w:val="clear" w:color="auto" w:fill="auto"/>
            <w:vAlign w:val="center"/>
            <w:hideMark/>
          </w:tcPr>
          <w:p w14:paraId="0AEA423C" w14:textId="467FBE02"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Las gestiones de cobro se supervisan constantemente y se realizan arqueos cada 3 meses.</w:t>
            </w:r>
          </w:p>
        </w:tc>
      </w:tr>
      <w:tr w:rsidR="0A203B78" w:rsidRPr="0076589C" w14:paraId="77514E36" w14:textId="77777777" w:rsidTr="7FAD8741">
        <w:trPr>
          <w:trHeight w:val="620"/>
        </w:trPr>
        <w:tc>
          <w:tcPr>
            <w:tcW w:w="976" w:type="pct"/>
            <w:tcBorders>
              <w:top w:val="single" w:sz="4" w:space="0" w:color="auto"/>
              <w:left w:val="single" w:sz="4" w:space="0" w:color="auto"/>
              <w:bottom w:val="single" w:sz="4" w:space="0" w:color="auto"/>
              <w:right w:val="nil"/>
            </w:tcBorders>
            <w:shd w:val="clear" w:color="auto" w:fill="auto"/>
            <w:vAlign w:val="center"/>
            <w:hideMark/>
          </w:tcPr>
          <w:p w14:paraId="10536A3A" w14:textId="77777777"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¿Cuáles son las estrategias que se siguen para la recuperación exitosa?</w:t>
            </w:r>
          </w:p>
          <w:p w14:paraId="51A136D1" w14:textId="0F6904D3" w:rsidR="0A203B78" w:rsidRPr="0076589C" w:rsidRDefault="0A203B78" w:rsidP="0A203B78">
            <w:pPr>
              <w:spacing w:line="240" w:lineRule="auto"/>
              <w:jc w:val="both"/>
              <w:rPr>
                <w:rFonts w:eastAsia="Times New Roman" w:cs="Times New Roman"/>
                <w:color w:val="000000" w:themeColor="text1"/>
                <w:sz w:val="20"/>
                <w:szCs w:val="20"/>
              </w:rPr>
            </w:pPr>
          </w:p>
        </w:tc>
        <w:tc>
          <w:tcPr>
            <w:tcW w:w="22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2478B35" w14:textId="1DFED731"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Dentro de las estrategias ya mencionadas anteriormente, se llega a hablar con el cliente si el cliente dice que necesita producto, pero no tiene liquidez entonces se le pide que el que del 100% de su pago el 70% se le va a dar en producto y el otro 30% se le va a ir aplicando a su cuenta para que de esa manera se pueda apoyar al cliente.</w:t>
            </w:r>
          </w:p>
        </w:tc>
        <w:tc>
          <w:tcPr>
            <w:tcW w:w="1739" w:type="pct"/>
            <w:tcBorders>
              <w:top w:val="single" w:sz="4" w:space="0" w:color="auto"/>
              <w:left w:val="nil"/>
              <w:bottom w:val="single" w:sz="4" w:space="0" w:color="auto"/>
              <w:right w:val="single" w:sz="4" w:space="0" w:color="auto"/>
            </w:tcBorders>
            <w:shd w:val="clear" w:color="auto" w:fill="auto"/>
            <w:vAlign w:val="center"/>
            <w:hideMark/>
          </w:tcPr>
          <w:p w14:paraId="3B195567" w14:textId="73A33C7A"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La empresa emplea estrategias de negociación que incluyen la opción de permitir al cliente utilizar parte de su pago para comprar productos, al tiempo que se abona una parte a la deuda pendiente. Esto se hace con la intención de respaldar al cliente y facilitar la recuperación de la deuda de manera más efectiva.</w:t>
            </w:r>
          </w:p>
        </w:tc>
      </w:tr>
    </w:tbl>
    <w:p w14:paraId="75504B58" w14:textId="6208B1B1" w:rsidR="00D93F6B" w:rsidRPr="0076589C" w:rsidRDefault="1C8D6E3A" w:rsidP="00F34765">
      <w:pPr>
        <w:pStyle w:val="Fuentes"/>
        <w:spacing w:after="0"/>
        <w:rPr>
          <w:lang w:val="es-HN"/>
        </w:rPr>
      </w:pPr>
      <w:r w:rsidRPr="0076589C">
        <w:rPr>
          <w:lang w:val="es-HN"/>
        </w:rPr>
        <w:t>Fuente: Elaboración propia con datos de IPRA (2023).</w:t>
      </w:r>
    </w:p>
    <w:p w14:paraId="58F9459D" w14:textId="77777777" w:rsidR="00F34765" w:rsidRPr="0076589C" w:rsidRDefault="00F34765" w:rsidP="00F34765">
      <w:pPr>
        <w:pStyle w:val="Fuentes"/>
        <w:spacing w:after="0"/>
        <w:rPr>
          <w:lang w:val="es-HN"/>
        </w:rPr>
      </w:pPr>
    </w:p>
    <w:p w14:paraId="2B287C9A" w14:textId="221E5845" w:rsidR="00E04C36" w:rsidRPr="0076589C" w:rsidRDefault="1C8D6E3A" w:rsidP="00C64AF3">
      <w:pPr>
        <w:pStyle w:val="Ttulonivel4"/>
        <w:numPr>
          <w:ilvl w:val="0"/>
          <w:numId w:val="44"/>
        </w:numPr>
        <w:ind w:left="1440" w:firstLine="0"/>
      </w:pPr>
      <w:r w:rsidRPr="0076589C">
        <w:t>DIMENSIÓN COMUNICACIÓN CON CLIENTES</w:t>
      </w:r>
    </w:p>
    <w:p w14:paraId="7F53C428" w14:textId="589AE177" w:rsidR="00D27022" w:rsidRPr="0076589C" w:rsidRDefault="1C8D6E3A" w:rsidP="00F34765">
      <w:pPr>
        <w:pStyle w:val="TextoPrincipal"/>
        <w:spacing w:after="0"/>
        <w:rPr>
          <w:lang w:val="es-HN"/>
        </w:rPr>
      </w:pPr>
      <w:r w:rsidRPr="0076589C">
        <w:rPr>
          <w:lang w:val="es-HN"/>
        </w:rPr>
        <w:t>La dimensión de comunicación con los clientes es un pilar fundamental en la política de cobranza de una empresa, ejerciendo una influencia directa sobre los métodos y tipos de cobro empleados. La manera en que se establece y gestiona la comunicación impacta la efectividad de la recuperación financiera. Desde la elección de medios, como correos electrónicos o llamadas telefónicas, hasta la tonalidad y la frecuencia, cada aspecto comunicativo contribuye a forjar una relación positiva con los clientes, incidiendo así en su disposición para cumplir con sus obligaciones de pago. Esta conexión intrínseca entre la dimensión de comunicación y la política de cobranza se revela como un elemento crucial en la búsqueda de estrategias efectivas y orientadas a resultados.</w:t>
      </w:r>
    </w:p>
    <w:p w14:paraId="191B73F5" w14:textId="77777777" w:rsidR="00F34765" w:rsidRPr="0076589C" w:rsidRDefault="00F34765" w:rsidP="00F34765">
      <w:pPr>
        <w:pStyle w:val="TextoPrincipal"/>
        <w:spacing w:after="0"/>
        <w:rPr>
          <w:lang w:val="es-HN"/>
        </w:rPr>
      </w:pPr>
    </w:p>
    <w:p w14:paraId="4B993B46" w14:textId="70C20B5C" w:rsidR="00D27022" w:rsidRPr="0076589C" w:rsidRDefault="1C8D6E3A" w:rsidP="00CD1650">
      <w:pPr>
        <w:pStyle w:val="Nivel5"/>
        <w:numPr>
          <w:ilvl w:val="0"/>
          <w:numId w:val="46"/>
        </w:numPr>
        <w:ind w:left="1440" w:firstLine="0"/>
      </w:pPr>
      <w:r w:rsidRPr="0076589C">
        <w:t>TIPOS Y MEDIOS DE COMUNICACIÓN</w:t>
      </w:r>
    </w:p>
    <w:p w14:paraId="3B310D58" w14:textId="4F34BF15" w:rsidR="0006459F" w:rsidRPr="0076589C" w:rsidRDefault="1C8D6E3A" w:rsidP="00C36FF7">
      <w:pPr>
        <w:pStyle w:val="TextoPrincipal"/>
        <w:rPr>
          <w:lang w:val="es-HN"/>
        </w:rPr>
      </w:pPr>
      <w:r w:rsidRPr="0076589C">
        <w:rPr>
          <w:lang w:val="es-HN"/>
        </w:rPr>
        <w:t xml:space="preserve">Para los tipos y medios de comunicación se </w:t>
      </w:r>
      <w:r w:rsidR="00545ADC" w:rsidRPr="0076589C">
        <w:rPr>
          <w:lang w:val="es-HN"/>
        </w:rPr>
        <w:t>planteó</w:t>
      </w:r>
      <w:r w:rsidRPr="0076589C">
        <w:rPr>
          <w:lang w:val="es-HN"/>
        </w:rPr>
        <w:t xml:space="preserve"> cuatro (4) preguntas que fueron aplicadas en la entrevista con el gerente financiero de IPRA con el fin de conocer cuál es el medio por el cual envían las facturas a los clientes, como les informan a los clientes que su pago está atrasado o vencido.</w:t>
      </w:r>
    </w:p>
    <w:p w14:paraId="7FF0AD49" w14:textId="494B479D" w:rsidR="00D27022" w:rsidRPr="0076589C" w:rsidRDefault="0006459F" w:rsidP="0006459F">
      <w:pPr>
        <w:rPr>
          <w:rFonts w:eastAsia="Calibri" w:cs="Times New Roman"/>
        </w:rPr>
      </w:pPr>
      <w:r w:rsidRPr="0076589C">
        <w:br w:type="page"/>
      </w:r>
    </w:p>
    <w:p w14:paraId="6E06A8E2" w14:textId="02618D7D" w:rsidR="00E9166E" w:rsidRPr="0076589C" w:rsidRDefault="1C8D6E3A" w:rsidP="00E9166E">
      <w:pPr>
        <w:pStyle w:val="ImagenyTabla"/>
        <w:rPr>
          <w:noProof w:val="0"/>
        </w:rPr>
      </w:pPr>
      <w:bookmarkStart w:id="320" w:name="_Hlk152495583"/>
      <w:bookmarkStart w:id="321" w:name="_Toc158365581"/>
      <w:r w:rsidRPr="0076589C">
        <w:lastRenderedPageBreak/>
        <w:t xml:space="preserve">Tabla </w:t>
      </w:r>
      <w:r w:rsidR="00E9166E" w:rsidRPr="0076589C">
        <w:rPr>
          <w:noProof w:val="0"/>
        </w:rPr>
        <w:fldChar w:fldCharType="begin"/>
      </w:r>
      <w:r w:rsidR="00E9166E" w:rsidRPr="0076589C">
        <w:rPr>
          <w:noProof w:val="0"/>
        </w:rPr>
        <w:instrText xml:space="preserve"> SEQ Tabla \* ARABIC </w:instrText>
      </w:r>
      <w:r w:rsidR="00E9166E" w:rsidRPr="0076589C">
        <w:rPr>
          <w:noProof w:val="0"/>
        </w:rPr>
        <w:fldChar w:fldCharType="separate"/>
      </w:r>
      <w:r w:rsidR="009F171A">
        <w:t>33</w:t>
      </w:r>
      <w:r w:rsidR="00E9166E" w:rsidRPr="0076589C">
        <w:rPr>
          <w:noProof w:val="0"/>
        </w:rPr>
        <w:fldChar w:fldCharType="end"/>
      </w:r>
      <w:r w:rsidRPr="0076589C">
        <w:t xml:space="preserve">. Preguntas de los </w:t>
      </w:r>
      <w:bookmarkEnd w:id="320"/>
      <w:r w:rsidRPr="0076589C">
        <w:t>tipos y medios de comunicación</w:t>
      </w:r>
      <w:bookmarkEnd w:id="321"/>
    </w:p>
    <w:tbl>
      <w:tblPr>
        <w:tblW w:w="5000" w:type="pct"/>
        <w:tblLook w:val="04A0" w:firstRow="1" w:lastRow="0" w:firstColumn="1" w:lastColumn="0" w:noHBand="0" w:noVBand="1"/>
      </w:tblPr>
      <w:tblGrid>
        <w:gridCol w:w="1825"/>
        <w:gridCol w:w="4273"/>
        <w:gridCol w:w="3252"/>
      </w:tblGrid>
      <w:tr w:rsidR="00F227A5" w:rsidRPr="0076589C" w14:paraId="5C963C09" w14:textId="77777777" w:rsidTr="1C8D6E3A">
        <w:trPr>
          <w:trHeight w:val="320"/>
        </w:trPr>
        <w:tc>
          <w:tcPr>
            <w:tcW w:w="976" w:type="pct"/>
            <w:tcBorders>
              <w:top w:val="single" w:sz="4" w:space="0" w:color="auto"/>
              <w:left w:val="single" w:sz="4" w:space="0" w:color="auto"/>
              <w:bottom w:val="single" w:sz="4" w:space="0" w:color="auto"/>
              <w:right w:val="nil"/>
            </w:tcBorders>
            <w:shd w:val="clear" w:color="auto" w:fill="85BADC"/>
            <w:noWrap/>
            <w:vAlign w:val="bottom"/>
            <w:hideMark/>
          </w:tcPr>
          <w:p w14:paraId="293ABB9F" w14:textId="77777777" w:rsidR="00F227A5" w:rsidRPr="0076589C" w:rsidRDefault="1C8D6E3A" w:rsidP="00F227A5">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themeColor="text1"/>
                <w:sz w:val="20"/>
                <w:szCs w:val="20"/>
              </w:rPr>
              <w:t>Pregunta</w:t>
            </w:r>
          </w:p>
        </w:tc>
        <w:tc>
          <w:tcPr>
            <w:tcW w:w="2285" w:type="pct"/>
            <w:tcBorders>
              <w:top w:val="single" w:sz="4" w:space="0" w:color="auto"/>
              <w:left w:val="single" w:sz="4" w:space="0" w:color="auto"/>
              <w:bottom w:val="single" w:sz="4" w:space="0" w:color="auto"/>
              <w:right w:val="single" w:sz="4" w:space="0" w:color="auto"/>
            </w:tcBorders>
            <w:shd w:val="clear" w:color="auto" w:fill="85BADC"/>
            <w:vAlign w:val="bottom"/>
            <w:hideMark/>
          </w:tcPr>
          <w:p w14:paraId="4D3C7CE8" w14:textId="77777777" w:rsidR="00F227A5" w:rsidRPr="0076589C" w:rsidRDefault="1C8D6E3A" w:rsidP="00F227A5">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themeColor="text1"/>
                <w:sz w:val="20"/>
                <w:szCs w:val="20"/>
              </w:rPr>
              <w:t>Respuesta</w:t>
            </w:r>
          </w:p>
        </w:tc>
        <w:tc>
          <w:tcPr>
            <w:tcW w:w="1739" w:type="pct"/>
            <w:tcBorders>
              <w:top w:val="single" w:sz="4" w:space="0" w:color="auto"/>
              <w:left w:val="nil"/>
              <w:bottom w:val="single" w:sz="4" w:space="0" w:color="auto"/>
              <w:right w:val="single" w:sz="4" w:space="0" w:color="auto"/>
            </w:tcBorders>
            <w:shd w:val="clear" w:color="auto" w:fill="85BADC"/>
            <w:noWrap/>
            <w:vAlign w:val="bottom"/>
            <w:hideMark/>
          </w:tcPr>
          <w:p w14:paraId="2490A853" w14:textId="77777777" w:rsidR="00F227A5" w:rsidRPr="0076589C" w:rsidRDefault="1C8D6E3A" w:rsidP="00F227A5">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themeColor="text1"/>
                <w:sz w:val="20"/>
                <w:szCs w:val="20"/>
              </w:rPr>
              <w:t>Interpretación</w:t>
            </w:r>
          </w:p>
        </w:tc>
      </w:tr>
      <w:tr w:rsidR="00F227A5" w:rsidRPr="0076589C" w14:paraId="2AB3F207" w14:textId="77777777" w:rsidTr="1C8D6E3A">
        <w:trPr>
          <w:trHeight w:val="620"/>
        </w:trPr>
        <w:tc>
          <w:tcPr>
            <w:tcW w:w="976" w:type="pct"/>
            <w:tcBorders>
              <w:top w:val="single" w:sz="4" w:space="0" w:color="auto"/>
              <w:left w:val="single" w:sz="4" w:space="0" w:color="auto"/>
              <w:bottom w:val="single" w:sz="4" w:space="0" w:color="auto"/>
              <w:right w:val="nil"/>
            </w:tcBorders>
            <w:shd w:val="clear" w:color="auto" w:fill="auto"/>
            <w:vAlign w:val="center"/>
            <w:hideMark/>
          </w:tcPr>
          <w:p w14:paraId="0A8A14D7" w14:textId="0F3499D0" w:rsidR="00F227A5" w:rsidRPr="0076589C" w:rsidRDefault="1C8D6E3A" w:rsidP="00716E87">
            <w:pPr>
              <w:spacing w:after="0" w:line="240" w:lineRule="auto"/>
              <w:ind w:left="0"/>
              <w:jc w:val="both"/>
              <w:rPr>
                <w:rFonts w:eastAsia="Times New Roman" w:cs="Times New Roman"/>
                <w:color w:val="000000"/>
                <w:sz w:val="20"/>
                <w:szCs w:val="20"/>
              </w:rPr>
            </w:pPr>
            <w:r w:rsidRPr="0076589C">
              <w:rPr>
                <w:rFonts w:eastAsia="Times New Roman" w:cs="Times New Roman"/>
                <w:color w:val="000000" w:themeColor="text1"/>
                <w:sz w:val="20"/>
                <w:szCs w:val="20"/>
              </w:rPr>
              <w:t>¿Bajo qué medio se les envía la factura a los clientes?</w:t>
            </w:r>
          </w:p>
        </w:tc>
        <w:tc>
          <w:tcPr>
            <w:tcW w:w="22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E4E4156" w14:textId="77777777" w:rsidR="00F227A5" w:rsidRPr="0076589C" w:rsidRDefault="1C8D6E3A" w:rsidP="00716E87">
            <w:pPr>
              <w:spacing w:after="0" w:line="240" w:lineRule="auto"/>
              <w:ind w:left="0"/>
              <w:jc w:val="both"/>
              <w:rPr>
                <w:rFonts w:eastAsia="Times New Roman" w:cs="Times New Roman"/>
                <w:color w:val="000000"/>
                <w:sz w:val="20"/>
                <w:szCs w:val="20"/>
              </w:rPr>
            </w:pPr>
            <w:r w:rsidRPr="0076589C">
              <w:rPr>
                <w:rFonts w:eastAsia="Times New Roman" w:cs="Times New Roman"/>
                <w:color w:val="000000" w:themeColor="text1"/>
                <w:sz w:val="20"/>
                <w:szCs w:val="20"/>
              </w:rPr>
              <w:t>Contacto directo con los cobradores. Se le deja el quedan.</w:t>
            </w:r>
          </w:p>
        </w:tc>
        <w:tc>
          <w:tcPr>
            <w:tcW w:w="1739" w:type="pct"/>
            <w:tcBorders>
              <w:top w:val="single" w:sz="4" w:space="0" w:color="auto"/>
              <w:left w:val="nil"/>
              <w:bottom w:val="single" w:sz="4" w:space="0" w:color="auto"/>
              <w:right w:val="single" w:sz="4" w:space="0" w:color="auto"/>
            </w:tcBorders>
            <w:shd w:val="clear" w:color="auto" w:fill="auto"/>
            <w:vAlign w:val="center"/>
            <w:hideMark/>
          </w:tcPr>
          <w:p w14:paraId="4B2D7A26" w14:textId="77777777" w:rsidR="00F227A5" w:rsidRPr="0076589C" w:rsidRDefault="1C8D6E3A" w:rsidP="00716E87">
            <w:pPr>
              <w:spacing w:after="0" w:line="240" w:lineRule="auto"/>
              <w:ind w:left="0"/>
              <w:jc w:val="both"/>
              <w:rPr>
                <w:rFonts w:eastAsia="Times New Roman" w:cs="Times New Roman"/>
                <w:color w:val="000000"/>
                <w:sz w:val="20"/>
                <w:szCs w:val="20"/>
              </w:rPr>
            </w:pPr>
            <w:r w:rsidRPr="0076589C">
              <w:rPr>
                <w:rFonts w:eastAsia="Times New Roman" w:cs="Times New Roman"/>
                <w:color w:val="000000" w:themeColor="text1"/>
                <w:sz w:val="20"/>
                <w:szCs w:val="20"/>
              </w:rPr>
              <w:t>La factura se entrega por medio de un contacto directo con los cobradores.</w:t>
            </w:r>
          </w:p>
        </w:tc>
      </w:tr>
      <w:tr w:rsidR="0A203B78" w:rsidRPr="0076589C" w14:paraId="4EB889F2" w14:textId="77777777" w:rsidTr="1C8D6E3A">
        <w:trPr>
          <w:trHeight w:val="620"/>
        </w:trPr>
        <w:tc>
          <w:tcPr>
            <w:tcW w:w="1825" w:type="dxa"/>
            <w:tcBorders>
              <w:top w:val="single" w:sz="4" w:space="0" w:color="auto"/>
              <w:left w:val="single" w:sz="4" w:space="0" w:color="auto"/>
              <w:bottom w:val="single" w:sz="4" w:space="0" w:color="auto"/>
              <w:right w:val="nil"/>
            </w:tcBorders>
            <w:shd w:val="clear" w:color="auto" w:fill="auto"/>
            <w:vAlign w:val="center"/>
            <w:hideMark/>
          </w:tcPr>
          <w:p w14:paraId="5DBDEC63" w14:textId="3FE0A32C"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¿Cómo se le informa al cliente que su pago está atrasado o vencido?</w:t>
            </w:r>
          </w:p>
        </w:tc>
        <w:tc>
          <w:tcPr>
            <w:tcW w:w="4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C7708F" w14:textId="4FBEDDC6"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El cobrador tiene que estar constantemente notificando, pero llega un punto en el que se le dice al vendedor que brinde un apoyo adicional, ya que el cliente no está pagando. Ya que cuando es un vendedor/cobrador hace las dos funciones, cuando es comprador y vendedor por separado se le pide un apoyo adicional al vendedor para el proceso de recuperación.</w:t>
            </w:r>
          </w:p>
        </w:tc>
        <w:tc>
          <w:tcPr>
            <w:tcW w:w="3252" w:type="dxa"/>
            <w:tcBorders>
              <w:top w:val="single" w:sz="4" w:space="0" w:color="auto"/>
              <w:left w:val="nil"/>
              <w:bottom w:val="single" w:sz="4" w:space="0" w:color="auto"/>
              <w:right w:val="single" w:sz="4" w:space="0" w:color="auto"/>
            </w:tcBorders>
            <w:shd w:val="clear" w:color="auto" w:fill="auto"/>
            <w:vAlign w:val="center"/>
            <w:hideMark/>
          </w:tcPr>
          <w:p w14:paraId="1C140B5C" w14:textId="7DDD8633"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La empresa utiliza notificaciones constantes para informar al cliente sobre el atraso en el pago, y cuando el cliente no responde, se involucra al vendedor, especialmente cuando el vendedor y el cobrador son la misma persona. El vendedor puede brindar un apoyo adicional en el proceso de recuperación de la deuda.</w:t>
            </w:r>
          </w:p>
        </w:tc>
      </w:tr>
      <w:tr w:rsidR="0A203B78" w:rsidRPr="0076589C" w14:paraId="10584629" w14:textId="77777777" w:rsidTr="1C8D6E3A">
        <w:trPr>
          <w:trHeight w:val="620"/>
        </w:trPr>
        <w:tc>
          <w:tcPr>
            <w:tcW w:w="1825" w:type="dxa"/>
            <w:tcBorders>
              <w:top w:val="single" w:sz="4" w:space="0" w:color="auto"/>
              <w:left w:val="single" w:sz="4" w:space="0" w:color="auto"/>
              <w:bottom w:val="single" w:sz="4" w:space="0" w:color="auto"/>
              <w:right w:val="nil"/>
            </w:tcBorders>
            <w:shd w:val="clear" w:color="auto" w:fill="auto"/>
            <w:vAlign w:val="center"/>
            <w:hideMark/>
          </w:tcPr>
          <w:p w14:paraId="26A46FE4" w14:textId="55DE5750" w:rsidR="0A203B78" w:rsidRPr="0076589C" w:rsidRDefault="1C8D6E3A" w:rsidP="0A203B78">
            <w:pPr>
              <w:spacing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¿Por qué medio de que canal se mantiene en contacto con el cliente en la gestión de cobro?</w:t>
            </w:r>
          </w:p>
        </w:tc>
        <w:tc>
          <w:tcPr>
            <w:tcW w:w="4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C28D91" w14:textId="01A402B7"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Por teléfono, WhatsApp y en persona. Se está buscando actualizar la información para enviarlo también por correo para notificar y tener más recordatorios al cliente</w:t>
            </w:r>
          </w:p>
        </w:tc>
        <w:tc>
          <w:tcPr>
            <w:tcW w:w="3252" w:type="dxa"/>
            <w:tcBorders>
              <w:top w:val="single" w:sz="4" w:space="0" w:color="auto"/>
              <w:left w:val="nil"/>
              <w:bottom w:val="single" w:sz="4" w:space="0" w:color="auto"/>
              <w:right w:val="single" w:sz="4" w:space="0" w:color="auto"/>
            </w:tcBorders>
            <w:shd w:val="clear" w:color="auto" w:fill="auto"/>
            <w:vAlign w:val="center"/>
            <w:hideMark/>
          </w:tcPr>
          <w:p w14:paraId="6B5D22CD" w14:textId="05F2D783"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La empresa utiliza una variedad de canales, como el teléfono, WhatsApp y el contacto en persona, para mantenerse en contacto con los clientes en la gestión de cobro. Además, están considerando la adición del correo electrónico para mejorar aún más su comunicación y recordatorios de pago.</w:t>
            </w:r>
          </w:p>
        </w:tc>
      </w:tr>
      <w:tr w:rsidR="0A203B78" w:rsidRPr="0076589C" w14:paraId="1EEDF1D9" w14:textId="77777777" w:rsidTr="1C8D6E3A">
        <w:trPr>
          <w:trHeight w:val="620"/>
        </w:trPr>
        <w:tc>
          <w:tcPr>
            <w:tcW w:w="1825" w:type="dxa"/>
            <w:tcBorders>
              <w:top w:val="single" w:sz="4" w:space="0" w:color="auto"/>
              <w:left w:val="single" w:sz="4" w:space="0" w:color="auto"/>
              <w:bottom w:val="single" w:sz="4" w:space="0" w:color="auto"/>
              <w:right w:val="nil"/>
            </w:tcBorders>
            <w:shd w:val="clear" w:color="auto" w:fill="auto"/>
            <w:vAlign w:val="center"/>
            <w:hideMark/>
          </w:tcPr>
          <w:p w14:paraId="1A2F9E26" w14:textId="13A31C76"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¿Cuál es la frecuencia con la que contacta al cliente para recordar el saldo pendiente de pago?</w:t>
            </w:r>
          </w:p>
        </w:tc>
        <w:tc>
          <w:tcPr>
            <w:tcW w:w="42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B080F9" w14:textId="63A018E8"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Semanal, se programan las visitas semanales hasta que liquide la factura.</w:t>
            </w:r>
          </w:p>
        </w:tc>
        <w:tc>
          <w:tcPr>
            <w:tcW w:w="3252" w:type="dxa"/>
            <w:tcBorders>
              <w:top w:val="single" w:sz="4" w:space="0" w:color="auto"/>
              <w:left w:val="nil"/>
              <w:bottom w:val="single" w:sz="4" w:space="0" w:color="auto"/>
              <w:right w:val="single" w:sz="4" w:space="0" w:color="auto"/>
            </w:tcBorders>
            <w:shd w:val="clear" w:color="auto" w:fill="auto"/>
            <w:vAlign w:val="center"/>
            <w:hideMark/>
          </w:tcPr>
          <w:p w14:paraId="6EA0F17A" w14:textId="75CBA6E0" w:rsidR="0A203B78" w:rsidRPr="0076589C" w:rsidRDefault="1C8D6E3A" w:rsidP="0A203B78">
            <w:pPr>
              <w:spacing w:after="0" w:line="240" w:lineRule="auto"/>
              <w:ind w:left="0"/>
              <w:jc w:val="both"/>
              <w:rPr>
                <w:rFonts w:eastAsia="Times New Roman" w:cs="Times New Roman"/>
                <w:color w:val="000000" w:themeColor="text1"/>
                <w:sz w:val="20"/>
                <w:szCs w:val="20"/>
              </w:rPr>
            </w:pPr>
            <w:r w:rsidRPr="0076589C">
              <w:rPr>
                <w:rFonts w:eastAsia="Times New Roman" w:cs="Times New Roman"/>
                <w:color w:val="000000" w:themeColor="text1"/>
                <w:sz w:val="20"/>
                <w:szCs w:val="20"/>
              </w:rPr>
              <w:t>La frecuencia con la que se contacta al cliente es semanal</w:t>
            </w:r>
          </w:p>
        </w:tc>
      </w:tr>
    </w:tbl>
    <w:p w14:paraId="2DC15583" w14:textId="77777777" w:rsidR="00C96621" w:rsidRPr="0076589C" w:rsidRDefault="1C8D6E3A" w:rsidP="00C96621">
      <w:pPr>
        <w:pStyle w:val="Fuentes"/>
        <w:rPr>
          <w:lang w:val="es-HN"/>
        </w:rPr>
      </w:pPr>
      <w:r w:rsidRPr="0076589C">
        <w:rPr>
          <w:lang w:val="es-HN"/>
        </w:rPr>
        <w:t>Fuente: Elaboración propia con datos de IPRA (2023).</w:t>
      </w:r>
    </w:p>
    <w:p w14:paraId="538FBD7C" w14:textId="77777777" w:rsidR="00CE1DE8" w:rsidRPr="0076589C" w:rsidRDefault="00CE1DE8"/>
    <w:p w14:paraId="1FF04739" w14:textId="5688A787" w:rsidR="1C8D6E3A" w:rsidRPr="0076589C" w:rsidRDefault="1C8D6E3A">
      <w:r w:rsidRPr="0076589C">
        <w:br w:type="page"/>
      </w:r>
    </w:p>
    <w:p w14:paraId="70DAC199" w14:textId="560F5067" w:rsidR="007644EC" w:rsidRPr="0076589C" w:rsidRDefault="00596615" w:rsidP="1C8D6E3A">
      <w:pPr>
        <w:pStyle w:val="Ttulo1"/>
        <w:ind w:left="1080" w:hanging="360"/>
      </w:pPr>
      <w:bookmarkStart w:id="322" w:name="_Toc158365531"/>
      <w:r w:rsidRPr="0076589C">
        <w:lastRenderedPageBreak/>
        <w:t xml:space="preserve">CAPÍTULO V. </w:t>
      </w:r>
      <w:r w:rsidR="008E1866" w:rsidRPr="0076589C">
        <w:t>CONCLUSIONES Y RECOMENDACIONES</w:t>
      </w:r>
      <w:bookmarkEnd w:id="322"/>
      <w:r w:rsidR="008E1866" w:rsidRPr="0076589C">
        <w:t xml:space="preserve"> </w:t>
      </w:r>
    </w:p>
    <w:p w14:paraId="3CD2ECE1" w14:textId="6DF313A3" w:rsidR="00607F72" w:rsidRPr="0076589C" w:rsidRDefault="4CEA7910" w:rsidP="00A2665B">
      <w:pPr>
        <w:pStyle w:val="Ttulo2"/>
        <w:numPr>
          <w:ilvl w:val="0"/>
          <w:numId w:val="48"/>
        </w:numPr>
        <w:ind w:left="360"/>
      </w:pPr>
      <w:bookmarkStart w:id="323" w:name="_Hlk151150616"/>
      <w:bookmarkStart w:id="324" w:name="_Toc158365532"/>
      <w:r w:rsidRPr="0076589C">
        <w:t>CONCL</w:t>
      </w:r>
      <w:bookmarkEnd w:id="323"/>
      <w:r w:rsidRPr="0076589C">
        <w:t>USIONES</w:t>
      </w:r>
      <w:bookmarkEnd w:id="324"/>
    </w:p>
    <w:p w14:paraId="6F30C673" w14:textId="2E27A7A2" w:rsidR="00426D2B" w:rsidRPr="0076589C" w:rsidRDefault="7FAD8741" w:rsidP="275B8AAF">
      <w:pPr>
        <w:pStyle w:val="TextoPrincipal"/>
        <w:rPr>
          <w:lang w:val="es-HN"/>
        </w:rPr>
      </w:pPr>
      <w:r w:rsidRPr="0076589C">
        <w:rPr>
          <w:lang w:val="es-HN"/>
        </w:rPr>
        <w:t xml:space="preserve">1. El análisis exhaustivo de la gestión financiera de IPRA durante el periodo de 2019 a 2022 revela una serie de dinámicas financieras cambiantes y desafíos significativos. La empresa mostró una estrategia más orientada hacia el uso de recursos propios, con el capital representando un promedio del 62.5% de los recursos totales, lo que indica una estructura financiera menos apalancada. Sin embargo, las cuentas por cobrar experimentaron variaciones notables, siendo del 60% en 2019-2020 y disminuyó del 29% en 2021-2022, mientras que los inventarios aumentaron considerablemente en un promedio del 207.75% en los mismos periodos. La empresa enfrentó desafíos significativos durante la pandemia de COVID-19, reflejados en una caída del 54% en la utilidad neta en 2020, seguida por una recuperación del 98% en 2021 y un crecimiento constante en 2022. A pesar de las fluctuaciones, IPRA mostró un aumento promedio anual del 27.5% en sus ventas netas, demostrando una capacidad de recuperación. Se puede concluir que la situación financiera de IPRA es buena, tomando en cuenta que hay oportunidades de mejora, dada la gestión de cuentas por cobrar como áreas críticas, demandando estrategias más sólidas para el manejo del capital de trabajo y la preservación de la liquidez. </w:t>
      </w:r>
    </w:p>
    <w:p w14:paraId="1B9DACEF" w14:textId="3BFC6CD0" w:rsidR="004904FB" w:rsidRPr="0076589C" w:rsidRDefault="004904FB" w:rsidP="006134E0">
      <w:pPr>
        <w:pStyle w:val="TextoPrincipal"/>
        <w:rPr>
          <w:lang w:val="es-HN"/>
        </w:rPr>
      </w:pPr>
      <w:r w:rsidRPr="0076589C">
        <w:rPr>
          <w:b/>
          <w:bCs/>
          <w:lang w:val="es-HN"/>
        </w:rPr>
        <w:t>Según el objetivo general:</w:t>
      </w:r>
      <w:r w:rsidRPr="0076589C">
        <w:rPr>
          <w:lang w:val="es-HN"/>
        </w:rPr>
        <w:t xml:space="preserve"> Analizar la inadecuada política de concesión de crédito, sumado a la deficiente gestión de cobranza ejecutado por la empresa Industria Procesadora de Alimentos (IPRA), ubicada en la ciudad de Tegucigalpa, Honduras dentro del periodo 2019-2022 y su incidencia en la situación financiera y capacidad para afrontar sus obligaciones de pago en el corto y mediano plazo, a través de una evaluación de la gestión financiera de la empresa. </w:t>
      </w:r>
    </w:p>
    <w:p w14:paraId="48F55BBA" w14:textId="0D8BD2DA" w:rsidR="4CEA7910" w:rsidRPr="0076589C" w:rsidRDefault="00A640C4" w:rsidP="00384061">
      <w:pPr>
        <w:pStyle w:val="TextoPrincipal"/>
        <w:rPr>
          <w:lang w:val="es-HN"/>
        </w:rPr>
      </w:pPr>
      <w:r w:rsidRPr="0076589C">
        <w:rPr>
          <w:lang w:val="es-HN"/>
        </w:rPr>
        <w:t>2</w:t>
      </w:r>
      <w:r w:rsidR="00384061" w:rsidRPr="0076589C">
        <w:rPr>
          <w:lang w:val="es-HN"/>
        </w:rPr>
        <w:t xml:space="preserve">. </w:t>
      </w:r>
      <w:r w:rsidR="4CEA7910" w:rsidRPr="0076589C">
        <w:rPr>
          <w:lang w:val="es-HN"/>
        </w:rPr>
        <w:t>La e</w:t>
      </w:r>
      <w:r w:rsidR="00FC1F93" w:rsidRPr="0076589C">
        <w:rPr>
          <w:lang w:val="es-HN"/>
        </w:rPr>
        <w:t>volu</w:t>
      </w:r>
      <w:r w:rsidR="4CEA7910" w:rsidRPr="0076589C">
        <w:rPr>
          <w:lang w:val="es-HN"/>
        </w:rPr>
        <w:t>ción de la cartera de crédito de IPRA entre 2019 y 2022 refleja adaptación a las condiciones económicas, con una disminución del 59% en la cartera a pesar de un modesto aumento del 13% en las ventas. El impacto de la pandemia en 2020 se tradujo en una estrategia centrada en la cobranza y menor endeudamiento, evidenciado por la abrupta reducción del 45.68% en la cartera en 2021. Sin embargo, en 2022, la cartera experimenta un aumento del 9.68%, indicando una respuesta eficiente a las fluctuaciones del mercado. Este manejo se refleja en el aumento de la partida de cajas y bancos en el Análisis Horizontal del balance, con un aumento del 129% en 2021 y 197% en 2022. La gestión efectiva de la cartera se confirma al mantener los límites de crédito y las políticas de cobro.</w:t>
      </w:r>
    </w:p>
    <w:p w14:paraId="083AE9C5" w14:textId="26A14FC8" w:rsidR="4CEA7910" w:rsidRPr="0076589C" w:rsidRDefault="4CEA7910" w:rsidP="00A640C4">
      <w:pPr>
        <w:pStyle w:val="TextoPrincipal"/>
        <w:rPr>
          <w:lang w:val="es-HN"/>
        </w:rPr>
      </w:pPr>
      <w:r w:rsidRPr="0076589C">
        <w:rPr>
          <w:lang w:val="es-HN"/>
        </w:rPr>
        <w:lastRenderedPageBreak/>
        <w:t xml:space="preserve">Al analizar la antigüedad de las cuentas por cobrar, se observan variaciones notables en plazos más cortos, pero es en cuentas con más de 90 días donde se destaca un porcentaje elevado, </w:t>
      </w:r>
      <w:r w:rsidR="6824A516" w:rsidRPr="0076589C">
        <w:rPr>
          <w:lang w:val="es-HN"/>
        </w:rPr>
        <w:t>t</w:t>
      </w:r>
      <w:r w:rsidR="006226F3" w:rsidRPr="0076589C">
        <w:rPr>
          <w:lang w:val="es-HN"/>
        </w:rPr>
        <w:t>uvo</w:t>
      </w:r>
      <w:r w:rsidR="6824A516" w:rsidRPr="0076589C">
        <w:rPr>
          <w:lang w:val="es-HN"/>
        </w:rPr>
        <w:t xml:space="preserve"> un promedio de 34</w:t>
      </w:r>
      <w:r w:rsidRPr="0076589C">
        <w:rPr>
          <w:lang w:val="es-HN"/>
        </w:rPr>
        <w:t xml:space="preserve">% en </w:t>
      </w:r>
      <w:r w:rsidR="6824A516" w:rsidRPr="0076589C">
        <w:rPr>
          <w:lang w:val="es-HN"/>
        </w:rPr>
        <w:t xml:space="preserve">el período de </w:t>
      </w:r>
      <w:r w:rsidRPr="0076589C">
        <w:rPr>
          <w:lang w:val="es-HN"/>
        </w:rPr>
        <w:t>2019-</w:t>
      </w:r>
      <w:r w:rsidR="6824A516" w:rsidRPr="0076589C">
        <w:rPr>
          <w:lang w:val="es-HN"/>
        </w:rPr>
        <w:t>2022.</w:t>
      </w:r>
      <w:r w:rsidRPr="0076589C">
        <w:rPr>
          <w:lang w:val="es-HN"/>
        </w:rPr>
        <w:t xml:space="preserve"> Esto señala la necesidad de atención específica en la gestión de cuentas más antiguas, posiblemente indicando desafíos persistentes en la recuperación a largo plazo. Estrategias adicionales de mitigación de riesgos y cobranza podrían ser beneficiosas.</w:t>
      </w:r>
    </w:p>
    <w:p w14:paraId="57151529" w14:textId="410B226B" w:rsidR="004904FB" w:rsidRPr="0076589C" w:rsidRDefault="004904FB" w:rsidP="00A640C4">
      <w:pPr>
        <w:pStyle w:val="TextoPrincipal"/>
        <w:rPr>
          <w:lang w:val="es-HN"/>
        </w:rPr>
      </w:pPr>
      <w:r w:rsidRPr="0076589C">
        <w:rPr>
          <w:b/>
          <w:bCs/>
          <w:lang w:val="es-HN"/>
        </w:rPr>
        <w:t>Según el objetivo específico:</w:t>
      </w:r>
      <w:r w:rsidRPr="0076589C">
        <w:rPr>
          <w:lang w:val="es-HN"/>
        </w:rPr>
        <w:t xml:space="preserve"> </w:t>
      </w:r>
      <w:r w:rsidR="006134E0" w:rsidRPr="0076589C">
        <w:rPr>
          <w:lang w:val="es-HN"/>
        </w:rPr>
        <w:t>1. Identificar el porcentaje en que evolucionó la cartera de crédito en IPRA para el periodo 2019-2022.</w:t>
      </w:r>
    </w:p>
    <w:p w14:paraId="3BAA953F" w14:textId="7824D17A" w:rsidR="4CEA7910" w:rsidRPr="0076589C" w:rsidRDefault="34A12DAA" w:rsidP="00384061">
      <w:pPr>
        <w:pStyle w:val="Fuentes"/>
        <w:jc w:val="both"/>
        <w:rPr>
          <w:sz w:val="24"/>
          <w:szCs w:val="24"/>
          <w:lang w:val="es-HN"/>
        </w:rPr>
      </w:pPr>
      <w:r w:rsidRPr="0076589C">
        <w:rPr>
          <w:sz w:val="24"/>
          <w:szCs w:val="24"/>
          <w:lang w:val="es-HN"/>
        </w:rPr>
        <w:t xml:space="preserve">3. </w:t>
      </w:r>
      <w:r w:rsidR="0BF056E1" w:rsidRPr="0076589C">
        <w:rPr>
          <w:sz w:val="24"/>
          <w:szCs w:val="24"/>
          <w:lang w:val="es-HN"/>
        </w:rPr>
        <w:t>La empresa IPRA</w:t>
      </w:r>
      <w:r w:rsidR="4CEA7910" w:rsidRPr="0076589C">
        <w:rPr>
          <w:sz w:val="24"/>
          <w:szCs w:val="24"/>
          <w:lang w:val="es-HN"/>
        </w:rPr>
        <w:t xml:space="preserve"> implementa una política de crédito </w:t>
      </w:r>
      <w:r w:rsidR="4CC857A6" w:rsidRPr="0076589C">
        <w:rPr>
          <w:sz w:val="24"/>
          <w:szCs w:val="24"/>
          <w:lang w:val="es-HN"/>
        </w:rPr>
        <w:t xml:space="preserve">y de </w:t>
      </w:r>
      <w:r w:rsidR="564FB89B" w:rsidRPr="0076589C">
        <w:rPr>
          <w:sz w:val="24"/>
          <w:szCs w:val="24"/>
          <w:lang w:val="es-HN"/>
        </w:rPr>
        <w:t xml:space="preserve">cobro </w:t>
      </w:r>
      <w:r w:rsidR="4CC857A6" w:rsidRPr="0076589C">
        <w:rPr>
          <w:sz w:val="24"/>
          <w:szCs w:val="24"/>
          <w:lang w:val="es-HN"/>
        </w:rPr>
        <w:t>documentada, en la cual establecen condiciones</w:t>
      </w:r>
      <w:r w:rsidR="289782C1" w:rsidRPr="0076589C">
        <w:rPr>
          <w:sz w:val="24"/>
          <w:szCs w:val="24"/>
          <w:lang w:val="es-HN"/>
        </w:rPr>
        <w:t>,</w:t>
      </w:r>
      <w:r w:rsidR="51A91229" w:rsidRPr="0076589C">
        <w:rPr>
          <w:sz w:val="24"/>
          <w:szCs w:val="24"/>
          <w:lang w:val="es-HN"/>
        </w:rPr>
        <w:t xml:space="preserve"> como dar 60 días de crédito a sus clientes </w:t>
      </w:r>
      <w:r w:rsidR="4404F8A0" w:rsidRPr="0076589C">
        <w:rPr>
          <w:sz w:val="24"/>
          <w:szCs w:val="24"/>
          <w:lang w:val="es-HN"/>
        </w:rPr>
        <w:t>después</w:t>
      </w:r>
      <w:r w:rsidR="51A91229" w:rsidRPr="0076589C">
        <w:rPr>
          <w:sz w:val="24"/>
          <w:szCs w:val="24"/>
          <w:lang w:val="es-HN"/>
        </w:rPr>
        <w:t xml:space="preserve"> de tres compras de </w:t>
      </w:r>
      <w:r w:rsidR="0AD060B5" w:rsidRPr="0076589C">
        <w:rPr>
          <w:sz w:val="24"/>
          <w:szCs w:val="24"/>
          <w:lang w:val="es-HN"/>
        </w:rPr>
        <w:t>contado con</w:t>
      </w:r>
      <w:r w:rsidR="4CEA7910" w:rsidRPr="0076589C">
        <w:rPr>
          <w:sz w:val="24"/>
          <w:szCs w:val="24"/>
          <w:lang w:val="es-HN"/>
        </w:rPr>
        <w:t xml:space="preserve"> incentivos como descuentos especiales para pagos puntuales. </w:t>
      </w:r>
      <w:r w:rsidR="009D5F36" w:rsidRPr="0076589C">
        <w:rPr>
          <w:sz w:val="24"/>
          <w:szCs w:val="24"/>
          <w:lang w:val="es-HN"/>
        </w:rPr>
        <w:t>En su proceso reconocen</w:t>
      </w:r>
      <w:r w:rsidR="000C338B" w:rsidRPr="0076589C">
        <w:rPr>
          <w:sz w:val="24"/>
          <w:szCs w:val="24"/>
          <w:lang w:val="es-HN"/>
        </w:rPr>
        <w:t xml:space="preserve"> algunas </w:t>
      </w:r>
      <w:r w:rsidR="4CEA7910" w:rsidRPr="0076589C">
        <w:rPr>
          <w:sz w:val="24"/>
          <w:szCs w:val="24"/>
          <w:lang w:val="es-HN"/>
        </w:rPr>
        <w:t>debilidades, como</w:t>
      </w:r>
      <w:r w:rsidR="000C338B" w:rsidRPr="0076589C">
        <w:rPr>
          <w:sz w:val="24"/>
          <w:szCs w:val="24"/>
          <w:lang w:val="es-HN"/>
        </w:rPr>
        <w:t xml:space="preserve"> ser</w:t>
      </w:r>
      <w:r w:rsidR="4CEA7910" w:rsidRPr="0076589C">
        <w:rPr>
          <w:sz w:val="24"/>
          <w:szCs w:val="24"/>
          <w:lang w:val="es-HN"/>
        </w:rPr>
        <w:t xml:space="preserve"> la falta de información detallada sobre el historial crediticio</w:t>
      </w:r>
      <w:r w:rsidR="001C4123" w:rsidRPr="0076589C">
        <w:rPr>
          <w:sz w:val="24"/>
          <w:szCs w:val="24"/>
          <w:lang w:val="es-HN"/>
        </w:rPr>
        <w:t xml:space="preserve"> y la falta de actualización</w:t>
      </w:r>
      <w:r w:rsidR="00C871CF" w:rsidRPr="0076589C">
        <w:rPr>
          <w:sz w:val="24"/>
          <w:szCs w:val="24"/>
          <w:lang w:val="es-HN"/>
        </w:rPr>
        <w:t xml:space="preserve"> </w:t>
      </w:r>
      <w:r w:rsidR="001C4123" w:rsidRPr="0076589C">
        <w:rPr>
          <w:sz w:val="24"/>
          <w:szCs w:val="24"/>
          <w:lang w:val="es-HN"/>
        </w:rPr>
        <w:t xml:space="preserve">de </w:t>
      </w:r>
      <w:r w:rsidR="0078737E" w:rsidRPr="0076589C">
        <w:rPr>
          <w:sz w:val="24"/>
          <w:szCs w:val="24"/>
          <w:lang w:val="es-HN"/>
        </w:rPr>
        <w:t xml:space="preserve">los </w:t>
      </w:r>
      <w:r w:rsidR="004C74DD" w:rsidRPr="0076589C">
        <w:rPr>
          <w:sz w:val="24"/>
          <w:szCs w:val="24"/>
          <w:lang w:val="es-HN"/>
        </w:rPr>
        <w:t>límites</w:t>
      </w:r>
      <w:r w:rsidR="0078737E" w:rsidRPr="0076589C">
        <w:rPr>
          <w:sz w:val="24"/>
          <w:szCs w:val="24"/>
          <w:lang w:val="es-HN"/>
        </w:rPr>
        <w:t xml:space="preserve"> de crédito de sus clientes</w:t>
      </w:r>
      <w:r w:rsidR="4CEA7910" w:rsidRPr="0076589C">
        <w:rPr>
          <w:sz w:val="24"/>
          <w:szCs w:val="24"/>
          <w:lang w:val="es-HN"/>
        </w:rPr>
        <w:t xml:space="preserve">. </w:t>
      </w:r>
      <w:r w:rsidR="0AD060B5" w:rsidRPr="0076589C">
        <w:rPr>
          <w:sz w:val="24"/>
          <w:szCs w:val="24"/>
          <w:lang w:val="es-HN"/>
        </w:rPr>
        <w:t xml:space="preserve"> </w:t>
      </w:r>
      <w:r w:rsidR="200B39D2" w:rsidRPr="0076589C">
        <w:rPr>
          <w:sz w:val="24"/>
          <w:szCs w:val="24"/>
          <w:lang w:val="es-HN"/>
        </w:rPr>
        <w:t xml:space="preserve">al revisar sus </w:t>
      </w:r>
      <w:r w:rsidR="2F901AAB" w:rsidRPr="0076589C">
        <w:rPr>
          <w:sz w:val="24"/>
          <w:szCs w:val="24"/>
          <w:lang w:val="es-HN"/>
        </w:rPr>
        <w:t>políticas</w:t>
      </w:r>
      <w:r w:rsidR="200B39D2" w:rsidRPr="0076589C">
        <w:rPr>
          <w:sz w:val="24"/>
          <w:szCs w:val="24"/>
          <w:lang w:val="es-HN"/>
        </w:rPr>
        <w:t xml:space="preserve"> de cobro, se </w:t>
      </w:r>
      <w:r w:rsidR="2F901AAB" w:rsidRPr="0076589C">
        <w:rPr>
          <w:sz w:val="24"/>
          <w:szCs w:val="24"/>
          <w:lang w:val="es-HN"/>
        </w:rPr>
        <w:t xml:space="preserve">realizó cálculos </w:t>
      </w:r>
      <w:r w:rsidR="49ADA784" w:rsidRPr="0076589C">
        <w:rPr>
          <w:sz w:val="24"/>
          <w:szCs w:val="24"/>
          <w:lang w:val="es-HN"/>
        </w:rPr>
        <w:t>cuantitativos, donde</w:t>
      </w:r>
      <w:r w:rsidR="4CEA7910" w:rsidRPr="0076589C">
        <w:rPr>
          <w:sz w:val="24"/>
          <w:szCs w:val="24"/>
          <w:lang w:val="es-HN"/>
        </w:rPr>
        <w:t xml:space="preserve"> se observa una reducción significativa del período promedio de cobro del 51%, disminuy</w:t>
      </w:r>
      <w:r w:rsidR="006226F3" w:rsidRPr="0076589C">
        <w:rPr>
          <w:sz w:val="24"/>
          <w:szCs w:val="24"/>
          <w:lang w:val="es-HN"/>
        </w:rPr>
        <w:t>ó</w:t>
      </w:r>
      <w:r w:rsidR="4CEA7910" w:rsidRPr="0076589C">
        <w:rPr>
          <w:sz w:val="24"/>
          <w:szCs w:val="24"/>
          <w:lang w:val="es-HN"/>
        </w:rPr>
        <w:t xml:space="preserve"> de 165 días en 2019 a 80 días en 2022, con una rotación de cuentas por cobrar de 4.57 veces. No obstante, se identifica la necesidad de modernizar el proceso de cobro, actualmente basado en documentos en papel, lo que podría optimizarse mediante la digitalización para agilizar y mejorar la eficiencia en la gestión de cobranza</w:t>
      </w:r>
      <w:r w:rsidR="20330D50" w:rsidRPr="0076589C">
        <w:rPr>
          <w:sz w:val="24"/>
          <w:szCs w:val="24"/>
          <w:lang w:val="es-HN"/>
        </w:rPr>
        <w:t xml:space="preserve"> y por ende reducir la antigüedad de las cuentas por cobrar mayores a 90 días.</w:t>
      </w:r>
    </w:p>
    <w:p w14:paraId="5BFB7A02" w14:textId="44C774C2" w:rsidR="006134E0" w:rsidRPr="0076589C" w:rsidRDefault="006134E0" w:rsidP="00384061">
      <w:pPr>
        <w:pStyle w:val="Fuentes"/>
        <w:jc w:val="both"/>
        <w:rPr>
          <w:sz w:val="24"/>
          <w:szCs w:val="24"/>
          <w:lang w:val="es-HN"/>
        </w:rPr>
      </w:pPr>
      <w:r w:rsidRPr="0076589C">
        <w:rPr>
          <w:b/>
          <w:bCs/>
          <w:sz w:val="24"/>
          <w:szCs w:val="24"/>
          <w:lang w:val="es-HN"/>
        </w:rPr>
        <w:t>Según el objetivo específico:</w:t>
      </w:r>
      <w:r w:rsidRPr="0076589C">
        <w:rPr>
          <w:sz w:val="24"/>
          <w:szCs w:val="24"/>
          <w:lang w:val="es-HN"/>
        </w:rPr>
        <w:t xml:space="preserve"> 2. Verificar las políticas de crédito y cobro implementadas por IPRA en el periodo 2019-2022.</w:t>
      </w:r>
    </w:p>
    <w:p w14:paraId="2182C183" w14:textId="217D7CB7" w:rsidR="00B435D6" w:rsidRPr="0076589C" w:rsidRDefault="00A640C4" w:rsidP="00586DB3">
      <w:pPr>
        <w:pStyle w:val="TextoPrincipal"/>
        <w:rPr>
          <w:lang w:val="es-HN"/>
        </w:rPr>
      </w:pPr>
      <w:r w:rsidRPr="0076589C">
        <w:rPr>
          <w:lang w:val="es-HN"/>
        </w:rPr>
        <w:t>4</w:t>
      </w:r>
      <w:r w:rsidR="00B435D6" w:rsidRPr="0076589C">
        <w:rPr>
          <w:lang w:val="es-HN"/>
        </w:rPr>
        <w:t xml:space="preserve">. </w:t>
      </w:r>
      <w:r w:rsidR="4CEA7910" w:rsidRPr="0076589C">
        <w:rPr>
          <w:lang w:val="es-HN"/>
        </w:rPr>
        <w:t xml:space="preserve">Con el análisis de los indicadores financieros de IPRA entre 2019 y 2022, se destaca la solidez de su dinámica financiera. A pesar de variaciones en el margen de utilidad bruta, mantuvo márgenes saludables alrededor del 34-36%, indicando eficiencia en la gestión de costos. </w:t>
      </w:r>
      <w:r w:rsidR="00C42C3C" w:rsidRPr="0076589C">
        <w:rPr>
          <w:lang w:val="es-HN"/>
        </w:rPr>
        <w:t>El margen de</w:t>
      </w:r>
      <w:r w:rsidR="4CEA7910" w:rsidRPr="0076589C">
        <w:rPr>
          <w:lang w:val="es-HN"/>
        </w:rPr>
        <w:t xml:space="preserve"> utilidad neta </w:t>
      </w:r>
      <w:r w:rsidR="00E01079" w:rsidRPr="0076589C">
        <w:rPr>
          <w:lang w:val="es-HN"/>
        </w:rPr>
        <w:t xml:space="preserve">osciló </w:t>
      </w:r>
      <w:r w:rsidR="4CEA7910" w:rsidRPr="0076589C">
        <w:rPr>
          <w:lang w:val="es-HN"/>
        </w:rPr>
        <w:t>del 3% al 8% entre 20</w:t>
      </w:r>
      <w:r w:rsidR="002C4239" w:rsidRPr="0076589C">
        <w:rPr>
          <w:lang w:val="es-HN"/>
        </w:rPr>
        <w:t>19</w:t>
      </w:r>
      <w:r w:rsidR="4CEA7910" w:rsidRPr="0076589C">
        <w:rPr>
          <w:lang w:val="es-HN"/>
        </w:rPr>
        <w:t xml:space="preserve"> y </w:t>
      </w:r>
      <w:r w:rsidR="002C4239" w:rsidRPr="0076589C">
        <w:rPr>
          <w:lang w:val="es-HN"/>
        </w:rPr>
        <w:t>2022</w:t>
      </w:r>
      <w:r w:rsidR="00AE6443" w:rsidRPr="0076589C">
        <w:rPr>
          <w:lang w:val="es-HN"/>
        </w:rPr>
        <w:t xml:space="preserve">, lo que se considera un valor de referencia bajo para el tipo de </w:t>
      </w:r>
      <w:r w:rsidR="009314D7" w:rsidRPr="0076589C">
        <w:rPr>
          <w:lang w:val="es-HN"/>
        </w:rPr>
        <w:t xml:space="preserve">industria según </w:t>
      </w:r>
      <w:r w:rsidR="009314D7" w:rsidRPr="0076589C">
        <w:rPr>
          <w:lang w:val="es-HN"/>
        </w:rPr>
        <w:fldChar w:fldCharType="begin"/>
      </w:r>
      <w:r w:rsidR="009314D7" w:rsidRPr="0076589C">
        <w:rPr>
          <w:lang w:val="es-HN"/>
        </w:rPr>
        <w:instrText xml:space="preserve"> ADDIN ZOTERO_ITEM CSL_CITATION {"citationID":"3AyGkVGT","properties":{"formattedCitation":"(Allen, 2010)","plainCitation":"(Allen, 2010)","noteIndex":0},"citationItems":[{"id":204,"uris":["http://zotero.org/users/12108825/items/CHITNJEP"],"itemData":{"id":204,"type":"article-journal","source":"Zotero","title":"Principios de Finanzas Corporativas","author":[{"family":"Allen","given":"Brealey Myers"}],"issued":{"date-parts":[["2010"]]}}}],"schema":"https://github.com/citation-style-language/schema/raw/master/csl-citation.json"} </w:instrText>
      </w:r>
      <w:r w:rsidR="009314D7" w:rsidRPr="0076589C">
        <w:rPr>
          <w:lang w:val="es-HN"/>
        </w:rPr>
        <w:fldChar w:fldCharType="separate"/>
      </w:r>
      <w:r w:rsidR="00E77DDB" w:rsidRPr="0076589C">
        <w:rPr>
          <w:lang w:val="es-HN"/>
        </w:rPr>
        <w:t>(Allen, 2010)</w:t>
      </w:r>
      <w:r w:rsidR="009314D7" w:rsidRPr="0076589C">
        <w:rPr>
          <w:lang w:val="es-HN"/>
        </w:rPr>
        <w:fldChar w:fldCharType="end"/>
      </w:r>
      <w:r w:rsidR="009314D7" w:rsidRPr="0076589C">
        <w:rPr>
          <w:lang w:val="es-HN"/>
        </w:rPr>
        <w:t>, que</w:t>
      </w:r>
      <w:r w:rsidR="00BF65F9" w:rsidRPr="0076589C">
        <w:rPr>
          <w:lang w:val="es-HN"/>
        </w:rPr>
        <w:t xml:space="preserve"> </w:t>
      </w:r>
      <w:r w:rsidR="00C42C3C" w:rsidRPr="0076589C">
        <w:rPr>
          <w:lang w:val="es-HN"/>
        </w:rPr>
        <w:t xml:space="preserve">se </w:t>
      </w:r>
      <w:r w:rsidR="00BF65F9" w:rsidRPr="0076589C">
        <w:rPr>
          <w:lang w:val="es-HN"/>
        </w:rPr>
        <w:t>podría entender a que la empresa tiene un desafío para mantener una rentabilidad solida después de los gastos de operación.</w:t>
      </w:r>
      <w:r w:rsidR="4CEA7910" w:rsidRPr="0076589C">
        <w:rPr>
          <w:lang w:val="es-HN"/>
        </w:rPr>
        <w:t xml:space="preserve"> El EBITDA reflejó mejora continua, incrementándose en L. 1,448,087.18, evidenciando una eficaz generación de ingresos operativos. Los indicadores de rentabilidad (ROA y ROE) mantuvieron niveles </w:t>
      </w:r>
      <w:r w:rsidR="4CEA7910" w:rsidRPr="0076589C">
        <w:rPr>
          <w:lang w:val="es-HN"/>
        </w:rPr>
        <w:lastRenderedPageBreak/>
        <w:t>elevados, con un ROE consistente alrededor del 99.89%, indicando una sólida capacidad para generar valor para los inversionistas.</w:t>
      </w:r>
      <w:r w:rsidR="00201C2A" w:rsidRPr="0076589C">
        <w:rPr>
          <w:lang w:val="es-HN"/>
        </w:rPr>
        <w:t xml:space="preserve"> </w:t>
      </w:r>
    </w:p>
    <w:p w14:paraId="29F1CE1F" w14:textId="047CBDE5" w:rsidR="00B435D6" w:rsidRPr="0076589C" w:rsidRDefault="4CEA7910" w:rsidP="00B435D6">
      <w:pPr>
        <w:pStyle w:val="TextoPrincipal"/>
        <w:rPr>
          <w:lang w:val="es-HN"/>
        </w:rPr>
      </w:pPr>
      <w:r w:rsidRPr="0076589C">
        <w:rPr>
          <w:lang w:val="es-HN"/>
        </w:rPr>
        <w:t xml:space="preserve">En cuanto a la liquidez, IPRA mantuvo una posición financiera estable. Aunque la liquidez corriente varió, desde 6.81 hasta 13.29, indicando capacidad para cubrir pasivos a corto plazo, la razón rápida disminuyó de 11.02 a 3.51 en 2022, </w:t>
      </w:r>
      <w:r w:rsidR="00887995" w:rsidRPr="0076589C">
        <w:rPr>
          <w:lang w:val="es-HN"/>
        </w:rPr>
        <w:t>sugirió</w:t>
      </w:r>
      <w:r w:rsidRPr="0076589C">
        <w:rPr>
          <w:lang w:val="es-HN"/>
        </w:rPr>
        <w:t xml:space="preserve"> una mayor dependencia de inventarios. La razón de efectivo mejoró constantemente, alcanzando 1.46 en 2022, señalando capacidad para cubrir deudas a corto plazo con efectivo.</w:t>
      </w:r>
    </w:p>
    <w:p w14:paraId="3E898CF0" w14:textId="7C30A951" w:rsidR="005465B5" w:rsidRPr="0076589C" w:rsidRDefault="4CEA7910" w:rsidP="005465B5">
      <w:pPr>
        <w:pStyle w:val="TextoPrincipal"/>
        <w:spacing w:after="0"/>
        <w:rPr>
          <w:lang w:val="es-HN"/>
        </w:rPr>
      </w:pPr>
      <w:r w:rsidRPr="0076589C">
        <w:rPr>
          <w:lang w:val="es-HN"/>
        </w:rPr>
        <w:t xml:space="preserve">El índice de endeudamiento se mantuvo estable, </w:t>
      </w:r>
      <w:r w:rsidR="00887995" w:rsidRPr="0076589C">
        <w:rPr>
          <w:lang w:val="es-HN"/>
        </w:rPr>
        <w:t>descendió</w:t>
      </w:r>
      <w:r w:rsidRPr="0076589C">
        <w:rPr>
          <w:lang w:val="es-HN"/>
        </w:rPr>
        <w:t xml:space="preserve"> ligeramente a 0.36 en 2020 y 2022. Aunque la empresa ha manejado prudentemente la deuda, se destaca la importancia de monitorear este indicador para garantizar la sostenibilidad operativa. La estructura de capital experimentó transformaciones notables, pasando de un índice del 68% en 2019 a un 56% en 2022, reflejando una combinación saludable de deuda y patrimonio. A pesar de fluctuaciones, la estrategia de reducir la dependencia de la deuda en 2020 fortaleció la posición financiera de IPRA.</w:t>
      </w:r>
    </w:p>
    <w:p w14:paraId="59E8708C" w14:textId="56BF0E79" w:rsidR="006134E0" w:rsidRPr="0076589C" w:rsidRDefault="006134E0" w:rsidP="005465B5">
      <w:pPr>
        <w:pStyle w:val="TextoPrincipal"/>
        <w:spacing w:after="0"/>
        <w:rPr>
          <w:lang w:val="es-HN"/>
        </w:rPr>
      </w:pPr>
      <w:r w:rsidRPr="0076589C">
        <w:rPr>
          <w:b/>
          <w:bCs/>
          <w:lang w:val="es-HN"/>
        </w:rPr>
        <w:t>Según el objetivo específico:</w:t>
      </w:r>
      <w:r w:rsidRPr="0076589C">
        <w:rPr>
          <w:lang w:val="es-HN"/>
        </w:rPr>
        <w:t xml:space="preserve"> 3. Analizar los resultados que muestran los indicadores de rentabilidad, liquidez, endeudamiento y la estructura de capital de la empresa IPRA ante el aumento en los niveles de crédito otorgado en el periodo del 2019 – 2022.</w:t>
      </w:r>
    </w:p>
    <w:p w14:paraId="6DB14EB9" w14:textId="77777777" w:rsidR="005465B5" w:rsidRPr="0076589C" w:rsidRDefault="005465B5" w:rsidP="005465B5">
      <w:pPr>
        <w:pStyle w:val="TextoPrincipal"/>
        <w:spacing w:after="0"/>
        <w:rPr>
          <w:lang w:val="es-HN"/>
        </w:rPr>
      </w:pPr>
    </w:p>
    <w:p w14:paraId="35E8BF8F" w14:textId="543EE0F6" w:rsidR="1C8D6E3A" w:rsidRPr="0076589C" w:rsidRDefault="00C6026B" w:rsidP="00A2665B">
      <w:pPr>
        <w:pStyle w:val="Ttulo2"/>
        <w:numPr>
          <w:ilvl w:val="0"/>
          <w:numId w:val="48"/>
        </w:numPr>
        <w:ind w:left="360"/>
      </w:pPr>
      <w:bookmarkStart w:id="325" w:name="_Toc158365533"/>
      <w:r w:rsidRPr="0076589C">
        <w:t>RECOMENDACIONE</w:t>
      </w:r>
      <w:r w:rsidR="1C8D6E3A" w:rsidRPr="0076589C">
        <w:t>S</w:t>
      </w:r>
      <w:bookmarkEnd w:id="325"/>
    </w:p>
    <w:p w14:paraId="2DCA5F72" w14:textId="6D0802D8" w:rsidR="29163A0B" w:rsidRPr="0076589C" w:rsidRDefault="00AE2AB9" w:rsidP="00AE2AB9">
      <w:pPr>
        <w:pStyle w:val="TextoPrincipal"/>
        <w:rPr>
          <w:lang w:val="es-HN"/>
        </w:rPr>
      </w:pPr>
      <w:r w:rsidRPr="0076589C">
        <w:rPr>
          <w:lang w:val="es-HN"/>
        </w:rPr>
        <w:t xml:space="preserve">1. </w:t>
      </w:r>
      <w:r w:rsidR="009971E7" w:rsidRPr="0076589C">
        <w:rPr>
          <w:lang w:val="es-HN"/>
        </w:rPr>
        <w:t>Considerando las fluctuaciones significativas en las cuentas por cobrar y los inventarios, se recomienda a IPRA implementar estrategias más dinámicas y adaptativas en la gestión de activos. Se sugiere establecer políticas que optimicen el ciclo de conversión de efectivo, priorizando la reducción de cuentas por cobrar y la gestión eficiente de inventarios. Esto podría lograrse mediante la revisión periódica de políticas de crédito, el fortalecimiento de los procesos de cobranza y la implementación de tecnologías que agilicen la gestión de inventarios. Además, es fundamental diversificar las fuentes de financiamiento para reducir la dependencia de los créditos de proveedores. La empresa podría explorar opciones de financiamiento a largo plazo para equilibrar su estructura financiera y mitigar riesgos en situaciones de incertidumbre económica. Estas acciones estratégicas no solo fortalecerán la posición financiera de IPRA, sino que también promoverán una mayor eficiencia operativa y una mejor adaptación a posibles fluctuaciones del mercado.</w:t>
      </w:r>
    </w:p>
    <w:p w14:paraId="55176130" w14:textId="4FB938A6" w:rsidR="29163A0B" w:rsidRPr="0076589C" w:rsidRDefault="4CEA7910" w:rsidP="4CEA7910">
      <w:pPr>
        <w:pStyle w:val="TextoPrincipal"/>
        <w:rPr>
          <w:lang w:val="es-HN"/>
        </w:rPr>
      </w:pPr>
      <w:r w:rsidRPr="0076589C">
        <w:rPr>
          <w:lang w:val="es-HN"/>
        </w:rPr>
        <w:lastRenderedPageBreak/>
        <w:t>2. Con base en la evaluación detallada de la cartera de crédito y la compleja dinámica financiera de las cuentas por cobrar en la Industria Procesadora de Alimentos (IPRA), se recomienda implementar estrategias proactivas. Dada la variabilidad en la antigüedad de las cuentas, especialmente en plazos más extensos, se sugiere un enfoque específico en la gestión de cuentas con más de 90 días. La introducción de medidas más rigurosas para la recuperación de cuentas a largo plazo, como campañas de comunicación personalizada, acuerdos de pago flexibles y revisión constante de la situación financiera de los clientes, podría ser crucial. Además, considerando la eficaz respuesta a las fluctuaciones del mercado, se recomienda mantener una política de enfoque en cobranza y menor endeudamiento. La implementación de tecnologías innovadoras y análisis de datos avanzados podría optimizar aún más los procesos de gestión de créditos y cobros, permitiendo una adaptación más ágil a las condiciones económicas cambiantes y fortaleciendo la salud financiera general de IPRA.</w:t>
      </w:r>
    </w:p>
    <w:p w14:paraId="013997C0" w14:textId="47189999" w:rsidR="29163A0B" w:rsidRPr="0076589C" w:rsidRDefault="4CEA7910" w:rsidP="4CEA7910">
      <w:pPr>
        <w:pStyle w:val="TextoPrincipal"/>
        <w:rPr>
          <w:lang w:val="es-HN"/>
        </w:rPr>
      </w:pPr>
      <w:r w:rsidRPr="0076589C">
        <w:rPr>
          <w:lang w:val="es-HN"/>
        </w:rPr>
        <w:t>3. Para mejorar la gestión de crédito y cobranza en IPRA, se recomienda fortalecer la política de crédito mediante la implementación de herramientas de evaluación del historial crediticio. La introducción de un sistema de buro de crédito interno o externo podría respaldar decisiones crediticias más fundamentadas. Además, se sugiere considerar actualizaciones más frecuentes de los límites de crédito, incorporando análisis detallados de comportamiento de pago y rendimiento financiero. En la gestión de cobranza, la digitalización y automatización de procesos, junto con un sistema de seguimiento en tiempo real, mejorarían la eficiencia y proporcionarían respuestas ágiles a los pagos. Finalmente, para mantener la mejora en la reducción del período promedio de cobro y la optimización de la rotación de cuentas por cobrar, se recomienda continuar con estrategias exitosas y explorar nuevas oportunidades de mejora. Estas adaptaciones contribuirán a una gestión más eficiente y proactiva de la cartera crediticia de la empresa.</w:t>
      </w:r>
    </w:p>
    <w:p w14:paraId="6ABC0650" w14:textId="297CECE2" w:rsidR="40F577C0" w:rsidRPr="0076589C" w:rsidRDefault="4CEA7910" w:rsidP="00FF0DD4">
      <w:pPr>
        <w:pStyle w:val="TextoPrincipal"/>
        <w:rPr>
          <w:lang w:val="es-HN"/>
        </w:rPr>
      </w:pPr>
      <w:r w:rsidRPr="0076589C">
        <w:rPr>
          <w:lang w:val="es-HN"/>
        </w:rPr>
        <w:t xml:space="preserve">4. Con base en los indicadores de rentabilidad de IPRA, se sugiere mantener un enfoque proactivo en la gestión de costos de producción para preservar márgenes saludables y continuar generando ingresos operativos eficientes. Además, se puede explorar la diversificación de productos o estrategias para estabilizar aún más los márgenes de utilidad neta. Respecto a los indicadores de liquidez, se recomienda monitorear de cerca la dependencia de inventarios para cubrir obligaciones a corto plazo y evaluar estrategias para optimizar la gestión de inventarios. Además, aunque el endeudamiento se mantiene estable, se aconseja seguir supervisando este </w:t>
      </w:r>
      <w:r w:rsidRPr="0076589C">
        <w:rPr>
          <w:lang w:val="es-HN"/>
        </w:rPr>
        <w:lastRenderedPageBreak/>
        <w:t>indicador para asegurar una estructura financiera sostenible y adaptada a las necesidades cambiantes. En cuanto a la estructura de capital, se sugiere continuar con la estrategia de equilibrio entre deuda y patrimonio, aprovechando el fortalecimiento del patrimonio en 2020 para respaldar el crecimiento y mantener una posición financiera sólida. Estas recomendaciones buscan mantener la estabilidad financiera de IPRA y prepararla para enfrentar eficazmente los desafíos futuros.</w:t>
      </w:r>
    </w:p>
    <w:p w14:paraId="06FD1E08" w14:textId="78A22CD6" w:rsidR="0063293D" w:rsidRPr="0076589C" w:rsidRDefault="0063293D" w:rsidP="0063293D">
      <w:pPr>
        <w:pStyle w:val="TextoPrincipal"/>
        <w:rPr>
          <w:lang w:val="es-HN"/>
        </w:rPr>
      </w:pPr>
      <w:r w:rsidRPr="0076589C">
        <w:rPr>
          <w:lang w:val="es-HN"/>
        </w:rPr>
        <w:t>5. Como un posible estudio futuro para la gestión de crédito y cobro en la empresa IPRA se pueden explorar las diferentes estrategias para la mitigación de riesgos, así como los seguros de crédito, garantías financieras o análisis de riesgo más sofisticados que puedan impactar en la reducción de perdidas por cuentas incobrables y mejorar la gestión de crédito; también se podría estudiar un modelo predictivo en la gestión de crédito que sean más avanzados para predecir el comportamiento de pago de los clientes, con la utilización de datos históricos y variables socioeconómicas para mejorar la precisión en la evaluación del riesgo crediticio.</w:t>
      </w:r>
    </w:p>
    <w:p w14:paraId="60F6FE09" w14:textId="6F7F7EE6" w:rsidR="005D7C2C" w:rsidRPr="0076589C" w:rsidRDefault="0063293D" w:rsidP="00AE2AB9">
      <w:pPr>
        <w:spacing w:after="120" w:line="360" w:lineRule="auto"/>
        <w:ind w:left="0" w:firstLine="720"/>
        <w:jc w:val="both"/>
      </w:pPr>
      <w:r w:rsidRPr="0076589C">
        <w:rPr>
          <w:rFonts w:eastAsia="Calibri" w:cs="Times New Roman"/>
        </w:rPr>
        <w:t>6</w:t>
      </w:r>
      <w:r w:rsidR="00AE2AB9" w:rsidRPr="0076589C">
        <w:rPr>
          <w:rFonts w:eastAsia="Calibri" w:cs="Times New Roman"/>
        </w:rPr>
        <w:t xml:space="preserve">. </w:t>
      </w:r>
      <w:r w:rsidR="00302E32" w:rsidRPr="0076589C">
        <w:rPr>
          <w:rFonts w:eastAsia="Calibri" w:cs="Times New Roman"/>
        </w:rPr>
        <w:t xml:space="preserve">Se sugiere establecer un sistema automatizado </w:t>
      </w:r>
      <w:r w:rsidR="00B51913" w:rsidRPr="0076589C">
        <w:rPr>
          <w:rFonts w:eastAsia="Calibri" w:cs="Times New Roman"/>
        </w:rPr>
        <w:t xml:space="preserve">para el proceso de cobro en IPRA, donde se </w:t>
      </w:r>
      <w:r w:rsidR="00302E32" w:rsidRPr="0076589C">
        <w:rPr>
          <w:rFonts w:eastAsia="Calibri" w:cs="Times New Roman"/>
        </w:rPr>
        <w:t xml:space="preserve">evalúe constantemente el comportamiento crediticio de los clientes de </w:t>
      </w:r>
      <w:r w:rsidR="002F5E7B" w:rsidRPr="0076589C">
        <w:rPr>
          <w:rFonts w:eastAsia="Calibri" w:cs="Times New Roman"/>
        </w:rPr>
        <w:t>la misma</w:t>
      </w:r>
      <w:r w:rsidR="00302E32" w:rsidRPr="0076589C">
        <w:rPr>
          <w:rFonts w:eastAsia="Calibri" w:cs="Times New Roman"/>
        </w:rPr>
        <w:t>. Este sistema puede basarse en análisis de datos históricos de pagos, comportamiento financiero, puntualidad en los pagos y otros parámetros relevantes</w:t>
      </w:r>
      <w:r w:rsidR="005D7C2C" w:rsidRPr="0076589C">
        <w:rPr>
          <w:rFonts w:eastAsia="Calibri" w:cs="Times New Roman"/>
        </w:rPr>
        <w:t xml:space="preserve"> c</w:t>
      </w:r>
      <w:r w:rsidR="00BE2F37" w:rsidRPr="0076589C">
        <w:rPr>
          <w:rFonts w:eastAsia="Calibri" w:cs="Times New Roman"/>
        </w:rPr>
        <w:t>on el fin de establecer límites de créditos actuales</w:t>
      </w:r>
      <w:r w:rsidR="005D7C2C" w:rsidRPr="0076589C">
        <w:rPr>
          <w:rFonts w:eastAsia="Calibri" w:cs="Times New Roman"/>
        </w:rPr>
        <w:t xml:space="preserve">. Teniendo un </w:t>
      </w:r>
      <w:r w:rsidR="00054906" w:rsidRPr="0076589C">
        <w:t xml:space="preserve">mayor control y seguimiento en las cuentas por cobrar, </w:t>
      </w:r>
      <w:r w:rsidR="00493CB6" w:rsidRPr="0076589C">
        <w:t xml:space="preserve">IPRA puede reducir su porcentaje de la antigüedad de cuentas por cobrar mayores a 90 días </w:t>
      </w:r>
      <w:r w:rsidR="00EB226B" w:rsidRPr="0076589C">
        <w:t xml:space="preserve">y como resultados de la implementación se pueden obtener indicadores de eficiencia y </w:t>
      </w:r>
      <w:r w:rsidR="002F5E7B" w:rsidRPr="0076589C">
        <w:t>mejora en la reportería en el área de créditos y cobros</w:t>
      </w:r>
      <w:r w:rsidR="00C06BAB" w:rsidRPr="0076589C">
        <w:t>, y así ayudar a la gerencia financiera para la toma de decisiones oportunas.</w:t>
      </w:r>
    </w:p>
    <w:p w14:paraId="75A38CE4" w14:textId="77777777" w:rsidR="007646F4" w:rsidRPr="0076589C" w:rsidRDefault="007646F4" w:rsidP="00C96621"/>
    <w:p w14:paraId="347D7CBF" w14:textId="45688E2F" w:rsidR="4CEA7910" w:rsidRPr="0076589C" w:rsidRDefault="4CEA7910">
      <w:r w:rsidRPr="0076589C">
        <w:br w:type="page"/>
      </w:r>
    </w:p>
    <w:p w14:paraId="18E39B70" w14:textId="77777777" w:rsidR="007646F4" w:rsidRPr="0076589C" w:rsidRDefault="007646F4" w:rsidP="00E36783">
      <w:pPr>
        <w:pStyle w:val="Ttulo1"/>
      </w:pPr>
      <w:bookmarkStart w:id="326" w:name="_Toc158365534"/>
      <w:r w:rsidRPr="0076589C">
        <w:lastRenderedPageBreak/>
        <w:t>CAPÍTULO V</w:t>
      </w:r>
      <w:r w:rsidR="00CD2086" w:rsidRPr="0076589C">
        <w:t>I</w:t>
      </w:r>
      <w:r w:rsidRPr="0076589C">
        <w:t xml:space="preserve">. </w:t>
      </w:r>
      <w:r w:rsidR="00CD2086" w:rsidRPr="0076589C">
        <w:t>APLICABILIDAD</w:t>
      </w:r>
      <w:bookmarkEnd w:id="326"/>
    </w:p>
    <w:p w14:paraId="425228C3" w14:textId="662E005C" w:rsidR="0037617D" w:rsidRPr="0076589C" w:rsidRDefault="0037617D" w:rsidP="00F34765">
      <w:pPr>
        <w:pStyle w:val="TextoPrincipal"/>
        <w:spacing w:after="0"/>
        <w:rPr>
          <w:lang w:val="es-HN"/>
        </w:rPr>
      </w:pPr>
      <w:r w:rsidRPr="0076589C">
        <w:rPr>
          <w:lang w:val="es-HN"/>
        </w:rPr>
        <w:t xml:space="preserve">El capítulo de aplicabilidad de este proyecto se centra en la implementación integral </w:t>
      </w:r>
      <w:r w:rsidR="00651D31" w:rsidRPr="0076589C">
        <w:rPr>
          <w:lang w:val="es-HN"/>
        </w:rPr>
        <w:t>en la automatización del proceso de gestión de cobro de</w:t>
      </w:r>
      <w:r w:rsidRPr="0076589C">
        <w:rPr>
          <w:lang w:val="es-HN"/>
        </w:rPr>
        <w:t xml:space="preserve"> IPRA, respondiendo directamente a la necesidad imperante de modernizar y optimizar su proces</w:t>
      </w:r>
      <w:r w:rsidR="00160F3F" w:rsidRPr="0076589C">
        <w:rPr>
          <w:lang w:val="es-HN"/>
        </w:rPr>
        <w:t>o</w:t>
      </w:r>
      <w:r w:rsidRPr="0076589C">
        <w:rPr>
          <w:lang w:val="es-HN"/>
        </w:rPr>
        <w:t>. Este enfoque surge en respuesta a los desafíos actuales de la empresa en la eficiencia de los procesos manuales, que conllevan retrasos y posibles errores en la liquidación de pagos. La digitalización y automatización propuestas no solo tienen como objetivo mejorar la eficiencia interna, sino también proporcionar una visibilidad en tiempo real de las cuentas por cobrar, contribuyendo así a una toma de decisiones más informada y a una experiencia mejorada para los clientes.</w:t>
      </w:r>
    </w:p>
    <w:p w14:paraId="1A9BFDD7" w14:textId="77777777" w:rsidR="00F34765" w:rsidRPr="0076589C" w:rsidRDefault="00F34765" w:rsidP="00F34765">
      <w:pPr>
        <w:pStyle w:val="TextoPrincipal"/>
        <w:spacing w:after="0"/>
        <w:rPr>
          <w:lang w:val="es-HN"/>
        </w:rPr>
      </w:pPr>
    </w:p>
    <w:p w14:paraId="23A8AB8E" w14:textId="6621487F" w:rsidR="28260D31" w:rsidRPr="0076589C" w:rsidRDefault="00AF30B0" w:rsidP="000C6429">
      <w:pPr>
        <w:pStyle w:val="Ttulo2"/>
        <w:numPr>
          <w:ilvl w:val="0"/>
          <w:numId w:val="49"/>
        </w:numPr>
        <w:ind w:left="360"/>
      </w:pPr>
      <w:bookmarkStart w:id="327" w:name="_Toc158365535"/>
      <w:r w:rsidRPr="0076589C">
        <w:t>NOMBRE DE LA PROPUEST</w:t>
      </w:r>
      <w:r w:rsidR="00F2220F" w:rsidRPr="0076589C">
        <w:t>A</w:t>
      </w:r>
      <w:bookmarkEnd w:id="327"/>
    </w:p>
    <w:p w14:paraId="4776FBCA" w14:textId="3C402FBE" w:rsidR="1A5DAA59" w:rsidRPr="0076589C" w:rsidRDefault="1A5DAA59" w:rsidP="00F34765">
      <w:pPr>
        <w:pStyle w:val="TextoPrincipal"/>
        <w:spacing w:after="0"/>
        <w:rPr>
          <w:lang w:val="es-HN"/>
        </w:rPr>
      </w:pPr>
      <w:bookmarkStart w:id="328" w:name="_Hlk152445278"/>
      <w:r w:rsidRPr="0076589C">
        <w:rPr>
          <w:lang w:val="es-HN"/>
        </w:rPr>
        <w:t xml:space="preserve">Implementación de un módulo </w:t>
      </w:r>
      <w:r w:rsidR="611A674C" w:rsidRPr="0076589C">
        <w:rPr>
          <w:lang w:val="es-HN"/>
        </w:rPr>
        <w:t xml:space="preserve">de </w:t>
      </w:r>
      <w:r w:rsidR="1530D5AA" w:rsidRPr="0076589C">
        <w:rPr>
          <w:lang w:val="es-HN"/>
        </w:rPr>
        <w:t>cobranza en</w:t>
      </w:r>
      <w:r w:rsidRPr="0076589C">
        <w:rPr>
          <w:lang w:val="es-HN"/>
        </w:rPr>
        <w:t xml:space="preserve"> el sistema Andynamics</w:t>
      </w:r>
      <w:bookmarkEnd w:id="328"/>
      <w:r w:rsidR="6CA7A329" w:rsidRPr="0076589C">
        <w:rPr>
          <w:lang w:val="es-HN"/>
        </w:rPr>
        <w:t xml:space="preserve">, con el fin de </w:t>
      </w:r>
      <w:r w:rsidRPr="0076589C">
        <w:rPr>
          <w:lang w:val="es-HN"/>
        </w:rPr>
        <w:t>agilizar los procesos</w:t>
      </w:r>
      <w:r w:rsidR="6CA7A329" w:rsidRPr="0076589C">
        <w:rPr>
          <w:lang w:val="es-HN"/>
        </w:rPr>
        <w:t xml:space="preserve"> de la </w:t>
      </w:r>
      <w:r w:rsidRPr="0076589C">
        <w:rPr>
          <w:lang w:val="es-HN"/>
        </w:rPr>
        <w:t xml:space="preserve">gestión de cobros de </w:t>
      </w:r>
      <w:r w:rsidR="437F4944" w:rsidRPr="0076589C">
        <w:rPr>
          <w:lang w:val="es-HN"/>
        </w:rPr>
        <w:t>IPRA</w:t>
      </w:r>
      <w:r w:rsidRPr="0076589C">
        <w:rPr>
          <w:lang w:val="es-HN"/>
        </w:rPr>
        <w:t>.</w:t>
      </w:r>
    </w:p>
    <w:p w14:paraId="72EE536F" w14:textId="77777777" w:rsidR="00F34765" w:rsidRPr="0076589C" w:rsidRDefault="00F34765" w:rsidP="00F34765">
      <w:pPr>
        <w:pStyle w:val="TextoPrincipal"/>
        <w:spacing w:after="0"/>
        <w:rPr>
          <w:lang w:val="es-HN"/>
        </w:rPr>
      </w:pPr>
    </w:p>
    <w:p w14:paraId="21BF5B07" w14:textId="77777777" w:rsidR="0073224C" w:rsidRPr="0076589C" w:rsidRDefault="0073224C" w:rsidP="000C6429">
      <w:pPr>
        <w:pStyle w:val="Ttulo2"/>
        <w:numPr>
          <w:ilvl w:val="0"/>
          <w:numId w:val="49"/>
        </w:numPr>
        <w:ind w:left="360"/>
      </w:pPr>
      <w:bookmarkStart w:id="329" w:name="_Toc158365536"/>
      <w:r w:rsidRPr="0076589C">
        <w:t>JUSTIFICACIÓN DE LA PROPUESTA</w:t>
      </w:r>
      <w:bookmarkEnd w:id="329"/>
    </w:p>
    <w:p w14:paraId="3010AD20" w14:textId="63FCCAAA" w:rsidR="00334E8A" w:rsidRPr="0076589C" w:rsidRDefault="39F2720F" w:rsidP="39F2720F">
      <w:pPr>
        <w:pStyle w:val="TextoPrincipal"/>
        <w:rPr>
          <w:lang w:val="es-HN"/>
        </w:rPr>
      </w:pPr>
      <w:r w:rsidRPr="0076589C">
        <w:rPr>
          <w:lang w:val="es-HN"/>
        </w:rPr>
        <w:t xml:space="preserve">Según </w:t>
      </w:r>
      <w:r w:rsidRPr="0076589C">
        <w:rPr>
          <w:bCs/>
          <w:lang w:val="es-HN"/>
        </w:rPr>
        <w:t>los</w:t>
      </w:r>
      <w:r w:rsidRPr="0076589C">
        <w:rPr>
          <w:lang w:val="es-HN"/>
        </w:rPr>
        <w:t xml:space="preserve"> resultados obtenidos en el análisis financiero realizado en la empresa Industrias Procesadora de alimentos se identifican fluctuaciones y dificultades en la recuperación de cuentas a plazos más largos, ya que se conoce que IPRA otorga 60 días de crédito a sus clientes y al revisar la antigüedad de cuentas por cobrar en los periodos 2019-2022 hay un promedio del 27% arriba de 90 días representado por </w:t>
      </w:r>
      <w:r w:rsidR="0080050F" w:rsidRPr="0076589C">
        <w:rPr>
          <w:lang w:val="es-HN"/>
        </w:rPr>
        <w:t xml:space="preserve">L </w:t>
      </w:r>
      <w:r w:rsidRPr="0076589C">
        <w:rPr>
          <w:lang w:val="es-HN"/>
        </w:rPr>
        <w:t xml:space="preserve">3,098,740.86,  el cual  representa un 32% del total de sus ventas, esté señala la necesidad de una intervención precisa y proactiva. Así mismo </w:t>
      </w:r>
      <w:r w:rsidR="00353FCA" w:rsidRPr="0076589C">
        <w:rPr>
          <w:lang w:val="es-HN"/>
        </w:rPr>
        <w:t>se identificó</w:t>
      </w:r>
      <w:r w:rsidRPr="0076589C">
        <w:rPr>
          <w:lang w:val="es-HN"/>
        </w:rPr>
        <w:t xml:space="preserve"> que el indicador razón de efectivo ligado a esta mora tan elevada generó un promedio de 1.33 no siendo malo, pero que al poder recuperar las cuentas a menos de 60 días según lo establecido en la política de crédito puede aumentar generando mayor efectivo y por ende puede tener mayor capacidad de pagos ya sea a corto o largo plazo.</w:t>
      </w:r>
    </w:p>
    <w:p w14:paraId="57EA1818" w14:textId="2D400C19" w:rsidR="00334E8A" w:rsidRPr="0076589C" w:rsidRDefault="39F2720F" w:rsidP="00F2220F">
      <w:pPr>
        <w:pStyle w:val="TextoPrincipal"/>
        <w:rPr>
          <w:lang w:val="es-HN"/>
        </w:rPr>
      </w:pPr>
      <w:r w:rsidRPr="0076589C">
        <w:rPr>
          <w:lang w:val="es-HN"/>
        </w:rPr>
        <w:t>Como</w:t>
      </w:r>
      <w:r w:rsidR="002B0BE5" w:rsidRPr="0076589C">
        <w:rPr>
          <w:lang w:val="es-HN"/>
        </w:rPr>
        <w:t xml:space="preserve"> respuesta </w:t>
      </w:r>
      <w:r w:rsidRPr="0076589C">
        <w:rPr>
          <w:lang w:val="es-HN"/>
        </w:rPr>
        <w:t xml:space="preserve">se propone </w:t>
      </w:r>
      <w:r w:rsidR="002B0BE5" w:rsidRPr="0076589C">
        <w:rPr>
          <w:lang w:val="es-HN"/>
        </w:rPr>
        <w:t>la automatización del proceso de cobro en IPRA</w:t>
      </w:r>
      <w:r w:rsidRPr="0076589C">
        <w:rPr>
          <w:lang w:val="es-HN"/>
        </w:rPr>
        <w:t>, con</w:t>
      </w:r>
      <w:r w:rsidR="00922CBF" w:rsidRPr="0076589C">
        <w:rPr>
          <w:lang w:val="es-HN"/>
        </w:rPr>
        <w:t xml:space="preserve"> la implementación de un </w:t>
      </w:r>
      <w:r w:rsidR="3AF71669" w:rsidRPr="0076589C">
        <w:rPr>
          <w:lang w:val="es-HN"/>
        </w:rPr>
        <w:t>módulo</w:t>
      </w:r>
      <w:r w:rsidR="7A64A40A" w:rsidRPr="0076589C">
        <w:rPr>
          <w:lang w:val="es-HN"/>
        </w:rPr>
        <w:t xml:space="preserve"> en el </w:t>
      </w:r>
      <w:r w:rsidR="00922CBF" w:rsidRPr="0076589C">
        <w:rPr>
          <w:lang w:val="es-HN"/>
        </w:rPr>
        <w:t xml:space="preserve">sistema </w:t>
      </w:r>
      <w:r w:rsidR="007C6F17" w:rsidRPr="0076589C">
        <w:rPr>
          <w:lang w:val="es-HN"/>
        </w:rPr>
        <w:t>A</w:t>
      </w:r>
      <w:r w:rsidR="7A64A40A" w:rsidRPr="0076589C">
        <w:rPr>
          <w:lang w:val="es-HN"/>
        </w:rPr>
        <w:t>ndynamics el cual automatice el proceso</w:t>
      </w:r>
      <w:r w:rsidR="00922CBF" w:rsidRPr="0076589C">
        <w:rPr>
          <w:lang w:val="es-HN"/>
        </w:rPr>
        <w:t xml:space="preserve"> de cobro </w:t>
      </w:r>
      <w:r w:rsidRPr="0076589C">
        <w:rPr>
          <w:lang w:val="es-HN"/>
        </w:rPr>
        <w:t>permitiendo</w:t>
      </w:r>
      <w:r w:rsidR="3AF71669" w:rsidRPr="0076589C">
        <w:rPr>
          <w:lang w:val="es-HN"/>
        </w:rPr>
        <w:t xml:space="preserve"> </w:t>
      </w:r>
      <w:r w:rsidR="00922CBF" w:rsidRPr="0076589C">
        <w:rPr>
          <w:lang w:val="es-HN"/>
        </w:rPr>
        <w:t>mejorar la eficiencia, reducir riesgos financieros y optimizar la gestión de la cartera de clientes</w:t>
      </w:r>
      <w:r w:rsidR="00C71FC3" w:rsidRPr="0076589C">
        <w:rPr>
          <w:lang w:val="es-HN"/>
        </w:rPr>
        <w:t>.</w:t>
      </w:r>
      <w:r w:rsidR="008F1467" w:rsidRPr="0076589C">
        <w:rPr>
          <w:lang w:val="es-HN"/>
        </w:rPr>
        <w:t xml:space="preserve"> </w:t>
      </w:r>
      <w:r w:rsidR="00C71FC3" w:rsidRPr="0076589C">
        <w:rPr>
          <w:lang w:val="es-HN"/>
        </w:rPr>
        <w:t xml:space="preserve"> </w:t>
      </w:r>
    </w:p>
    <w:p w14:paraId="429C77EA" w14:textId="6AA6DF55" w:rsidR="6C4F922F" w:rsidRPr="0076589C" w:rsidRDefault="422CAC85" w:rsidP="6C4F922F">
      <w:pPr>
        <w:pStyle w:val="TextoPrincipal"/>
        <w:rPr>
          <w:lang w:val="es-HN"/>
        </w:rPr>
      </w:pPr>
      <w:r w:rsidRPr="0076589C">
        <w:rPr>
          <w:lang w:val="es-HN"/>
        </w:rPr>
        <w:lastRenderedPageBreak/>
        <w:t xml:space="preserve">Así mismo </w:t>
      </w:r>
      <w:r w:rsidR="636975D6" w:rsidRPr="0076589C">
        <w:rPr>
          <w:lang w:val="es-HN"/>
        </w:rPr>
        <w:t xml:space="preserve">existe una deficiencia en </w:t>
      </w:r>
      <w:r w:rsidR="502D1EF2" w:rsidRPr="0076589C">
        <w:rPr>
          <w:lang w:val="es-HN"/>
        </w:rPr>
        <w:t xml:space="preserve">los límites de crédito </w:t>
      </w:r>
      <w:r w:rsidR="1D66999B" w:rsidRPr="0076589C">
        <w:rPr>
          <w:lang w:val="es-HN"/>
        </w:rPr>
        <w:t xml:space="preserve">ya que </w:t>
      </w:r>
      <w:r w:rsidR="38052AAD" w:rsidRPr="0076589C">
        <w:rPr>
          <w:lang w:val="es-HN"/>
        </w:rPr>
        <w:t>actualmente</w:t>
      </w:r>
      <w:r w:rsidR="1D66999B" w:rsidRPr="0076589C">
        <w:rPr>
          <w:lang w:val="es-HN"/>
        </w:rPr>
        <w:t xml:space="preserve"> IPRA no realiza un </w:t>
      </w:r>
      <w:r w:rsidR="38052AAD" w:rsidRPr="0076589C">
        <w:rPr>
          <w:lang w:val="es-HN"/>
        </w:rPr>
        <w:t>análisis</w:t>
      </w:r>
      <w:r w:rsidR="1D66999B" w:rsidRPr="0076589C">
        <w:rPr>
          <w:lang w:val="es-HN"/>
        </w:rPr>
        <w:t xml:space="preserve"> de los historiales de compra y pago </w:t>
      </w:r>
      <w:r w:rsidR="7BC48DC0" w:rsidRPr="0076589C">
        <w:rPr>
          <w:lang w:val="es-HN"/>
        </w:rPr>
        <w:t>de sus clientes,</w:t>
      </w:r>
      <w:r w:rsidR="1D66999B" w:rsidRPr="0076589C">
        <w:rPr>
          <w:lang w:val="es-HN"/>
        </w:rPr>
        <w:t xml:space="preserve"> </w:t>
      </w:r>
      <w:r w:rsidR="5062D348" w:rsidRPr="0076589C">
        <w:rPr>
          <w:lang w:val="es-HN"/>
        </w:rPr>
        <w:t xml:space="preserve">cuando se </w:t>
      </w:r>
      <w:r w:rsidR="5B026FB4" w:rsidRPr="0076589C">
        <w:rPr>
          <w:lang w:val="es-HN"/>
        </w:rPr>
        <w:t>realizó</w:t>
      </w:r>
      <w:r w:rsidR="5062D348" w:rsidRPr="0076589C">
        <w:rPr>
          <w:lang w:val="es-HN"/>
        </w:rPr>
        <w:t xml:space="preserve"> el </w:t>
      </w:r>
      <w:r w:rsidR="51DEEF87" w:rsidRPr="0076589C">
        <w:rPr>
          <w:lang w:val="es-HN"/>
        </w:rPr>
        <w:t>análisis</w:t>
      </w:r>
      <w:r w:rsidR="5062D348" w:rsidRPr="0076589C">
        <w:rPr>
          <w:lang w:val="es-HN"/>
        </w:rPr>
        <w:t xml:space="preserve"> de cinco clientes de mayor compra se </w:t>
      </w:r>
      <w:r w:rsidR="5B026FB4" w:rsidRPr="0076589C">
        <w:rPr>
          <w:lang w:val="es-HN"/>
        </w:rPr>
        <w:t xml:space="preserve">identificó </w:t>
      </w:r>
      <w:r w:rsidR="0C02B7DA" w:rsidRPr="0076589C">
        <w:rPr>
          <w:lang w:val="es-HN"/>
        </w:rPr>
        <w:t>que</w:t>
      </w:r>
      <w:r w:rsidR="30B8F0B3" w:rsidRPr="0076589C">
        <w:rPr>
          <w:lang w:val="es-HN"/>
        </w:rPr>
        <w:t xml:space="preserve"> 3 de los 5 </w:t>
      </w:r>
      <w:r w:rsidR="51DEEF87" w:rsidRPr="0076589C">
        <w:rPr>
          <w:rFonts w:eastAsia="Times New Roman"/>
          <w:szCs w:val="24"/>
          <w:lang w:val="es-HN"/>
        </w:rPr>
        <w:t xml:space="preserve">exhiben patrones irregulares, con límites negativos y comportamientos financieros, </w:t>
      </w:r>
      <w:r w:rsidR="7BB80DAE" w:rsidRPr="0076589C">
        <w:rPr>
          <w:rFonts w:eastAsia="Times New Roman"/>
          <w:szCs w:val="24"/>
          <w:lang w:val="es-HN"/>
        </w:rPr>
        <w:t xml:space="preserve">según </w:t>
      </w:r>
      <w:r w:rsidR="0076759B" w:rsidRPr="0076589C">
        <w:rPr>
          <w:rFonts w:eastAsia="Times New Roman"/>
          <w:szCs w:val="24"/>
          <w:lang w:val="es-HN"/>
        </w:rPr>
        <w:fldChar w:fldCharType="begin"/>
      </w:r>
      <w:r w:rsidR="000A6482" w:rsidRPr="0076589C">
        <w:rPr>
          <w:rFonts w:eastAsia="Times New Roman"/>
          <w:szCs w:val="24"/>
          <w:lang w:val="es-HN"/>
        </w:rPr>
        <w:instrText xml:space="preserve"> ADDIN ZOTERO_ITEM CSL_CITATION {"citationID":"8aQzcka1","properties":{"formattedCitation":"(Chalupowicz, s.\\uc0\\u160{}f.)","plainCitation":"(Chalupowicz, s. f.)","dontUpdate":true,"noteIndex":0},"citationItems":[{"id":419,"uris":["http://zotero.org/users/12108825/items/IM78CXCN"],"itemData":{"id":419,"type":"article-journal","language":"es","source":"Zotero","title":"Política de Crédito en las Organizaciones - Un instrumento para mejorar.","author":[{"family":"Chalupowicz","given":"Daniel Gustavo"}]}}],"schema":"https://github.com/citation-style-language/schema/raw/master/csl-citation.json"} </w:instrText>
      </w:r>
      <w:r w:rsidR="0076759B" w:rsidRPr="0076589C">
        <w:rPr>
          <w:rFonts w:eastAsia="Times New Roman"/>
          <w:szCs w:val="24"/>
          <w:lang w:val="es-HN"/>
        </w:rPr>
        <w:fldChar w:fldCharType="separate"/>
      </w:r>
      <w:r w:rsidR="0076759B" w:rsidRPr="0076589C">
        <w:rPr>
          <w:szCs w:val="24"/>
          <w:lang w:val="es-HN"/>
        </w:rPr>
        <w:t xml:space="preserve">Chalupowicz, </w:t>
      </w:r>
      <w:r w:rsidR="000A28DC" w:rsidRPr="0076589C">
        <w:rPr>
          <w:szCs w:val="24"/>
          <w:lang w:val="es-HN"/>
        </w:rPr>
        <w:t>(</w:t>
      </w:r>
      <w:r w:rsidR="0076759B" w:rsidRPr="0076589C">
        <w:rPr>
          <w:szCs w:val="24"/>
          <w:lang w:val="es-HN"/>
        </w:rPr>
        <w:t>s. f.)</w:t>
      </w:r>
      <w:r w:rsidR="0076759B" w:rsidRPr="0076589C">
        <w:rPr>
          <w:rFonts w:eastAsia="Times New Roman"/>
          <w:szCs w:val="24"/>
          <w:lang w:val="es-HN"/>
        </w:rPr>
        <w:fldChar w:fldCharType="end"/>
      </w:r>
      <w:r w:rsidR="00D97F93" w:rsidRPr="0076589C">
        <w:rPr>
          <w:rFonts w:eastAsia="Times New Roman"/>
          <w:szCs w:val="24"/>
          <w:lang w:val="es-HN"/>
        </w:rPr>
        <w:t xml:space="preserve"> </w:t>
      </w:r>
      <w:r w:rsidR="17A88100" w:rsidRPr="0076589C">
        <w:rPr>
          <w:rFonts w:eastAsia="Times New Roman"/>
          <w:szCs w:val="24"/>
          <w:lang w:val="es-HN"/>
        </w:rPr>
        <w:t xml:space="preserve"> </w:t>
      </w:r>
      <w:r w:rsidR="502D1EF2" w:rsidRPr="0076589C">
        <w:rPr>
          <w:lang w:val="es-HN"/>
        </w:rPr>
        <w:t>la</w:t>
      </w:r>
      <w:r w:rsidRPr="0076589C">
        <w:rPr>
          <w:lang w:val="es-HN"/>
        </w:rPr>
        <w:t xml:space="preserve"> frecuencia con la que se deben actualizar los límites de crédito puede variar según la industria, el tipo de negocio, y las circunstancias individuales de cada empresa. </w:t>
      </w:r>
      <w:r w:rsidR="3BDE4D18" w:rsidRPr="0076589C">
        <w:rPr>
          <w:lang w:val="es-HN"/>
        </w:rPr>
        <w:t>Sin embargo, se recomienda</w:t>
      </w:r>
      <w:r w:rsidRPr="0076589C">
        <w:rPr>
          <w:lang w:val="es-HN"/>
        </w:rPr>
        <w:t xml:space="preserve"> revisar y actualizar los límites de crédito de manera trimestral o anual como una práctica estándar</w:t>
      </w:r>
      <w:r w:rsidR="471977DB" w:rsidRPr="0076589C">
        <w:rPr>
          <w:lang w:val="es-HN"/>
        </w:rPr>
        <w:t>.</w:t>
      </w:r>
      <w:r w:rsidR="59F31CE7" w:rsidRPr="0076589C">
        <w:rPr>
          <w:lang w:val="es-HN"/>
        </w:rPr>
        <w:t xml:space="preserve"> </w:t>
      </w:r>
    </w:p>
    <w:p w14:paraId="0E7684DB" w14:textId="71811B9E" w:rsidR="00C71FC3" w:rsidRPr="0076589C" w:rsidRDefault="00C71FC3" w:rsidP="00F2220F">
      <w:pPr>
        <w:pStyle w:val="TextoPrincipal"/>
        <w:rPr>
          <w:lang w:val="es-HN"/>
        </w:rPr>
      </w:pPr>
      <w:r w:rsidRPr="0076589C">
        <w:rPr>
          <w:lang w:val="es-HN"/>
        </w:rPr>
        <w:t xml:space="preserve">La automatización proporcionará una mayor precisión en el seguimiento de cuentas por cobrar, permitiendo una gestión más ágil y detallada. Además, facilitará la identificación temprana de cuentas con tendencia a vencimientos prolongados, posibilitando acciones preventivas para su pronta recuperación. Con el respaldo de datos históricos </w:t>
      </w:r>
      <w:r w:rsidR="7A53B80B" w:rsidRPr="0076589C">
        <w:rPr>
          <w:lang w:val="es-HN"/>
        </w:rPr>
        <w:t>de pago y</w:t>
      </w:r>
      <w:r w:rsidRPr="0076589C">
        <w:rPr>
          <w:lang w:val="es-HN"/>
        </w:rPr>
        <w:t xml:space="preserve"> patrones identificados, un sistema automatizado puede adaptar estrategias específicas según el comportamiento de pago de cada cliente, </w:t>
      </w:r>
      <w:r w:rsidR="087F2EC2" w:rsidRPr="0076589C">
        <w:rPr>
          <w:lang w:val="es-HN"/>
        </w:rPr>
        <w:t xml:space="preserve">dando como resultado la actualización de los límites de crédito de los </w:t>
      </w:r>
      <w:r w:rsidR="0EF6C273" w:rsidRPr="0076589C">
        <w:rPr>
          <w:lang w:val="es-HN"/>
        </w:rPr>
        <w:t>clientes, lo</w:t>
      </w:r>
      <w:r w:rsidRPr="0076589C">
        <w:rPr>
          <w:lang w:val="es-HN"/>
        </w:rPr>
        <w:t xml:space="preserve"> que resulta crucial considerando la diversidad en la gestión de los diferentes plazos.</w:t>
      </w:r>
    </w:p>
    <w:p w14:paraId="09F38E8D" w14:textId="137C7F81" w:rsidR="33A93309" w:rsidRPr="0076589C" w:rsidRDefault="00B51972" w:rsidP="00F34765">
      <w:pPr>
        <w:pStyle w:val="TextoPrincipal"/>
        <w:spacing w:after="0"/>
        <w:rPr>
          <w:lang w:val="es-HN"/>
        </w:rPr>
      </w:pPr>
      <w:r w:rsidRPr="0076589C">
        <w:rPr>
          <w:rStyle w:val="TextoPrincipalCar"/>
          <w:lang w:val="es-HN"/>
        </w:rPr>
        <w:t>Este enfoque también optimizará el uso de recursos humanos al liberar tiempo de tareas repetitivas, permitiendo que el equipo se centre en acciones estratégicas como la gestión personalizada de casos críticos y la revisión constante de políticas de crédito. La reducción de errores manuales y la mejora en la precisión en el seguimiento de pagos contribuirán a</w:t>
      </w:r>
      <w:r w:rsidRPr="0076589C">
        <w:rPr>
          <w:lang w:val="es-HN"/>
        </w:rPr>
        <w:t xml:space="preserve"> una mayor salud financiera y a la mitigación de riesgos crediticios para IPRA.</w:t>
      </w:r>
    </w:p>
    <w:p w14:paraId="594A5F16" w14:textId="77777777" w:rsidR="00F34765" w:rsidRPr="0076589C" w:rsidRDefault="00F34765" w:rsidP="00F34765">
      <w:pPr>
        <w:pStyle w:val="TextoPrincipal"/>
        <w:spacing w:after="0"/>
        <w:rPr>
          <w:lang w:val="es-HN"/>
        </w:rPr>
      </w:pPr>
    </w:p>
    <w:p w14:paraId="284D6E79" w14:textId="7B11A4AF" w:rsidR="0073224C" w:rsidRPr="0076589C" w:rsidRDefault="0073224C" w:rsidP="000C6429">
      <w:pPr>
        <w:pStyle w:val="Ttulo2"/>
        <w:numPr>
          <w:ilvl w:val="0"/>
          <w:numId w:val="49"/>
        </w:numPr>
        <w:ind w:left="360"/>
      </w:pPr>
      <w:bookmarkStart w:id="330" w:name="_Toc158365537"/>
      <w:r w:rsidRPr="0076589C">
        <w:t>ALC</w:t>
      </w:r>
      <w:r w:rsidR="00AF30B0" w:rsidRPr="0076589C">
        <w:t>A</w:t>
      </w:r>
      <w:r w:rsidRPr="0076589C">
        <w:t>NCE DE LA PROPUESTA</w:t>
      </w:r>
      <w:bookmarkEnd w:id="330"/>
    </w:p>
    <w:p w14:paraId="75B329CB" w14:textId="78F71C78" w:rsidR="000A3F83" w:rsidRPr="0076589C" w:rsidRDefault="071B332E" w:rsidP="00CA5A6C">
      <w:pPr>
        <w:pStyle w:val="TextoPrincipal"/>
        <w:rPr>
          <w:lang w:val="es-HN"/>
        </w:rPr>
      </w:pPr>
      <w:r w:rsidRPr="0076589C">
        <w:rPr>
          <w:lang w:val="es-HN"/>
        </w:rPr>
        <w:t>El alcance de la</w:t>
      </w:r>
      <w:r w:rsidR="00845A29" w:rsidRPr="0076589C">
        <w:rPr>
          <w:lang w:val="es-HN"/>
        </w:rPr>
        <w:t xml:space="preserve"> propuesta </w:t>
      </w:r>
      <w:r w:rsidR="25C7D1B3" w:rsidRPr="0076589C">
        <w:rPr>
          <w:lang w:val="es-HN"/>
        </w:rPr>
        <w:t>es la</w:t>
      </w:r>
      <w:r w:rsidR="6647A779" w:rsidRPr="0076589C">
        <w:rPr>
          <w:lang w:val="es-HN"/>
        </w:rPr>
        <w:t xml:space="preserve"> implementación del módulo de </w:t>
      </w:r>
      <w:r w:rsidR="0D262F43" w:rsidRPr="0076589C">
        <w:rPr>
          <w:lang w:val="es-HN"/>
        </w:rPr>
        <w:t>cobranza</w:t>
      </w:r>
      <w:r w:rsidR="6647A779" w:rsidRPr="0076589C">
        <w:rPr>
          <w:lang w:val="es-HN"/>
        </w:rPr>
        <w:t xml:space="preserve"> </w:t>
      </w:r>
      <w:r w:rsidR="688E15F9" w:rsidRPr="0076589C">
        <w:rPr>
          <w:lang w:val="es-HN"/>
        </w:rPr>
        <w:t xml:space="preserve">en el </w:t>
      </w:r>
      <w:r w:rsidR="42E1BC4D" w:rsidRPr="0076589C">
        <w:rPr>
          <w:lang w:val="es-HN"/>
        </w:rPr>
        <w:t>sistema Andynamics</w:t>
      </w:r>
      <w:r w:rsidR="2783EDAE" w:rsidRPr="0076589C">
        <w:rPr>
          <w:lang w:val="es-HN"/>
        </w:rPr>
        <w:t>, mediante la automatización de</w:t>
      </w:r>
      <w:r w:rsidR="56D33829" w:rsidRPr="0076589C">
        <w:rPr>
          <w:lang w:val="es-HN"/>
        </w:rPr>
        <w:t xml:space="preserve"> </w:t>
      </w:r>
      <w:r w:rsidR="536FC8D5" w:rsidRPr="0076589C">
        <w:rPr>
          <w:lang w:val="es-HN"/>
        </w:rPr>
        <w:t>este</w:t>
      </w:r>
      <w:r w:rsidR="00845A29" w:rsidRPr="0076589C">
        <w:rPr>
          <w:lang w:val="es-HN"/>
        </w:rPr>
        <w:t xml:space="preserve"> </w:t>
      </w:r>
      <w:r w:rsidR="754193BD" w:rsidRPr="0076589C">
        <w:rPr>
          <w:lang w:val="es-HN"/>
        </w:rPr>
        <w:t>proceso permitirá</w:t>
      </w:r>
      <w:r w:rsidR="7D76ADCC" w:rsidRPr="0076589C">
        <w:rPr>
          <w:lang w:val="es-HN"/>
        </w:rPr>
        <w:t xml:space="preserve"> a los agentes de cobros </w:t>
      </w:r>
      <w:r w:rsidR="7DAE5B5B" w:rsidRPr="0076589C">
        <w:rPr>
          <w:lang w:val="es-HN"/>
        </w:rPr>
        <w:t>generar</w:t>
      </w:r>
      <w:r w:rsidR="53361870" w:rsidRPr="0076589C">
        <w:rPr>
          <w:lang w:val="es-HN"/>
        </w:rPr>
        <w:t xml:space="preserve"> los recibidos de forma electrónica, subiendo</w:t>
      </w:r>
      <w:r w:rsidR="7D76ADCC" w:rsidRPr="0076589C">
        <w:rPr>
          <w:lang w:val="es-HN"/>
        </w:rPr>
        <w:t xml:space="preserve"> fotos de los depósitos</w:t>
      </w:r>
      <w:r w:rsidR="43EFD592" w:rsidRPr="0076589C">
        <w:rPr>
          <w:lang w:val="es-HN"/>
        </w:rPr>
        <w:t xml:space="preserve">, esto ayudará a la </w:t>
      </w:r>
      <w:r w:rsidR="7D76ADCC" w:rsidRPr="0076589C">
        <w:rPr>
          <w:lang w:val="es-HN"/>
        </w:rPr>
        <w:t xml:space="preserve">notificación automática </w:t>
      </w:r>
      <w:r w:rsidR="43EFD592" w:rsidRPr="0076589C">
        <w:rPr>
          <w:lang w:val="es-HN"/>
        </w:rPr>
        <w:t xml:space="preserve">la cual </w:t>
      </w:r>
      <w:r w:rsidR="7D76ADCC" w:rsidRPr="0076589C">
        <w:rPr>
          <w:lang w:val="es-HN"/>
        </w:rPr>
        <w:t>facilitará la comunicación con el personal administrativo, eliminando la necesidad de documentos físicos y agilizando el proceso de liquidación</w:t>
      </w:r>
      <w:r w:rsidR="754193BD" w:rsidRPr="0076589C">
        <w:rPr>
          <w:lang w:val="es-HN"/>
        </w:rPr>
        <w:t xml:space="preserve"> de cuentas por cobrar</w:t>
      </w:r>
      <w:r w:rsidR="7D76ADCC" w:rsidRPr="0076589C">
        <w:rPr>
          <w:lang w:val="es-HN"/>
        </w:rPr>
        <w:t>.</w:t>
      </w:r>
    </w:p>
    <w:p w14:paraId="72155D13" w14:textId="017BF18B" w:rsidR="000A3F83" w:rsidRPr="0076589C" w:rsidRDefault="41F810F4" w:rsidP="00F34765">
      <w:pPr>
        <w:pStyle w:val="TextoPrincipal"/>
        <w:spacing w:after="0"/>
        <w:rPr>
          <w:lang w:val="es-HN"/>
        </w:rPr>
      </w:pPr>
      <w:r w:rsidRPr="0076589C">
        <w:rPr>
          <w:lang w:val="es-HN"/>
        </w:rPr>
        <w:t>Así</w:t>
      </w:r>
      <w:r w:rsidR="35E83FE8" w:rsidRPr="0076589C">
        <w:rPr>
          <w:lang w:val="es-HN"/>
        </w:rPr>
        <w:t xml:space="preserve"> mismo </w:t>
      </w:r>
      <w:r w:rsidR="77F1E0EF" w:rsidRPr="0076589C">
        <w:rPr>
          <w:lang w:val="es-HN"/>
        </w:rPr>
        <w:t xml:space="preserve">se </w:t>
      </w:r>
      <w:r w:rsidR="113C2941" w:rsidRPr="0076589C">
        <w:rPr>
          <w:lang w:val="es-HN"/>
        </w:rPr>
        <w:t>podrá</w:t>
      </w:r>
      <w:r w:rsidR="00845A29" w:rsidRPr="0076589C">
        <w:rPr>
          <w:lang w:val="es-HN"/>
        </w:rPr>
        <w:t xml:space="preserve"> analizar y monitorear el comportamiento de pago de los clientes en diferentes plazos, desde 30 días hasta más de 90 días.</w:t>
      </w:r>
      <w:r w:rsidR="000512C6" w:rsidRPr="0076589C">
        <w:rPr>
          <w:lang w:val="es-HN"/>
        </w:rPr>
        <w:t xml:space="preserve"> </w:t>
      </w:r>
      <w:r w:rsidR="41B8DC7C" w:rsidRPr="0076589C">
        <w:rPr>
          <w:lang w:val="es-HN"/>
        </w:rPr>
        <w:t>Esté permitirá</w:t>
      </w:r>
      <w:r w:rsidR="000512C6" w:rsidRPr="0076589C">
        <w:rPr>
          <w:lang w:val="es-HN"/>
        </w:rPr>
        <w:t xml:space="preserve"> la identificación temprana de patrones de retraso en los pagos y la segmentación de clientes según su comportamiento financiero.</w:t>
      </w:r>
    </w:p>
    <w:p w14:paraId="08C8A404" w14:textId="77777777" w:rsidR="00F34765" w:rsidRPr="0076589C" w:rsidRDefault="00F34765" w:rsidP="00F34765">
      <w:pPr>
        <w:pStyle w:val="TextoPrincipal"/>
        <w:spacing w:after="0"/>
        <w:rPr>
          <w:lang w:val="es-HN"/>
        </w:rPr>
      </w:pPr>
    </w:p>
    <w:p w14:paraId="37DC4E7C" w14:textId="0C8E5E91" w:rsidR="000D0164" w:rsidRPr="0076589C" w:rsidRDefault="000D0164" w:rsidP="00CA5A6C">
      <w:pPr>
        <w:pStyle w:val="Ttulonivel3"/>
      </w:pPr>
      <w:bookmarkStart w:id="331" w:name="_Toc158365538"/>
      <w:r w:rsidRPr="0076589C">
        <w:lastRenderedPageBreak/>
        <w:t>6.3.1 OBJETIVOS</w:t>
      </w:r>
      <w:r w:rsidR="00CA5A6C" w:rsidRPr="0076589C">
        <w:t xml:space="preserve"> DE LA PROPUESTA</w:t>
      </w:r>
      <w:bookmarkEnd w:id="331"/>
    </w:p>
    <w:p w14:paraId="5E6A0E8C" w14:textId="77777777" w:rsidR="000D0164" w:rsidRPr="0076589C" w:rsidRDefault="000D0164" w:rsidP="00F036D0">
      <w:pPr>
        <w:pStyle w:val="Ttulonivel4"/>
      </w:pPr>
      <w:r w:rsidRPr="0076589C">
        <w:t>6.3.1.1 OBJETVIO GENERAL</w:t>
      </w:r>
    </w:p>
    <w:p w14:paraId="4D4DBFFB" w14:textId="77FB3BD7" w:rsidR="00CF2B44" w:rsidRPr="0076589C" w:rsidRDefault="00772FAF" w:rsidP="00F2220F">
      <w:pPr>
        <w:pStyle w:val="TextoPrincipal"/>
        <w:rPr>
          <w:lang w:val="es-HN"/>
        </w:rPr>
      </w:pPr>
      <w:r w:rsidRPr="0076589C">
        <w:rPr>
          <w:lang w:val="es-HN"/>
        </w:rPr>
        <w:t xml:space="preserve">Implementar un módulo </w:t>
      </w:r>
      <w:r w:rsidR="1DD1EC1C" w:rsidRPr="0076589C">
        <w:rPr>
          <w:lang w:val="es-HN"/>
        </w:rPr>
        <w:t xml:space="preserve">en el sistema Andynamics el cual </w:t>
      </w:r>
      <w:r w:rsidR="6E8766FD" w:rsidRPr="0076589C">
        <w:rPr>
          <w:lang w:val="es-HN"/>
        </w:rPr>
        <w:t>automatizará</w:t>
      </w:r>
      <w:r w:rsidR="28FC0DDE" w:rsidRPr="0076589C">
        <w:rPr>
          <w:lang w:val="es-HN"/>
        </w:rPr>
        <w:t xml:space="preserve"> la</w:t>
      </w:r>
      <w:r w:rsidRPr="0076589C">
        <w:rPr>
          <w:lang w:val="es-HN"/>
        </w:rPr>
        <w:t xml:space="preserve"> gestión de cobranza en IPRA</w:t>
      </w:r>
      <w:r w:rsidR="36B7EE03" w:rsidRPr="0076589C">
        <w:rPr>
          <w:lang w:val="es-HN"/>
        </w:rPr>
        <w:t xml:space="preserve">, </w:t>
      </w:r>
      <w:r w:rsidR="21A2EF2B" w:rsidRPr="0076589C">
        <w:rPr>
          <w:lang w:val="es-HN"/>
        </w:rPr>
        <w:t xml:space="preserve">permitiendo </w:t>
      </w:r>
      <w:r w:rsidR="00769763" w:rsidRPr="0076589C">
        <w:rPr>
          <w:lang w:val="es-HN"/>
        </w:rPr>
        <w:t>mejorar</w:t>
      </w:r>
      <w:r w:rsidRPr="0076589C">
        <w:rPr>
          <w:lang w:val="es-HN"/>
        </w:rPr>
        <w:t xml:space="preserve"> la eficiencia en la recuperación de </w:t>
      </w:r>
      <w:r w:rsidR="28FC0DDE" w:rsidRPr="0076589C">
        <w:rPr>
          <w:lang w:val="es-HN"/>
        </w:rPr>
        <w:t>cuentas por cobrar, reduciendo</w:t>
      </w:r>
      <w:r w:rsidRPr="0076589C">
        <w:rPr>
          <w:lang w:val="es-HN"/>
        </w:rPr>
        <w:t xml:space="preserve"> </w:t>
      </w:r>
      <w:r w:rsidR="36B7EE03" w:rsidRPr="0076589C">
        <w:rPr>
          <w:lang w:val="es-HN"/>
        </w:rPr>
        <w:t>el porcentaje de antigüedad en las cuentas mayores</w:t>
      </w:r>
      <w:r w:rsidR="7351EE7B" w:rsidRPr="0076589C">
        <w:rPr>
          <w:lang w:val="es-HN"/>
        </w:rPr>
        <w:t xml:space="preserve"> a</w:t>
      </w:r>
      <w:r w:rsidR="39FF042F" w:rsidRPr="0076589C">
        <w:rPr>
          <w:lang w:val="es-HN"/>
        </w:rPr>
        <w:t xml:space="preserve"> 90 días</w:t>
      </w:r>
      <w:r w:rsidR="6D39A906" w:rsidRPr="0076589C">
        <w:rPr>
          <w:lang w:val="es-HN"/>
        </w:rPr>
        <w:t xml:space="preserve"> y agilizando la actualización de </w:t>
      </w:r>
      <w:r w:rsidR="7351EE7B" w:rsidRPr="0076589C">
        <w:rPr>
          <w:lang w:val="es-HN"/>
        </w:rPr>
        <w:t>la</w:t>
      </w:r>
      <w:r w:rsidR="28FC0DDE" w:rsidRPr="0076589C">
        <w:rPr>
          <w:lang w:val="es-HN"/>
        </w:rPr>
        <w:t xml:space="preserve"> </w:t>
      </w:r>
      <w:r w:rsidRPr="0076589C">
        <w:rPr>
          <w:lang w:val="es-HN"/>
        </w:rPr>
        <w:t>gestión de límites de crédito.</w:t>
      </w:r>
    </w:p>
    <w:p w14:paraId="5487A9C5" w14:textId="6D130795" w:rsidR="00707D45" w:rsidRPr="0076589C" w:rsidRDefault="00B35D27" w:rsidP="00F036D0">
      <w:pPr>
        <w:pStyle w:val="Ttulonivel4"/>
      </w:pPr>
      <w:r w:rsidRPr="0076589C">
        <w:t xml:space="preserve">6.3.1.2 OBJETIVOS ESPECIFICOS </w:t>
      </w:r>
      <w:r w:rsidR="00707D45" w:rsidRPr="0076589C">
        <w:t xml:space="preserve"> </w:t>
      </w:r>
    </w:p>
    <w:p w14:paraId="3F48EEA2" w14:textId="2AE6179C" w:rsidR="2E52AE49" w:rsidRPr="0076589C" w:rsidRDefault="15E7BC4E" w:rsidP="69EB6F9D">
      <w:pPr>
        <w:pStyle w:val="TextoPrincipal"/>
        <w:rPr>
          <w:lang w:val="es-HN"/>
        </w:rPr>
      </w:pPr>
      <w:r w:rsidRPr="0076589C">
        <w:rPr>
          <w:lang w:val="es-HN"/>
        </w:rPr>
        <w:t xml:space="preserve">1. </w:t>
      </w:r>
      <w:r w:rsidR="2E0CB0A3" w:rsidRPr="0076589C">
        <w:rPr>
          <w:lang w:val="es-HN"/>
        </w:rPr>
        <w:t>Establecer</w:t>
      </w:r>
      <w:r w:rsidR="51D5E61A" w:rsidRPr="0076589C">
        <w:rPr>
          <w:lang w:val="es-HN"/>
        </w:rPr>
        <w:t xml:space="preserve"> los </w:t>
      </w:r>
      <w:r w:rsidR="44284B74" w:rsidRPr="0076589C">
        <w:rPr>
          <w:lang w:val="es-HN"/>
        </w:rPr>
        <w:t xml:space="preserve">requisitos que </w:t>
      </w:r>
      <w:r w:rsidR="445D6852" w:rsidRPr="0076589C">
        <w:rPr>
          <w:lang w:val="es-HN"/>
        </w:rPr>
        <w:t xml:space="preserve">serán necesarios para la </w:t>
      </w:r>
      <w:r w:rsidR="2DCC4D3B" w:rsidRPr="0076589C">
        <w:rPr>
          <w:lang w:val="es-HN"/>
        </w:rPr>
        <w:t>creación del módulo de cobranza.</w:t>
      </w:r>
    </w:p>
    <w:p w14:paraId="181A3D8C" w14:textId="3F78B504" w:rsidR="71A99E08" w:rsidRPr="0076589C" w:rsidRDefault="6BD4EDC1" w:rsidP="15E5B87D">
      <w:pPr>
        <w:pStyle w:val="TextoPrincipal"/>
        <w:rPr>
          <w:lang w:val="es-HN"/>
        </w:rPr>
      </w:pPr>
      <w:r w:rsidRPr="0076589C">
        <w:rPr>
          <w:lang w:val="es-HN"/>
        </w:rPr>
        <w:t xml:space="preserve">2. Elaborar una propuesta </w:t>
      </w:r>
      <w:r w:rsidR="03AD2FFE" w:rsidRPr="0076589C">
        <w:rPr>
          <w:lang w:val="es-HN"/>
        </w:rPr>
        <w:t>del</w:t>
      </w:r>
      <w:r w:rsidR="00C5435F" w:rsidRPr="0076589C">
        <w:rPr>
          <w:lang w:val="es-HN"/>
        </w:rPr>
        <w:t xml:space="preserve"> </w:t>
      </w:r>
      <w:r w:rsidR="03AD2FFE" w:rsidRPr="0076589C">
        <w:rPr>
          <w:lang w:val="es-HN"/>
        </w:rPr>
        <w:t xml:space="preserve">diseño y </w:t>
      </w:r>
      <w:r w:rsidRPr="0076589C">
        <w:rPr>
          <w:lang w:val="es-HN"/>
        </w:rPr>
        <w:t>desarrollo del módulo de cobranza.</w:t>
      </w:r>
    </w:p>
    <w:p w14:paraId="6631895B" w14:textId="3DC5E445" w:rsidR="71A99E08" w:rsidRPr="0076589C" w:rsidRDefault="52A06936" w:rsidP="71A99E08">
      <w:pPr>
        <w:pStyle w:val="TextoPrincipal"/>
        <w:rPr>
          <w:lang w:val="es-HN"/>
        </w:rPr>
      </w:pPr>
      <w:r w:rsidRPr="0076589C">
        <w:rPr>
          <w:lang w:val="es-HN"/>
        </w:rPr>
        <w:t>3. Elaborar</w:t>
      </w:r>
      <w:r w:rsidR="71A99E08" w:rsidRPr="0076589C">
        <w:rPr>
          <w:lang w:val="es-HN"/>
        </w:rPr>
        <w:t xml:space="preserve"> un </w:t>
      </w:r>
      <w:r w:rsidR="5E58A7B6" w:rsidRPr="0076589C">
        <w:rPr>
          <w:lang w:val="es-HN"/>
        </w:rPr>
        <w:t>plan</w:t>
      </w:r>
      <w:r w:rsidR="71A99E08" w:rsidRPr="0076589C">
        <w:rPr>
          <w:lang w:val="es-HN"/>
        </w:rPr>
        <w:t xml:space="preserve"> de capacitación </w:t>
      </w:r>
      <w:r w:rsidR="6BD4EDC1" w:rsidRPr="0076589C">
        <w:rPr>
          <w:lang w:val="es-HN"/>
        </w:rPr>
        <w:t>al</w:t>
      </w:r>
      <w:r w:rsidR="71A99E08" w:rsidRPr="0076589C">
        <w:rPr>
          <w:lang w:val="es-HN"/>
        </w:rPr>
        <w:t xml:space="preserve"> personal involucrado en la implementación del módulo de </w:t>
      </w:r>
      <w:r w:rsidR="7FA08F58" w:rsidRPr="0076589C">
        <w:rPr>
          <w:lang w:val="es-HN"/>
        </w:rPr>
        <w:t>cobranza</w:t>
      </w:r>
      <w:r w:rsidR="7B7CE658" w:rsidRPr="0076589C">
        <w:rPr>
          <w:lang w:val="es-HN"/>
        </w:rPr>
        <w:t>.</w:t>
      </w:r>
    </w:p>
    <w:p w14:paraId="7B4BDEEF" w14:textId="1601B496" w:rsidR="00BE0E7D" w:rsidRPr="0076589C" w:rsidRDefault="6BD4EDC1" w:rsidP="00F34765">
      <w:pPr>
        <w:pStyle w:val="TextoPrincipal"/>
        <w:spacing w:after="0"/>
        <w:rPr>
          <w:lang w:val="es-HN"/>
        </w:rPr>
      </w:pPr>
      <w:r w:rsidRPr="0076589C">
        <w:rPr>
          <w:lang w:val="es-HN"/>
        </w:rPr>
        <w:t>4</w:t>
      </w:r>
      <w:r w:rsidR="7B7CE658" w:rsidRPr="0076589C">
        <w:rPr>
          <w:lang w:val="es-HN"/>
        </w:rPr>
        <w:t xml:space="preserve">. Realizar recomendaciones </w:t>
      </w:r>
      <w:r w:rsidR="6C1229FB" w:rsidRPr="0076589C">
        <w:rPr>
          <w:lang w:val="es-HN"/>
        </w:rPr>
        <w:t>sobr</w:t>
      </w:r>
      <w:r w:rsidR="002B7801" w:rsidRPr="0076589C">
        <w:rPr>
          <w:lang w:val="es-HN"/>
        </w:rPr>
        <w:t>e</w:t>
      </w:r>
      <w:r w:rsidR="005002F1" w:rsidRPr="0076589C">
        <w:rPr>
          <w:lang w:val="es-HN"/>
        </w:rPr>
        <w:t xml:space="preserve"> los</w:t>
      </w:r>
      <w:r w:rsidR="4C44FDD2" w:rsidRPr="0076589C">
        <w:rPr>
          <w:lang w:val="es-HN"/>
        </w:rPr>
        <w:t xml:space="preserve"> </w:t>
      </w:r>
      <w:r w:rsidR="2F85A5B4" w:rsidRPr="0076589C">
        <w:rPr>
          <w:lang w:val="es-HN"/>
        </w:rPr>
        <w:t xml:space="preserve">diferentes </w:t>
      </w:r>
      <w:r w:rsidR="7B3AB1F0" w:rsidRPr="0076589C">
        <w:rPr>
          <w:lang w:val="es-HN"/>
        </w:rPr>
        <w:t xml:space="preserve">indicadores </w:t>
      </w:r>
      <w:r w:rsidR="00B0371F" w:rsidRPr="0076589C">
        <w:rPr>
          <w:lang w:val="es-HN"/>
        </w:rPr>
        <w:t>clave</w:t>
      </w:r>
      <w:r w:rsidR="00445C17" w:rsidRPr="0076589C">
        <w:rPr>
          <w:lang w:val="es-HN"/>
        </w:rPr>
        <w:t>s o</w:t>
      </w:r>
      <w:r w:rsidR="002B7801" w:rsidRPr="0076589C">
        <w:rPr>
          <w:lang w:val="es-HN"/>
        </w:rPr>
        <w:t xml:space="preserve"> </w:t>
      </w:r>
      <w:r w:rsidR="3F21E882" w:rsidRPr="0076589C">
        <w:rPr>
          <w:lang w:val="es-HN"/>
        </w:rPr>
        <w:t>módulos</w:t>
      </w:r>
      <w:r w:rsidR="6C1229FB" w:rsidRPr="0076589C">
        <w:rPr>
          <w:lang w:val="es-HN"/>
        </w:rPr>
        <w:t xml:space="preserve"> </w:t>
      </w:r>
      <w:r w:rsidR="7B3AB1F0" w:rsidRPr="0076589C">
        <w:rPr>
          <w:lang w:val="es-HN"/>
        </w:rPr>
        <w:t>que</w:t>
      </w:r>
      <w:r w:rsidR="2F85A5B4" w:rsidRPr="0076589C">
        <w:rPr>
          <w:lang w:val="es-HN"/>
        </w:rPr>
        <w:t xml:space="preserve"> se pueden </w:t>
      </w:r>
      <w:r w:rsidR="3D3A30C6" w:rsidRPr="0076589C">
        <w:rPr>
          <w:lang w:val="es-HN"/>
        </w:rPr>
        <w:t xml:space="preserve">aplicar como resultado de la implementación del módulo </w:t>
      </w:r>
      <w:r w:rsidR="040598DB" w:rsidRPr="0076589C">
        <w:rPr>
          <w:lang w:val="es-HN"/>
        </w:rPr>
        <w:t>de cobranza.</w:t>
      </w:r>
    </w:p>
    <w:p w14:paraId="34DB996E" w14:textId="77777777" w:rsidR="00F34765" w:rsidRPr="0076589C" w:rsidRDefault="00F34765" w:rsidP="00F34765">
      <w:pPr>
        <w:pStyle w:val="TextoPrincipal"/>
        <w:spacing w:after="0"/>
        <w:rPr>
          <w:lang w:val="es-HN"/>
        </w:rPr>
      </w:pPr>
    </w:p>
    <w:p w14:paraId="44C010D3" w14:textId="6F6D4B5D" w:rsidR="0073224C" w:rsidRPr="0076589C" w:rsidRDefault="0073224C" w:rsidP="00E16CFA">
      <w:pPr>
        <w:pStyle w:val="Ttulo2"/>
        <w:numPr>
          <w:ilvl w:val="0"/>
          <w:numId w:val="49"/>
        </w:numPr>
        <w:ind w:left="360"/>
      </w:pPr>
      <w:bookmarkStart w:id="332" w:name="_Toc158365539"/>
      <w:r w:rsidRPr="0076589C">
        <w:t>DESCRIPCIÓN Y DESARROLLO</w:t>
      </w:r>
      <w:bookmarkEnd w:id="332"/>
    </w:p>
    <w:p w14:paraId="43FDC21C" w14:textId="50D3F3A4" w:rsidR="00324A5A" w:rsidRPr="0076589C" w:rsidRDefault="2E0CB0A3" w:rsidP="00F34765">
      <w:pPr>
        <w:pStyle w:val="TextoPrincipal"/>
        <w:spacing w:after="0"/>
        <w:rPr>
          <w:lang w:val="es-HN"/>
        </w:rPr>
      </w:pPr>
      <w:r w:rsidRPr="0076589C">
        <w:rPr>
          <w:lang w:val="es-HN"/>
        </w:rPr>
        <w:t xml:space="preserve">Se presenta el desarrollo de </w:t>
      </w:r>
      <w:r w:rsidR="5BE2D33C" w:rsidRPr="0076589C">
        <w:rPr>
          <w:lang w:val="es-HN"/>
        </w:rPr>
        <w:t xml:space="preserve">la </w:t>
      </w:r>
      <w:r w:rsidR="5A65553C" w:rsidRPr="0076589C">
        <w:rPr>
          <w:lang w:val="es-HN"/>
        </w:rPr>
        <w:t>propuesta</w:t>
      </w:r>
      <w:r w:rsidR="5BE2D33C" w:rsidRPr="0076589C">
        <w:rPr>
          <w:lang w:val="es-HN"/>
        </w:rPr>
        <w:t xml:space="preserve"> para la implementación</w:t>
      </w:r>
      <w:r w:rsidRPr="0076589C">
        <w:rPr>
          <w:lang w:val="es-HN"/>
        </w:rPr>
        <w:t xml:space="preserve"> del módulo de </w:t>
      </w:r>
      <w:r w:rsidR="663F0D4B" w:rsidRPr="0076589C">
        <w:rPr>
          <w:lang w:val="es-HN"/>
        </w:rPr>
        <w:t>cobranza</w:t>
      </w:r>
      <w:r w:rsidRPr="0076589C">
        <w:rPr>
          <w:lang w:val="es-HN"/>
        </w:rPr>
        <w:t xml:space="preserve"> el cual automatizará este proceso</w:t>
      </w:r>
      <w:r w:rsidR="78F2D812" w:rsidRPr="0076589C">
        <w:rPr>
          <w:lang w:val="es-HN"/>
        </w:rPr>
        <w:t xml:space="preserve">, en el cual se identifican los requisitos necesarios para la creación del mismo, </w:t>
      </w:r>
      <w:r w:rsidR="663F0D4B" w:rsidRPr="0076589C">
        <w:rPr>
          <w:lang w:val="es-HN"/>
        </w:rPr>
        <w:t>incorporando</w:t>
      </w:r>
      <w:r w:rsidR="7FAF62B2" w:rsidRPr="0076589C">
        <w:rPr>
          <w:lang w:val="es-HN"/>
        </w:rPr>
        <w:t xml:space="preserve"> una propuesta de</w:t>
      </w:r>
      <w:r w:rsidR="78F2D812" w:rsidRPr="0076589C">
        <w:rPr>
          <w:lang w:val="es-HN"/>
        </w:rPr>
        <w:t xml:space="preserve"> </w:t>
      </w:r>
      <w:r w:rsidR="3B46F517" w:rsidRPr="0076589C">
        <w:rPr>
          <w:lang w:val="es-HN"/>
        </w:rPr>
        <w:t>la ejecución y diseño</w:t>
      </w:r>
      <w:r w:rsidR="20249C4A" w:rsidRPr="0076589C">
        <w:rPr>
          <w:lang w:val="es-HN"/>
        </w:rPr>
        <w:t xml:space="preserve">, siguiendo </w:t>
      </w:r>
      <w:r w:rsidR="54B64D64" w:rsidRPr="0076589C">
        <w:rPr>
          <w:lang w:val="es-HN"/>
        </w:rPr>
        <w:t xml:space="preserve">los objetivos previamente planteados, se pretende aplicar dicho módulo en enero </w:t>
      </w:r>
      <w:r w:rsidR="547AD792" w:rsidRPr="0076589C">
        <w:rPr>
          <w:lang w:val="es-HN"/>
        </w:rPr>
        <w:t>del año 2024</w:t>
      </w:r>
      <w:r w:rsidR="24E9624C" w:rsidRPr="0076589C">
        <w:rPr>
          <w:lang w:val="es-HN"/>
        </w:rPr>
        <w:t>, con</w:t>
      </w:r>
      <w:r w:rsidR="6F08F71B" w:rsidRPr="0076589C">
        <w:rPr>
          <w:lang w:val="es-HN"/>
        </w:rPr>
        <w:t xml:space="preserve"> la finalidad de que este </w:t>
      </w:r>
      <w:r w:rsidR="52356531" w:rsidRPr="0076589C">
        <w:rPr>
          <w:lang w:val="es-HN"/>
        </w:rPr>
        <w:t>módulo</w:t>
      </w:r>
      <w:r w:rsidR="6F08F71B" w:rsidRPr="0076589C">
        <w:rPr>
          <w:lang w:val="es-HN"/>
        </w:rPr>
        <w:t xml:space="preserve"> ayude a un reporte de </w:t>
      </w:r>
      <w:r w:rsidR="52356531" w:rsidRPr="0076589C">
        <w:rPr>
          <w:lang w:val="es-HN"/>
        </w:rPr>
        <w:t>antigüedad</w:t>
      </w:r>
      <w:r w:rsidR="6F08F71B" w:rsidRPr="0076589C">
        <w:rPr>
          <w:lang w:val="es-HN"/>
        </w:rPr>
        <w:t xml:space="preserve"> de cuentas por cobrar el cual ayuda </w:t>
      </w:r>
      <w:r w:rsidR="52356531" w:rsidRPr="0076589C">
        <w:rPr>
          <w:lang w:val="es-HN"/>
        </w:rPr>
        <w:t>monitorear</w:t>
      </w:r>
      <w:r w:rsidR="32136808" w:rsidRPr="0076589C">
        <w:rPr>
          <w:lang w:val="es-HN"/>
        </w:rPr>
        <w:t xml:space="preserve"> y realizar acciones preventivas para evitar las </w:t>
      </w:r>
      <w:r w:rsidR="52356531" w:rsidRPr="0076589C">
        <w:rPr>
          <w:lang w:val="es-HN"/>
        </w:rPr>
        <w:t>cuentas mayores a 90 días.</w:t>
      </w:r>
    </w:p>
    <w:p w14:paraId="4CDDF884" w14:textId="77777777" w:rsidR="00F34765" w:rsidRPr="0076589C" w:rsidRDefault="00F34765" w:rsidP="00F34765">
      <w:pPr>
        <w:pStyle w:val="TextoPrincipal"/>
        <w:spacing w:after="0"/>
        <w:rPr>
          <w:lang w:val="es-HN"/>
        </w:rPr>
      </w:pPr>
    </w:p>
    <w:p w14:paraId="225D157D" w14:textId="2ABA7BE4" w:rsidR="1483DD9B" w:rsidRPr="0076589C" w:rsidRDefault="00B35D27" w:rsidP="00CA5A6C">
      <w:pPr>
        <w:pStyle w:val="Ttulonivel3"/>
      </w:pPr>
      <w:bookmarkStart w:id="333" w:name="_Toc158365540"/>
      <w:r w:rsidRPr="0076589C">
        <w:t>6.4.1 DESCRIPCIÓN CLARA DEL “QUÉ” Y “CÓMO” LO HARÁN</w:t>
      </w:r>
      <w:bookmarkEnd w:id="333"/>
    </w:p>
    <w:p w14:paraId="2AC64660" w14:textId="77777777" w:rsidR="00823CB3" w:rsidRPr="0076589C" w:rsidRDefault="0076021C" w:rsidP="0076021C">
      <w:pPr>
        <w:pStyle w:val="TextoPrincipal"/>
        <w:rPr>
          <w:lang w:val="es-HN"/>
        </w:rPr>
      </w:pPr>
      <w:r w:rsidRPr="0076589C">
        <w:rPr>
          <w:lang w:val="es-HN"/>
        </w:rPr>
        <w:t xml:space="preserve">La </w:t>
      </w:r>
      <w:r w:rsidR="47E214C7" w:rsidRPr="0076589C">
        <w:rPr>
          <w:lang w:val="es-HN"/>
        </w:rPr>
        <w:t>creación</w:t>
      </w:r>
      <w:r w:rsidRPr="0076589C">
        <w:rPr>
          <w:lang w:val="es-HN"/>
        </w:rPr>
        <w:t xml:space="preserve"> de un módulo de cobranza en el sistema Andynamics se desarrollará en varias fases. Inicialmente, se realizará un análisis exhaustivo de los requisitos específicos que requiere el módulo de cobranza, considerando las necesidades encontradas de la empresa y aplicando mejores prácticas en el sistema. Para la fase de Desarrollo y personalización del módulo de cobranza, se establecerá una </w:t>
      </w:r>
      <w:r w:rsidR="2A673EBD" w:rsidRPr="0076589C">
        <w:rPr>
          <w:lang w:val="es-HN"/>
        </w:rPr>
        <w:t>interfaz</w:t>
      </w:r>
      <w:r w:rsidRPr="0076589C">
        <w:rPr>
          <w:lang w:val="es-HN"/>
        </w:rPr>
        <w:t xml:space="preserve"> en tiempo real entre Andynamics y SAGE para garantizar la consistencia de los datos, los </w:t>
      </w:r>
      <w:r w:rsidR="1E237FC3" w:rsidRPr="0076589C">
        <w:rPr>
          <w:lang w:val="es-HN"/>
        </w:rPr>
        <w:t xml:space="preserve">agentes de </w:t>
      </w:r>
      <w:r w:rsidR="22C82CFC" w:rsidRPr="0076589C">
        <w:rPr>
          <w:lang w:val="es-HN"/>
        </w:rPr>
        <w:t>cobro</w:t>
      </w:r>
      <w:r w:rsidRPr="0076589C">
        <w:rPr>
          <w:lang w:val="es-HN"/>
        </w:rPr>
        <w:t xml:space="preserve"> podrán registrar los pagos de manera efectiva</w:t>
      </w:r>
      <w:r w:rsidR="22C82CFC" w:rsidRPr="0076589C">
        <w:rPr>
          <w:lang w:val="es-HN"/>
        </w:rPr>
        <w:t>, generando</w:t>
      </w:r>
      <w:r w:rsidRPr="0076589C">
        <w:rPr>
          <w:lang w:val="es-HN"/>
        </w:rPr>
        <w:t xml:space="preserve"> </w:t>
      </w:r>
      <w:r w:rsidR="7433317C" w:rsidRPr="0076589C">
        <w:rPr>
          <w:lang w:val="es-HN"/>
        </w:rPr>
        <w:lastRenderedPageBreak/>
        <w:t>automáticamente los</w:t>
      </w:r>
      <w:r w:rsidRPr="0076589C">
        <w:rPr>
          <w:lang w:val="es-HN"/>
        </w:rPr>
        <w:t xml:space="preserve"> recibos </w:t>
      </w:r>
      <w:r w:rsidR="7433317C" w:rsidRPr="0076589C">
        <w:rPr>
          <w:lang w:val="es-HN"/>
        </w:rPr>
        <w:t xml:space="preserve">del sistema, </w:t>
      </w:r>
      <w:r w:rsidR="33C1A230" w:rsidRPr="0076589C">
        <w:rPr>
          <w:lang w:val="es-HN"/>
        </w:rPr>
        <w:t>así logrando notificar</w:t>
      </w:r>
      <w:r w:rsidRPr="0076589C">
        <w:rPr>
          <w:lang w:val="es-HN"/>
        </w:rPr>
        <w:t xml:space="preserve"> de </w:t>
      </w:r>
      <w:r w:rsidR="360C0BC4" w:rsidRPr="0076589C">
        <w:rPr>
          <w:lang w:val="es-HN"/>
        </w:rPr>
        <w:t>manera</w:t>
      </w:r>
      <w:r w:rsidR="33C1A230" w:rsidRPr="0076589C">
        <w:rPr>
          <w:lang w:val="es-HN"/>
        </w:rPr>
        <w:t xml:space="preserve"> inmediata al </w:t>
      </w:r>
      <w:r w:rsidR="38AB4658" w:rsidRPr="0076589C">
        <w:rPr>
          <w:lang w:val="es-HN"/>
        </w:rPr>
        <w:t>personal que supervisa los créditos.</w:t>
      </w:r>
      <w:r w:rsidR="33C1A230" w:rsidRPr="0076589C">
        <w:rPr>
          <w:lang w:val="es-HN"/>
        </w:rPr>
        <w:t xml:space="preserve"> </w:t>
      </w:r>
      <w:r w:rsidRPr="0076589C">
        <w:rPr>
          <w:lang w:val="es-HN"/>
        </w:rPr>
        <w:t xml:space="preserve">Al haber finalizado la etapa de desarrollo y personalización se llevarán a cabo distintas pruebas por parte del equipo de </w:t>
      </w:r>
      <w:r w:rsidR="0251F64B" w:rsidRPr="0076589C">
        <w:rPr>
          <w:lang w:val="es-HN"/>
        </w:rPr>
        <w:t>IT</w:t>
      </w:r>
      <w:r w:rsidRPr="0076589C">
        <w:rPr>
          <w:lang w:val="es-HN"/>
        </w:rPr>
        <w:t xml:space="preserve"> para garantizar el correcto funcionamiento del módulo, realizando los ajustes necesarios antes de su implementación definitivo. </w:t>
      </w:r>
      <w:r w:rsidR="0251F64B" w:rsidRPr="0076589C">
        <w:rPr>
          <w:lang w:val="es-HN"/>
        </w:rPr>
        <w:t xml:space="preserve"> por último</w:t>
      </w:r>
      <w:r w:rsidR="1C4AD7CF" w:rsidRPr="0076589C">
        <w:rPr>
          <w:lang w:val="es-HN"/>
        </w:rPr>
        <w:t>,</w:t>
      </w:r>
      <w:r w:rsidR="0251F64B" w:rsidRPr="0076589C">
        <w:rPr>
          <w:lang w:val="es-HN"/>
        </w:rPr>
        <w:t xml:space="preserve"> se</w:t>
      </w:r>
      <w:r w:rsidRPr="0076589C">
        <w:rPr>
          <w:lang w:val="es-HN"/>
        </w:rPr>
        <w:t xml:space="preserve"> llevará a cabo la capacitación del personal involucrado en el uso del nuevo módulo de cobranz</w:t>
      </w:r>
      <w:r w:rsidR="00CF504D" w:rsidRPr="0076589C">
        <w:rPr>
          <w:lang w:val="es-HN"/>
        </w:rPr>
        <w:t xml:space="preserve">a para garantizar la eficiencia y la </w:t>
      </w:r>
      <w:r w:rsidR="00B94185" w:rsidRPr="0076589C">
        <w:rPr>
          <w:lang w:val="es-HN"/>
        </w:rPr>
        <w:t>adaptabilidad</w:t>
      </w:r>
      <w:r w:rsidR="00CF504D" w:rsidRPr="0076589C">
        <w:rPr>
          <w:lang w:val="es-HN"/>
        </w:rPr>
        <w:t xml:space="preserve"> a medida que los colaboradores se famili</w:t>
      </w:r>
      <w:r w:rsidR="0071353A" w:rsidRPr="0076589C">
        <w:rPr>
          <w:lang w:val="es-HN"/>
        </w:rPr>
        <w:t>aricen con la nueva metodología d</w:t>
      </w:r>
      <w:r w:rsidR="00B94185" w:rsidRPr="0076589C">
        <w:rPr>
          <w:lang w:val="es-HN"/>
        </w:rPr>
        <w:t>e cobranza</w:t>
      </w:r>
      <w:r w:rsidR="007A1190" w:rsidRPr="0076589C">
        <w:rPr>
          <w:lang w:val="es-HN"/>
        </w:rPr>
        <w:t>.</w:t>
      </w:r>
    </w:p>
    <w:p w14:paraId="2FBD66C0" w14:textId="53EC5634" w:rsidR="00823CB3" w:rsidRPr="0076589C" w:rsidRDefault="007B4177" w:rsidP="00A77920">
      <w:pPr>
        <w:pStyle w:val="TextoPrincipal"/>
        <w:ind w:firstLine="0"/>
        <w:jc w:val="center"/>
        <w:rPr>
          <w:lang w:val="es-HN"/>
        </w:rPr>
      </w:pPr>
      <w:r w:rsidRPr="0076589C">
        <w:rPr>
          <w:noProof/>
          <w:lang w:val="es-HN" w:eastAsia="es-HN"/>
        </w:rPr>
        <w:drawing>
          <wp:inline distT="0" distB="0" distL="0" distR="0" wp14:anchorId="0CD14606" wp14:editId="2A2A4DDE">
            <wp:extent cx="5938728" cy="2450969"/>
            <wp:effectExtent l="0" t="0" r="5080" b="6985"/>
            <wp:docPr id="277355204" name="Picture 277355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3">
                      <a:extLst>
                        <a:ext uri="{28A0092B-C50C-407E-A947-70E740481C1C}">
                          <a14:useLocalDpi xmlns:a14="http://schemas.microsoft.com/office/drawing/2010/main" val="0"/>
                        </a:ext>
                      </a:extLst>
                    </a:blip>
                    <a:srcRect t="22410" b="22620"/>
                    <a:stretch/>
                  </pic:blipFill>
                  <pic:spPr bwMode="auto">
                    <a:xfrm>
                      <a:off x="0" y="0"/>
                      <a:ext cx="5939155" cy="2451145"/>
                    </a:xfrm>
                    <a:prstGeom prst="rect">
                      <a:avLst/>
                    </a:prstGeom>
                    <a:noFill/>
                    <a:ln>
                      <a:noFill/>
                    </a:ln>
                    <a:extLst>
                      <a:ext uri="{53640926-AAD7-44D8-BBD7-CCE9431645EC}">
                        <a14:shadowObscured xmlns:a14="http://schemas.microsoft.com/office/drawing/2010/main"/>
                      </a:ext>
                    </a:extLst>
                  </pic:spPr>
                </pic:pic>
              </a:graphicData>
            </a:graphic>
          </wp:inline>
        </w:drawing>
      </w:r>
    </w:p>
    <w:p w14:paraId="64C8C561" w14:textId="6FDE3560" w:rsidR="00D735A1" w:rsidRPr="0076589C" w:rsidRDefault="00D735A1" w:rsidP="00D735A1">
      <w:pPr>
        <w:pStyle w:val="ImagenyTabla"/>
        <w:rPr>
          <w:noProof w:val="0"/>
        </w:rPr>
      </w:pPr>
      <w:bookmarkStart w:id="334" w:name="_Toc158365604"/>
      <w:r w:rsidRPr="0076589C">
        <w:t xml:space="preserve">Figura </w:t>
      </w:r>
      <w:r w:rsidRPr="0076589C">
        <w:rPr>
          <w:noProof w:val="0"/>
        </w:rPr>
        <w:fldChar w:fldCharType="begin"/>
      </w:r>
      <w:r w:rsidRPr="0076589C">
        <w:rPr>
          <w:noProof w:val="0"/>
        </w:rPr>
        <w:instrText xml:space="preserve"> SEQ Figura \* ARABIC </w:instrText>
      </w:r>
      <w:r w:rsidRPr="0076589C">
        <w:rPr>
          <w:noProof w:val="0"/>
        </w:rPr>
        <w:fldChar w:fldCharType="separate"/>
      </w:r>
      <w:r w:rsidR="009F171A">
        <w:t>19</w:t>
      </w:r>
      <w:r w:rsidRPr="0076589C">
        <w:rPr>
          <w:noProof w:val="0"/>
        </w:rPr>
        <w:fldChar w:fldCharType="end"/>
      </w:r>
      <w:r w:rsidRPr="0076589C">
        <w:t xml:space="preserve">. Proceso </w:t>
      </w:r>
      <w:r w:rsidR="007B1F10" w:rsidRPr="0076589C">
        <w:t>de Implementación</w:t>
      </w:r>
      <w:r w:rsidR="00D055BE" w:rsidRPr="0076589C">
        <w:t xml:space="preserve"> </w:t>
      </w:r>
      <w:r w:rsidR="00D92471" w:rsidRPr="0076589C">
        <w:t xml:space="preserve"> </w:t>
      </w:r>
      <w:r w:rsidR="00D055BE" w:rsidRPr="0076589C">
        <w:t>Modulo de Cobrazana en</w:t>
      </w:r>
      <w:r w:rsidRPr="0076589C">
        <w:t xml:space="preserve"> IPRA</w:t>
      </w:r>
      <w:bookmarkEnd w:id="334"/>
    </w:p>
    <w:p w14:paraId="3FE2CC3E" w14:textId="01B6E913" w:rsidR="00A1250A" w:rsidRPr="0076589C" w:rsidRDefault="00D735A1" w:rsidP="00F34765">
      <w:pPr>
        <w:pStyle w:val="Fuentes"/>
        <w:spacing w:after="0"/>
        <w:rPr>
          <w:lang w:val="es-HN"/>
        </w:rPr>
      </w:pPr>
      <w:r w:rsidRPr="0076589C">
        <w:rPr>
          <w:lang w:val="es-HN"/>
        </w:rPr>
        <w:t>Fuente: Elaboración propia.</w:t>
      </w:r>
    </w:p>
    <w:p w14:paraId="3798BE0A" w14:textId="77777777" w:rsidR="00F34765" w:rsidRPr="0076589C" w:rsidRDefault="00F34765" w:rsidP="00F34765">
      <w:pPr>
        <w:pStyle w:val="Fuentes"/>
        <w:spacing w:after="0"/>
        <w:rPr>
          <w:lang w:val="es-HN"/>
        </w:rPr>
      </w:pPr>
    </w:p>
    <w:p w14:paraId="5072C09F" w14:textId="445B0F06" w:rsidR="215C92A1" w:rsidRPr="0076589C" w:rsidRDefault="001D40A2" w:rsidP="00084041">
      <w:pPr>
        <w:pStyle w:val="Ttulonivel3"/>
      </w:pPr>
      <w:bookmarkStart w:id="335" w:name="_Toc158365541"/>
      <w:r w:rsidRPr="0076589C">
        <w:t xml:space="preserve">6.4.2 DESARROLLO DE TODOS LOS ELEMENTOS </w:t>
      </w:r>
      <w:r w:rsidR="594495C2" w:rsidRPr="0076589C">
        <w:t>NECESARIOS</w:t>
      </w:r>
      <w:r w:rsidRPr="0076589C">
        <w:t xml:space="preserve"> DE LA PROPUESTA</w:t>
      </w:r>
      <w:bookmarkEnd w:id="335"/>
    </w:p>
    <w:p w14:paraId="679986F6" w14:textId="1175A41D" w:rsidR="00950D7D" w:rsidRPr="0076589C" w:rsidRDefault="003442F6" w:rsidP="00FF4471">
      <w:pPr>
        <w:pStyle w:val="TextoPrincipal"/>
        <w:spacing w:after="0"/>
        <w:rPr>
          <w:lang w:val="es-HN"/>
        </w:rPr>
      </w:pPr>
      <w:r w:rsidRPr="0076589C">
        <w:rPr>
          <w:lang w:val="es-HN"/>
        </w:rPr>
        <w:t xml:space="preserve">De los resultados obtenidos en el </w:t>
      </w:r>
      <w:r w:rsidR="00673EAE" w:rsidRPr="0076589C">
        <w:rPr>
          <w:lang w:val="es-HN"/>
        </w:rPr>
        <w:t>capítulo</w:t>
      </w:r>
      <w:r w:rsidRPr="0076589C">
        <w:rPr>
          <w:lang w:val="es-HN"/>
        </w:rPr>
        <w:t xml:space="preserve"> IV del presente informe, se desarrolla </w:t>
      </w:r>
      <w:r w:rsidR="003B68C9" w:rsidRPr="0076589C">
        <w:rPr>
          <w:lang w:val="es-HN"/>
        </w:rPr>
        <w:t xml:space="preserve">la propuesta de la implementación </w:t>
      </w:r>
      <w:r w:rsidR="00F02EAC" w:rsidRPr="0076589C">
        <w:rPr>
          <w:lang w:val="es-HN"/>
        </w:rPr>
        <w:t xml:space="preserve">del </w:t>
      </w:r>
      <w:r w:rsidR="00673EAE" w:rsidRPr="0076589C">
        <w:rPr>
          <w:lang w:val="es-HN"/>
        </w:rPr>
        <w:t>módulo</w:t>
      </w:r>
      <w:r w:rsidR="00F02EAC" w:rsidRPr="0076589C">
        <w:rPr>
          <w:lang w:val="es-HN"/>
        </w:rPr>
        <w:t xml:space="preserve"> de cobranza </w:t>
      </w:r>
      <w:r w:rsidR="009A1410" w:rsidRPr="0076589C">
        <w:rPr>
          <w:lang w:val="es-HN"/>
        </w:rPr>
        <w:t>en tres fases descritas a continuación.</w:t>
      </w:r>
    </w:p>
    <w:p w14:paraId="05E06A3A" w14:textId="61A93994" w:rsidR="00FF4471" w:rsidRPr="0076589C" w:rsidRDefault="00E24540" w:rsidP="00E24540">
      <w:pPr>
        <w:rPr>
          <w:rFonts w:eastAsia="Calibri" w:cs="Times New Roman"/>
        </w:rPr>
      </w:pPr>
      <w:r w:rsidRPr="0076589C">
        <w:br w:type="page"/>
      </w:r>
    </w:p>
    <w:p w14:paraId="2BBD5779" w14:textId="77777777" w:rsidR="00767481" w:rsidRPr="0076589C" w:rsidRDefault="00767481" w:rsidP="00E16CFA">
      <w:pPr>
        <w:pStyle w:val="Ttulonivel4"/>
        <w:numPr>
          <w:ilvl w:val="0"/>
          <w:numId w:val="56"/>
        </w:numPr>
        <w:ind w:left="1800"/>
      </w:pPr>
      <w:r w:rsidRPr="0076589C">
        <w:lastRenderedPageBreak/>
        <w:t>REQUISITOS PARA LA CREACIÓN DEL MÓDULO DE COBRANZA</w:t>
      </w:r>
    </w:p>
    <w:p w14:paraId="19D17CF3" w14:textId="77777777" w:rsidR="00767481" w:rsidRPr="0076589C" w:rsidRDefault="00767481" w:rsidP="00767481">
      <w:pPr>
        <w:pStyle w:val="TextoPrincipal"/>
        <w:rPr>
          <w:b/>
          <w:bCs/>
        </w:rPr>
      </w:pPr>
      <w:r w:rsidRPr="0076589C">
        <w:rPr>
          <w:b/>
          <w:bCs/>
        </w:rPr>
        <w:t xml:space="preserve">A. Requisitos funcionales: </w:t>
      </w:r>
    </w:p>
    <w:p w14:paraId="30C6F414" w14:textId="408E68EA" w:rsidR="007923CE" w:rsidRPr="0076589C" w:rsidRDefault="00767481" w:rsidP="007923CE">
      <w:pPr>
        <w:pStyle w:val="TextoPrincipal"/>
        <w:numPr>
          <w:ilvl w:val="0"/>
          <w:numId w:val="52"/>
        </w:numPr>
        <w:rPr>
          <w:i/>
          <w:iCs/>
          <w:lang w:val="es-HN"/>
        </w:rPr>
      </w:pPr>
      <w:r w:rsidRPr="0076589C">
        <w:rPr>
          <w:i/>
          <w:iCs/>
          <w:lang w:val="es-HN"/>
        </w:rPr>
        <w:t>Registro de pagos</w:t>
      </w:r>
    </w:p>
    <w:p w14:paraId="18DBE13A" w14:textId="669B1435" w:rsidR="0078661A" w:rsidRPr="0076589C" w:rsidRDefault="2A60333D" w:rsidP="007923CE">
      <w:pPr>
        <w:pStyle w:val="TextoPrincipal"/>
        <w:rPr>
          <w:lang w:val="es-HN"/>
        </w:rPr>
      </w:pPr>
      <w:r w:rsidRPr="0076589C">
        <w:rPr>
          <w:lang w:val="es-HN"/>
        </w:rPr>
        <w:t xml:space="preserve">Actualmente IPRA realiza sus registros de pagos de forma manual, son los agentes cobradores quienes deben de realizar recibos </w:t>
      </w:r>
      <w:r w:rsidR="002E21ED" w:rsidRPr="0076589C">
        <w:rPr>
          <w:lang w:val="es-HN"/>
        </w:rPr>
        <w:t xml:space="preserve">(Ver </w:t>
      </w:r>
      <w:r w:rsidR="009373E7" w:rsidRPr="0076589C">
        <w:rPr>
          <w:lang w:val="es-HN"/>
        </w:rPr>
        <w:t>Anexo No.9</w:t>
      </w:r>
      <w:r w:rsidRPr="0076589C">
        <w:rPr>
          <w:lang w:val="es-HN"/>
        </w:rPr>
        <w:t xml:space="preserve">) de forma manual </w:t>
      </w:r>
      <w:r w:rsidR="009373E7" w:rsidRPr="0076589C">
        <w:rPr>
          <w:lang w:val="es-HN"/>
        </w:rPr>
        <w:t xml:space="preserve">en el Talonario de Recibo </w:t>
      </w:r>
      <w:r w:rsidRPr="0076589C">
        <w:rPr>
          <w:lang w:val="es-HN"/>
        </w:rPr>
        <w:t>cuando realizan sus cobros a los clientes, donde posteriormente debe realizar otro reci</w:t>
      </w:r>
      <w:r w:rsidR="009373E7" w:rsidRPr="0076589C">
        <w:rPr>
          <w:lang w:val="es-HN"/>
        </w:rPr>
        <w:t>bo en el talonario de liquidaciones (Anexo No.10) para poder presentar los</w:t>
      </w:r>
      <w:r w:rsidRPr="0076589C">
        <w:rPr>
          <w:lang w:val="es-HN"/>
        </w:rPr>
        <w:t xml:space="preserve"> recibos </w:t>
      </w:r>
      <w:r w:rsidR="009373E7" w:rsidRPr="0076589C">
        <w:rPr>
          <w:lang w:val="es-HN"/>
        </w:rPr>
        <w:t xml:space="preserve">de cobro </w:t>
      </w:r>
      <w:r w:rsidRPr="0076589C">
        <w:rPr>
          <w:lang w:val="es-HN"/>
        </w:rPr>
        <w:t>y enviarlos a la administración en Tegucigalpa, ya sean estos locales o foráneos para poder ser posteados en sistema.</w:t>
      </w:r>
    </w:p>
    <w:p w14:paraId="7AF5EEEC" w14:textId="65271DB0" w:rsidR="5D60753A" w:rsidRPr="0076589C" w:rsidRDefault="5D60753A" w:rsidP="5D60753A">
      <w:pPr>
        <w:pStyle w:val="TextoPrincipal"/>
        <w:ind w:firstLine="0"/>
        <w:rPr>
          <w:lang w:val="es-HN"/>
        </w:rPr>
      </w:pPr>
      <w:r w:rsidRPr="0076589C">
        <w:rPr>
          <w:lang w:val="es-HN"/>
        </w:rPr>
        <w:t>Por lo cual este sistema manual genera perdida de información de forma instantánea para los supervisores de crédito, retrasos de tiempo en los posteo de pagos, saber si el agente cobrador está realizando la programación de facturas, atrasos por recibos y liquidaciones no realizadas de forma correcta.</w:t>
      </w:r>
    </w:p>
    <w:p w14:paraId="6285E25A" w14:textId="56C4D103" w:rsidR="5D60753A" w:rsidRPr="0076589C" w:rsidRDefault="5D60753A" w:rsidP="5D60753A">
      <w:pPr>
        <w:pStyle w:val="TextoPrincipal"/>
        <w:rPr>
          <w:lang w:val="es-HN"/>
        </w:rPr>
      </w:pPr>
      <w:r w:rsidRPr="0076589C">
        <w:rPr>
          <w:lang w:val="es-HN"/>
        </w:rPr>
        <w:t>La implementación de este sistema de registro de pagos es una funcionalidad clave del módulo de cobranza que permite a IPRA realizar un seguimiento preciso y eficiente de todos los pagos recibidos de los clientes. Este componente es esencial para mantener registros financieros actualizados y para facilitar la reconciliación de cuentas.</w:t>
      </w:r>
    </w:p>
    <w:p w14:paraId="14B32E67" w14:textId="25D8B405" w:rsidR="00767481" w:rsidRPr="0076589C" w:rsidRDefault="00F23DD8" w:rsidP="007923CE">
      <w:pPr>
        <w:pStyle w:val="TextoPrincipal"/>
        <w:rPr>
          <w:i/>
          <w:iCs/>
          <w:lang w:val="es-HN"/>
        </w:rPr>
      </w:pPr>
      <w:r w:rsidRPr="0076589C">
        <w:rPr>
          <w:lang w:val="es-HN"/>
        </w:rPr>
        <w:t xml:space="preserve">El sistema debe registrar los pagos </w:t>
      </w:r>
      <w:r w:rsidR="005C09A4" w:rsidRPr="0076589C">
        <w:rPr>
          <w:lang w:val="es-HN"/>
        </w:rPr>
        <w:t xml:space="preserve">realizados por los clientes, </w:t>
      </w:r>
      <w:r w:rsidR="5D60753A" w:rsidRPr="0076589C">
        <w:rPr>
          <w:lang w:val="es-HN"/>
        </w:rPr>
        <w:t>como ser:</w:t>
      </w:r>
    </w:p>
    <w:p w14:paraId="50DB1D17" w14:textId="2981BD1D" w:rsidR="5D60753A" w:rsidRPr="0076589C" w:rsidRDefault="5D60753A" w:rsidP="5D60753A">
      <w:pPr>
        <w:pStyle w:val="TextoPrincipal"/>
        <w:numPr>
          <w:ilvl w:val="0"/>
          <w:numId w:val="52"/>
        </w:numPr>
        <w:rPr>
          <w:lang w:val="es-HN"/>
        </w:rPr>
      </w:pPr>
      <w:r w:rsidRPr="0076589C">
        <w:rPr>
          <w:lang w:val="es-HN"/>
        </w:rPr>
        <w:t>Gestión de descuentos y ofertas especiales: En el sistema debe estar automatizado los descuentos de los clientes que se les brinda según la política de cobro de IPRA.</w:t>
      </w:r>
    </w:p>
    <w:p w14:paraId="7D6077A0" w14:textId="35D72281" w:rsidR="00767481" w:rsidRPr="0076589C" w:rsidRDefault="2A60333D" w:rsidP="00767481">
      <w:pPr>
        <w:pStyle w:val="TextoPrincipal"/>
        <w:numPr>
          <w:ilvl w:val="0"/>
          <w:numId w:val="52"/>
        </w:numPr>
        <w:rPr>
          <w:lang w:val="es-HN"/>
        </w:rPr>
      </w:pPr>
      <w:r w:rsidRPr="0076589C">
        <w:rPr>
          <w:lang w:val="es-HN"/>
        </w:rPr>
        <w:t>Impresión de recibo: Se utilizará una impresora de papel térmi</w:t>
      </w:r>
      <w:r w:rsidR="005A3B0D" w:rsidRPr="0076589C">
        <w:rPr>
          <w:lang w:val="es-HN"/>
        </w:rPr>
        <w:t>co</w:t>
      </w:r>
      <w:r w:rsidRPr="0076589C">
        <w:rPr>
          <w:lang w:val="es-HN"/>
        </w:rPr>
        <w:t xml:space="preserve"> para que esté conectado al dispositivo electrónico y se puede imprimir el recibo de cobro. </w:t>
      </w:r>
    </w:p>
    <w:p w14:paraId="4F9CA0DF" w14:textId="576996B2" w:rsidR="005A3B0D" w:rsidRPr="0076589C" w:rsidRDefault="005A3B0D" w:rsidP="00A3401F">
      <w:pPr>
        <w:pStyle w:val="TextoPrincipal"/>
        <w:jc w:val="center"/>
        <w:rPr>
          <w:lang w:val="es-HN"/>
        </w:rPr>
      </w:pPr>
    </w:p>
    <w:p w14:paraId="4EB12D90" w14:textId="7EBBDD66" w:rsidR="00D17326" w:rsidRPr="0076589C" w:rsidRDefault="00D17326" w:rsidP="00A3401F">
      <w:pPr>
        <w:pStyle w:val="TextoPrincipal"/>
        <w:jc w:val="center"/>
        <w:rPr>
          <w:lang w:val="es-HN"/>
        </w:rPr>
      </w:pPr>
      <w:r w:rsidRPr="0076589C">
        <w:rPr>
          <w:noProof/>
          <w:lang w:val="es-HN" w:eastAsia="es-HN"/>
        </w:rPr>
        <w:lastRenderedPageBreak/>
        <w:drawing>
          <wp:inline distT="0" distB="0" distL="0" distR="0" wp14:anchorId="0829927C" wp14:editId="79F21702">
            <wp:extent cx="2335188" cy="3412967"/>
            <wp:effectExtent l="19050" t="19050" r="27305" b="16510"/>
            <wp:docPr id="93239202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2392029" name=""/>
                    <pic:cNvPicPr/>
                  </pic:nvPicPr>
                  <pic:blipFill>
                    <a:blip r:embed="rId34"/>
                    <a:stretch>
                      <a:fillRect/>
                    </a:stretch>
                  </pic:blipFill>
                  <pic:spPr>
                    <a:xfrm>
                      <a:off x="0" y="0"/>
                      <a:ext cx="2347580" cy="3431079"/>
                    </a:xfrm>
                    <a:prstGeom prst="rect">
                      <a:avLst/>
                    </a:prstGeom>
                    <a:ln>
                      <a:solidFill>
                        <a:schemeClr val="bg1">
                          <a:lumMod val="85000"/>
                        </a:schemeClr>
                      </a:solidFill>
                    </a:ln>
                  </pic:spPr>
                </pic:pic>
              </a:graphicData>
            </a:graphic>
          </wp:inline>
        </w:drawing>
      </w:r>
    </w:p>
    <w:p w14:paraId="28910E81" w14:textId="3FE9C480" w:rsidR="005A3B0D" w:rsidRPr="0076589C" w:rsidRDefault="005A3B0D" w:rsidP="00A3401F">
      <w:pPr>
        <w:pStyle w:val="ImagenyTabla"/>
        <w:jc w:val="center"/>
        <w:rPr>
          <w:noProof w:val="0"/>
        </w:rPr>
      </w:pPr>
      <w:bookmarkStart w:id="336" w:name="_Toc158365605"/>
      <w:r w:rsidRPr="0076589C">
        <w:t xml:space="preserve">Figura </w:t>
      </w:r>
      <w:r w:rsidRPr="0076589C">
        <w:rPr>
          <w:noProof w:val="0"/>
        </w:rPr>
        <w:fldChar w:fldCharType="begin"/>
      </w:r>
      <w:r w:rsidRPr="0076589C">
        <w:rPr>
          <w:noProof w:val="0"/>
        </w:rPr>
        <w:instrText xml:space="preserve"> SEQ Figura \* ARABIC </w:instrText>
      </w:r>
      <w:r w:rsidRPr="0076589C">
        <w:rPr>
          <w:noProof w:val="0"/>
        </w:rPr>
        <w:fldChar w:fldCharType="separate"/>
      </w:r>
      <w:r w:rsidR="009F171A">
        <w:t>20</w:t>
      </w:r>
      <w:r w:rsidRPr="0076589C">
        <w:rPr>
          <w:noProof w:val="0"/>
        </w:rPr>
        <w:fldChar w:fldCharType="end"/>
      </w:r>
      <w:r w:rsidRPr="0076589C">
        <w:t xml:space="preserve">. </w:t>
      </w:r>
      <w:r w:rsidR="00A3401F" w:rsidRPr="0076589C">
        <w:t>Recibo de</w:t>
      </w:r>
      <w:r w:rsidRPr="0076589C">
        <w:t xml:space="preserve"> IPRA</w:t>
      </w:r>
      <w:bookmarkEnd w:id="336"/>
    </w:p>
    <w:p w14:paraId="1BDD03B3" w14:textId="7600CD27" w:rsidR="00A3401F" w:rsidRPr="0076589C" w:rsidRDefault="005A3B0D" w:rsidP="00646AE2">
      <w:pPr>
        <w:pStyle w:val="Fuentes"/>
        <w:jc w:val="center"/>
        <w:rPr>
          <w:lang w:val="es-HN"/>
        </w:rPr>
      </w:pPr>
      <w:r w:rsidRPr="0076589C">
        <w:rPr>
          <w:lang w:val="es-HN"/>
        </w:rPr>
        <w:t>Fuente: Elaboración propia</w:t>
      </w:r>
    </w:p>
    <w:p w14:paraId="6E3418E0" w14:textId="77777777" w:rsidR="00646AE2" w:rsidRPr="0076589C" w:rsidRDefault="00646AE2" w:rsidP="00646AE2">
      <w:pPr>
        <w:pStyle w:val="Fuentes"/>
        <w:spacing w:after="0"/>
        <w:jc w:val="center"/>
        <w:rPr>
          <w:lang w:val="es-HN"/>
        </w:rPr>
      </w:pPr>
    </w:p>
    <w:p w14:paraId="78DA40F0" w14:textId="4D75F4CF" w:rsidR="00767481" w:rsidRPr="0076589C" w:rsidRDefault="5D60753A" w:rsidP="00767481">
      <w:pPr>
        <w:pStyle w:val="TextoPrincipal"/>
        <w:numPr>
          <w:ilvl w:val="0"/>
          <w:numId w:val="52"/>
        </w:numPr>
        <w:rPr>
          <w:lang w:val="es-HN"/>
        </w:rPr>
      </w:pPr>
      <w:r w:rsidRPr="0076589C">
        <w:rPr>
          <w:lang w:val="es-HN"/>
        </w:rPr>
        <w:t xml:space="preserve">Validación de equipo de crédito: Una vez que el recibo ya se haya impreso y este en sistema, la persona encargada de postear en el sistema para eliminar esas facturas debe dar una validación que se ingresó todo correctamente. </w:t>
      </w:r>
    </w:p>
    <w:p w14:paraId="67FA354A" w14:textId="77777777" w:rsidR="00767481" w:rsidRPr="0076589C" w:rsidRDefault="00767481" w:rsidP="00767481">
      <w:pPr>
        <w:pStyle w:val="TextoPrincipal"/>
        <w:numPr>
          <w:ilvl w:val="0"/>
          <w:numId w:val="52"/>
        </w:numPr>
        <w:rPr>
          <w:lang w:val="es-HN"/>
        </w:rPr>
      </w:pPr>
      <w:r w:rsidRPr="0076589C">
        <w:rPr>
          <w:lang w:val="es-HN"/>
        </w:rPr>
        <w:t>Notificaciones automáticas: El sistema debe enviar automáticamente recordatorios de pago a los clientes a los 30, 45 y 60 días del vencimiento de sus cuentas.</w:t>
      </w:r>
    </w:p>
    <w:p w14:paraId="30B69581" w14:textId="2ABB3128" w:rsidR="5D60753A" w:rsidRPr="0076589C" w:rsidRDefault="2A60333D" w:rsidP="5D60753A">
      <w:pPr>
        <w:pStyle w:val="TextoPrincipal"/>
        <w:numPr>
          <w:ilvl w:val="0"/>
          <w:numId w:val="52"/>
        </w:numPr>
        <w:rPr>
          <w:lang w:val="es-HN"/>
        </w:rPr>
      </w:pPr>
      <w:r w:rsidRPr="0076589C">
        <w:rPr>
          <w:lang w:val="es-HN"/>
        </w:rPr>
        <w:t>Generación de reportes de la antigüedad de las cuentas por cobrar: se pretende que el sistema tenga como un semáforo, donde alerte a los supervisores de crédito cuando una factura este a 60 días o más de 90 días en una pantalla donde se muestre a diario las facturas con esas condiciones y así se pueda realizar oportunos planes preventivos de cobro.</w:t>
      </w:r>
    </w:p>
    <w:p w14:paraId="220F0C33" w14:textId="528E8F71" w:rsidR="2A60333D" w:rsidRPr="0076589C" w:rsidRDefault="005149D7" w:rsidP="00646AE2">
      <w:pPr>
        <w:pStyle w:val="TextoPrincipal"/>
        <w:ind w:left="360"/>
        <w:jc w:val="center"/>
        <w:rPr>
          <w:lang w:val="es-HN"/>
        </w:rPr>
      </w:pPr>
      <w:r w:rsidRPr="0076589C">
        <w:rPr>
          <w:noProof/>
          <w:lang w:val="es-HN" w:eastAsia="es-HN"/>
        </w:rPr>
        <w:lastRenderedPageBreak/>
        <w:drawing>
          <wp:inline distT="0" distB="0" distL="0" distR="0" wp14:anchorId="4221D12B" wp14:editId="6DFE827A">
            <wp:extent cx="2255421" cy="3600000"/>
            <wp:effectExtent l="0" t="0" r="0" b="635"/>
            <wp:docPr id="118413419" name="Picture 118413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413419" name="Imagen 118413419"/>
                    <pic:cNvPicPr/>
                  </pic:nvPicPr>
                  <pic:blipFill rotWithShape="1">
                    <a:blip r:embed="rId35" cstate="print">
                      <a:extLst>
                        <a:ext uri="{28A0092B-C50C-407E-A947-70E740481C1C}">
                          <a14:useLocalDpi xmlns:a14="http://schemas.microsoft.com/office/drawing/2010/main" val="0"/>
                        </a:ext>
                      </a:extLst>
                    </a:blip>
                    <a:srcRect l="1708" t="4872" b="8245"/>
                    <a:stretch/>
                  </pic:blipFill>
                  <pic:spPr bwMode="auto">
                    <a:xfrm>
                      <a:off x="0" y="0"/>
                      <a:ext cx="2255421" cy="3600000"/>
                    </a:xfrm>
                    <a:prstGeom prst="rect">
                      <a:avLst/>
                    </a:prstGeom>
                    <a:ln>
                      <a:noFill/>
                    </a:ln>
                    <a:extLst>
                      <a:ext uri="{53640926-AAD7-44D8-BBD7-CCE9431645EC}">
                        <a14:shadowObscured xmlns:a14="http://schemas.microsoft.com/office/drawing/2010/main"/>
                      </a:ext>
                    </a:extLst>
                  </pic:spPr>
                </pic:pic>
              </a:graphicData>
            </a:graphic>
          </wp:inline>
        </w:drawing>
      </w:r>
    </w:p>
    <w:p w14:paraId="61D95092" w14:textId="2965EA3E" w:rsidR="00944084" w:rsidRPr="0076589C" w:rsidRDefault="00944084" w:rsidP="00646AE2">
      <w:pPr>
        <w:pStyle w:val="ImagenyTabla"/>
        <w:jc w:val="center"/>
        <w:rPr>
          <w:noProof w:val="0"/>
        </w:rPr>
      </w:pPr>
      <w:bookmarkStart w:id="337" w:name="_Toc158365606"/>
      <w:r w:rsidRPr="0076589C">
        <w:t xml:space="preserve">Figura </w:t>
      </w:r>
      <w:r w:rsidRPr="0076589C">
        <w:rPr>
          <w:noProof w:val="0"/>
        </w:rPr>
        <w:fldChar w:fldCharType="begin"/>
      </w:r>
      <w:r w:rsidRPr="0076589C">
        <w:rPr>
          <w:noProof w:val="0"/>
        </w:rPr>
        <w:instrText xml:space="preserve"> SEQ Figura \* ARABIC </w:instrText>
      </w:r>
      <w:r w:rsidRPr="0076589C">
        <w:rPr>
          <w:noProof w:val="0"/>
        </w:rPr>
        <w:fldChar w:fldCharType="separate"/>
      </w:r>
      <w:r w:rsidR="009F171A">
        <w:t>21</w:t>
      </w:r>
      <w:r w:rsidRPr="0076589C">
        <w:rPr>
          <w:noProof w:val="0"/>
        </w:rPr>
        <w:fldChar w:fldCharType="end"/>
      </w:r>
      <w:r w:rsidRPr="0076589C">
        <w:t>. Generación de reportes de antigüedad de cuentas por cobrar</w:t>
      </w:r>
      <w:bookmarkEnd w:id="337"/>
    </w:p>
    <w:p w14:paraId="52B0C097" w14:textId="68F4EA92" w:rsidR="00944084" w:rsidRPr="0076589C" w:rsidRDefault="00944084" w:rsidP="00646AE2">
      <w:pPr>
        <w:pStyle w:val="Fuentes"/>
        <w:jc w:val="center"/>
        <w:rPr>
          <w:lang w:val="es-HN"/>
        </w:rPr>
      </w:pPr>
      <w:r w:rsidRPr="0076589C">
        <w:rPr>
          <w:lang w:val="es-HN"/>
        </w:rPr>
        <w:t>Fuente: Elaboración propia</w:t>
      </w:r>
    </w:p>
    <w:p w14:paraId="15AC8DB5" w14:textId="41DF6B8B" w:rsidR="5D60753A" w:rsidRPr="0076589C" w:rsidRDefault="5D60753A" w:rsidP="5D60753A">
      <w:pPr>
        <w:pStyle w:val="TextoPrincipal"/>
        <w:ind w:firstLine="0"/>
        <w:rPr>
          <w:lang w:val="es-HN"/>
        </w:rPr>
      </w:pPr>
      <w:r w:rsidRPr="0076589C">
        <w:rPr>
          <w:lang w:val="es-HN"/>
        </w:rPr>
        <w:t>Este sistema permitirá que IPRA:</w:t>
      </w:r>
    </w:p>
    <w:p w14:paraId="2E9D4CB5" w14:textId="1C94C6FC" w:rsidR="5D60753A" w:rsidRPr="0076589C" w:rsidRDefault="5D60753A" w:rsidP="5D60753A">
      <w:pPr>
        <w:pStyle w:val="TextoPrincipal"/>
        <w:rPr>
          <w:lang w:val="es-HN"/>
        </w:rPr>
      </w:pPr>
      <w:r w:rsidRPr="0076589C">
        <w:rPr>
          <w:lang w:val="es-HN"/>
        </w:rPr>
        <w:t xml:space="preserve">1. Automatiza el registro de pagos al vincularlo directamente con las transacciones </w:t>
      </w:r>
      <w:r w:rsidRPr="0076589C">
        <w:rPr>
          <w:lang w:val="es-HN"/>
        </w:rPr>
        <w:tab/>
        <w:t>registradas en el sistema, eliminando la necesidad de ingreso manual cuando sea posible.</w:t>
      </w:r>
    </w:p>
    <w:p w14:paraId="1898EDDD" w14:textId="02D7D0E3" w:rsidR="5D60753A" w:rsidRPr="0076589C" w:rsidRDefault="5D60753A" w:rsidP="5D60753A">
      <w:pPr>
        <w:pStyle w:val="TextoPrincipal"/>
        <w:rPr>
          <w:lang w:val="es-HN"/>
        </w:rPr>
      </w:pPr>
      <w:r w:rsidRPr="0076589C">
        <w:rPr>
          <w:lang w:val="es-HN"/>
        </w:rPr>
        <w:t xml:space="preserve">2. Permite el registro de pagos parciales, lo que es especialmente útil en situaciones </w:t>
      </w:r>
      <w:r w:rsidRPr="0076589C">
        <w:rPr>
          <w:lang w:val="es-HN"/>
        </w:rPr>
        <w:tab/>
        <w:t>donde los clientes realizan pagos fraccionados.</w:t>
      </w:r>
    </w:p>
    <w:p w14:paraId="022391DC" w14:textId="0D234500" w:rsidR="5D60753A" w:rsidRPr="0076589C" w:rsidRDefault="5D60753A" w:rsidP="5D60753A">
      <w:pPr>
        <w:pStyle w:val="TextoPrincipal"/>
        <w:rPr>
          <w:lang w:val="es-HN"/>
        </w:rPr>
      </w:pPr>
      <w:r w:rsidRPr="0076589C">
        <w:rPr>
          <w:lang w:val="es-HN"/>
        </w:rPr>
        <w:t xml:space="preserve">3. Facilita la asociación de los pagos con las facturas correspondientes, garantizando una </w:t>
      </w:r>
      <w:r w:rsidRPr="0076589C">
        <w:rPr>
          <w:lang w:val="es-HN"/>
        </w:rPr>
        <w:tab/>
        <w:t>conciliación precisa y evitando discrepancias en los registros contables.</w:t>
      </w:r>
    </w:p>
    <w:p w14:paraId="36BE9C83" w14:textId="70905B6D" w:rsidR="5D60753A" w:rsidRPr="0076589C" w:rsidRDefault="5D60753A" w:rsidP="5D60753A">
      <w:pPr>
        <w:pStyle w:val="TextoPrincipal"/>
        <w:rPr>
          <w:lang w:val="es-HN"/>
        </w:rPr>
      </w:pPr>
      <w:r w:rsidRPr="0076589C">
        <w:rPr>
          <w:lang w:val="es-HN"/>
        </w:rPr>
        <w:t xml:space="preserve">4. Facilita la generación de informes específicos relacionados con los pagos, como </w:t>
      </w:r>
      <w:r w:rsidRPr="0076589C">
        <w:rPr>
          <w:lang w:val="es-HN"/>
        </w:rPr>
        <w:tab/>
        <w:t xml:space="preserve">resúmenes mensuales, análisis de tendencias y estados de cuenta detallados. </w:t>
      </w:r>
    </w:p>
    <w:p w14:paraId="0A495C8A" w14:textId="17946F32" w:rsidR="5D60753A" w:rsidRPr="0076589C" w:rsidRDefault="5D60753A" w:rsidP="5D60753A">
      <w:pPr>
        <w:pStyle w:val="TextoPrincipal"/>
        <w:rPr>
          <w:lang w:val="es-HN"/>
        </w:rPr>
      </w:pPr>
      <w:r w:rsidRPr="0076589C">
        <w:rPr>
          <w:lang w:val="es-HN"/>
        </w:rPr>
        <w:t xml:space="preserve">5. Implementa validaciones automáticas para garantizar la precisión de los datos </w:t>
      </w:r>
      <w:r w:rsidRPr="0076589C">
        <w:rPr>
          <w:lang w:val="es-HN"/>
        </w:rPr>
        <w:tab/>
      </w:r>
      <w:r w:rsidRPr="0076589C">
        <w:rPr>
          <w:lang w:val="es-HN"/>
        </w:rPr>
        <w:tab/>
      </w:r>
      <w:r w:rsidRPr="0076589C">
        <w:rPr>
          <w:lang w:val="es-HN"/>
        </w:rPr>
        <w:tab/>
        <w:t xml:space="preserve">ingresados, evitando errores humanos y mejorando la integridad de los registros </w:t>
      </w:r>
      <w:r w:rsidRPr="0076589C">
        <w:rPr>
          <w:lang w:val="es-HN"/>
        </w:rPr>
        <w:tab/>
      </w:r>
      <w:r w:rsidRPr="0076589C">
        <w:rPr>
          <w:lang w:val="es-HN"/>
        </w:rPr>
        <w:tab/>
        <w:t>financieros.</w:t>
      </w:r>
    </w:p>
    <w:p w14:paraId="2BF254E7" w14:textId="33FAC987" w:rsidR="5D60753A" w:rsidRPr="0076589C" w:rsidRDefault="5D60753A" w:rsidP="5D60753A">
      <w:pPr>
        <w:pStyle w:val="TextoPrincipal"/>
        <w:ind w:firstLine="0"/>
        <w:rPr>
          <w:lang w:val="es-HN"/>
        </w:rPr>
      </w:pPr>
      <w:r w:rsidRPr="0076589C">
        <w:rPr>
          <w:lang w:val="es-HN"/>
        </w:rPr>
        <w:t>Algunos de los beneficios que traerá este sistema:</w:t>
      </w:r>
    </w:p>
    <w:p w14:paraId="1EB447F4" w14:textId="1728DEE3" w:rsidR="5D60753A" w:rsidRPr="0076589C" w:rsidRDefault="5D60753A" w:rsidP="5D60753A">
      <w:pPr>
        <w:pStyle w:val="TextoPrincipal"/>
        <w:rPr>
          <w:lang w:val="es-HN"/>
        </w:rPr>
      </w:pPr>
      <w:r w:rsidRPr="0076589C">
        <w:rPr>
          <w:lang w:val="es-HN"/>
        </w:rPr>
        <w:lastRenderedPageBreak/>
        <w:t xml:space="preserve">1. Facilita un mejor control del flujo de efectivo al permitir un seguimiento en tiempo real </w:t>
      </w:r>
      <w:r w:rsidRPr="0076589C">
        <w:rPr>
          <w:lang w:val="es-HN"/>
        </w:rPr>
        <w:tab/>
        <w:t>de los pagos recibidos y pendientes.</w:t>
      </w:r>
    </w:p>
    <w:p w14:paraId="4F204319" w14:textId="20250536" w:rsidR="5D60753A" w:rsidRPr="0076589C" w:rsidRDefault="5D60753A" w:rsidP="5D60753A">
      <w:pPr>
        <w:pStyle w:val="TextoPrincipal"/>
        <w:rPr>
          <w:lang w:val="es-HN"/>
        </w:rPr>
      </w:pPr>
      <w:r w:rsidRPr="0076589C">
        <w:rPr>
          <w:lang w:val="es-HN"/>
        </w:rPr>
        <w:t xml:space="preserve">2. Facilita una gestión proactiva al alertar sobre pagos vencidos o pendientes, permitiendo </w:t>
      </w:r>
      <w:r w:rsidRPr="0076589C">
        <w:rPr>
          <w:lang w:val="es-HN"/>
        </w:rPr>
        <w:tab/>
        <w:t>a IPRA tomar medidas rápidas para abordar cualquier problema.</w:t>
      </w:r>
    </w:p>
    <w:p w14:paraId="4CE48845" w14:textId="2D42BEDA" w:rsidR="5D60753A" w:rsidRPr="0076589C" w:rsidRDefault="5D60753A" w:rsidP="5D60753A">
      <w:pPr>
        <w:pStyle w:val="TextoPrincipal"/>
        <w:rPr>
          <w:lang w:val="es-HN"/>
        </w:rPr>
      </w:pPr>
      <w:r w:rsidRPr="0076589C">
        <w:rPr>
          <w:lang w:val="es-HN"/>
        </w:rPr>
        <w:t xml:space="preserve">3. Proporciona a IPRA una visión clara y transparente de todos los pagos realizados, lo </w:t>
      </w:r>
      <w:r w:rsidRPr="0076589C">
        <w:rPr>
          <w:lang w:val="es-HN"/>
        </w:rPr>
        <w:tab/>
        <w:t>que facilita la toma de decisiones informadas sobre la gestión de cuentas por cobrar.</w:t>
      </w:r>
    </w:p>
    <w:p w14:paraId="6C1A2952" w14:textId="77777777" w:rsidR="00767481" w:rsidRPr="0076589C" w:rsidRDefault="00767481" w:rsidP="00767481">
      <w:pPr>
        <w:pStyle w:val="TextoPrincipal"/>
        <w:rPr>
          <w:b/>
          <w:bCs/>
          <w:lang w:val="es-HN"/>
        </w:rPr>
      </w:pPr>
      <w:r w:rsidRPr="0076589C">
        <w:rPr>
          <w:b/>
          <w:bCs/>
          <w:lang w:val="es-HN"/>
        </w:rPr>
        <w:t xml:space="preserve">B. Requisitos técnicos: </w:t>
      </w:r>
    </w:p>
    <w:p w14:paraId="42B014C4" w14:textId="6DED001C" w:rsidR="00767481" w:rsidRPr="0076589C" w:rsidRDefault="5D60753A" w:rsidP="00767481">
      <w:pPr>
        <w:pStyle w:val="TextoPrincipal"/>
        <w:numPr>
          <w:ilvl w:val="0"/>
          <w:numId w:val="53"/>
        </w:numPr>
        <w:rPr>
          <w:lang w:val="es-HN"/>
        </w:rPr>
      </w:pPr>
      <w:r w:rsidRPr="0076589C">
        <w:rPr>
          <w:lang w:val="es-HN"/>
        </w:rPr>
        <w:t>Integración con sistema Andynamics: La integración efectiva con el sistema existente de Andynamics es crucial para garantizar la sinergia entre los diferentes componentes del entorno tecnológico de IPRA. La interoperabilidad fluida permitirá la transferencia de datos esenciales entre el módulo de cobranza y Andynamics, posibilitando una visión global y actualizada de la gestión financiera. La sincronización en tiempo real de información clave, como los pagos que han realizado los clientes y límites de crédito, facilitará la toma de decisiones informadas y optimizará la eficiencia operativa. Además, es imperativo que esta integración sea escalable, considerando futuras expansiones y actualizaciones del sistema para mantener la consistencia y la continuidad en el tiempo.</w:t>
      </w:r>
    </w:p>
    <w:p w14:paraId="78198548" w14:textId="4AB0AC91" w:rsidR="00767481" w:rsidRPr="0076589C" w:rsidRDefault="00767481" w:rsidP="00767481">
      <w:pPr>
        <w:pStyle w:val="TextoPrincipal"/>
        <w:numPr>
          <w:ilvl w:val="0"/>
          <w:numId w:val="53"/>
        </w:numPr>
        <w:rPr>
          <w:lang w:val="es-HN"/>
        </w:rPr>
      </w:pPr>
      <w:r w:rsidRPr="0076589C">
        <w:rPr>
          <w:lang w:val="es-HN"/>
        </w:rPr>
        <w:t xml:space="preserve">Seguridad de datos: Garantizar </w:t>
      </w:r>
      <w:r w:rsidR="5D60753A" w:rsidRPr="0076589C">
        <w:rPr>
          <w:lang w:val="es-HN"/>
        </w:rPr>
        <w:t>la seguridad de</w:t>
      </w:r>
      <w:r w:rsidRPr="0076589C">
        <w:rPr>
          <w:lang w:val="es-HN"/>
        </w:rPr>
        <w:t xml:space="preserve"> la información financiera y personal de los clientes de IPRA</w:t>
      </w:r>
      <w:r w:rsidR="5D60753A" w:rsidRPr="0076589C">
        <w:rPr>
          <w:lang w:val="es-HN"/>
        </w:rPr>
        <w:t xml:space="preserve"> es una prioridad fundamental. La implementación de medidas de seguridad sólidas, como el cifrado de datos y el control de acceso basado en roles, protegerá la confidencialidad y la integridad de los datos. Además, Este enfoque proactivo hacia la seguridad de datos no solo cumple con estándares legales y regulaciones, sino que también construye la confianza de los clientes, demostrando el compromiso de IPRA con la protección de la información sensible.</w:t>
      </w:r>
    </w:p>
    <w:p w14:paraId="061B1272" w14:textId="183145F6" w:rsidR="00767481" w:rsidRPr="0076589C" w:rsidRDefault="5D60753A" w:rsidP="00767481">
      <w:pPr>
        <w:pStyle w:val="TextoPrincipal"/>
        <w:numPr>
          <w:ilvl w:val="0"/>
          <w:numId w:val="53"/>
        </w:numPr>
        <w:rPr>
          <w:lang w:val="es-HN"/>
        </w:rPr>
      </w:pPr>
      <w:r w:rsidRPr="0076589C">
        <w:rPr>
          <w:lang w:val="es-HN"/>
        </w:rPr>
        <w:t xml:space="preserve">Respaldo y recuperación de datos: El respaldo regular y la capacidad de recuperación de datos son esenciales para mitigar el riesgo de pérdida de información crítica. La implementación de un sistema automático de respaldo garantizará que los datos estén protegidos contra posibles fallos del sistema o eventos inesperados. La estrategia de recuperación debe ser integral, abordando no </w:t>
      </w:r>
      <w:r w:rsidRPr="0076589C">
        <w:rPr>
          <w:lang w:val="es-HN"/>
        </w:rPr>
        <w:lastRenderedPageBreak/>
        <w:t>solo la disponibilidad de datos, sino también la velocidad con la que se pueden recuperar en caso de una interrupción. La combinación de respaldos frecuentes y una planificación eficiente de la recuperación permitirá a IPRA mantener la continuidad operativa incluso en escenarios adversos, respaldando así la confianza y la estabilidad del sistema.</w:t>
      </w:r>
    </w:p>
    <w:p w14:paraId="579F597B" w14:textId="21FB9C86" w:rsidR="00767481" w:rsidRPr="0076589C" w:rsidRDefault="5D60753A" w:rsidP="00767481">
      <w:pPr>
        <w:pStyle w:val="TextoPrincipal"/>
        <w:numPr>
          <w:ilvl w:val="0"/>
          <w:numId w:val="53"/>
        </w:numPr>
        <w:rPr>
          <w:lang w:val="es-HN"/>
        </w:rPr>
      </w:pPr>
      <w:r w:rsidRPr="0076589C">
        <w:rPr>
          <w:lang w:val="es-HN"/>
        </w:rPr>
        <w:t>Pruebas rigurosas: La realización de pruebas exhaustivas es un paso crítico para garantizar la estabilidad, rendimiento y seguridad del módulo de cobranza. Las pruebas de funcionalidad deben evaluar cada aspecto del software, desde la interacción del usuario hasta la ejecución precisa de las funciones automatizadas. Las pruebas de rendimiento deben simular condiciones de carga y estrés para identificar posibles cuellos de botella y asegurar un rendimiento óptimo en entornos de uso intensivo. Además, las pruebas de seguridad deben evaluar la resistencia del sistema a posibles vulnerabilidades y amenazas externas. Este enfoque riguroso garantiza que el módulo no solo cumple con los requisitos funcionales, sino que también es robusto, eficiente y seguro en todos los aspectos.</w:t>
      </w:r>
    </w:p>
    <w:p w14:paraId="1738BB1F" w14:textId="77777777" w:rsidR="00767481" w:rsidRPr="0076589C" w:rsidRDefault="00767481" w:rsidP="00767481">
      <w:pPr>
        <w:pStyle w:val="TextoPrincipal"/>
        <w:rPr>
          <w:b/>
          <w:bCs/>
          <w:lang w:val="es-HN"/>
        </w:rPr>
      </w:pPr>
      <w:r w:rsidRPr="0076589C">
        <w:rPr>
          <w:b/>
          <w:bCs/>
          <w:lang w:val="es-HN"/>
        </w:rPr>
        <w:t>C. Requisitos de usabilidad</w:t>
      </w:r>
    </w:p>
    <w:p w14:paraId="3914E0EE" w14:textId="0CC1C242" w:rsidR="5D60753A" w:rsidRPr="0076589C" w:rsidRDefault="2A60333D" w:rsidP="2A60333D">
      <w:pPr>
        <w:pStyle w:val="TextoPrincipal"/>
        <w:numPr>
          <w:ilvl w:val="0"/>
          <w:numId w:val="54"/>
        </w:numPr>
        <w:rPr>
          <w:lang w:val="es-HN"/>
        </w:rPr>
      </w:pPr>
      <w:r w:rsidRPr="0076589C">
        <w:rPr>
          <w:lang w:val="es-HN"/>
        </w:rPr>
        <w:t>Interfaz intuitiva: La interfaz de usuario del módulo de cobranza debe ser diseñada con un enfoque centrado en el usuario, priorizando la accesibilidad y la facilidad de uso. Una interfaz intuitiva garantiza que los usuarios puedan navegar sin esfuerzo por las funciones clave, facilitando la adopción rápida del sistema. Elementos visuales claros, una disposición lógica de funciones y la minimización de clics innecesarios contribuirán a una experiencia de usuario positiva. Además, se deben incorporar elementos de retroalimentación visual para guiar a los usuarios durante sus interacciones, mejorando así la usabilidad general del módulo.</w:t>
      </w:r>
    </w:p>
    <w:p w14:paraId="29338BE6" w14:textId="65B4C0F7" w:rsidR="00767481" w:rsidRPr="0076589C" w:rsidRDefault="5D60753A" w:rsidP="00767481">
      <w:pPr>
        <w:pStyle w:val="TextoPrincipal"/>
        <w:numPr>
          <w:ilvl w:val="0"/>
          <w:numId w:val="55"/>
        </w:numPr>
        <w:rPr>
          <w:lang w:val="es-HN"/>
        </w:rPr>
      </w:pPr>
      <w:r w:rsidRPr="0076589C">
        <w:rPr>
          <w:lang w:val="es-HN"/>
        </w:rPr>
        <w:t xml:space="preserve">Accesibilidad: Es esencial para garantizar que el módulo sea utilizable por usuarios con diversas capacidades y necesidades. La interfaz debe cumplir con estándares de accesibilidad reconocidos, como la compatibilidad con lectores de pantalla y la capacidad de navegación a través de teclado. La información visual debe tener alternativas textuales, y los colores y contrastes deben ser seleccionados cuidadosamente para facilitar la </w:t>
      </w:r>
      <w:r w:rsidRPr="0076589C">
        <w:rPr>
          <w:lang w:val="es-HN"/>
        </w:rPr>
        <w:lastRenderedPageBreak/>
        <w:t>percepción. La inclusión de opciones de personalización, como tamaños de fuente ajustables y preferencias de contraste, mejora aún más la accesibilidad para una gama diversa de usuarios.</w:t>
      </w:r>
    </w:p>
    <w:p w14:paraId="398ABF50" w14:textId="7C44BA71" w:rsidR="00767481" w:rsidRPr="0076589C" w:rsidRDefault="5D60753A" w:rsidP="00767481">
      <w:pPr>
        <w:pStyle w:val="TextoPrincipal"/>
        <w:numPr>
          <w:ilvl w:val="0"/>
          <w:numId w:val="55"/>
        </w:numPr>
        <w:rPr>
          <w:lang w:val="es-HN"/>
        </w:rPr>
      </w:pPr>
      <w:r w:rsidRPr="0076589C">
        <w:rPr>
          <w:lang w:val="es-HN"/>
        </w:rPr>
        <w:t>Prueba de usabilidad: La realización de pruebas de usabilidad es un componente esencial para evaluar la eficacia y eficiencia del diseño de la interfaz. Las pruebas deben involucrar a usuarios representativos del público objetivo de IPRA, observando cómo interactúan con el sistema y recopilando sus comentarios. Se deben evaluar aspectos como la navegación, la comprensión de las funciones y la capacidad de realizar tareas específicas de manera intuitiva. Los resultados de estas pruebas deben informar ajustes en el diseño de la interfaz para abordar cualquier problema identificado y mejorar la experiencia del usuario.</w:t>
      </w:r>
    </w:p>
    <w:p w14:paraId="1ADA21DA" w14:textId="55F39C70" w:rsidR="00767481" w:rsidRPr="0076589C" w:rsidRDefault="5D60753A" w:rsidP="00767481">
      <w:pPr>
        <w:pStyle w:val="TextoPrincipal"/>
        <w:numPr>
          <w:ilvl w:val="0"/>
          <w:numId w:val="55"/>
        </w:numPr>
        <w:rPr>
          <w:lang w:val="es-HN"/>
        </w:rPr>
      </w:pPr>
      <w:r w:rsidRPr="0076589C">
        <w:rPr>
          <w:lang w:val="es-HN"/>
        </w:rPr>
        <w:t>Retroalimentación de usuario: Establecer un sistema de retroalimentación de usuario continuo permite a IPRA recopilar comentarios directos sobre la usabilidad del módulo. Se deben proporcionar canales accesibles, como formularios en línea o buzones de sugerencias, para que los usuarios puedan compartir sus experiencias y hacer recomendaciones. La retroalimentación constante proporciona información valiosa que puede alimentar mejoras iterativas en el diseño de la interfaz y las funciones del módulo. La colaboración estrecha con los usuarios garantiza que el sistema evolucione para satisfacer sus necesidades cambiantes y mejore continuamente la usabilidad.</w:t>
      </w:r>
    </w:p>
    <w:p w14:paraId="5381687D" w14:textId="146CA79C" w:rsidR="5D60753A" w:rsidRPr="0076589C" w:rsidRDefault="5D60753A" w:rsidP="00646AE2">
      <w:pPr>
        <w:pStyle w:val="TextoPrincipal"/>
        <w:numPr>
          <w:ilvl w:val="0"/>
          <w:numId w:val="54"/>
        </w:numPr>
        <w:rPr>
          <w:lang w:val="es-HN"/>
        </w:rPr>
      </w:pPr>
      <w:r w:rsidRPr="0076589C">
        <w:rPr>
          <w:lang w:val="es-HN"/>
        </w:rPr>
        <w:t>Acceso móvil: Dado que la movilidad es una característica clave en el entorno laboral actual, el módulo de cobranza debe ser accesible desde dispositivos móviles. Esto implica una interfaz móvil optimizada que permita a los usuarios realizar tareas críticas de cobranza mientras están en movimiento. Además, se deben garantizar altos estándares de seguridad para proteger la información cuando se accede desde dispositivos móviles. El acceso móvil mejora la flexibilidad del equipo, permitiéndoles gestionar las cuentas por cobrar de manera efectiva incluso fuera de la oficina.</w:t>
      </w:r>
    </w:p>
    <w:p w14:paraId="44614406" w14:textId="77777777" w:rsidR="00767481" w:rsidRPr="0076589C" w:rsidRDefault="00767481" w:rsidP="00295511">
      <w:pPr>
        <w:pStyle w:val="Ttulonivel4"/>
        <w:numPr>
          <w:ilvl w:val="0"/>
          <w:numId w:val="56"/>
        </w:numPr>
        <w:ind w:left="1800"/>
      </w:pPr>
      <w:r w:rsidRPr="0076589C">
        <w:lastRenderedPageBreak/>
        <w:t>DISEÑO Y DESARROLLO</w:t>
      </w:r>
    </w:p>
    <w:p w14:paraId="5889A948" w14:textId="1C157A50" w:rsidR="00A46D04" w:rsidRPr="0076589C" w:rsidRDefault="00A46D04" w:rsidP="00E521C2">
      <w:pPr>
        <w:pStyle w:val="TextoPrincipal"/>
        <w:rPr>
          <w:lang w:val="es-HN"/>
        </w:rPr>
      </w:pPr>
      <w:r w:rsidRPr="0076589C">
        <w:rPr>
          <w:lang w:val="es-HN"/>
        </w:rPr>
        <w:t>P</w:t>
      </w:r>
      <w:r w:rsidR="00DB4B5D" w:rsidRPr="0076589C">
        <w:rPr>
          <w:lang w:val="es-HN"/>
        </w:rPr>
        <w:t>ara el diseño y desarrollo de un módulo de cobranza a</w:t>
      </w:r>
      <w:r w:rsidR="00F2052C" w:rsidRPr="0076589C">
        <w:rPr>
          <w:lang w:val="es-HN"/>
        </w:rPr>
        <w:t xml:space="preserve">barca cuatro fases fundamentales: diseño, desarrollo, pruebas e </w:t>
      </w:r>
      <w:r w:rsidR="006E69CD" w:rsidRPr="0076589C">
        <w:rPr>
          <w:lang w:val="es-HN"/>
        </w:rPr>
        <w:t>implementación.</w:t>
      </w:r>
      <w:r w:rsidR="00143C8A" w:rsidRPr="0076589C">
        <w:rPr>
          <w:lang w:val="es-HN"/>
        </w:rPr>
        <w:t xml:space="preserve"> Cada una serás explicada a continuación. </w:t>
      </w:r>
    </w:p>
    <w:p w14:paraId="33B9ED1C" w14:textId="37D5D27A" w:rsidR="00444197" w:rsidRPr="0076589C" w:rsidRDefault="00804E56" w:rsidP="00804E56">
      <w:pPr>
        <w:pStyle w:val="TextoPrincipal"/>
        <w:ind w:firstLine="0"/>
      </w:pPr>
      <w:r w:rsidRPr="0076589C">
        <w:rPr>
          <w:noProof/>
          <w:lang w:val="es-HN" w:eastAsia="es-HN"/>
        </w:rPr>
        <w:drawing>
          <wp:inline distT="0" distB="0" distL="0" distR="0" wp14:anchorId="20F860C6" wp14:editId="73A55D39">
            <wp:extent cx="5936583" cy="1668162"/>
            <wp:effectExtent l="0" t="0" r="7620" b="0"/>
            <wp:docPr id="200135749" name="Picture 2001357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6">
                      <a:extLst>
                        <a:ext uri="{28A0092B-C50C-407E-A947-70E740481C1C}">
                          <a14:useLocalDpi xmlns:a14="http://schemas.microsoft.com/office/drawing/2010/main" val="0"/>
                        </a:ext>
                      </a:extLst>
                    </a:blip>
                    <a:srcRect t="24127" b="38435"/>
                    <a:stretch/>
                  </pic:blipFill>
                  <pic:spPr bwMode="auto">
                    <a:xfrm>
                      <a:off x="0" y="0"/>
                      <a:ext cx="5936615" cy="1668171"/>
                    </a:xfrm>
                    <a:prstGeom prst="rect">
                      <a:avLst/>
                    </a:prstGeom>
                    <a:noFill/>
                    <a:ln>
                      <a:noFill/>
                    </a:ln>
                    <a:extLst>
                      <a:ext uri="{53640926-AAD7-44D8-BBD7-CCE9431645EC}">
                        <a14:shadowObscured xmlns:a14="http://schemas.microsoft.com/office/drawing/2010/main"/>
                      </a:ext>
                    </a:extLst>
                  </pic:spPr>
                </pic:pic>
              </a:graphicData>
            </a:graphic>
          </wp:inline>
        </w:drawing>
      </w:r>
    </w:p>
    <w:p w14:paraId="086B7E5B" w14:textId="34900F16" w:rsidR="00567CF6" w:rsidRPr="0076589C" w:rsidRDefault="00567CF6" w:rsidP="00567CF6">
      <w:pPr>
        <w:pStyle w:val="ImagenyTabla"/>
        <w:rPr>
          <w:noProof w:val="0"/>
        </w:rPr>
      </w:pPr>
      <w:bookmarkStart w:id="338" w:name="_Toc158365607"/>
      <w:r w:rsidRPr="0076589C">
        <w:t xml:space="preserve">Figura </w:t>
      </w:r>
      <w:r w:rsidRPr="0076589C">
        <w:rPr>
          <w:noProof w:val="0"/>
        </w:rPr>
        <w:fldChar w:fldCharType="begin"/>
      </w:r>
      <w:r w:rsidRPr="0076589C">
        <w:rPr>
          <w:noProof w:val="0"/>
        </w:rPr>
        <w:instrText xml:space="preserve"> SEQ Figura \* ARABIC </w:instrText>
      </w:r>
      <w:r w:rsidRPr="0076589C">
        <w:rPr>
          <w:noProof w:val="0"/>
        </w:rPr>
        <w:fldChar w:fldCharType="separate"/>
      </w:r>
      <w:r w:rsidR="009F171A">
        <w:t>22</w:t>
      </w:r>
      <w:r w:rsidRPr="0076589C">
        <w:rPr>
          <w:noProof w:val="0"/>
        </w:rPr>
        <w:fldChar w:fldCharType="end"/>
      </w:r>
      <w:r w:rsidRPr="0076589C">
        <w:t>. Diseño y desarrollo  Modulo de Cobrazana en IPRA</w:t>
      </w:r>
      <w:bookmarkEnd w:id="338"/>
    </w:p>
    <w:p w14:paraId="31E7105D" w14:textId="1F43DDD3" w:rsidR="00567CF6" w:rsidRPr="0076589C" w:rsidRDefault="00567CF6" w:rsidP="00FF4471">
      <w:pPr>
        <w:pStyle w:val="Fuentes"/>
        <w:rPr>
          <w:lang w:val="es-HN"/>
        </w:rPr>
      </w:pPr>
      <w:r w:rsidRPr="0076589C">
        <w:rPr>
          <w:lang w:val="es-HN"/>
        </w:rPr>
        <w:t>Fuente: Elaboración propia.</w:t>
      </w:r>
    </w:p>
    <w:p w14:paraId="627B77EA" w14:textId="77777777" w:rsidR="00767481" w:rsidRPr="0076589C" w:rsidRDefault="00767481" w:rsidP="00767481">
      <w:pPr>
        <w:pStyle w:val="TextoPrincipal"/>
        <w:numPr>
          <w:ilvl w:val="0"/>
          <w:numId w:val="57"/>
        </w:numPr>
        <w:rPr>
          <w:b/>
          <w:bCs/>
        </w:rPr>
      </w:pPr>
      <w:r w:rsidRPr="0076589C">
        <w:rPr>
          <w:b/>
          <w:bCs/>
        </w:rPr>
        <w:t>Fase del diseño:</w:t>
      </w:r>
    </w:p>
    <w:p w14:paraId="0B778CA4" w14:textId="2A435506" w:rsidR="00767481" w:rsidRPr="0076589C" w:rsidRDefault="5D60753A" w:rsidP="5D60753A">
      <w:pPr>
        <w:pStyle w:val="TextoPrincipal"/>
        <w:numPr>
          <w:ilvl w:val="0"/>
          <w:numId w:val="58"/>
        </w:numPr>
        <w:rPr>
          <w:lang w:val="es-HN"/>
        </w:rPr>
      </w:pPr>
      <w:r w:rsidRPr="0076589C">
        <w:rPr>
          <w:lang w:val="es-HN"/>
        </w:rPr>
        <w:t>Diseño de Interfaz de Usuario (UI): La creación de una interfaz de usuario atractiva y fácil de usar es esencial para el éxito del módulo de cobranza. Esto implica la cuidadosa selección de colores, tipografía y diseño general que mejore la legibilidad y la comprensión. La disposición lógica de los elementos, la navegación intuitiva y la inclusión de iconos claros contribuyen a una experiencia de usuario más efectiva. Además, se debe considerar la coherencia con la identidad de la marca para una integración sin fisuras con la imagen corporativa de IPRA.</w:t>
      </w:r>
    </w:p>
    <w:p w14:paraId="5AB8806D" w14:textId="067BFDF2" w:rsidR="671AE3F6" w:rsidRPr="0076589C" w:rsidRDefault="671AE3F6" w:rsidP="002B0267">
      <w:pPr>
        <w:pStyle w:val="TextoPrincipal"/>
        <w:numPr>
          <w:ilvl w:val="0"/>
          <w:numId w:val="58"/>
        </w:numPr>
        <w:rPr>
          <w:lang w:val="es-HN"/>
        </w:rPr>
      </w:pPr>
      <w:r w:rsidRPr="0076589C">
        <w:rPr>
          <w:lang w:val="es-HN"/>
        </w:rPr>
        <w:t>Diseño de Experiencia de Usuario (UX): La experiencia del usuario no solo se trata de la apariencia visual, sino también de cómo los usuarios interactúan y perciben el módulo de cobranza en su conjunto. Asegurar una experiencia de usuario fluida y eficiente implica comprender los flujos de trabajo del usuario y garantizar que las funciones estén disponibles donde y cuando se necesiten. Minimizar la fricción en las tareas comunes, proporcionar retroalimentación clara sobre las acciones del usuario y anticipar las necesidades del usuario son elementos clave de un diseño de experiencia de usuario exitoso. La usabilidad, la accesibilidad y la satisfacción general del usuario son prioridades centrales en esta fase.</w:t>
      </w:r>
    </w:p>
    <w:p w14:paraId="561FD46B" w14:textId="41769E14" w:rsidR="00DA0AE8" w:rsidRPr="0076589C" w:rsidRDefault="002B0267" w:rsidP="002B0267">
      <w:pPr>
        <w:pStyle w:val="TextoPrincipal"/>
        <w:ind w:left="360" w:firstLine="0"/>
        <w:rPr>
          <w:noProof/>
          <w:lang w:val="es-HN"/>
        </w:rPr>
      </w:pPr>
      <w:r w:rsidRPr="0076589C">
        <w:rPr>
          <w:noProof/>
          <w:lang w:val="es-HN" w:eastAsia="es-HN"/>
        </w:rPr>
        <w:lastRenderedPageBreak/>
        <w:drawing>
          <wp:inline distT="0" distB="0" distL="0" distR="0" wp14:anchorId="7719D411" wp14:editId="589BD9C7">
            <wp:extent cx="2822222" cy="3599131"/>
            <wp:effectExtent l="19050" t="19050" r="16510" b="20955"/>
            <wp:docPr id="1723128388" name="Picture 1723128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830465" cy="3609644"/>
                    </a:xfrm>
                    <a:prstGeom prst="rect">
                      <a:avLst/>
                    </a:prstGeom>
                    <a:noFill/>
                    <a:ln>
                      <a:solidFill>
                        <a:srgbClr val="85BADC"/>
                      </a:solidFill>
                    </a:ln>
                  </pic:spPr>
                </pic:pic>
              </a:graphicData>
            </a:graphic>
          </wp:inline>
        </w:drawing>
      </w:r>
      <w:r w:rsidRPr="0076589C">
        <w:rPr>
          <w:noProof/>
          <w:lang w:val="es-HN"/>
        </w:rPr>
        <w:t xml:space="preserve"> </w:t>
      </w:r>
      <w:r w:rsidRPr="0076589C">
        <w:rPr>
          <w:noProof/>
          <w:lang w:val="es-HN" w:eastAsia="es-HN"/>
        </w:rPr>
        <w:drawing>
          <wp:inline distT="0" distB="0" distL="0" distR="0" wp14:anchorId="268E6482" wp14:editId="108BA73F">
            <wp:extent cx="2800499" cy="3600000"/>
            <wp:effectExtent l="0" t="0" r="0" b="635"/>
            <wp:docPr id="1942885742" name="Picture 1942885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800499" cy="3600000"/>
                    </a:xfrm>
                    <a:prstGeom prst="rect">
                      <a:avLst/>
                    </a:prstGeom>
                    <a:noFill/>
                    <a:ln>
                      <a:noFill/>
                    </a:ln>
                  </pic:spPr>
                </pic:pic>
              </a:graphicData>
            </a:graphic>
          </wp:inline>
        </w:drawing>
      </w:r>
    </w:p>
    <w:p w14:paraId="786A3132" w14:textId="1B2929E0" w:rsidR="00B25EF0" w:rsidRPr="0076589C" w:rsidRDefault="00B25EF0" w:rsidP="00B25EF0">
      <w:pPr>
        <w:pStyle w:val="ImagenyTabla"/>
        <w:rPr>
          <w:noProof w:val="0"/>
        </w:rPr>
      </w:pPr>
      <w:bookmarkStart w:id="339" w:name="_Toc158365608"/>
      <w:r w:rsidRPr="0076589C">
        <w:t xml:space="preserve">Figura </w:t>
      </w:r>
      <w:r w:rsidRPr="0076589C">
        <w:rPr>
          <w:noProof w:val="0"/>
        </w:rPr>
        <w:fldChar w:fldCharType="begin"/>
      </w:r>
      <w:r w:rsidRPr="0076589C">
        <w:rPr>
          <w:noProof w:val="0"/>
        </w:rPr>
        <w:instrText xml:space="preserve"> SEQ Figura \* ARABIC </w:instrText>
      </w:r>
      <w:r w:rsidRPr="0076589C">
        <w:rPr>
          <w:noProof w:val="0"/>
        </w:rPr>
        <w:fldChar w:fldCharType="separate"/>
      </w:r>
      <w:r w:rsidR="009F171A">
        <w:t>23</w:t>
      </w:r>
      <w:r w:rsidRPr="0076589C">
        <w:rPr>
          <w:noProof w:val="0"/>
        </w:rPr>
        <w:fldChar w:fldCharType="end"/>
      </w:r>
      <w:r w:rsidRPr="0076589C">
        <w:t xml:space="preserve">. y Figura </w:t>
      </w:r>
      <w:r w:rsidRPr="0076589C">
        <w:rPr>
          <w:noProof w:val="0"/>
        </w:rPr>
        <w:fldChar w:fldCharType="begin"/>
      </w:r>
      <w:r w:rsidRPr="0076589C">
        <w:rPr>
          <w:noProof w:val="0"/>
        </w:rPr>
        <w:instrText xml:space="preserve"> SEQ Figura \* ARABIC </w:instrText>
      </w:r>
      <w:r w:rsidRPr="0076589C">
        <w:rPr>
          <w:noProof w:val="0"/>
        </w:rPr>
        <w:fldChar w:fldCharType="separate"/>
      </w:r>
      <w:r w:rsidR="009F171A">
        <w:t>24</w:t>
      </w:r>
      <w:r w:rsidRPr="0076589C">
        <w:rPr>
          <w:noProof w:val="0"/>
        </w:rPr>
        <w:fldChar w:fldCharType="end"/>
      </w:r>
      <w:r w:rsidRPr="0076589C">
        <w:t>. Interfaz de co</w:t>
      </w:r>
      <w:r w:rsidR="00736FEF" w:rsidRPr="0076589C">
        <w:t>bro</w:t>
      </w:r>
      <w:bookmarkEnd w:id="339"/>
    </w:p>
    <w:p w14:paraId="22A145CC" w14:textId="680910F4" w:rsidR="002B0267" w:rsidRPr="0076589C" w:rsidRDefault="00B25EF0" w:rsidP="00736FEF">
      <w:pPr>
        <w:pStyle w:val="Fuentes"/>
        <w:rPr>
          <w:lang w:val="es-HN"/>
        </w:rPr>
      </w:pPr>
      <w:r w:rsidRPr="0076589C">
        <w:rPr>
          <w:lang w:val="es-HN"/>
        </w:rPr>
        <w:t>Fuente: Elaboración propia.</w:t>
      </w:r>
    </w:p>
    <w:p w14:paraId="5B6FFA49" w14:textId="270759DB" w:rsidR="00767481" w:rsidRPr="0076589C" w:rsidRDefault="5D60753A" w:rsidP="5D60753A">
      <w:pPr>
        <w:pStyle w:val="TextoPrincipal"/>
        <w:numPr>
          <w:ilvl w:val="0"/>
          <w:numId w:val="58"/>
        </w:numPr>
        <w:rPr>
          <w:lang w:val="es-HN"/>
        </w:rPr>
      </w:pPr>
      <w:r w:rsidRPr="0076589C">
        <w:rPr>
          <w:lang w:val="es-HN"/>
        </w:rPr>
        <w:t>Formato del Reporte: El diseño de informes efectivos es esencial para proporcionar información financiera y de cobranza de manera clara y comprensible. Un informe bien diseñado debe presentar datos de manera visualmente atractiva y estructurada, utilizando gráficos, tablas y otros elementos visuales. La disposición y jerarquía de la información deben facilitar la identificación rápida de tendencias y patrones críticos. Además, se debe asegurar que la información clave esté resaltada, y que los informes sean fácilmente exportables en diferentes formatos para compartir con otros miembros del equipo o para fines de presentación.</w:t>
      </w:r>
    </w:p>
    <w:p w14:paraId="0697C8F9" w14:textId="6C7D6D14" w:rsidR="00767481" w:rsidRPr="0076589C" w:rsidRDefault="00767481" w:rsidP="00767481">
      <w:pPr>
        <w:pStyle w:val="TextoPrincipal"/>
        <w:numPr>
          <w:ilvl w:val="0"/>
          <w:numId w:val="58"/>
        </w:numPr>
        <w:rPr>
          <w:lang w:val="es-HN"/>
        </w:rPr>
      </w:pPr>
      <w:r w:rsidRPr="0076589C">
        <w:rPr>
          <w:lang w:val="es-HN"/>
        </w:rPr>
        <w:t xml:space="preserve">Segmentación por Plazos: </w:t>
      </w:r>
      <w:r w:rsidR="5D60753A" w:rsidRPr="0076589C">
        <w:rPr>
          <w:lang w:val="es-HN"/>
        </w:rPr>
        <w:t>La segmentación de cuentas por cobrar según plazos es fundamental para comprender y abordar la morosidad de manera efectiva. Al incluir</w:t>
      </w:r>
      <w:r w:rsidRPr="0076589C">
        <w:rPr>
          <w:lang w:val="es-HN"/>
        </w:rPr>
        <w:t xml:space="preserve"> segmentos distintos para cuentas pendientes a 30, 60, 90 días, etc</w:t>
      </w:r>
      <w:r w:rsidR="5D60753A" w:rsidRPr="0076589C">
        <w:rPr>
          <w:lang w:val="es-HN"/>
        </w:rPr>
        <w:t xml:space="preserve">., el módulo proporciona una visión detallada de la salud financiera de la empresa en diferentes intervalos de tiempo. Esto facilita la identificación de patrones de pago, la priorización de acciones y la implementación de estrategias específicas para cada </w:t>
      </w:r>
      <w:r w:rsidR="5D60753A" w:rsidRPr="0076589C">
        <w:rPr>
          <w:lang w:val="es-HN"/>
        </w:rPr>
        <w:lastRenderedPageBreak/>
        <w:t>segmento. La segmentación por plazos optimiza la gestión de cobros y contribuye a una recuperación más efectiva de cuentas atrasadas</w:t>
      </w:r>
      <w:r w:rsidRPr="0076589C">
        <w:rPr>
          <w:lang w:val="es-HN"/>
        </w:rPr>
        <w:t>.</w:t>
      </w:r>
    </w:p>
    <w:p w14:paraId="0805A0C6" w14:textId="79A96A8F" w:rsidR="00767481" w:rsidRPr="0076589C" w:rsidRDefault="00767481" w:rsidP="00767481">
      <w:pPr>
        <w:pStyle w:val="TextoPrincipal"/>
        <w:numPr>
          <w:ilvl w:val="0"/>
          <w:numId w:val="58"/>
        </w:numPr>
        <w:rPr>
          <w:lang w:val="es-HN"/>
        </w:rPr>
      </w:pPr>
      <w:r w:rsidRPr="0076589C">
        <w:rPr>
          <w:lang w:val="es-HN"/>
        </w:rPr>
        <w:t>Indicadores</w:t>
      </w:r>
      <w:r w:rsidR="000850BD" w:rsidRPr="0076589C">
        <w:rPr>
          <w:lang w:val="es-HN"/>
        </w:rPr>
        <w:t xml:space="preserve"> </w:t>
      </w:r>
      <w:r w:rsidRPr="0076589C">
        <w:rPr>
          <w:lang w:val="es-HN"/>
        </w:rPr>
        <w:t>Clave: Mostrar indicadores clave como porcentaje de cuentas atrasadas y montos pendientes.</w:t>
      </w:r>
    </w:p>
    <w:p w14:paraId="5AF574C4" w14:textId="3D7D71BB" w:rsidR="00767481" w:rsidRPr="0076589C" w:rsidRDefault="2A60333D" w:rsidP="00767481">
      <w:pPr>
        <w:pStyle w:val="TextoPrincipal"/>
        <w:numPr>
          <w:ilvl w:val="0"/>
          <w:numId w:val="57"/>
        </w:numPr>
        <w:rPr>
          <w:lang w:val="es-HN"/>
        </w:rPr>
      </w:pPr>
      <w:r w:rsidRPr="0076589C">
        <w:rPr>
          <w:b/>
          <w:bCs/>
          <w:lang w:val="es-HN"/>
        </w:rPr>
        <w:t xml:space="preserve">Fase del desarrollo: </w:t>
      </w:r>
      <w:r w:rsidRPr="0076589C">
        <w:rPr>
          <w:lang w:val="es-HN"/>
        </w:rPr>
        <w:t>es el núcleo del proceso de construcción del módulo de cobranza, donde se transforman los conceptos y requisitos diseñados en la fase anterior en un sistema funcional. Durante esta etapa, los desarrolladores trabajan en la codificación de los componentes del módulo, asegurando que cumplan con los requisitos funcionales y técnicos establecidos. Esto implica la creación de la lógica de negocios, la interfaz de usuario, la integración con sistemas existentes y la implementación de las funcionalidades clave del módulo. Es fundamental mantener un enfoque iterativo, permitiendo ajustes conforme se identifican oportunidades de mejora o cambios en los requisitos. Además, la documentación detallada de los procesos y la codificación asegura la comprensión clara y la mantenibilidad a medida que el módulo evoluciona. La fase de desarrollo no solo se trata de crear líneas de código, sino de construir una solución robusta y escalable que satisfaga las necesidades específicas de IPRA y contribuya a la mejora continua de la gestión de cobranza.</w:t>
      </w:r>
    </w:p>
    <w:p w14:paraId="158D5CD2" w14:textId="6F92C93C" w:rsidR="00767481" w:rsidRPr="0076589C" w:rsidRDefault="5D60753A" w:rsidP="00767481">
      <w:pPr>
        <w:pStyle w:val="TextoPrincipal"/>
        <w:numPr>
          <w:ilvl w:val="0"/>
          <w:numId w:val="57"/>
        </w:numPr>
        <w:rPr>
          <w:lang w:val="es-HN"/>
        </w:rPr>
      </w:pPr>
      <w:r w:rsidRPr="0076589C">
        <w:rPr>
          <w:b/>
          <w:bCs/>
          <w:lang w:val="es-HN"/>
        </w:rPr>
        <w:t xml:space="preserve">Fase de pruebas: </w:t>
      </w:r>
      <w:r w:rsidRPr="0076589C">
        <w:rPr>
          <w:lang w:val="es-HN"/>
        </w:rPr>
        <w:t>La fase de pruebas es crucial para identificar y corregir cualquier problema antes del lanzamiento del módulo de cobranza. La ejecución de pruebas exhaustivas, que abarquen desde la funcionalidad básica hasta la seguridad y el rendimiento, garantiza la estabilidad y confiabilidad del sistema. Las pruebas deben incluir casos de uso realistas, escenarios extremos y situaciones de carga para evaluar la respuesta del módulo en condiciones diversas. La identificación temprana de errores y la corrección oportuna aseguran un despliegue sin problemas y una experiencia de usuario sin interrupciones.</w:t>
      </w:r>
    </w:p>
    <w:p w14:paraId="790E82DD" w14:textId="37C7E580" w:rsidR="5D60753A" w:rsidRPr="0076589C" w:rsidRDefault="5D60753A" w:rsidP="5D60753A">
      <w:pPr>
        <w:pStyle w:val="TextoPrincipal"/>
        <w:numPr>
          <w:ilvl w:val="0"/>
          <w:numId w:val="57"/>
        </w:numPr>
        <w:rPr>
          <w:lang w:val="es-HN"/>
        </w:rPr>
      </w:pPr>
      <w:r w:rsidRPr="0076589C">
        <w:rPr>
          <w:b/>
          <w:bCs/>
          <w:lang w:val="es-HN"/>
        </w:rPr>
        <w:t xml:space="preserve">Implementación: </w:t>
      </w:r>
      <w:r w:rsidRPr="0076589C">
        <w:rPr>
          <w:lang w:val="es-HN"/>
        </w:rPr>
        <w:t>Está fase</w:t>
      </w:r>
      <w:r w:rsidRPr="0076589C">
        <w:rPr>
          <w:b/>
          <w:bCs/>
          <w:lang w:val="es-HN"/>
        </w:rPr>
        <w:t xml:space="preserve"> </w:t>
      </w:r>
      <w:r w:rsidRPr="0076589C">
        <w:rPr>
          <w:lang w:val="es-HN"/>
        </w:rPr>
        <w:t>marca el momento crucial en el cual el módulo de cobranza se integra completamente en el entorno operativo de IPRA. Para garantizar una transición fluida y efectiva, se deben emplear estrategias de implementación bien planificadas y ejecutadas.</w:t>
      </w:r>
    </w:p>
    <w:p w14:paraId="76E57BD6" w14:textId="43EFF34B" w:rsidR="00767481" w:rsidRPr="0076589C" w:rsidRDefault="5D60753A" w:rsidP="5D60753A">
      <w:pPr>
        <w:pStyle w:val="TextoPrincipal"/>
        <w:numPr>
          <w:ilvl w:val="1"/>
          <w:numId w:val="63"/>
        </w:numPr>
        <w:rPr>
          <w:lang w:val="es-HN"/>
        </w:rPr>
      </w:pPr>
      <w:r w:rsidRPr="0076589C">
        <w:rPr>
          <w:lang w:val="es-HN"/>
        </w:rPr>
        <w:lastRenderedPageBreak/>
        <w:t xml:space="preserve">Estrategias de implementación: La estrategia de implementación debe abordar diversos aspectos, desde la instalación técnica del </w:t>
      </w:r>
      <w:r w:rsidR="00EC3EEF" w:rsidRPr="0076589C">
        <w:rPr>
          <w:lang w:val="es-HN"/>
        </w:rPr>
        <w:t>módulo</w:t>
      </w:r>
      <w:r w:rsidRPr="0076589C">
        <w:rPr>
          <w:lang w:val="es-HN"/>
        </w:rPr>
        <w:t xml:space="preserve"> hasta la adaptación cultural y operativa de la organización. Incluir un plan de implementación detallado, que establezca un cronograma claro, asignación de responsabilidades y metas específicas, es esencial. También se deben considerar sesiones de capacitación exhaustivas y recursos de soporte para ayudar a los usuarios a familiarizarse con el nuevo sistema. Además, es crucial establecer protocolos para gestionar posibles obstáculos y garantizar una transición sin inconvenientes.</w:t>
      </w:r>
    </w:p>
    <w:p w14:paraId="5CCCB45B" w14:textId="33C64C03" w:rsidR="00767481" w:rsidRPr="0076589C" w:rsidRDefault="5D60753A" w:rsidP="5D60753A">
      <w:pPr>
        <w:pStyle w:val="TextoPrincipal"/>
        <w:numPr>
          <w:ilvl w:val="1"/>
          <w:numId w:val="63"/>
        </w:numPr>
        <w:rPr>
          <w:lang w:val="es-HN"/>
        </w:rPr>
      </w:pPr>
      <w:r w:rsidRPr="0076589C">
        <w:rPr>
          <w:lang w:val="es-HN"/>
        </w:rPr>
        <w:t>Comunicación proactiva: La comunicación proactiva desempeña un papel central en el éxito de la implementación. Desde las etapas iniciales, se deben comunicar claramente los objetivos del nuevo módulo, los cambios operativos esperados y los beneficios para la organización. Mantener a los miembros del equipo informados sobre el progreso, los hitos alcanzados y las próximas fases contribuirá a reducir la incertidumbre y fomentará la aceptación del cambio. La creación de canales de comunicación efectivos, como reuniones periódicas y actualizaciones por correo electrónico, proporcionará un espacio para abordar preguntas y preocupaciones, fomentando así un ambiente de colaboración durante la implementación.</w:t>
      </w:r>
    </w:p>
    <w:p w14:paraId="342FEB63" w14:textId="1D35B9CD" w:rsidR="00767481" w:rsidRPr="0076589C" w:rsidRDefault="5D60753A" w:rsidP="5D60753A">
      <w:pPr>
        <w:pStyle w:val="TextoPrincipal"/>
        <w:numPr>
          <w:ilvl w:val="1"/>
          <w:numId w:val="63"/>
        </w:numPr>
        <w:rPr>
          <w:lang w:val="es-HN"/>
        </w:rPr>
      </w:pPr>
      <w:r w:rsidRPr="0076589C">
        <w:rPr>
          <w:lang w:val="es-HN"/>
        </w:rPr>
        <w:t>Participación activa: La participación activa del personal es esencial para garantizar una adopción exitosa del nuevo módulo. Involucrar a los usuarios clave desde las fases iniciales, como la selección del sistema, hasta la etapa de pruebas permite que el equipo se sienta parte del proceso de implementación. La capacitación debe ser interactiva y personalizada, adaptada a las necesidades específicas de los usuarios. Fomentar una cultura de participación activa implica facilitar la retroalimentación durante la implementación, brindando a los usuarios la oportunidad de expresar sus experiencias, identificar posibles mejoras y sentirse involucrados en la evolución del sistema.</w:t>
      </w:r>
    </w:p>
    <w:p w14:paraId="2D66171F" w14:textId="43A623BA" w:rsidR="00767481" w:rsidRPr="0076589C" w:rsidRDefault="5D60753A" w:rsidP="5D60753A">
      <w:pPr>
        <w:pStyle w:val="TextoPrincipal"/>
        <w:numPr>
          <w:ilvl w:val="1"/>
          <w:numId w:val="63"/>
        </w:numPr>
        <w:rPr>
          <w:lang w:val="es-HN"/>
        </w:rPr>
      </w:pPr>
      <w:r w:rsidRPr="0076589C">
        <w:rPr>
          <w:lang w:val="es-HN"/>
        </w:rPr>
        <w:t xml:space="preserve">Retroalimentación continua: Es un componente fundamental para ajustar y mejorar el módulo de cobranza después de la implementación inicial. Establecer mecanismos claros para recopilar comentarios, ya sea a través de encuestas, reuniones regulares o plataformas en línea, permite identificar rápidamente áreas </w:t>
      </w:r>
      <w:r w:rsidRPr="0076589C">
        <w:rPr>
          <w:lang w:val="es-HN"/>
        </w:rPr>
        <w:lastRenderedPageBreak/>
        <w:t>de mejora y abordar cualquier problema emergente. La retroalimentación también proporciona información valiosa para la planificación de futuras actualizaciones y mejoras. Alentar a los usuarios a compartir sus experiencias y sugerencias contribuye a la construcción de un sistema más efectivo y al fortalecimiento de la relación entre el equipo de desarrollo y los usuarios finales.</w:t>
      </w:r>
    </w:p>
    <w:p w14:paraId="3E9D3C22" w14:textId="2F0DA114" w:rsidR="00767481" w:rsidRPr="0076589C" w:rsidRDefault="5D60753A" w:rsidP="5D60753A">
      <w:pPr>
        <w:pStyle w:val="TextoPrincipal"/>
        <w:numPr>
          <w:ilvl w:val="1"/>
          <w:numId w:val="63"/>
        </w:numPr>
        <w:rPr>
          <w:lang w:val="es-HN"/>
        </w:rPr>
      </w:pPr>
      <w:r w:rsidRPr="0076589C">
        <w:rPr>
          <w:lang w:val="es-HN"/>
        </w:rPr>
        <w:t>Seguimiento: Esto implica monitorear la eficacia del sistema, evaluar la aceptación del usuario y abordar cualquier problema o desafío que pueda surgir después de la implementación. Programar revisiones periódicas permite mantenerse al tanto de la evolución de las necesidades del usuario y garantizar que el módulo esté alineado con los objetivos comerciales a largo plazo de IPRA. La fase de seguimiento también es una oportunidad para reconocer los éxitos, destacar las mejoras realizadas y mantener un diálogo abierto con el equipo sobre el camino a seguir.</w:t>
      </w:r>
    </w:p>
    <w:p w14:paraId="3118A8D6" w14:textId="77777777" w:rsidR="00767481" w:rsidRPr="0076589C" w:rsidRDefault="00767481" w:rsidP="00174BBE">
      <w:pPr>
        <w:pStyle w:val="Ttulonivel4"/>
        <w:numPr>
          <w:ilvl w:val="0"/>
          <w:numId w:val="56"/>
        </w:numPr>
        <w:ind w:left="1800"/>
      </w:pPr>
      <w:r w:rsidRPr="0076589C">
        <w:t>PLAN DE CAPACITACIÓN</w:t>
      </w:r>
    </w:p>
    <w:p w14:paraId="1A11F455" w14:textId="2620F638" w:rsidR="00767481" w:rsidRPr="0076589C" w:rsidRDefault="5D60753A" w:rsidP="00767481">
      <w:pPr>
        <w:spacing w:after="120" w:line="360" w:lineRule="auto"/>
        <w:ind w:left="1210"/>
        <w:jc w:val="both"/>
        <w:rPr>
          <w:rFonts w:eastAsia="Calibri" w:cs="Times New Roman"/>
        </w:rPr>
      </w:pPr>
      <w:r w:rsidRPr="0076589C">
        <w:rPr>
          <w:rFonts w:eastAsia="Calibri" w:cs="Times New Roman"/>
        </w:rPr>
        <w:t>Para garantizar una adopción efectiva del nuevo módulo de cobranza, se ha diseñado un plan de capacitación estructurado que abarca desde la orientación inicial hasta sesiones prácticas. La capacitación se llevará a cabo en varias etapas:</w:t>
      </w:r>
    </w:p>
    <w:p w14:paraId="3DD72B82" w14:textId="04601601" w:rsidR="00767481" w:rsidRPr="0076589C" w:rsidRDefault="5D60753A" w:rsidP="00134A75">
      <w:pPr>
        <w:numPr>
          <w:ilvl w:val="0"/>
          <w:numId w:val="59"/>
        </w:numPr>
        <w:spacing w:after="120" w:line="360" w:lineRule="auto"/>
        <w:jc w:val="both"/>
        <w:rPr>
          <w:rFonts w:eastAsia="Calibri" w:cs="Times New Roman"/>
        </w:rPr>
      </w:pPr>
      <w:r w:rsidRPr="0076589C">
        <w:rPr>
          <w:rFonts w:eastAsia="Calibri" w:cs="Times New Roman"/>
          <w:b/>
          <w:bCs/>
        </w:rPr>
        <w:t xml:space="preserve">Sesión inicial de orientación: </w:t>
      </w:r>
      <w:r w:rsidRPr="0076589C">
        <w:rPr>
          <w:rFonts w:eastAsia="Calibri" w:cs="Times New Roman"/>
        </w:rPr>
        <w:t>Se realizará una reunión con todo el equipo para proporcionar una visión general del proyecto y del módulo de cobranza. Durante esta sesión, se presentarán los objetivos del nuevo sistema, la importancia de su implementación y el impacto esperado en los procesos de cobranza.</w:t>
      </w:r>
    </w:p>
    <w:p w14:paraId="02ACF0C6" w14:textId="69FD48E2" w:rsidR="00767481" w:rsidRPr="0076589C" w:rsidRDefault="5D60753A" w:rsidP="00134A75">
      <w:pPr>
        <w:numPr>
          <w:ilvl w:val="0"/>
          <w:numId w:val="60"/>
        </w:numPr>
        <w:spacing w:after="120" w:line="360" w:lineRule="auto"/>
        <w:jc w:val="both"/>
        <w:rPr>
          <w:rFonts w:eastAsia="Calibri" w:cs="Times New Roman"/>
        </w:rPr>
      </w:pPr>
      <w:r w:rsidRPr="0076589C">
        <w:rPr>
          <w:rFonts w:eastAsia="Calibri" w:cs="Times New Roman"/>
        </w:rPr>
        <w:t>Presentación del nuevo módulo de cobranza: se profundizará en los detalles del módulo de cobranza recién implementado. Se destacarán las características clave, la interfaz de usuario y cómo el nuevo sistema optimizará la gestión de cuentas por cobrar. Esta presentación permitirá a los usuarios comprender la estructura del módulo y visualizar cómo se integra en sus tareas diarias.</w:t>
      </w:r>
    </w:p>
    <w:p w14:paraId="3F9D878A" w14:textId="11807815" w:rsidR="00767481" w:rsidRPr="0076589C" w:rsidRDefault="5D60753A" w:rsidP="00134A75">
      <w:pPr>
        <w:numPr>
          <w:ilvl w:val="0"/>
          <w:numId w:val="60"/>
        </w:numPr>
        <w:spacing w:after="120" w:line="360" w:lineRule="auto"/>
        <w:jc w:val="both"/>
        <w:rPr>
          <w:rFonts w:eastAsia="Calibri" w:cs="Times New Roman"/>
        </w:rPr>
      </w:pPr>
      <w:r w:rsidRPr="0076589C">
        <w:rPr>
          <w:rFonts w:eastAsia="Calibri" w:cs="Times New Roman"/>
        </w:rPr>
        <w:t xml:space="preserve">Automatización de cobros y funciones avanzadas: Se llevará a cabo una sesión específica para explorar las capacidades de automatización del sistema en el proceso de cobranza. Esto incluirá la comprensión de cómo el módulo automatiza tareas repetitivas, esté facilita la toma de decisiones más informada. Las funciones </w:t>
      </w:r>
      <w:r w:rsidRPr="0076589C">
        <w:rPr>
          <w:rFonts w:eastAsia="Calibri" w:cs="Times New Roman"/>
        </w:rPr>
        <w:lastRenderedPageBreak/>
        <w:t>avanzadas, como la segmentación de clientes y la gestión proactiva de cuentas morosas, también se abordarán en detalle.</w:t>
      </w:r>
    </w:p>
    <w:p w14:paraId="1965880A" w14:textId="627B7A28" w:rsidR="00767481" w:rsidRPr="0076589C" w:rsidRDefault="5D60753A" w:rsidP="00134A75">
      <w:pPr>
        <w:numPr>
          <w:ilvl w:val="0"/>
          <w:numId w:val="60"/>
        </w:numPr>
        <w:spacing w:after="120" w:line="360" w:lineRule="auto"/>
        <w:jc w:val="both"/>
        <w:rPr>
          <w:rFonts w:eastAsia="Calibri" w:cs="Times New Roman"/>
        </w:rPr>
      </w:pPr>
      <w:r w:rsidRPr="0076589C">
        <w:rPr>
          <w:rFonts w:eastAsia="Calibri" w:cs="Times New Roman"/>
        </w:rPr>
        <w:t>Actualización de límites de créditos y gestión de clientes: Esta sección se centrará en la actualización de límites de crédito y la gestión efectiva de la cartera de clientes. Se proporcionarán pautas sobre cómo analizar el historial de compra y pago de los clientes, y cómo utilizar esa información para ajustar los límites de crédito de manera estratégica. La gestión de clientes incluirá mejores prácticas para mantener relaciones sólidas y asegurar una colaboración efectiva.</w:t>
      </w:r>
    </w:p>
    <w:p w14:paraId="67209603" w14:textId="44EEC2AF" w:rsidR="00767481" w:rsidRPr="0076589C" w:rsidRDefault="5D60753A" w:rsidP="00134A75">
      <w:pPr>
        <w:numPr>
          <w:ilvl w:val="0"/>
          <w:numId w:val="59"/>
        </w:numPr>
        <w:spacing w:after="120" w:line="360" w:lineRule="auto"/>
        <w:jc w:val="both"/>
        <w:rPr>
          <w:rFonts w:eastAsia="Calibri" w:cs="Times New Roman"/>
        </w:rPr>
      </w:pPr>
      <w:r w:rsidRPr="0076589C">
        <w:rPr>
          <w:rFonts w:eastAsia="Calibri" w:cs="Times New Roman"/>
          <w:b/>
          <w:bCs/>
        </w:rPr>
        <w:t xml:space="preserve">Entrenamiento practico y simulaciones: </w:t>
      </w:r>
      <w:r w:rsidRPr="0076589C">
        <w:rPr>
          <w:rFonts w:eastAsia="Calibri" w:cs="Times New Roman"/>
        </w:rPr>
        <w:t>Se centrará en la aplicación práctica de los conocimientos adquiridos. Se realizarán entrenamientos prácticos y simulaciones que permitirán a los usuarios interactuar directamente con el nuevo módulo. Estas actividades prácticas ayudarán a reforzar el aprendizaje, identificar posibles desafíos y proporcionarán a los usuarios la confianza necesaria para utilizar el sistema de manera efectiva en sus responsabilidades cotidianas.</w:t>
      </w:r>
    </w:p>
    <w:p w14:paraId="6827DBA3" w14:textId="51E56E68" w:rsidR="00767481" w:rsidRPr="0076589C" w:rsidRDefault="00767481" w:rsidP="00174BBE">
      <w:pPr>
        <w:pStyle w:val="Ttulonivel4"/>
        <w:numPr>
          <w:ilvl w:val="0"/>
          <w:numId w:val="56"/>
        </w:numPr>
        <w:ind w:left="1800"/>
      </w:pPr>
      <w:r w:rsidRPr="0076589C">
        <w:t>RECOMENDACIONES</w:t>
      </w:r>
      <w:r w:rsidR="00F52507" w:rsidRPr="0076589C">
        <w:t xml:space="preserve"> </w:t>
      </w:r>
      <w:r w:rsidR="00DE163E" w:rsidRPr="0076589C">
        <w:t>DE</w:t>
      </w:r>
      <w:r w:rsidR="00000287" w:rsidRPr="0076589C">
        <w:t xml:space="preserve"> INDICADORES Y MÓDULOS</w:t>
      </w:r>
    </w:p>
    <w:p w14:paraId="5C21E14B" w14:textId="1033EA86" w:rsidR="00767481" w:rsidRPr="0076589C" w:rsidRDefault="5D60753A" w:rsidP="00134A75">
      <w:pPr>
        <w:pStyle w:val="TextoPrincipal"/>
        <w:numPr>
          <w:ilvl w:val="0"/>
          <w:numId w:val="61"/>
        </w:numPr>
        <w:rPr>
          <w:lang w:val="es-HN"/>
        </w:rPr>
      </w:pPr>
      <w:r w:rsidRPr="0076589C">
        <w:rPr>
          <w:lang w:val="es-HN"/>
        </w:rPr>
        <w:t>Indicadores de desempeño: Se recomienda implementar indicadores de desempeño clave para evaluar la eficacia del nuevo módulo de cobranza. Estos indicadores pueden incluir la tasa de recuperación de cuentas pendientes, el tiempo promedio de cobro, la precisión en la actualización de límites de crédito y la mejora en el flujo de efectivo. Establecer métricas claras proporcionará una visión objetiva del impacto del módulo en la gestión de cobranza.</w:t>
      </w:r>
    </w:p>
    <w:p w14:paraId="41B45DA1" w14:textId="7F830794" w:rsidR="00C5435F" w:rsidRPr="0076589C" w:rsidRDefault="5D60753A" w:rsidP="00BB02C8">
      <w:pPr>
        <w:pStyle w:val="TextoPrincipal"/>
        <w:numPr>
          <w:ilvl w:val="0"/>
          <w:numId w:val="61"/>
        </w:numPr>
        <w:rPr>
          <w:lang w:val="es-HN"/>
        </w:rPr>
      </w:pPr>
      <w:r w:rsidRPr="0076589C">
        <w:rPr>
          <w:lang w:val="es-HN"/>
        </w:rPr>
        <w:t>Módulos adicionales: Se sugiere explorar la posibilidad de integrar módulos adicionales que complementen la funcionalidad del módulo de cobranza principal. Estos módulos pueden incluir herramientas de análisis predictivo para anticipar comportamientos de pago, integración con sistemas de gestión financiera y módulos de informes personalizables. La implementación de módulos adicionales permitirá una adaptabilidad continua a medida que las necesidades comerciales evolucionen, asegurando que el sistema siga siendo una herramienta integral y de vanguardia en la gestión financiera de IPRA.</w:t>
      </w:r>
    </w:p>
    <w:p w14:paraId="0A68E9F2" w14:textId="77777777" w:rsidR="0073224C" w:rsidRPr="0076589C" w:rsidRDefault="0073224C" w:rsidP="00174BBE">
      <w:pPr>
        <w:pStyle w:val="Ttulo2"/>
        <w:numPr>
          <w:ilvl w:val="0"/>
          <w:numId w:val="49"/>
        </w:numPr>
        <w:ind w:left="360"/>
      </w:pPr>
      <w:bookmarkStart w:id="340" w:name="_Toc158365542"/>
      <w:r w:rsidRPr="0076589C">
        <w:lastRenderedPageBreak/>
        <w:t>MEDIDAS DE CONTROL</w:t>
      </w:r>
      <w:bookmarkEnd w:id="340"/>
    </w:p>
    <w:p w14:paraId="062FFF13" w14:textId="4B1DA3CF" w:rsidR="2A7AC797" w:rsidRPr="0076589C" w:rsidRDefault="2A7AC797" w:rsidP="2A7AC797">
      <w:pPr>
        <w:pStyle w:val="TextoPrincipal"/>
        <w:rPr>
          <w:lang w:val="es-HN"/>
        </w:rPr>
      </w:pPr>
      <w:r w:rsidRPr="0076589C">
        <w:rPr>
          <w:lang w:val="es-HN"/>
        </w:rPr>
        <w:t xml:space="preserve">Se establecerán metas específicas y medibles para cuantificar la reducción deseada en los niveles de morosidad. Estas metas pueden incluir la disminución porcentual de cuentas atrasadas, la mejora en el tiempo promedio de cobro y la reducción del monto total de cuentas pendientes a plazos prolongados. Estas metas actuarán como </w:t>
      </w:r>
      <w:r w:rsidR="0B36278B" w:rsidRPr="0076589C">
        <w:rPr>
          <w:lang w:val="es-HN"/>
        </w:rPr>
        <w:t>indicador</w:t>
      </w:r>
      <w:r w:rsidRPr="0076589C">
        <w:rPr>
          <w:lang w:val="es-HN"/>
        </w:rPr>
        <w:t xml:space="preserve"> clave para evaluar el éxito de las medidas de control y proporcionarán una base para evaluar el progreso a lo largo del tiempo.</w:t>
      </w:r>
    </w:p>
    <w:p w14:paraId="6B460FCA" w14:textId="73D44503" w:rsidR="16506F3C" w:rsidRPr="0076589C" w:rsidRDefault="58F13DE4" w:rsidP="58F13DE4">
      <w:pPr>
        <w:pStyle w:val="TextoPrincipal"/>
        <w:numPr>
          <w:ilvl w:val="1"/>
          <w:numId w:val="64"/>
        </w:numPr>
        <w:rPr>
          <w:lang w:val="es-HN"/>
        </w:rPr>
      </w:pPr>
      <w:r w:rsidRPr="0076589C">
        <w:rPr>
          <w:b/>
          <w:lang w:val="es-HN"/>
        </w:rPr>
        <w:t>Evaluación Inicial:</w:t>
      </w:r>
      <w:r w:rsidRPr="0076589C">
        <w:rPr>
          <w:lang w:val="es-HN"/>
        </w:rPr>
        <w:t xml:space="preserve"> Se llevará a cabo una evaluación exhaustiva de la situación actual de morosidad, identificando los patrones de pago, clientes críticos y áreas de mejora en los procesos de cobranza.</w:t>
      </w:r>
    </w:p>
    <w:p w14:paraId="3C2B1F9A" w14:textId="510FE346" w:rsidR="2A7AC797" w:rsidRPr="0076589C" w:rsidRDefault="6B233A29" w:rsidP="24D1E5E2">
      <w:pPr>
        <w:pStyle w:val="TextoPrincipal"/>
        <w:numPr>
          <w:ilvl w:val="1"/>
          <w:numId w:val="64"/>
        </w:numPr>
        <w:rPr>
          <w:lang w:val="es-HN"/>
        </w:rPr>
      </w:pPr>
      <w:r w:rsidRPr="0076589C">
        <w:rPr>
          <w:b/>
          <w:lang w:val="es-HN"/>
        </w:rPr>
        <w:t>Desarrollo de Políticas de Crédito Mejoradas</w:t>
      </w:r>
      <w:r w:rsidRPr="0076589C">
        <w:rPr>
          <w:lang w:val="es-HN"/>
        </w:rPr>
        <w:t xml:space="preserve">: Se diseñarán </w:t>
      </w:r>
      <w:r w:rsidR="00EC3EEF" w:rsidRPr="0076589C">
        <w:rPr>
          <w:lang w:val="es-HN"/>
        </w:rPr>
        <w:t>e</w:t>
      </w:r>
      <w:r w:rsidRPr="0076589C">
        <w:rPr>
          <w:lang w:val="es-HN"/>
        </w:rPr>
        <w:t xml:space="preserve"> implementarán políticas de crédito más sólidas y estratégicas, considerando el historial de pago de los clientes, su capacidad financiera y las condiciones del mercado.</w:t>
      </w:r>
    </w:p>
    <w:p w14:paraId="5844F104" w14:textId="00F54B33" w:rsidR="004748CA" w:rsidRPr="0076589C" w:rsidRDefault="0D05B309" w:rsidP="004748CA">
      <w:pPr>
        <w:pStyle w:val="TextoPrincipal"/>
        <w:numPr>
          <w:ilvl w:val="1"/>
          <w:numId w:val="64"/>
        </w:numPr>
        <w:rPr>
          <w:lang w:val="es-HN"/>
        </w:rPr>
      </w:pPr>
      <w:r w:rsidRPr="0076589C">
        <w:rPr>
          <w:b/>
          <w:lang w:val="es-HN"/>
        </w:rPr>
        <w:t>Cobranza Proactiva:</w:t>
      </w:r>
      <w:r w:rsidRPr="0076589C">
        <w:rPr>
          <w:lang w:val="es-HN"/>
        </w:rPr>
        <w:t xml:space="preserve"> Se establecerán estrategias proactivas de cobranza, incluyendo recordatorios automáticos, comunicación temprana con clientes cercanos a vencimientos y acuerdos flexibles de pago para prevenir la acumulación de deudas.</w:t>
      </w:r>
    </w:p>
    <w:p w14:paraId="410BEAF6" w14:textId="44DD91F0" w:rsidR="6DEEA7F6" w:rsidRPr="0076589C" w:rsidRDefault="6DEEA7F6" w:rsidP="6DEEA7F6">
      <w:pPr>
        <w:pStyle w:val="TextoPrincipal"/>
        <w:numPr>
          <w:ilvl w:val="1"/>
          <w:numId w:val="64"/>
        </w:numPr>
        <w:rPr>
          <w:lang w:val="es-HN"/>
        </w:rPr>
      </w:pPr>
      <w:r w:rsidRPr="0076589C">
        <w:rPr>
          <w:b/>
          <w:lang w:val="es-HN"/>
        </w:rPr>
        <w:t>Monitoreo Continuo y Ajustes</w:t>
      </w:r>
      <w:r w:rsidRPr="0076589C">
        <w:rPr>
          <w:lang w:val="es-HN"/>
        </w:rPr>
        <w:t xml:space="preserve">: Se establecerá un sistema de monitoreo continuo para evaluar el impacto de las medidas implementadas. Basándose en los resultados obtenidos, se realizarán ajustes en el </w:t>
      </w:r>
      <w:r w:rsidR="3E3A8094" w:rsidRPr="0076589C">
        <w:rPr>
          <w:lang w:val="es-HN"/>
        </w:rPr>
        <w:t>módulo</w:t>
      </w:r>
      <w:r w:rsidRPr="0076589C">
        <w:rPr>
          <w:lang w:val="es-HN"/>
        </w:rPr>
        <w:t xml:space="preserve"> para optimizar la eficacia y abordar cualquier desafío emergente.</w:t>
      </w:r>
    </w:p>
    <w:p w14:paraId="781D2DFB" w14:textId="67CEF8AC" w:rsidR="006C74A0" w:rsidRPr="0076589C" w:rsidRDefault="006C74A0" w:rsidP="00CE0F7E">
      <w:pPr>
        <w:pStyle w:val="TextoPrincipal"/>
        <w:tabs>
          <w:tab w:val="left" w:pos="1774"/>
        </w:tabs>
        <w:rPr>
          <w:lang w:val="es-HN"/>
        </w:rPr>
        <w:sectPr w:rsidR="006C74A0" w:rsidRPr="0076589C" w:rsidSect="008C6BD1">
          <w:pgSz w:w="12240" w:h="15840"/>
          <w:pgMar w:top="1440" w:right="1440" w:bottom="1440" w:left="1440" w:header="720" w:footer="720" w:gutter="0"/>
          <w:cols w:space="720"/>
        </w:sectPr>
      </w:pPr>
    </w:p>
    <w:p w14:paraId="7F5C379A" w14:textId="521CAE55" w:rsidR="001E7E83" w:rsidRPr="0076589C" w:rsidRDefault="001E7E83" w:rsidP="00174BBE">
      <w:pPr>
        <w:pStyle w:val="Ttulo2"/>
        <w:numPr>
          <w:ilvl w:val="0"/>
          <w:numId w:val="49"/>
        </w:numPr>
        <w:ind w:left="360"/>
      </w:pPr>
      <w:bookmarkStart w:id="341" w:name="_Toc158365543"/>
      <w:r w:rsidRPr="0076589C">
        <w:lastRenderedPageBreak/>
        <w:t>CRONOGRAMA DE IMPLEMENTACIÓN Y PRESUPUESTO</w:t>
      </w:r>
      <w:bookmarkEnd w:id="341"/>
    </w:p>
    <w:p w14:paraId="0FCDF9DF" w14:textId="6153BC47" w:rsidR="001E7E83" w:rsidRPr="0076589C" w:rsidRDefault="001E7E83" w:rsidP="00EB21DE">
      <w:pPr>
        <w:pStyle w:val="TextoPrincipal"/>
        <w:rPr>
          <w:lang w:val="es-HN"/>
        </w:rPr>
      </w:pPr>
    </w:p>
    <w:p w14:paraId="4E02742D" w14:textId="7E37FF6B" w:rsidR="00285B4F" w:rsidRPr="0076589C" w:rsidRDefault="00E619DB" w:rsidP="000E1E26">
      <w:pPr>
        <w:pStyle w:val="Ttulonivel3"/>
        <w:numPr>
          <w:ilvl w:val="0"/>
          <w:numId w:val="51"/>
        </w:numPr>
        <w:ind w:left="1080"/>
      </w:pPr>
      <w:bookmarkStart w:id="342" w:name="_Toc158365544"/>
      <w:r w:rsidRPr="0076589C">
        <w:t>CRONOGRAMA DE IMPLEMEN</w:t>
      </w:r>
      <w:r w:rsidR="000E31AC" w:rsidRPr="0076589C">
        <w:t>T</w:t>
      </w:r>
      <w:r w:rsidRPr="0076589C">
        <w:t>ACIÓN</w:t>
      </w:r>
      <w:r w:rsidR="00285B4F" w:rsidRPr="0076589C">
        <w:t xml:space="preserve"> DE MÓDULO DE COBRANZA EN IPRA</w:t>
      </w:r>
      <w:bookmarkEnd w:id="342"/>
    </w:p>
    <w:p w14:paraId="0829E519" w14:textId="7529F604" w:rsidR="00285B4F" w:rsidRPr="0076589C" w:rsidRDefault="00562F25" w:rsidP="00D65B2D">
      <w:pPr>
        <w:pStyle w:val="ImagenyTabla"/>
      </w:pPr>
      <w:bookmarkStart w:id="343" w:name="_Toc158365582"/>
      <w:r w:rsidRPr="0076589C">
        <w:t xml:space="preserve">Tabla </w:t>
      </w:r>
      <w:r w:rsidRPr="0076589C">
        <w:rPr>
          <w:noProof w:val="0"/>
        </w:rPr>
        <w:fldChar w:fldCharType="begin"/>
      </w:r>
      <w:r w:rsidRPr="0076589C">
        <w:rPr>
          <w:noProof w:val="0"/>
        </w:rPr>
        <w:instrText xml:space="preserve"> SEQ Tabla \* ARABIC </w:instrText>
      </w:r>
      <w:r w:rsidRPr="0076589C">
        <w:rPr>
          <w:noProof w:val="0"/>
        </w:rPr>
        <w:fldChar w:fldCharType="separate"/>
      </w:r>
      <w:r w:rsidR="009F171A">
        <w:t>34</w:t>
      </w:r>
      <w:r w:rsidRPr="0076589C">
        <w:rPr>
          <w:noProof w:val="0"/>
        </w:rPr>
        <w:fldChar w:fldCharType="end"/>
      </w:r>
      <w:r w:rsidRPr="0076589C">
        <w:t xml:space="preserve">. </w:t>
      </w:r>
      <w:r w:rsidR="00D65B2D" w:rsidRPr="0076589C">
        <w:t>Cronograma de implementación</w:t>
      </w:r>
      <w:r w:rsidR="000E31AC" w:rsidRPr="0076589C">
        <w:t xml:space="preserve"> de módulo</w:t>
      </w:r>
      <w:r w:rsidRPr="0076589C">
        <w:t xml:space="preserve"> de cobranza en IPRA</w:t>
      </w:r>
      <w:bookmarkEnd w:id="343"/>
    </w:p>
    <w:tbl>
      <w:tblPr>
        <w:tblW w:w="5000" w:type="pct"/>
        <w:tblLayout w:type="fixed"/>
        <w:tblLook w:val="04A0" w:firstRow="1" w:lastRow="0" w:firstColumn="1" w:lastColumn="0" w:noHBand="0" w:noVBand="1"/>
      </w:tblPr>
      <w:tblGrid>
        <w:gridCol w:w="1697"/>
        <w:gridCol w:w="1277"/>
        <w:gridCol w:w="1132"/>
        <w:gridCol w:w="1282"/>
        <w:gridCol w:w="277"/>
        <w:gridCol w:w="339"/>
        <w:gridCol w:w="339"/>
        <w:gridCol w:w="262"/>
        <w:gridCol w:w="298"/>
        <w:gridCol w:w="277"/>
        <w:gridCol w:w="339"/>
        <w:gridCol w:w="339"/>
        <w:gridCol w:w="262"/>
        <w:gridCol w:w="298"/>
        <w:gridCol w:w="277"/>
        <w:gridCol w:w="339"/>
        <w:gridCol w:w="339"/>
        <w:gridCol w:w="262"/>
        <w:gridCol w:w="298"/>
        <w:gridCol w:w="277"/>
        <w:gridCol w:w="339"/>
        <w:gridCol w:w="339"/>
        <w:gridCol w:w="262"/>
        <w:gridCol w:w="298"/>
        <w:gridCol w:w="277"/>
        <w:gridCol w:w="339"/>
        <w:gridCol w:w="339"/>
        <w:gridCol w:w="262"/>
        <w:gridCol w:w="285"/>
      </w:tblGrid>
      <w:tr w:rsidR="008D5028" w:rsidRPr="0076589C" w14:paraId="051A59EC" w14:textId="77777777" w:rsidTr="00237462">
        <w:trPr>
          <w:trHeight w:val="290"/>
        </w:trPr>
        <w:tc>
          <w:tcPr>
            <w:tcW w:w="655" w:type="pct"/>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38BA2A13"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Actividad</w:t>
            </w:r>
          </w:p>
        </w:tc>
        <w:tc>
          <w:tcPr>
            <w:tcW w:w="493" w:type="pct"/>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58ECDFFC" w14:textId="024001FD" w:rsidR="008D5028" w:rsidRPr="0076589C" w:rsidRDefault="00AF6680"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 xml:space="preserve">Equipo </w:t>
            </w:r>
          </w:p>
        </w:tc>
        <w:tc>
          <w:tcPr>
            <w:tcW w:w="437"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14:paraId="1259B286"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Fecha de inicio</w:t>
            </w:r>
          </w:p>
        </w:tc>
        <w:tc>
          <w:tcPr>
            <w:tcW w:w="495" w:type="pct"/>
            <w:vMerge w:val="restart"/>
            <w:tcBorders>
              <w:top w:val="single" w:sz="4" w:space="0" w:color="auto"/>
              <w:left w:val="single" w:sz="4" w:space="0" w:color="auto"/>
              <w:bottom w:val="single" w:sz="4" w:space="0" w:color="auto"/>
              <w:right w:val="nil"/>
            </w:tcBorders>
            <w:shd w:val="clear" w:color="000000" w:fill="F2F2F2"/>
            <w:vAlign w:val="center"/>
            <w:hideMark/>
          </w:tcPr>
          <w:p w14:paraId="16226858"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Fecha de finalización</w:t>
            </w:r>
          </w:p>
        </w:tc>
        <w:tc>
          <w:tcPr>
            <w:tcW w:w="585" w:type="pct"/>
            <w:gridSpan w:val="5"/>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4109AB25"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Semana 1</w:t>
            </w:r>
          </w:p>
        </w:tc>
        <w:tc>
          <w:tcPr>
            <w:tcW w:w="585" w:type="pct"/>
            <w:gridSpan w:val="5"/>
            <w:tcBorders>
              <w:top w:val="single" w:sz="4" w:space="0" w:color="auto"/>
              <w:left w:val="nil"/>
              <w:bottom w:val="single" w:sz="4" w:space="0" w:color="auto"/>
              <w:right w:val="single" w:sz="4" w:space="0" w:color="auto"/>
            </w:tcBorders>
            <w:shd w:val="clear" w:color="000000" w:fill="F2F2F2"/>
            <w:noWrap/>
            <w:vAlign w:val="center"/>
            <w:hideMark/>
          </w:tcPr>
          <w:p w14:paraId="2AF7869B"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Semana 2</w:t>
            </w:r>
          </w:p>
        </w:tc>
        <w:tc>
          <w:tcPr>
            <w:tcW w:w="585" w:type="pct"/>
            <w:gridSpan w:val="5"/>
            <w:tcBorders>
              <w:top w:val="single" w:sz="4" w:space="0" w:color="auto"/>
              <w:left w:val="nil"/>
              <w:bottom w:val="single" w:sz="4" w:space="0" w:color="auto"/>
              <w:right w:val="single" w:sz="4" w:space="0" w:color="auto"/>
            </w:tcBorders>
            <w:shd w:val="clear" w:color="000000" w:fill="F2F2F2"/>
            <w:noWrap/>
            <w:vAlign w:val="center"/>
            <w:hideMark/>
          </w:tcPr>
          <w:p w14:paraId="74F3ABD1"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Semana 3</w:t>
            </w:r>
          </w:p>
        </w:tc>
        <w:tc>
          <w:tcPr>
            <w:tcW w:w="585" w:type="pct"/>
            <w:gridSpan w:val="5"/>
            <w:tcBorders>
              <w:top w:val="single" w:sz="4" w:space="0" w:color="auto"/>
              <w:left w:val="nil"/>
              <w:bottom w:val="single" w:sz="4" w:space="0" w:color="auto"/>
              <w:right w:val="single" w:sz="4" w:space="0" w:color="auto"/>
            </w:tcBorders>
            <w:shd w:val="clear" w:color="000000" w:fill="F2F2F2"/>
            <w:noWrap/>
            <w:vAlign w:val="center"/>
            <w:hideMark/>
          </w:tcPr>
          <w:p w14:paraId="43136404"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Semana 4</w:t>
            </w:r>
          </w:p>
        </w:tc>
        <w:tc>
          <w:tcPr>
            <w:tcW w:w="580" w:type="pct"/>
            <w:gridSpan w:val="5"/>
            <w:tcBorders>
              <w:top w:val="single" w:sz="4" w:space="0" w:color="auto"/>
              <w:left w:val="nil"/>
              <w:bottom w:val="single" w:sz="4" w:space="0" w:color="auto"/>
              <w:right w:val="single" w:sz="4" w:space="0" w:color="auto"/>
            </w:tcBorders>
            <w:shd w:val="clear" w:color="000000" w:fill="F2F2F2"/>
            <w:noWrap/>
            <w:vAlign w:val="center"/>
            <w:hideMark/>
          </w:tcPr>
          <w:p w14:paraId="59F0C74A"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Semana 5</w:t>
            </w:r>
          </w:p>
        </w:tc>
      </w:tr>
      <w:tr w:rsidR="008D5028" w:rsidRPr="0076589C" w14:paraId="2ADD493F" w14:textId="77777777" w:rsidTr="00237462">
        <w:trPr>
          <w:trHeight w:val="290"/>
        </w:trPr>
        <w:tc>
          <w:tcPr>
            <w:tcW w:w="655" w:type="pct"/>
            <w:vMerge/>
            <w:tcBorders>
              <w:top w:val="single" w:sz="4" w:space="0" w:color="auto"/>
              <w:left w:val="single" w:sz="4" w:space="0" w:color="auto"/>
              <w:bottom w:val="single" w:sz="4" w:space="0" w:color="auto"/>
              <w:right w:val="single" w:sz="4" w:space="0" w:color="auto"/>
            </w:tcBorders>
            <w:vAlign w:val="center"/>
            <w:hideMark/>
          </w:tcPr>
          <w:p w14:paraId="5EF865C2" w14:textId="77777777" w:rsidR="008D5028" w:rsidRPr="0076589C" w:rsidRDefault="008D5028" w:rsidP="008D5028">
            <w:pPr>
              <w:spacing w:after="0" w:line="240" w:lineRule="auto"/>
              <w:ind w:left="0"/>
              <w:jc w:val="center"/>
              <w:rPr>
                <w:rFonts w:eastAsia="Times New Roman" w:cs="Times New Roman"/>
                <w:b/>
                <w:bCs/>
                <w:color w:val="000000"/>
                <w:sz w:val="20"/>
                <w:szCs w:val="20"/>
              </w:rPr>
            </w:pPr>
          </w:p>
        </w:tc>
        <w:tc>
          <w:tcPr>
            <w:tcW w:w="493" w:type="pct"/>
            <w:vMerge/>
            <w:tcBorders>
              <w:top w:val="single" w:sz="4" w:space="0" w:color="auto"/>
              <w:left w:val="single" w:sz="4" w:space="0" w:color="auto"/>
              <w:bottom w:val="single" w:sz="4" w:space="0" w:color="auto"/>
              <w:right w:val="single" w:sz="4" w:space="0" w:color="auto"/>
            </w:tcBorders>
            <w:vAlign w:val="center"/>
            <w:hideMark/>
          </w:tcPr>
          <w:p w14:paraId="7A64B810" w14:textId="77777777" w:rsidR="008D5028" w:rsidRPr="0076589C" w:rsidRDefault="008D5028" w:rsidP="008D5028">
            <w:pPr>
              <w:spacing w:after="0" w:line="240" w:lineRule="auto"/>
              <w:ind w:left="0"/>
              <w:jc w:val="center"/>
              <w:rPr>
                <w:rFonts w:eastAsia="Times New Roman" w:cs="Times New Roman"/>
                <w:b/>
                <w:bCs/>
                <w:color w:val="000000"/>
                <w:sz w:val="20"/>
                <w:szCs w:val="20"/>
              </w:rPr>
            </w:pPr>
          </w:p>
        </w:tc>
        <w:tc>
          <w:tcPr>
            <w:tcW w:w="437" w:type="pct"/>
            <w:vMerge/>
            <w:tcBorders>
              <w:top w:val="single" w:sz="4" w:space="0" w:color="auto"/>
              <w:left w:val="single" w:sz="4" w:space="0" w:color="auto"/>
              <w:bottom w:val="single" w:sz="4" w:space="0" w:color="auto"/>
              <w:right w:val="single" w:sz="4" w:space="0" w:color="auto"/>
            </w:tcBorders>
            <w:vAlign w:val="center"/>
            <w:hideMark/>
          </w:tcPr>
          <w:p w14:paraId="04F62FEF" w14:textId="77777777" w:rsidR="008D5028" w:rsidRPr="0076589C" w:rsidRDefault="008D5028" w:rsidP="008D5028">
            <w:pPr>
              <w:spacing w:after="0" w:line="240" w:lineRule="auto"/>
              <w:ind w:left="0"/>
              <w:jc w:val="center"/>
              <w:rPr>
                <w:rFonts w:eastAsia="Times New Roman" w:cs="Times New Roman"/>
                <w:b/>
                <w:bCs/>
                <w:color w:val="000000"/>
                <w:sz w:val="20"/>
                <w:szCs w:val="20"/>
              </w:rPr>
            </w:pPr>
          </w:p>
        </w:tc>
        <w:tc>
          <w:tcPr>
            <w:tcW w:w="495" w:type="pct"/>
            <w:vMerge/>
            <w:tcBorders>
              <w:top w:val="single" w:sz="4" w:space="0" w:color="auto"/>
              <w:left w:val="single" w:sz="4" w:space="0" w:color="auto"/>
              <w:bottom w:val="single" w:sz="4" w:space="0" w:color="auto"/>
              <w:right w:val="nil"/>
            </w:tcBorders>
            <w:vAlign w:val="center"/>
            <w:hideMark/>
          </w:tcPr>
          <w:p w14:paraId="73998983" w14:textId="77777777" w:rsidR="008D5028" w:rsidRPr="0076589C" w:rsidRDefault="008D5028" w:rsidP="008D5028">
            <w:pPr>
              <w:spacing w:after="0" w:line="240" w:lineRule="auto"/>
              <w:ind w:left="0"/>
              <w:jc w:val="center"/>
              <w:rPr>
                <w:rFonts w:eastAsia="Times New Roman" w:cs="Times New Roman"/>
                <w:b/>
                <w:bCs/>
                <w:color w:val="000000"/>
                <w:sz w:val="20"/>
                <w:szCs w:val="20"/>
              </w:rPr>
            </w:pPr>
          </w:p>
        </w:tc>
        <w:tc>
          <w:tcPr>
            <w:tcW w:w="107" w:type="pct"/>
            <w:tcBorders>
              <w:top w:val="nil"/>
              <w:left w:val="single" w:sz="4" w:space="0" w:color="auto"/>
              <w:bottom w:val="single" w:sz="4" w:space="0" w:color="auto"/>
              <w:right w:val="single" w:sz="4" w:space="0" w:color="auto"/>
            </w:tcBorders>
            <w:shd w:val="clear" w:color="000000" w:fill="F2F2F2"/>
            <w:noWrap/>
            <w:vAlign w:val="center"/>
            <w:hideMark/>
          </w:tcPr>
          <w:p w14:paraId="643D4E70"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L</w:t>
            </w:r>
          </w:p>
        </w:tc>
        <w:tc>
          <w:tcPr>
            <w:tcW w:w="131" w:type="pct"/>
            <w:tcBorders>
              <w:top w:val="nil"/>
              <w:left w:val="nil"/>
              <w:bottom w:val="single" w:sz="4" w:space="0" w:color="auto"/>
              <w:right w:val="single" w:sz="4" w:space="0" w:color="auto"/>
            </w:tcBorders>
            <w:shd w:val="clear" w:color="000000" w:fill="F2F2F2"/>
            <w:noWrap/>
            <w:vAlign w:val="center"/>
            <w:hideMark/>
          </w:tcPr>
          <w:p w14:paraId="1EF7159A" w14:textId="53C074DF"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M</w:t>
            </w:r>
          </w:p>
        </w:tc>
        <w:tc>
          <w:tcPr>
            <w:tcW w:w="131" w:type="pct"/>
            <w:tcBorders>
              <w:top w:val="nil"/>
              <w:left w:val="nil"/>
              <w:bottom w:val="single" w:sz="4" w:space="0" w:color="auto"/>
              <w:right w:val="single" w:sz="4" w:space="0" w:color="auto"/>
            </w:tcBorders>
            <w:shd w:val="clear" w:color="000000" w:fill="F2F2F2"/>
            <w:noWrap/>
            <w:vAlign w:val="center"/>
            <w:hideMark/>
          </w:tcPr>
          <w:p w14:paraId="0804728A"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M</w:t>
            </w:r>
          </w:p>
        </w:tc>
        <w:tc>
          <w:tcPr>
            <w:tcW w:w="101" w:type="pct"/>
            <w:tcBorders>
              <w:top w:val="nil"/>
              <w:left w:val="nil"/>
              <w:bottom w:val="single" w:sz="4" w:space="0" w:color="auto"/>
              <w:right w:val="single" w:sz="4" w:space="0" w:color="auto"/>
            </w:tcBorders>
            <w:shd w:val="clear" w:color="000000" w:fill="F2F2F2"/>
            <w:noWrap/>
            <w:vAlign w:val="center"/>
            <w:hideMark/>
          </w:tcPr>
          <w:p w14:paraId="2DAAD773"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J</w:t>
            </w:r>
          </w:p>
        </w:tc>
        <w:tc>
          <w:tcPr>
            <w:tcW w:w="115" w:type="pct"/>
            <w:tcBorders>
              <w:top w:val="nil"/>
              <w:left w:val="nil"/>
              <w:bottom w:val="single" w:sz="4" w:space="0" w:color="auto"/>
              <w:right w:val="single" w:sz="4" w:space="0" w:color="auto"/>
            </w:tcBorders>
            <w:shd w:val="clear" w:color="000000" w:fill="F2F2F2"/>
            <w:noWrap/>
            <w:vAlign w:val="center"/>
            <w:hideMark/>
          </w:tcPr>
          <w:p w14:paraId="0E181CEA"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V</w:t>
            </w:r>
          </w:p>
        </w:tc>
        <w:tc>
          <w:tcPr>
            <w:tcW w:w="107" w:type="pct"/>
            <w:tcBorders>
              <w:top w:val="nil"/>
              <w:left w:val="nil"/>
              <w:bottom w:val="single" w:sz="4" w:space="0" w:color="auto"/>
              <w:right w:val="single" w:sz="4" w:space="0" w:color="auto"/>
            </w:tcBorders>
            <w:shd w:val="clear" w:color="000000" w:fill="F2F2F2"/>
            <w:noWrap/>
            <w:vAlign w:val="center"/>
            <w:hideMark/>
          </w:tcPr>
          <w:p w14:paraId="4E19F115"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L</w:t>
            </w:r>
          </w:p>
        </w:tc>
        <w:tc>
          <w:tcPr>
            <w:tcW w:w="131" w:type="pct"/>
            <w:tcBorders>
              <w:top w:val="nil"/>
              <w:left w:val="nil"/>
              <w:bottom w:val="single" w:sz="4" w:space="0" w:color="auto"/>
              <w:right w:val="single" w:sz="4" w:space="0" w:color="auto"/>
            </w:tcBorders>
            <w:shd w:val="clear" w:color="000000" w:fill="F2F2F2"/>
            <w:noWrap/>
            <w:vAlign w:val="center"/>
            <w:hideMark/>
          </w:tcPr>
          <w:p w14:paraId="544295AF" w14:textId="19507A9D"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M</w:t>
            </w:r>
          </w:p>
        </w:tc>
        <w:tc>
          <w:tcPr>
            <w:tcW w:w="131" w:type="pct"/>
            <w:tcBorders>
              <w:top w:val="nil"/>
              <w:left w:val="nil"/>
              <w:bottom w:val="single" w:sz="4" w:space="0" w:color="auto"/>
              <w:right w:val="single" w:sz="4" w:space="0" w:color="auto"/>
            </w:tcBorders>
            <w:shd w:val="clear" w:color="000000" w:fill="F2F2F2"/>
            <w:noWrap/>
            <w:vAlign w:val="center"/>
            <w:hideMark/>
          </w:tcPr>
          <w:p w14:paraId="1975395C"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M</w:t>
            </w:r>
          </w:p>
        </w:tc>
        <w:tc>
          <w:tcPr>
            <w:tcW w:w="101" w:type="pct"/>
            <w:tcBorders>
              <w:top w:val="nil"/>
              <w:left w:val="nil"/>
              <w:bottom w:val="single" w:sz="4" w:space="0" w:color="auto"/>
              <w:right w:val="single" w:sz="4" w:space="0" w:color="auto"/>
            </w:tcBorders>
            <w:shd w:val="clear" w:color="000000" w:fill="F2F2F2"/>
            <w:noWrap/>
            <w:vAlign w:val="center"/>
            <w:hideMark/>
          </w:tcPr>
          <w:p w14:paraId="41264FA5"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J</w:t>
            </w:r>
          </w:p>
        </w:tc>
        <w:tc>
          <w:tcPr>
            <w:tcW w:w="115" w:type="pct"/>
            <w:tcBorders>
              <w:top w:val="nil"/>
              <w:left w:val="nil"/>
              <w:bottom w:val="single" w:sz="4" w:space="0" w:color="auto"/>
              <w:right w:val="single" w:sz="4" w:space="0" w:color="auto"/>
            </w:tcBorders>
            <w:shd w:val="clear" w:color="000000" w:fill="F2F2F2"/>
            <w:noWrap/>
            <w:vAlign w:val="center"/>
            <w:hideMark/>
          </w:tcPr>
          <w:p w14:paraId="75CA42E2"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V</w:t>
            </w:r>
          </w:p>
        </w:tc>
        <w:tc>
          <w:tcPr>
            <w:tcW w:w="107" w:type="pct"/>
            <w:tcBorders>
              <w:top w:val="nil"/>
              <w:left w:val="nil"/>
              <w:bottom w:val="single" w:sz="4" w:space="0" w:color="auto"/>
              <w:right w:val="single" w:sz="4" w:space="0" w:color="auto"/>
            </w:tcBorders>
            <w:shd w:val="clear" w:color="000000" w:fill="F2F2F2"/>
            <w:noWrap/>
            <w:vAlign w:val="center"/>
            <w:hideMark/>
          </w:tcPr>
          <w:p w14:paraId="6B74BF0D"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L</w:t>
            </w:r>
          </w:p>
        </w:tc>
        <w:tc>
          <w:tcPr>
            <w:tcW w:w="131" w:type="pct"/>
            <w:tcBorders>
              <w:top w:val="nil"/>
              <w:left w:val="nil"/>
              <w:bottom w:val="single" w:sz="4" w:space="0" w:color="auto"/>
              <w:right w:val="single" w:sz="4" w:space="0" w:color="auto"/>
            </w:tcBorders>
            <w:shd w:val="clear" w:color="000000" w:fill="F2F2F2"/>
            <w:noWrap/>
            <w:vAlign w:val="center"/>
            <w:hideMark/>
          </w:tcPr>
          <w:p w14:paraId="78D245BD" w14:textId="3F7C8638"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M</w:t>
            </w:r>
          </w:p>
        </w:tc>
        <w:tc>
          <w:tcPr>
            <w:tcW w:w="131" w:type="pct"/>
            <w:tcBorders>
              <w:top w:val="nil"/>
              <w:left w:val="nil"/>
              <w:bottom w:val="single" w:sz="4" w:space="0" w:color="auto"/>
              <w:right w:val="single" w:sz="4" w:space="0" w:color="auto"/>
            </w:tcBorders>
            <w:shd w:val="clear" w:color="000000" w:fill="F2F2F2"/>
            <w:noWrap/>
            <w:vAlign w:val="center"/>
            <w:hideMark/>
          </w:tcPr>
          <w:p w14:paraId="35CA52C8"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M</w:t>
            </w:r>
          </w:p>
        </w:tc>
        <w:tc>
          <w:tcPr>
            <w:tcW w:w="101" w:type="pct"/>
            <w:tcBorders>
              <w:top w:val="nil"/>
              <w:left w:val="nil"/>
              <w:bottom w:val="single" w:sz="4" w:space="0" w:color="auto"/>
              <w:right w:val="single" w:sz="4" w:space="0" w:color="auto"/>
            </w:tcBorders>
            <w:shd w:val="clear" w:color="000000" w:fill="F2F2F2"/>
            <w:noWrap/>
            <w:vAlign w:val="center"/>
            <w:hideMark/>
          </w:tcPr>
          <w:p w14:paraId="2DD68485"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J</w:t>
            </w:r>
          </w:p>
        </w:tc>
        <w:tc>
          <w:tcPr>
            <w:tcW w:w="115" w:type="pct"/>
            <w:tcBorders>
              <w:top w:val="nil"/>
              <w:left w:val="nil"/>
              <w:bottom w:val="single" w:sz="4" w:space="0" w:color="auto"/>
              <w:right w:val="single" w:sz="4" w:space="0" w:color="auto"/>
            </w:tcBorders>
            <w:shd w:val="clear" w:color="000000" w:fill="F2F2F2"/>
            <w:noWrap/>
            <w:vAlign w:val="center"/>
            <w:hideMark/>
          </w:tcPr>
          <w:p w14:paraId="19A6AF32"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V</w:t>
            </w:r>
          </w:p>
        </w:tc>
        <w:tc>
          <w:tcPr>
            <w:tcW w:w="107" w:type="pct"/>
            <w:tcBorders>
              <w:top w:val="nil"/>
              <w:left w:val="nil"/>
              <w:bottom w:val="single" w:sz="4" w:space="0" w:color="auto"/>
              <w:right w:val="single" w:sz="4" w:space="0" w:color="auto"/>
            </w:tcBorders>
            <w:shd w:val="clear" w:color="000000" w:fill="F2F2F2"/>
            <w:noWrap/>
            <w:vAlign w:val="center"/>
            <w:hideMark/>
          </w:tcPr>
          <w:p w14:paraId="2A9BD294"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L</w:t>
            </w:r>
          </w:p>
        </w:tc>
        <w:tc>
          <w:tcPr>
            <w:tcW w:w="131" w:type="pct"/>
            <w:tcBorders>
              <w:top w:val="nil"/>
              <w:left w:val="nil"/>
              <w:bottom w:val="single" w:sz="4" w:space="0" w:color="auto"/>
              <w:right w:val="single" w:sz="4" w:space="0" w:color="auto"/>
            </w:tcBorders>
            <w:shd w:val="clear" w:color="000000" w:fill="F2F2F2"/>
            <w:noWrap/>
            <w:vAlign w:val="center"/>
            <w:hideMark/>
          </w:tcPr>
          <w:p w14:paraId="36EA4132" w14:textId="2735DA20"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M</w:t>
            </w:r>
          </w:p>
        </w:tc>
        <w:tc>
          <w:tcPr>
            <w:tcW w:w="131" w:type="pct"/>
            <w:tcBorders>
              <w:top w:val="nil"/>
              <w:left w:val="nil"/>
              <w:bottom w:val="single" w:sz="4" w:space="0" w:color="auto"/>
              <w:right w:val="single" w:sz="4" w:space="0" w:color="auto"/>
            </w:tcBorders>
            <w:shd w:val="clear" w:color="000000" w:fill="F2F2F2"/>
            <w:noWrap/>
            <w:vAlign w:val="center"/>
            <w:hideMark/>
          </w:tcPr>
          <w:p w14:paraId="53D3F54D"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M</w:t>
            </w:r>
          </w:p>
        </w:tc>
        <w:tc>
          <w:tcPr>
            <w:tcW w:w="101" w:type="pct"/>
            <w:tcBorders>
              <w:top w:val="nil"/>
              <w:left w:val="nil"/>
              <w:bottom w:val="single" w:sz="4" w:space="0" w:color="auto"/>
              <w:right w:val="single" w:sz="4" w:space="0" w:color="auto"/>
            </w:tcBorders>
            <w:shd w:val="clear" w:color="000000" w:fill="F2F2F2"/>
            <w:noWrap/>
            <w:vAlign w:val="center"/>
            <w:hideMark/>
          </w:tcPr>
          <w:p w14:paraId="05767886"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J</w:t>
            </w:r>
          </w:p>
        </w:tc>
        <w:tc>
          <w:tcPr>
            <w:tcW w:w="115" w:type="pct"/>
            <w:tcBorders>
              <w:top w:val="nil"/>
              <w:left w:val="nil"/>
              <w:bottom w:val="single" w:sz="4" w:space="0" w:color="auto"/>
              <w:right w:val="single" w:sz="4" w:space="0" w:color="auto"/>
            </w:tcBorders>
            <w:shd w:val="clear" w:color="000000" w:fill="F2F2F2"/>
            <w:noWrap/>
            <w:vAlign w:val="center"/>
            <w:hideMark/>
          </w:tcPr>
          <w:p w14:paraId="2CFA4F39"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V</w:t>
            </w:r>
          </w:p>
        </w:tc>
        <w:tc>
          <w:tcPr>
            <w:tcW w:w="107" w:type="pct"/>
            <w:tcBorders>
              <w:top w:val="nil"/>
              <w:left w:val="nil"/>
              <w:bottom w:val="single" w:sz="4" w:space="0" w:color="auto"/>
              <w:right w:val="single" w:sz="4" w:space="0" w:color="auto"/>
            </w:tcBorders>
            <w:shd w:val="clear" w:color="000000" w:fill="F2F2F2"/>
            <w:noWrap/>
            <w:vAlign w:val="center"/>
            <w:hideMark/>
          </w:tcPr>
          <w:p w14:paraId="19BE0D6F"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L</w:t>
            </w:r>
          </w:p>
        </w:tc>
        <w:tc>
          <w:tcPr>
            <w:tcW w:w="131" w:type="pct"/>
            <w:tcBorders>
              <w:top w:val="nil"/>
              <w:left w:val="nil"/>
              <w:bottom w:val="single" w:sz="4" w:space="0" w:color="auto"/>
              <w:right w:val="single" w:sz="4" w:space="0" w:color="auto"/>
            </w:tcBorders>
            <w:shd w:val="clear" w:color="000000" w:fill="F2F2F2"/>
            <w:noWrap/>
            <w:vAlign w:val="center"/>
            <w:hideMark/>
          </w:tcPr>
          <w:p w14:paraId="2B1618FE" w14:textId="57FDD7EA"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M</w:t>
            </w:r>
          </w:p>
        </w:tc>
        <w:tc>
          <w:tcPr>
            <w:tcW w:w="131" w:type="pct"/>
            <w:tcBorders>
              <w:top w:val="nil"/>
              <w:left w:val="nil"/>
              <w:bottom w:val="single" w:sz="4" w:space="0" w:color="auto"/>
              <w:right w:val="single" w:sz="4" w:space="0" w:color="auto"/>
            </w:tcBorders>
            <w:shd w:val="clear" w:color="000000" w:fill="F2F2F2"/>
            <w:noWrap/>
            <w:vAlign w:val="center"/>
            <w:hideMark/>
          </w:tcPr>
          <w:p w14:paraId="09C98E8F"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M</w:t>
            </w:r>
          </w:p>
        </w:tc>
        <w:tc>
          <w:tcPr>
            <w:tcW w:w="101" w:type="pct"/>
            <w:tcBorders>
              <w:top w:val="nil"/>
              <w:left w:val="nil"/>
              <w:bottom w:val="single" w:sz="4" w:space="0" w:color="auto"/>
              <w:right w:val="single" w:sz="4" w:space="0" w:color="auto"/>
            </w:tcBorders>
            <w:shd w:val="clear" w:color="000000" w:fill="F2F2F2"/>
            <w:noWrap/>
            <w:vAlign w:val="center"/>
            <w:hideMark/>
          </w:tcPr>
          <w:p w14:paraId="146EC5F7"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J</w:t>
            </w:r>
          </w:p>
        </w:tc>
        <w:tc>
          <w:tcPr>
            <w:tcW w:w="110" w:type="pct"/>
            <w:tcBorders>
              <w:top w:val="nil"/>
              <w:left w:val="nil"/>
              <w:bottom w:val="single" w:sz="4" w:space="0" w:color="auto"/>
              <w:right w:val="single" w:sz="4" w:space="0" w:color="auto"/>
            </w:tcBorders>
            <w:shd w:val="clear" w:color="000000" w:fill="F2F2F2"/>
            <w:noWrap/>
            <w:vAlign w:val="center"/>
            <w:hideMark/>
          </w:tcPr>
          <w:p w14:paraId="78AD492D" w14:textId="77777777" w:rsidR="008D5028" w:rsidRPr="0076589C" w:rsidRDefault="008D5028" w:rsidP="008D5028">
            <w:pPr>
              <w:spacing w:after="0" w:line="240" w:lineRule="auto"/>
              <w:ind w:left="0"/>
              <w:jc w:val="center"/>
              <w:rPr>
                <w:rFonts w:eastAsia="Times New Roman" w:cs="Times New Roman"/>
                <w:b/>
                <w:bCs/>
                <w:color w:val="000000"/>
                <w:sz w:val="20"/>
                <w:szCs w:val="20"/>
              </w:rPr>
            </w:pPr>
            <w:r w:rsidRPr="0076589C">
              <w:rPr>
                <w:rFonts w:eastAsia="Times New Roman" w:cs="Times New Roman"/>
                <w:b/>
                <w:bCs/>
                <w:color w:val="000000"/>
                <w:sz w:val="20"/>
                <w:szCs w:val="20"/>
              </w:rPr>
              <w:t>V</w:t>
            </w:r>
          </w:p>
        </w:tc>
      </w:tr>
      <w:tr w:rsidR="008D5028" w:rsidRPr="0076589C" w14:paraId="3C8AFF24" w14:textId="77777777" w:rsidTr="008D5028">
        <w:trPr>
          <w:trHeight w:val="290"/>
        </w:trPr>
        <w:tc>
          <w:tcPr>
            <w:tcW w:w="5000" w:type="pct"/>
            <w:gridSpan w:val="29"/>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4FC025" w14:textId="77777777" w:rsidR="008D5028" w:rsidRPr="0076589C" w:rsidRDefault="008D5028" w:rsidP="008D5028">
            <w:pPr>
              <w:spacing w:after="0" w:line="240" w:lineRule="auto"/>
              <w:ind w:left="0"/>
              <w:rPr>
                <w:rFonts w:eastAsia="Times New Roman" w:cs="Times New Roman"/>
                <w:b/>
                <w:bCs/>
                <w:color w:val="000000"/>
                <w:sz w:val="20"/>
                <w:szCs w:val="20"/>
              </w:rPr>
            </w:pPr>
            <w:r w:rsidRPr="0076589C">
              <w:rPr>
                <w:rFonts w:eastAsia="Times New Roman" w:cs="Times New Roman"/>
                <w:b/>
                <w:bCs/>
                <w:color w:val="000000"/>
                <w:sz w:val="20"/>
                <w:szCs w:val="20"/>
              </w:rPr>
              <w:t>Análisis de requisitos</w:t>
            </w:r>
          </w:p>
        </w:tc>
      </w:tr>
      <w:tr w:rsidR="008D5028" w:rsidRPr="0076589C" w14:paraId="6C13ECB9" w14:textId="77777777" w:rsidTr="00237462">
        <w:trPr>
          <w:trHeight w:val="290"/>
        </w:trPr>
        <w:tc>
          <w:tcPr>
            <w:tcW w:w="655" w:type="pct"/>
            <w:tcBorders>
              <w:top w:val="nil"/>
              <w:left w:val="single" w:sz="4" w:space="0" w:color="auto"/>
              <w:bottom w:val="single" w:sz="4" w:space="0" w:color="auto"/>
              <w:right w:val="single" w:sz="4" w:space="0" w:color="auto"/>
            </w:tcBorders>
            <w:shd w:val="clear" w:color="auto" w:fill="auto"/>
            <w:noWrap/>
            <w:vAlign w:val="bottom"/>
            <w:hideMark/>
          </w:tcPr>
          <w:p w14:paraId="3B6AEEA8" w14:textId="77777777" w:rsidR="008D5028" w:rsidRPr="0076589C" w:rsidRDefault="008D5028" w:rsidP="008D5028">
            <w:pPr>
              <w:spacing w:after="0" w:line="240" w:lineRule="auto"/>
              <w:ind w:left="0"/>
              <w:rPr>
                <w:rFonts w:eastAsia="Times New Roman" w:cs="Times New Roman"/>
                <w:i/>
                <w:iCs/>
                <w:color w:val="000000"/>
                <w:sz w:val="20"/>
                <w:szCs w:val="20"/>
              </w:rPr>
            </w:pPr>
            <w:r w:rsidRPr="0076589C">
              <w:rPr>
                <w:rFonts w:eastAsia="Times New Roman" w:cs="Times New Roman"/>
                <w:i/>
                <w:iCs/>
                <w:color w:val="000000"/>
                <w:sz w:val="20"/>
                <w:szCs w:val="20"/>
              </w:rPr>
              <w:t>Requisitos funcionales</w:t>
            </w:r>
          </w:p>
        </w:tc>
        <w:tc>
          <w:tcPr>
            <w:tcW w:w="493"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10527010" w14:textId="77777777" w:rsidR="008D5028" w:rsidRPr="0076589C" w:rsidRDefault="008D5028" w:rsidP="008D5028">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Equipo de análisis y desarrollo</w:t>
            </w:r>
          </w:p>
        </w:tc>
        <w:tc>
          <w:tcPr>
            <w:tcW w:w="437"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45A1BECC" w14:textId="77777777" w:rsidR="008D5028" w:rsidRPr="0076589C" w:rsidRDefault="008D5028" w:rsidP="008D5028">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3/1/2024</w:t>
            </w:r>
          </w:p>
        </w:tc>
        <w:tc>
          <w:tcPr>
            <w:tcW w:w="495"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69217FA8" w14:textId="77777777" w:rsidR="008D5028" w:rsidRPr="0076589C" w:rsidRDefault="008D5028" w:rsidP="008D5028">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8/1/2024</w:t>
            </w:r>
          </w:p>
        </w:tc>
        <w:tc>
          <w:tcPr>
            <w:tcW w:w="107" w:type="pct"/>
            <w:tcBorders>
              <w:top w:val="nil"/>
              <w:left w:val="nil"/>
              <w:bottom w:val="nil"/>
              <w:right w:val="nil"/>
            </w:tcBorders>
            <w:shd w:val="clear" w:color="auto" w:fill="auto"/>
            <w:noWrap/>
            <w:vAlign w:val="bottom"/>
            <w:hideMark/>
          </w:tcPr>
          <w:p w14:paraId="452B5148"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nil"/>
              <w:right w:val="nil"/>
            </w:tcBorders>
            <w:shd w:val="clear" w:color="auto" w:fill="auto"/>
            <w:noWrap/>
            <w:vAlign w:val="bottom"/>
            <w:hideMark/>
          </w:tcPr>
          <w:p w14:paraId="29DA1DA9"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454" w:type="pct"/>
            <w:gridSpan w:val="4"/>
            <w:vMerge w:val="restart"/>
            <w:tcBorders>
              <w:top w:val="single" w:sz="4" w:space="0" w:color="auto"/>
              <w:left w:val="single" w:sz="4" w:space="0" w:color="auto"/>
              <w:bottom w:val="single" w:sz="4" w:space="0" w:color="auto"/>
              <w:right w:val="single" w:sz="4" w:space="0" w:color="auto"/>
            </w:tcBorders>
            <w:shd w:val="clear" w:color="000000" w:fill="88BADC"/>
            <w:noWrap/>
            <w:vAlign w:val="bottom"/>
            <w:hideMark/>
          </w:tcPr>
          <w:p w14:paraId="2FB0A274" w14:textId="77777777" w:rsidR="008D5028" w:rsidRPr="0076589C" w:rsidRDefault="008D5028" w:rsidP="008D5028">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single" w:sz="4" w:space="0" w:color="auto"/>
              <w:bottom w:val="nil"/>
              <w:right w:val="nil"/>
            </w:tcBorders>
            <w:shd w:val="clear" w:color="auto" w:fill="auto"/>
            <w:noWrap/>
            <w:vAlign w:val="bottom"/>
            <w:hideMark/>
          </w:tcPr>
          <w:p w14:paraId="26550F9D"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nil"/>
              <w:right w:val="nil"/>
            </w:tcBorders>
            <w:shd w:val="clear" w:color="auto" w:fill="auto"/>
            <w:noWrap/>
            <w:vAlign w:val="bottom"/>
            <w:hideMark/>
          </w:tcPr>
          <w:p w14:paraId="2844BADA"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1" w:type="pct"/>
            <w:tcBorders>
              <w:top w:val="nil"/>
              <w:left w:val="nil"/>
              <w:bottom w:val="nil"/>
              <w:right w:val="nil"/>
            </w:tcBorders>
            <w:shd w:val="clear" w:color="auto" w:fill="auto"/>
            <w:noWrap/>
            <w:vAlign w:val="bottom"/>
            <w:hideMark/>
          </w:tcPr>
          <w:p w14:paraId="6FC0F53D"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15" w:type="pct"/>
            <w:tcBorders>
              <w:top w:val="nil"/>
              <w:left w:val="nil"/>
              <w:bottom w:val="nil"/>
              <w:right w:val="nil"/>
            </w:tcBorders>
            <w:shd w:val="clear" w:color="auto" w:fill="auto"/>
            <w:noWrap/>
            <w:vAlign w:val="bottom"/>
            <w:hideMark/>
          </w:tcPr>
          <w:p w14:paraId="588D2044"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7" w:type="pct"/>
            <w:tcBorders>
              <w:top w:val="nil"/>
              <w:left w:val="nil"/>
              <w:bottom w:val="nil"/>
              <w:right w:val="nil"/>
            </w:tcBorders>
            <w:shd w:val="clear" w:color="auto" w:fill="auto"/>
            <w:noWrap/>
            <w:vAlign w:val="bottom"/>
            <w:hideMark/>
          </w:tcPr>
          <w:p w14:paraId="391BBB54"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nil"/>
              <w:right w:val="nil"/>
            </w:tcBorders>
            <w:shd w:val="clear" w:color="auto" w:fill="auto"/>
            <w:noWrap/>
            <w:vAlign w:val="bottom"/>
            <w:hideMark/>
          </w:tcPr>
          <w:p w14:paraId="77EE4B32"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nil"/>
              <w:right w:val="nil"/>
            </w:tcBorders>
            <w:shd w:val="clear" w:color="auto" w:fill="auto"/>
            <w:noWrap/>
            <w:vAlign w:val="bottom"/>
            <w:hideMark/>
          </w:tcPr>
          <w:p w14:paraId="0BC7BA86"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1" w:type="pct"/>
            <w:tcBorders>
              <w:top w:val="nil"/>
              <w:left w:val="nil"/>
              <w:bottom w:val="nil"/>
              <w:right w:val="nil"/>
            </w:tcBorders>
            <w:shd w:val="clear" w:color="auto" w:fill="auto"/>
            <w:noWrap/>
            <w:vAlign w:val="bottom"/>
            <w:hideMark/>
          </w:tcPr>
          <w:p w14:paraId="084B55D0"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15" w:type="pct"/>
            <w:tcBorders>
              <w:top w:val="nil"/>
              <w:left w:val="nil"/>
              <w:bottom w:val="nil"/>
              <w:right w:val="nil"/>
            </w:tcBorders>
            <w:shd w:val="clear" w:color="auto" w:fill="auto"/>
            <w:noWrap/>
            <w:vAlign w:val="bottom"/>
            <w:hideMark/>
          </w:tcPr>
          <w:p w14:paraId="4D27C9B4"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7" w:type="pct"/>
            <w:tcBorders>
              <w:top w:val="nil"/>
              <w:left w:val="nil"/>
              <w:bottom w:val="nil"/>
              <w:right w:val="nil"/>
            </w:tcBorders>
            <w:shd w:val="clear" w:color="auto" w:fill="auto"/>
            <w:noWrap/>
            <w:vAlign w:val="bottom"/>
            <w:hideMark/>
          </w:tcPr>
          <w:p w14:paraId="0A71E0A0"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nil"/>
              <w:right w:val="nil"/>
            </w:tcBorders>
            <w:shd w:val="clear" w:color="auto" w:fill="auto"/>
            <w:noWrap/>
            <w:vAlign w:val="bottom"/>
            <w:hideMark/>
          </w:tcPr>
          <w:p w14:paraId="4DC3129F"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nil"/>
              <w:right w:val="nil"/>
            </w:tcBorders>
            <w:shd w:val="clear" w:color="auto" w:fill="auto"/>
            <w:noWrap/>
            <w:vAlign w:val="bottom"/>
            <w:hideMark/>
          </w:tcPr>
          <w:p w14:paraId="4FAE35F4"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1" w:type="pct"/>
            <w:tcBorders>
              <w:top w:val="nil"/>
              <w:left w:val="nil"/>
              <w:bottom w:val="nil"/>
              <w:right w:val="nil"/>
            </w:tcBorders>
            <w:shd w:val="clear" w:color="auto" w:fill="auto"/>
            <w:noWrap/>
            <w:vAlign w:val="bottom"/>
            <w:hideMark/>
          </w:tcPr>
          <w:p w14:paraId="6958A376"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15" w:type="pct"/>
            <w:tcBorders>
              <w:top w:val="nil"/>
              <w:left w:val="nil"/>
              <w:bottom w:val="nil"/>
              <w:right w:val="nil"/>
            </w:tcBorders>
            <w:shd w:val="clear" w:color="auto" w:fill="auto"/>
            <w:noWrap/>
            <w:vAlign w:val="bottom"/>
            <w:hideMark/>
          </w:tcPr>
          <w:p w14:paraId="0883CD32"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7" w:type="pct"/>
            <w:tcBorders>
              <w:top w:val="nil"/>
              <w:left w:val="nil"/>
              <w:bottom w:val="nil"/>
              <w:right w:val="nil"/>
            </w:tcBorders>
            <w:shd w:val="clear" w:color="auto" w:fill="auto"/>
            <w:noWrap/>
            <w:vAlign w:val="bottom"/>
            <w:hideMark/>
          </w:tcPr>
          <w:p w14:paraId="4363BD26"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nil"/>
              <w:right w:val="nil"/>
            </w:tcBorders>
            <w:shd w:val="clear" w:color="auto" w:fill="auto"/>
            <w:noWrap/>
            <w:vAlign w:val="bottom"/>
            <w:hideMark/>
          </w:tcPr>
          <w:p w14:paraId="645C274E"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nil"/>
              <w:right w:val="nil"/>
            </w:tcBorders>
            <w:shd w:val="clear" w:color="auto" w:fill="auto"/>
            <w:noWrap/>
            <w:vAlign w:val="bottom"/>
            <w:hideMark/>
          </w:tcPr>
          <w:p w14:paraId="3E5CC6A2"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1" w:type="pct"/>
            <w:tcBorders>
              <w:top w:val="nil"/>
              <w:left w:val="nil"/>
              <w:bottom w:val="nil"/>
              <w:right w:val="nil"/>
            </w:tcBorders>
            <w:shd w:val="clear" w:color="auto" w:fill="auto"/>
            <w:noWrap/>
            <w:vAlign w:val="bottom"/>
            <w:hideMark/>
          </w:tcPr>
          <w:p w14:paraId="083D12E4"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10" w:type="pct"/>
            <w:tcBorders>
              <w:top w:val="nil"/>
              <w:left w:val="nil"/>
              <w:bottom w:val="nil"/>
              <w:right w:val="single" w:sz="4" w:space="0" w:color="auto"/>
            </w:tcBorders>
            <w:shd w:val="clear" w:color="auto" w:fill="auto"/>
            <w:noWrap/>
            <w:vAlign w:val="bottom"/>
            <w:hideMark/>
          </w:tcPr>
          <w:p w14:paraId="2A0A66BB"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r>
      <w:tr w:rsidR="008D5028" w:rsidRPr="0076589C" w14:paraId="073097F2" w14:textId="77777777" w:rsidTr="00237462">
        <w:trPr>
          <w:trHeight w:val="290"/>
        </w:trPr>
        <w:tc>
          <w:tcPr>
            <w:tcW w:w="655" w:type="pct"/>
            <w:tcBorders>
              <w:top w:val="nil"/>
              <w:left w:val="single" w:sz="4" w:space="0" w:color="auto"/>
              <w:bottom w:val="single" w:sz="4" w:space="0" w:color="auto"/>
              <w:right w:val="single" w:sz="4" w:space="0" w:color="auto"/>
            </w:tcBorders>
            <w:shd w:val="clear" w:color="auto" w:fill="auto"/>
            <w:noWrap/>
            <w:vAlign w:val="bottom"/>
            <w:hideMark/>
          </w:tcPr>
          <w:p w14:paraId="536D5869" w14:textId="77777777" w:rsidR="008D5028" w:rsidRPr="0076589C" w:rsidRDefault="008D5028" w:rsidP="008D5028">
            <w:pPr>
              <w:spacing w:after="0" w:line="240" w:lineRule="auto"/>
              <w:ind w:left="0"/>
              <w:rPr>
                <w:rFonts w:eastAsia="Times New Roman" w:cs="Times New Roman"/>
                <w:i/>
                <w:iCs/>
                <w:color w:val="000000"/>
                <w:sz w:val="20"/>
                <w:szCs w:val="20"/>
              </w:rPr>
            </w:pPr>
            <w:r w:rsidRPr="0076589C">
              <w:rPr>
                <w:rFonts w:eastAsia="Times New Roman" w:cs="Times New Roman"/>
                <w:i/>
                <w:iCs/>
                <w:color w:val="000000"/>
                <w:sz w:val="20"/>
                <w:szCs w:val="20"/>
              </w:rPr>
              <w:t>Requisitos técnicos</w:t>
            </w:r>
          </w:p>
        </w:tc>
        <w:tc>
          <w:tcPr>
            <w:tcW w:w="493" w:type="pct"/>
            <w:vMerge/>
            <w:tcBorders>
              <w:top w:val="nil"/>
              <w:left w:val="single" w:sz="4" w:space="0" w:color="auto"/>
              <w:bottom w:val="single" w:sz="4" w:space="0" w:color="000000"/>
              <w:right w:val="single" w:sz="4" w:space="0" w:color="auto"/>
            </w:tcBorders>
            <w:vAlign w:val="center"/>
            <w:hideMark/>
          </w:tcPr>
          <w:p w14:paraId="24E5A0DE" w14:textId="77777777" w:rsidR="008D5028" w:rsidRPr="0076589C" w:rsidRDefault="008D5028" w:rsidP="008D5028">
            <w:pPr>
              <w:spacing w:after="0" w:line="240" w:lineRule="auto"/>
              <w:ind w:left="0"/>
              <w:rPr>
                <w:rFonts w:eastAsia="Times New Roman" w:cs="Times New Roman"/>
                <w:color w:val="000000"/>
                <w:sz w:val="20"/>
                <w:szCs w:val="20"/>
              </w:rPr>
            </w:pPr>
          </w:p>
        </w:tc>
        <w:tc>
          <w:tcPr>
            <w:tcW w:w="437" w:type="pct"/>
            <w:vMerge/>
            <w:tcBorders>
              <w:top w:val="nil"/>
              <w:left w:val="single" w:sz="4" w:space="0" w:color="auto"/>
              <w:bottom w:val="single" w:sz="4" w:space="0" w:color="000000"/>
              <w:right w:val="single" w:sz="4" w:space="0" w:color="auto"/>
            </w:tcBorders>
            <w:vAlign w:val="center"/>
            <w:hideMark/>
          </w:tcPr>
          <w:p w14:paraId="18592DA2" w14:textId="77777777" w:rsidR="008D5028" w:rsidRPr="0076589C" w:rsidRDefault="008D5028" w:rsidP="008D5028">
            <w:pPr>
              <w:spacing w:after="0" w:line="240" w:lineRule="auto"/>
              <w:ind w:left="0"/>
              <w:rPr>
                <w:rFonts w:eastAsia="Times New Roman" w:cs="Times New Roman"/>
                <w:color w:val="000000"/>
                <w:sz w:val="20"/>
                <w:szCs w:val="20"/>
              </w:rPr>
            </w:pPr>
          </w:p>
        </w:tc>
        <w:tc>
          <w:tcPr>
            <w:tcW w:w="495" w:type="pct"/>
            <w:vMerge/>
            <w:tcBorders>
              <w:top w:val="nil"/>
              <w:left w:val="single" w:sz="4" w:space="0" w:color="auto"/>
              <w:bottom w:val="single" w:sz="4" w:space="0" w:color="000000"/>
              <w:right w:val="single" w:sz="4" w:space="0" w:color="auto"/>
            </w:tcBorders>
            <w:vAlign w:val="center"/>
            <w:hideMark/>
          </w:tcPr>
          <w:p w14:paraId="3038502E" w14:textId="77777777" w:rsidR="008D5028" w:rsidRPr="0076589C" w:rsidRDefault="008D5028" w:rsidP="008D5028">
            <w:pPr>
              <w:spacing w:after="0" w:line="240" w:lineRule="auto"/>
              <w:ind w:left="0"/>
              <w:rPr>
                <w:rFonts w:eastAsia="Times New Roman" w:cs="Times New Roman"/>
                <w:color w:val="000000"/>
                <w:sz w:val="20"/>
                <w:szCs w:val="20"/>
              </w:rPr>
            </w:pPr>
          </w:p>
        </w:tc>
        <w:tc>
          <w:tcPr>
            <w:tcW w:w="107" w:type="pct"/>
            <w:tcBorders>
              <w:top w:val="nil"/>
              <w:left w:val="nil"/>
              <w:bottom w:val="nil"/>
              <w:right w:val="nil"/>
            </w:tcBorders>
            <w:shd w:val="clear" w:color="auto" w:fill="auto"/>
            <w:noWrap/>
            <w:vAlign w:val="bottom"/>
            <w:hideMark/>
          </w:tcPr>
          <w:p w14:paraId="7B68D49E"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nil"/>
              <w:right w:val="single" w:sz="4" w:space="0" w:color="auto"/>
            </w:tcBorders>
            <w:shd w:val="clear" w:color="auto" w:fill="auto"/>
            <w:noWrap/>
            <w:vAlign w:val="bottom"/>
            <w:hideMark/>
          </w:tcPr>
          <w:p w14:paraId="7FB19E6A" w14:textId="77777777" w:rsidR="008D5028" w:rsidRPr="0076589C" w:rsidRDefault="008D5028" w:rsidP="008D5028">
            <w:pPr>
              <w:spacing w:after="0" w:line="240" w:lineRule="auto"/>
              <w:ind w:left="0"/>
              <w:rPr>
                <w:rFonts w:eastAsia="Times New Roman" w:cs="Times New Roman"/>
                <w:color w:val="000000"/>
                <w:sz w:val="20"/>
                <w:szCs w:val="20"/>
              </w:rPr>
            </w:pPr>
          </w:p>
        </w:tc>
        <w:tc>
          <w:tcPr>
            <w:tcW w:w="454" w:type="pct"/>
            <w:gridSpan w:val="4"/>
            <w:vMerge/>
            <w:tcBorders>
              <w:top w:val="nil"/>
              <w:left w:val="single" w:sz="4" w:space="0" w:color="auto"/>
              <w:bottom w:val="single" w:sz="4" w:space="0" w:color="auto"/>
              <w:right w:val="single" w:sz="4" w:space="0" w:color="auto"/>
            </w:tcBorders>
            <w:vAlign w:val="center"/>
            <w:hideMark/>
          </w:tcPr>
          <w:p w14:paraId="5C1753CC" w14:textId="77777777" w:rsidR="008D5028" w:rsidRPr="0076589C" w:rsidRDefault="008D5028" w:rsidP="008D5028">
            <w:pPr>
              <w:spacing w:after="0" w:line="240" w:lineRule="auto"/>
              <w:ind w:left="0"/>
              <w:rPr>
                <w:rFonts w:eastAsia="Times New Roman" w:cs="Times New Roman"/>
                <w:color w:val="000000"/>
                <w:sz w:val="20"/>
                <w:szCs w:val="20"/>
              </w:rPr>
            </w:pPr>
          </w:p>
        </w:tc>
        <w:tc>
          <w:tcPr>
            <w:tcW w:w="131" w:type="pct"/>
            <w:tcBorders>
              <w:top w:val="nil"/>
              <w:left w:val="single" w:sz="4" w:space="0" w:color="auto"/>
              <w:bottom w:val="nil"/>
              <w:right w:val="nil"/>
            </w:tcBorders>
            <w:shd w:val="clear" w:color="auto" w:fill="auto"/>
            <w:noWrap/>
            <w:vAlign w:val="bottom"/>
            <w:hideMark/>
          </w:tcPr>
          <w:p w14:paraId="05F6ACBA" w14:textId="77777777" w:rsidR="008D5028" w:rsidRPr="0076589C" w:rsidRDefault="008D5028" w:rsidP="008D5028">
            <w:pPr>
              <w:spacing w:after="0" w:line="240" w:lineRule="auto"/>
              <w:ind w:left="0"/>
              <w:rPr>
                <w:rFonts w:eastAsia="Times New Roman" w:cs="Times New Roman"/>
                <w:sz w:val="20"/>
                <w:szCs w:val="20"/>
              </w:rPr>
            </w:pPr>
          </w:p>
        </w:tc>
        <w:tc>
          <w:tcPr>
            <w:tcW w:w="131" w:type="pct"/>
            <w:tcBorders>
              <w:top w:val="nil"/>
              <w:left w:val="nil"/>
              <w:bottom w:val="nil"/>
              <w:right w:val="nil"/>
            </w:tcBorders>
            <w:shd w:val="clear" w:color="auto" w:fill="auto"/>
            <w:noWrap/>
            <w:vAlign w:val="bottom"/>
            <w:hideMark/>
          </w:tcPr>
          <w:p w14:paraId="634D1976" w14:textId="77777777" w:rsidR="008D5028" w:rsidRPr="0076589C" w:rsidRDefault="008D5028" w:rsidP="008D5028">
            <w:pPr>
              <w:spacing w:after="0" w:line="240" w:lineRule="auto"/>
              <w:ind w:left="0"/>
              <w:rPr>
                <w:rFonts w:eastAsia="Times New Roman" w:cs="Times New Roman"/>
                <w:sz w:val="20"/>
                <w:szCs w:val="20"/>
              </w:rPr>
            </w:pPr>
          </w:p>
        </w:tc>
        <w:tc>
          <w:tcPr>
            <w:tcW w:w="101" w:type="pct"/>
            <w:tcBorders>
              <w:top w:val="nil"/>
              <w:left w:val="nil"/>
              <w:bottom w:val="nil"/>
              <w:right w:val="nil"/>
            </w:tcBorders>
            <w:shd w:val="clear" w:color="auto" w:fill="auto"/>
            <w:noWrap/>
            <w:vAlign w:val="bottom"/>
            <w:hideMark/>
          </w:tcPr>
          <w:p w14:paraId="1FD69F0F" w14:textId="77777777" w:rsidR="008D5028" w:rsidRPr="0076589C" w:rsidRDefault="008D5028" w:rsidP="008D5028">
            <w:pPr>
              <w:spacing w:after="0" w:line="240" w:lineRule="auto"/>
              <w:ind w:left="0"/>
              <w:rPr>
                <w:rFonts w:eastAsia="Times New Roman" w:cs="Times New Roman"/>
                <w:sz w:val="20"/>
                <w:szCs w:val="20"/>
              </w:rPr>
            </w:pPr>
          </w:p>
        </w:tc>
        <w:tc>
          <w:tcPr>
            <w:tcW w:w="115" w:type="pct"/>
            <w:tcBorders>
              <w:top w:val="nil"/>
              <w:left w:val="nil"/>
              <w:bottom w:val="nil"/>
              <w:right w:val="nil"/>
            </w:tcBorders>
            <w:shd w:val="clear" w:color="auto" w:fill="auto"/>
            <w:noWrap/>
            <w:vAlign w:val="bottom"/>
            <w:hideMark/>
          </w:tcPr>
          <w:p w14:paraId="07A0B81A" w14:textId="77777777" w:rsidR="008D5028" w:rsidRPr="0076589C" w:rsidRDefault="008D5028" w:rsidP="008D5028">
            <w:pPr>
              <w:spacing w:after="0" w:line="240" w:lineRule="auto"/>
              <w:ind w:left="0"/>
              <w:rPr>
                <w:rFonts w:eastAsia="Times New Roman" w:cs="Times New Roman"/>
                <w:sz w:val="20"/>
                <w:szCs w:val="20"/>
              </w:rPr>
            </w:pPr>
          </w:p>
        </w:tc>
        <w:tc>
          <w:tcPr>
            <w:tcW w:w="107" w:type="pct"/>
            <w:tcBorders>
              <w:top w:val="nil"/>
              <w:left w:val="nil"/>
              <w:bottom w:val="nil"/>
              <w:right w:val="nil"/>
            </w:tcBorders>
            <w:shd w:val="clear" w:color="auto" w:fill="auto"/>
            <w:noWrap/>
            <w:vAlign w:val="bottom"/>
            <w:hideMark/>
          </w:tcPr>
          <w:p w14:paraId="3BC37305" w14:textId="77777777" w:rsidR="008D5028" w:rsidRPr="0076589C" w:rsidRDefault="008D5028" w:rsidP="008D5028">
            <w:pPr>
              <w:spacing w:after="0" w:line="240" w:lineRule="auto"/>
              <w:ind w:left="0"/>
              <w:rPr>
                <w:rFonts w:eastAsia="Times New Roman" w:cs="Times New Roman"/>
                <w:sz w:val="20"/>
                <w:szCs w:val="20"/>
              </w:rPr>
            </w:pPr>
          </w:p>
        </w:tc>
        <w:tc>
          <w:tcPr>
            <w:tcW w:w="131" w:type="pct"/>
            <w:tcBorders>
              <w:top w:val="nil"/>
              <w:left w:val="nil"/>
              <w:bottom w:val="nil"/>
              <w:right w:val="nil"/>
            </w:tcBorders>
            <w:shd w:val="clear" w:color="auto" w:fill="auto"/>
            <w:noWrap/>
            <w:vAlign w:val="bottom"/>
            <w:hideMark/>
          </w:tcPr>
          <w:p w14:paraId="54205BC9" w14:textId="77777777" w:rsidR="008D5028" w:rsidRPr="0076589C" w:rsidRDefault="008D5028" w:rsidP="008D5028">
            <w:pPr>
              <w:spacing w:after="0" w:line="240" w:lineRule="auto"/>
              <w:ind w:left="0"/>
              <w:rPr>
                <w:rFonts w:eastAsia="Times New Roman" w:cs="Times New Roman"/>
                <w:sz w:val="20"/>
                <w:szCs w:val="20"/>
              </w:rPr>
            </w:pPr>
          </w:p>
        </w:tc>
        <w:tc>
          <w:tcPr>
            <w:tcW w:w="131" w:type="pct"/>
            <w:tcBorders>
              <w:top w:val="nil"/>
              <w:left w:val="nil"/>
              <w:bottom w:val="nil"/>
              <w:right w:val="nil"/>
            </w:tcBorders>
            <w:shd w:val="clear" w:color="auto" w:fill="auto"/>
            <w:noWrap/>
            <w:vAlign w:val="bottom"/>
            <w:hideMark/>
          </w:tcPr>
          <w:p w14:paraId="786E071B" w14:textId="77777777" w:rsidR="008D5028" w:rsidRPr="0076589C" w:rsidRDefault="008D5028" w:rsidP="008D5028">
            <w:pPr>
              <w:spacing w:after="0" w:line="240" w:lineRule="auto"/>
              <w:ind w:left="0"/>
              <w:rPr>
                <w:rFonts w:eastAsia="Times New Roman" w:cs="Times New Roman"/>
                <w:sz w:val="20"/>
                <w:szCs w:val="20"/>
              </w:rPr>
            </w:pPr>
          </w:p>
        </w:tc>
        <w:tc>
          <w:tcPr>
            <w:tcW w:w="101" w:type="pct"/>
            <w:tcBorders>
              <w:top w:val="nil"/>
              <w:left w:val="nil"/>
              <w:bottom w:val="nil"/>
              <w:right w:val="nil"/>
            </w:tcBorders>
            <w:shd w:val="clear" w:color="auto" w:fill="auto"/>
            <w:noWrap/>
            <w:vAlign w:val="bottom"/>
            <w:hideMark/>
          </w:tcPr>
          <w:p w14:paraId="301395E3" w14:textId="77777777" w:rsidR="008D5028" w:rsidRPr="0076589C" w:rsidRDefault="008D5028" w:rsidP="008D5028">
            <w:pPr>
              <w:spacing w:after="0" w:line="240" w:lineRule="auto"/>
              <w:ind w:left="0"/>
              <w:rPr>
                <w:rFonts w:eastAsia="Times New Roman" w:cs="Times New Roman"/>
                <w:sz w:val="20"/>
                <w:szCs w:val="20"/>
              </w:rPr>
            </w:pPr>
          </w:p>
        </w:tc>
        <w:tc>
          <w:tcPr>
            <w:tcW w:w="115" w:type="pct"/>
            <w:tcBorders>
              <w:top w:val="nil"/>
              <w:left w:val="nil"/>
              <w:bottom w:val="nil"/>
              <w:right w:val="nil"/>
            </w:tcBorders>
            <w:shd w:val="clear" w:color="auto" w:fill="auto"/>
            <w:noWrap/>
            <w:vAlign w:val="bottom"/>
            <w:hideMark/>
          </w:tcPr>
          <w:p w14:paraId="7A6A01B3" w14:textId="77777777" w:rsidR="008D5028" w:rsidRPr="0076589C" w:rsidRDefault="008D5028" w:rsidP="008D5028">
            <w:pPr>
              <w:spacing w:after="0" w:line="240" w:lineRule="auto"/>
              <w:ind w:left="0"/>
              <w:rPr>
                <w:rFonts w:eastAsia="Times New Roman" w:cs="Times New Roman"/>
                <w:sz w:val="20"/>
                <w:szCs w:val="20"/>
              </w:rPr>
            </w:pPr>
          </w:p>
        </w:tc>
        <w:tc>
          <w:tcPr>
            <w:tcW w:w="107" w:type="pct"/>
            <w:tcBorders>
              <w:top w:val="nil"/>
              <w:left w:val="nil"/>
              <w:bottom w:val="nil"/>
              <w:right w:val="nil"/>
            </w:tcBorders>
            <w:shd w:val="clear" w:color="auto" w:fill="auto"/>
            <w:noWrap/>
            <w:vAlign w:val="bottom"/>
            <w:hideMark/>
          </w:tcPr>
          <w:p w14:paraId="4FD020DE" w14:textId="77777777" w:rsidR="008D5028" w:rsidRPr="0076589C" w:rsidRDefault="008D5028" w:rsidP="008D5028">
            <w:pPr>
              <w:spacing w:after="0" w:line="240" w:lineRule="auto"/>
              <w:ind w:left="0"/>
              <w:rPr>
                <w:rFonts w:eastAsia="Times New Roman" w:cs="Times New Roman"/>
                <w:sz w:val="20"/>
                <w:szCs w:val="20"/>
              </w:rPr>
            </w:pPr>
          </w:p>
        </w:tc>
        <w:tc>
          <w:tcPr>
            <w:tcW w:w="131" w:type="pct"/>
            <w:tcBorders>
              <w:top w:val="nil"/>
              <w:left w:val="nil"/>
              <w:bottom w:val="nil"/>
              <w:right w:val="nil"/>
            </w:tcBorders>
            <w:shd w:val="clear" w:color="auto" w:fill="auto"/>
            <w:noWrap/>
            <w:vAlign w:val="bottom"/>
            <w:hideMark/>
          </w:tcPr>
          <w:p w14:paraId="7E89D3C3" w14:textId="77777777" w:rsidR="008D5028" w:rsidRPr="0076589C" w:rsidRDefault="008D5028" w:rsidP="008D5028">
            <w:pPr>
              <w:spacing w:after="0" w:line="240" w:lineRule="auto"/>
              <w:ind w:left="0"/>
              <w:rPr>
                <w:rFonts w:eastAsia="Times New Roman" w:cs="Times New Roman"/>
                <w:sz w:val="20"/>
                <w:szCs w:val="20"/>
              </w:rPr>
            </w:pPr>
          </w:p>
        </w:tc>
        <w:tc>
          <w:tcPr>
            <w:tcW w:w="131" w:type="pct"/>
            <w:tcBorders>
              <w:top w:val="nil"/>
              <w:left w:val="nil"/>
              <w:bottom w:val="nil"/>
              <w:right w:val="nil"/>
            </w:tcBorders>
            <w:shd w:val="clear" w:color="auto" w:fill="auto"/>
            <w:noWrap/>
            <w:vAlign w:val="bottom"/>
            <w:hideMark/>
          </w:tcPr>
          <w:p w14:paraId="088DEE5B" w14:textId="77777777" w:rsidR="008D5028" w:rsidRPr="0076589C" w:rsidRDefault="008D5028" w:rsidP="008D5028">
            <w:pPr>
              <w:spacing w:after="0" w:line="240" w:lineRule="auto"/>
              <w:ind w:left="0"/>
              <w:rPr>
                <w:rFonts w:eastAsia="Times New Roman" w:cs="Times New Roman"/>
                <w:sz w:val="20"/>
                <w:szCs w:val="20"/>
              </w:rPr>
            </w:pPr>
          </w:p>
        </w:tc>
        <w:tc>
          <w:tcPr>
            <w:tcW w:w="101" w:type="pct"/>
            <w:tcBorders>
              <w:top w:val="nil"/>
              <w:left w:val="nil"/>
              <w:bottom w:val="nil"/>
              <w:right w:val="nil"/>
            </w:tcBorders>
            <w:shd w:val="clear" w:color="auto" w:fill="auto"/>
            <w:noWrap/>
            <w:vAlign w:val="bottom"/>
            <w:hideMark/>
          </w:tcPr>
          <w:p w14:paraId="47FDDF1E" w14:textId="77777777" w:rsidR="008D5028" w:rsidRPr="0076589C" w:rsidRDefault="008D5028" w:rsidP="008D5028">
            <w:pPr>
              <w:spacing w:after="0" w:line="240" w:lineRule="auto"/>
              <w:ind w:left="0"/>
              <w:rPr>
                <w:rFonts w:eastAsia="Times New Roman" w:cs="Times New Roman"/>
                <w:sz w:val="20"/>
                <w:szCs w:val="20"/>
              </w:rPr>
            </w:pPr>
          </w:p>
        </w:tc>
        <w:tc>
          <w:tcPr>
            <w:tcW w:w="115" w:type="pct"/>
            <w:tcBorders>
              <w:top w:val="nil"/>
              <w:left w:val="nil"/>
              <w:bottom w:val="nil"/>
              <w:right w:val="nil"/>
            </w:tcBorders>
            <w:shd w:val="clear" w:color="auto" w:fill="auto"/>
            <w:noWrap/>
            <w:vAlign w:val="bottom"/>
            <w:hideMark/>
          </w:tcPr>
          <w:p w14:paraId="7165555E" w14:textId="77777777" w:rsidR="008D5028" w:rsidRPr="0076589C" w:rsidRDefault="008D5028" w:rsidP="008D5028">
            <w:pPr>
              <w:spacing w:after="0" w:line="240" w:lineRule="auto"/>
              <w:ind w:left="0"/>
              <w:rPr>
                <w:rFonts w:eastAsia="Times New Roman" w:cs="Times New Roman"/>
                <w:sz w:val="20"/>
                <w:szCs w:val="20"/>
              </w:rPr>
            </w:pPr>
          </w:p>
        </w:tc>
        <w:tc>
          <w:tcPr>
            <w:tcW w:w="107" w:type="pct"/>
            <w:tcBorders>
              <w:top w:val="nil"/>
              <w:left w:val="nil"/>
              <w:bottom w:val="nil"/>
              <w:right w:val="nil"/>
            </w:tcBorders>
            <w:shd w:val="clear" w:color="auto" w:fill="auto"/>
            <w:noWrap/>
            <w:vAlign w:val="bottom"/>
            <w:hideMark/>
          </w:tcPr>
          <w:p w14:paraId="5788DE53" w14:textId="77777777" w:rsidR="008D5028" w:rsidRPr="0076589C" w:rsidRDefault="008D5028" w:rsidP="008D5028">
            <w:pPr>
              <w:spacing w:after="0" w:line="240" w:lineRule="auto"/>
              <w:ind w:left="0"/>
              <w:rPr>
                <w:rFonts w:eastAsia="Times New Roman" w:cs="Times New Roman"/>
                <w:sz w:val="20"/>
                <w:szCs w:val="20"/>
              </w:rPr>
            </w:pPr>
          </w:p>
        </w:tc>
        <w:tc>
          <w:tcPr>
            <w:tcW w:w="131" w:type="pct"/>
            <w:tcBorders>
              <w:top w:val="nil"/>
              <w:left w:val="nil"/>
              <w:bottom w:val="nil"/>
              <w:right w:val="nil"/>
            </w:tcBorders>
            <w:shd w:val="clear" w:color="auto" w:fill="auto"/>
            <w:noWrap/>
            <w:vAlign w:val="bottom"/>
            <w:hideMark/>
          </w:tcPr>
          <w:p w14:paraId="38C5F4A3" w14:textId="77777777" w:rsidR="008D5028" w:rsidRPr="0076589C" w:rsidRDefault="008D5028" w:rsidP="008D5028">
            <w:pPr>
              <w:spacing w:after="0" w:line="240" w:lineRule="auto"/>
              <w:ind w:left="0"/>
              <w:rPr>
                <w:rFonts w:eastAsia="Times New Roman" w:cs="Times New Roman"/>
                <w:sz w:val="20"/>
                <w:szCs w:val="20"/>
              </w:rPr>
            </w:pPr>
          </w:p>
        </w:tc>
        <w:tc>
          <w:tcPr>
            <w:tcW w:w="131" w:type="pct"/>
            <w:tcBorders>
              <w:top w:val="nil"/>
              <w:left w:val="nil"/>
              <w:bottom w:val="nil"/>
              <w:right w:val="nil"/>
            </w:tcBorders>
            <w:shd w:val="clear" w:color="auto" w:fill="auto"/>
            <w:noWrap/>
            <w:vAlign w:val="bottom"/>
            <w:hideMark/>
          </w:tcPr>
          <w:p w14:paraId="1D46ECEE" w14:textId="77777777" w:rsidR="008D5028" w:rsidRPr="0076589C" w:rsidRDefault="008D5028" w:rsidP="008D5028">
            <w:pPr>
              <w:spacing w:after="0" w:line="240" w:lineRule="auto"/>
              <w:ind w:left="0"/>
              <w:rPr>
                <w:rFonts w:eastAsia="Times New Roman" w:cs="Times New Roman"/>
                <w:sz w:val="20"/>
                <w:szCs w:val="20"/>
              </w:rPr>
            </w:pPr>
          </w:p>
        </w:tc>
        <w:tc>
          <w:tcPr>
            <w:tcW w:w="101" w:type="pct"/>
            <w:tcBorders>
              <w:top w:val="nil"/>
              <w:left w:val="nil"/>
              <w:bottom w:val="nil"/>
              <w:right w:val="nil"/>
            </w:tcBorders>
            <w:shd w:val="clear" w:color="auto" w:fill="auto"/>
            <w:noWrap/>
            <w:vAlign w:val="bottom"/>
            <w:hideMark/>
          </w:tcPr>
          <w:p w14:paraId="44FC2686" w14:textId="77777777" w:rsidR="008D5028" w:rsidRPr="0076589C" w:rsidRDefault="008D5028" w:rsidP="008D5028">
            <w:pPr>
              <w:spacing w:after="0" w:line="240" w:lineRule="auto"/>
              <w:ind w:left="0"/>
              <w:rPr>
                <w:rFonts w:eastAsia="Times New Roman" w:cs="Times New Roman"/>
                <w:sz w:val="20"/>
                <w:szCs w:val="20"/>
              </w:rPr>
            </w:pPr>
          </w:p>
        </w:tc>
        <w:tc>
          <w:tcPr>
            <w:tcW w:w="110" w:type="pct"/>
            <w:tcBorders>
              <w:top w:val="nil"/>
              <w:left w:val="nil"/>
              <w:bottom w:val="nil"/>
              <w:right w:val="single" w:sz="4" w:space="0" w:color="auto"/>
            </w:tcBorders>
            <w:shd w:val="clear" w:color="auto" w:fill="auto"/>
            <w:noWrap/>
            <w:vAlign w:val="bottom"/>
            <w:hideMark/>
          </w:tcPr>
          <w:p w14:paraId="185EC823"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r>
      <w:tr w:rsidR="008D5028" w:rsidRPr="0076589C" w14:paraId="2F98567D" w14:textId="77777777" w:rsidTr="00237462">
        <w:trPr>
          <w:trHeight w:val="290"/>
        </w:trPr>
        <w:tc>
          <w:tcPr>
            <w:tcW w:w="655" w:type="pct"/>
            <w:tcBorders>
              <w:top w:val="nil"/>
              <w:left w:val="single" w:sz="4" w:space="0" w:color="auto"/>
              <w:bottom w:val="single" w:sz="4" w:space="0" w:color="auto"/>
              <w:right w:val="single" w:sz="4" w:space="0" w:color="auto"/>
            </w:tcBorders>
            <w:shd w:val="clear" w:color="auto" w:fill="auto"/>
            <w:noWrap/>
            <w:vAlign w:val="bottom"/>
            <w:hideMark/>
          </w:tcPr>
          <w:p w14:paraId="6E41DF5A" w14:textId="77777777" w:rsidR="008D5028" w:rsidRPr="0076589C" w:rsidRDefault="008D5028" w:rsidP="008D5028">
            <w:pPr>
              <w:spacing w:after="0" w:line="240" w:lineRule="auto"/>
              <w:ind w:left="0"/>
              <w:rPr>
                <w:rFonts w:eastAsia="Times New Roman" w:cs="Times New Roman"/>
                <w:i/>
                <w:iCs/>
                <w:color w:val="000000"/>
                <w:sz w:val="20"/>
                <w:szCs w:val="20"/>
              </w:rPr>
            </w:pPr>
            <w:r w:rsidRPr="0076589C">
              <w:rPr>
                <w:rFonts w:eastAsia="Times New Roman" w:cs="Times New Roman"/>
                <w:i/>
                <w:iCs/>
                <w:color w:val="000000"/>
                <w:sz w:val="20"/>
                <w:szCs w:val="20"/>
              </w:rPr>
              <w:t>Requisitos de usabilidad</w:t>
            </w:r>
          </w:p>
        </w:tc>
        <w:tc>
          <w:tcPr>
            <w:tcW w:w="493" w:type="pct"/>
            <w:vMerge/>
            <w:tcBorders>
              <w:top w:val="nil"/>
              <w:left w:val="single" w:sz="4" w:space="0" w:color="auto"/>
              <w:bottom w:val="single" w:sz="4" w:space="0" w:color="000000"/>
              <w:right w:val="single" w:sz="4" w:space="0" w:color="auto"/>
            </w:tcBorders>
            <w:vAlign w:val="center"/>
            <w:hideMark/>
          </w:tcPr>
          <w:p w14:paraId="702261A0" w14:textId="77777777" w:rsidR="008D5028" w:rsidRPr="0076589C" w:rsidRDefault="008D5028" w:rsidP="008D5028">
            <w:pPr>
              <w:spacing w:after="0" w:line="240" w:lineRule="auto"/>
              <w:ind w:left="0"/>
              <w:rPr>
                <w:rFonts w:eastAsia="Times New Roman" w:cs="Times New Roman"/>
                <w:color w:val="000000"/>
                <w:sz w:val="20"/>
                <w:szCs w:val="20"/>
              </w:rPr>
            </w:pPr>
          </w:p>
        </w:tc>
        <w:tc>
          <w:tcPr>
            <w:tcW w:w="437" w:type="pct"/>
            <w:vMerge/>
            <w:tcBorders>
              <w:top w:val="nil"/>
              <w:left w:val="single" w:sz="4" w:space="0" w:color="auto"/>
              <w:bottom w:val="single" w:sz="4" w:space="0" w:color="000000"/>
              <w:right w:val="single" w:sz="4" w:space="0" w:color="auto"/>
            </w:tcBorders>
            <w:vAlign w:val="center"/>
            <w:hideMark/>
          </w:tcPr>
          <w:p w14:paraId="7208208C" w14:textId="77777777" w:rsidR="008D5028" w:rsidRPr="0076589C" w:rsidRDefault="008D5028" w:rsidP="008D5028">
            <w:pPr>
              <w:spacing w:after="0" w:line="240" w:lineRule="auto"/>
              <w:ind w:left="0"/>
              <w:rPr>
                <w:rFonts w:eastAsia="Times New Roman" w:cs="Times New Roman"/>
                <w:color w:val="000000"/>
                <w:sz w:val="20"/>
                <w:szCs w:val="20"/>
              </w:rPr>
            </w:pPr>
          </w:p>
        </w:tc>
        <w:tc>
          <w:tcPr>
            <w:tcW w:w="495" w:type="pct"/>
            <w:vMerge/>
            <w:tcBorders>
              <w:top w:val="nil"/>
              <w:left w:val="single" w:sz="4" w:space="0" w:color="auto"/>
              <w:bottom w:val="single" w:sz="4" w:space="0" w:color="000000"/>
              <w:right w:val="single" w:sz="4" w:space="0" w:color="auto"/>
            </w:tcBorders>
            <w:vAlign w:val="center"/>
            <w:hideMark/>
          </w:tcPr>
          <w:p w14:paraId="3CD58A94" w14:textId="77777777" w:rsidR="008D5028" w:rsidRPr="0076589C" w:rsidRDefault="008D5028" w:rsidP="008D5028">
            <w:pPr>
              <w:spacing w:after="0" w:line="240" w:lineRule="auto"/>
              <w:ind w:left="0"/>
              <w:rPr>
                <w:rFonts w:eastAsia="Times New Roman" w:cs="Times New Roman"/>
                <w:color w:val="000000"/>
                <w:sz w:val="20"/>
                <w:szCs w:val="20"/>
              </w:rPr>
            </w:pPr>
          </w:p>
        </w:tc>
        <w:tc>
          <w:tcPr>
            <w:tcW w:w="107" w:type="pct"/>
            <w:tcBorders>
              <w:top w:val="nil"/>
              <w:left w:val="nil"/>
              <w:bottom w:val="single" w:sz="4" w:space="0" w:color="auto"/>
              <w:right w:val="nil"/>
            </w:tcBorders>
            <w:shd w:val="clear" w:color="auto" w:fill="auto"/>
            <w:noWrap/>
            <w:vAlign w:val="bottom"/>
            <w:hideMark/>
          </w:tcPr>
          <w:p w14:paraId="67322302"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single" w:sz="4" w:space="0" w:color="auto"/>
              <w:right w:val="single" w:sz="4" w:space="0" w:color="auto"/>
            </w:tcBorders>
            <w:shd w:val="clear" w:color="auto" w:fill="auto"/>
            <w:noWrap/>
            <w:vAlign w:val="bottom"/>
            <w:hideMark/>
          </w:tcPr>
          <w:p w14:paraId="0975FC5D"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454" w:type="pct"/>
            <w:gridSpan w:val="4"/>
            <w:vMerge/>
            <w:tcBorders>
              <w:top w:val="nil"/>
              <w:left w:val="single" w:sz="4" w:space="0" w:color="auto"/>
              <w:bottom w:val="single" w:sz="4" w:space="0" w:color="auto"/>
              <w:right w:val="single" w:sz="4" w:space="0" w:color="auto"/>
            </w:tcBorders>
            <w:vAlign w:val="center"/>
            <w:hideMark/>
          </w:tcPr>
          <w:p w14:paraId="0E5F4033" w14:textId="77777777" w:rsidR="008D5028" w:rsidRPr="0076589C" w:rsidRDefault="008D5028" w:rsidP="008D5028">
            <w:pPr>
              <w:spacing w:after="0" w:line="240" w:lineRule="auto"/>
              <w:ind w:left="0"/>
              <w:rPr>
                <w:rFonts w:eastAsia="Times New Roman" w:cs="Times New Roman"/>
                <w:color w:val="000000"/>
                <w:sz w:val="20"/>
                <w:szCs w:val="20"/>
              </w:rPr>
            </w:pPr>
          </w:p>
        </w:tc>
        <w:tc>
          <w:tcPr>
            <w:tcW w:w="131" w:type="pct"/>
            <w:tcBorders>
              <w:top w:val="nil"/>
              <w:left w:val="single" w:sz="4" w:space="0" w:color="auto"/>
              <w:bottom w:val="single" w:sz="4" w:space="0" w:color="auto"/>
              <w:right w:val="nil"/>
            </w:tcBorders>
            <w:shd w:val="clear" w:color="auto" w:fill="auto"/>
            <w:noWrap/>
            <w:vAlign w:val="bottom"/>
            <w:hideMark/>
          </w:tcPr>
          <w:p w14:paraId="772E91C8"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single" w:sz="4" w:space="0" w:color="auto"/>
              <w:right w:val="nil"/>
            </w:tcBorders>
            <w:shd w:val="clear" w:color="auto" w:fill="auto"/>
            <w:noWrap/>
            <w:vAlign w:val="bottom"/>
            <w:hideMark/>
          </w:tcPr>
          <w:p w14:paraId="509B9AC5"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1" w:type="pct"/>
            <w:tcBorders>
              <w:top w:val="nil"/>
              <w:left w:val="nil"/>
              <w:bottom w:val="single" w:sz="4" w:space="0" w:color="auto"/>
              <w:right w:val="nil"/>
            </w:tcBorders>
            <w:shd w:val="clear" w:color="auto" w:fill="auto"/>
            <w:noWrap/>
            <w:vAlign w:val="bottom"/>
            <w:hideMark/>
          </w:tcPr>
          <w:p w14:paraId="7C8D4DCE"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15" w:type="pct"/>
            <w:tcBorders>
              <w:top w:val="nil"/>
              <w:left w:val="nil"/>
              <w:bottom w:val="single" w:sz="4" w:space="0" w:color="auto"/>
              <w:right w:val="nil"/>
            </w:tcBorders>
            <w:shd w:val="clear" w:color="auto" w:fill="auto"/>
            <w:noWrap/>
            <w:vAlign w:val="bottom"/>
            <w:hideMark/>
          </w:tcPr>
          <w:p w14:paraId="53EEDAA9"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7" w:type="pct"/>
            <w:tcBorders>
              <w:top w:val="nil"/>
              <w:left w:val="nil"/>
              <w:bottom w:val="single" w:sz="4" w:space="0" w:color="auto"/>
              <w:right w:val="nil"/>
            </w:tcBorders>
            <w:shd w:val="clear" w:color="auto" w:fill="auto"/>
            <w:noWrap/>
            <w:vAlign w:val="bottom"/>
            <w:hideMark/>
          </w:tcPr>
          <w:p w14:paraId="0D4764EE"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single" w:sz="4" w:space="0" w:color="auto"/>
              <w:right w:val="nil"/>
            </w:tcBorders>
            <w:shd w:val="clear" w:color="auto" w:fill="auto"/>
            <w:noWrap/>
            <w:vAlign w:val="bottom"/>
            <w:hideMark/>
          </w:tcPr>
          <w:p w14:paraId="06F7C8A5"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single" w:sz="4" w:space="0" w:color="auto"/>
              <w:right w:val="nil"/>
            </w:tcBorders>
            <w:shd w:val="clear" w:color="auto" w:fill="auto"/>
            <w:noWrap/>
            <w:vAlign w:val="bottom"/>
            <w:hideMark/>
          </w:tcPr>
          <w:p w14:paraId="6AD90EAC"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1" w:type="pct"/>
            <w:tcBorders>
              <w:top w:val="nil"/>
              <w:left w:val="nil"/>
              <w:bottom w:val="single" w:sz="4" w:space="0" w:color="auto"/>
              <w:right w:val="nil"/>
            </w:tcBorders>
            <w:shd w:val="clear" w:color="auto" w:fill="auto"/>
            <w:noWrap/>
            <w:vAlign w:val="bottom"/>
            <w:hideMark/>
          </w:tcPr>
          <w:p w14:paraId="2414C72F"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15" w:type="pct"/>
            <w:tcBorders>
              <w:top w:val="nil"/>
              <w:left w:val="nil"/>
              <w:bottom w:val="single" w:sz="4" w:space="0" w:color="auto"/>
              <w:right w:val="nil"/>
            </w:tcBorders>
            <w:shd w:val="clear" w:color="auto" w:fill="auto"/>
            <w:noWrap/>
            <w:vAlign w:val="bottom"/>
            <w:hideMark/>
          </w:tcPr>
          <w:p w14:paraId="4C2A22BA"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7" w:type="pct"/>
            <w:tcBorders>
              <w:top w:val="nil"/>
              <w:left w:val="nil"/>
              <w:bottom w:val="single" w:sz="4" w:space="0" w:color="auto"/>
              <w:right w:val="nil"/>
            </w:tcBorders>
            <w:shd w:val="clear" w:color="auto" w:fill="auto"/>
            <w:noWrap/>
            <w:vAlign w:val="bottom"/>
            <w:hideMark/>
          </w:tcPr>
          <w:p w14:paraId="07830C72"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single" w:sz="4" w:space="0" w:color="auto"/>
              <w:right w:val="nil"/>
            </w:tcBorders>
            <w:shd w:val="clear" w:color="auto" w:fill="auto"/>
            <w:noWrap/>
            <w:vAlign w:val="bottom"/>
            <w:hideMark/>
          </w:tcPr>
          <w:p w14:paraId="498120D8"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single" w:sz="4" w:space="0" w:color="auto"/>
              <w:right w:val="nil"/>
            </w:tcBorders>
            <w:shd w:val="clear" w:color="auto" w:fill="auto"/>
            <w:noWrap/>
            <w:vAlign w:val="bottom"/>
            <w:hideMark/>
          </w:tcPr>
          <w:p w14:paraId="79D5D77B"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1" w:type="pct"/>
            <w:tcBorders>
              <w:top w:val="nil"/>
              <w:left w:val="nil"/>
              <w:bottom w:val="single" w:sz="4" w:space="0" w:color="auto"/>
              <w:right w:val="nil"/>
            </w:tcBorders>
            <w:shd w:val="clear" w:color="auto" w:fill="auto"/>
            <w:noWrap/>
            <w:vAlign w:val="bottom"/>
            <w:hideMark/>
          </w:tcPr>
          <w:p w14:paraId="1BB881CC"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15" w:type="pct"/>
            <w:tcBorders>
              <w:top w:val="nil"/>
              <w:left w:val="nil"/>
              <w:bottom w:val="single" w:sz="4" w:space="0" w:color="auto"/>
              <w:right w:val="nil"/>
            </w:tcBorders>
            <w:shd w:val="clear" w:color="auto" w:fill="auto"/>
            <w:noWrap/>
            <w:vAlign w:val="bottom"/>
            <w:hideMark/>
          </w:tcPr>
          <w:p w14:paraId="1058292F"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7" w:type="pct"/>
            <w:tcBorders>
              <w:top w:val="nil"/>
              <w:left w:val="nil"/>
              <w:bottom w:val="single" w:sz="4" w:space="0" w:color="auto"/>
              <w:right w:val="nil"/>
            </w:tcBorders>
            <w:shd w:val="clear" w:color="auto" w:fill="auto"/>
            <w:noWrap/>
            <w:vAlign w:val="bottom"/>
            <w:hideMark/>
          </w:tcPr>
          <w:p w14:paraId="21309AC9"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single" w:sz="4" w:space="0" w:color="auto"/>
              <w:right w:val="nil"/>
            </w:tcBorders>
            <w:shd w:val="clear" w:color="auto" w:fill="auto"/>
            <w:noWrap/>
            <w:vAlign w:val="bottom"/>
            <w:hideMark/>
          </w:tcPr>
          <w:p w14:paraId="60AED906"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single" w:sz="4" w:space="0" w:color="auto"/>
              <w:right w:val="nil"/>
            </w:tcBorders>
            <w:shd w:val="clear" w:color="auto" w:fill="auto"/>
            <w:noWrap/>
            <w:vAlign w:val="bottom"/>
            <w:hideMark/>
          </w:tcPr>
          <w:p w14:paraId="2EC8AA60"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1" w:type="pct"/>
            <w:tcBorders>
              <w:top w:val="nil"/>
              <w:left w:val="nil"/>
              <w:bottom w:val="single" w:sz="4" w:space="0" w:color="auto"/>
              <w:right w:val="nil"/>
            </w:tcBorders>
            <w:shd w:val="clear" w:color="auto" w:fill="auto"/>
            <w:noWrap/>
            <w:vAlign w:val="bottom"/>
            <w:hideMark/>
          </w:tcPr>
          <w:p w14:paraId="633CEDA1"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10" w:type="pct"/>
            <w:tcBorders>
              <w:top w:val="nil"/>
              <w:left w:val="nil"/>
              <w:bottom w:val="single" w:sz="4" w:space="0" w:color="auto"/>
              <w:right w:val="single" w:sz="4" w:space="0" w:color="auto"/>
            </w:tcBorders>
            <w:shd w:val="clear" w:color="auto" w:fill="auto"/>
            <w:noWrap/>
            <w:vAlign w:val="bottom"/>
            <w:hideMark/>
          </w:tcPr>
          <w:p w14:paraId="337521A4"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r>
      <w:tr w:rsidR="008D5028" w:rsidRPr="0076589C" w14:paraId="22BC12F9" w14:textId="77777777" w:rsidTr="008D5028">
        <w:trPr>
          <w:trHeight w:val="290"/>
        </w:trPr>
        <w:tc>
          <w:tcPr>
            <w:tcW w:w="5000" w:type="pct"/>
            <w:gridSpan w:val="29"/>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3ABEF3" w14:textId="77777777" w:rsidR="008D5028" w:rsidRPr="0076589C" w:rsidRDefault="008D5028" w:rsidP="008D5028">
            <w:pPr>
              <w:spacing w:after="0" w:line="240" w:lineRule="auto"/>
              <w:ind w:left="0"/>
              <w:rPr>
                <w:rFonts w:eastAsia="Times New Roman" w:cs="Times New Roman"/>
                <w:b/>
                <w:bCs/>
                <w:color w:val="000000"/>
                <w:sz w:val="20"/>
                <w:szCs w:val="20"/>
              </w:rPr>
            </w:pPr>
            <w:r w:rsidRPr="0076589C">
              <w:rPr>
                <w:rFonts w:eastAsia="Times New Roman" w:cs="Times New Roman"/>
                <w:b/>
                <w:bCs/>
                <w:color w:val="000000"/>
                <w:sz w:val="20"/>
                <w:szCs w:val="20"/>
              </w:rPr>
              <w:t>Diseño y desarrollo</w:t>
            </w:r>
          </w:p>
        </w:tc>
      </w:tr>
      <w:tr w:rsidR="008D5028" w:rsidRPr="0076589C" w14:paraId="44C8369C" w14:textId="77777777" w:rsidTr="00237462">
        <w:trPr>
          <w:trHeight w:val="290"/>
        </w:trPr>
        <w:tc>
          <w:tcPr>
            <w:tcW w:w="65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3091C2" w14:textId="77777777" w:rsidR="008D5028" w:rsidRPr="0076589C" w:rsidRDefault="008D5028" w:rsidP="008D5028">
            <w:pPr>
              <w:spacing w:after="0" w:line="240" w:lineRule="auto"/>
              <w:ind w:left="0"/>
              <w:rPr>
                <w:rFonts w:eastAsia="Times New Roman" w:cs="Times New Roman"/>
                <w:i/>
                <w:iCs/>
                <w:color w:val="000000"/>
                <w:sz w:val="20"/>
                <w:szCs w:val="20"/>
              </w:rPr>
            </w:pPr>
            <w:r w:rsidRPr="0076589C">
              <w:rPr>
                <w:rFonts w:eastAsia="Times New Roman" w:cs="Times New Roman"/>
                <w:i/>
                <w:iCs/>
                <w:color w:val="000000"/>
                <w:sz w:val="20"/>
                <w:szCs w:val="20"/>
              </w:rPr>
              <w:t>Fase del diseño</w:t>
            </w:r>
          </w:p>
        </w:tc>
        <w:tc>
          <w:tcPr>
            <w:tcW w:w="493"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6548BE7" w14:textId="77777777" w:rsidR="008D5028" w:rsidRPr="0076589C" w:rsidRDefault="008D5028" w:rsidP="008D5028">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Equipo de análisis y desarrollo</w:t>
            </w:r>
          </w:p>
        </w:tc>
        <w:tc>
          <w:tcPr>
            <w:tcW w:w="437"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24880140" w14:textId="77777777" w:rsidR="008D5028" w:rsidRPr="0076589C" w:rsidRDefault="008D5028" w:rsidP="008D5028">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8/1/2024</w:t>
            </w:r>
          </w:p>
        </w:tc>
        <w:tc>
          <w:tcPr>
            <w:tcW w:w="495"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0A4B01F" w14:textId="77777777" w:rsidR="008D5028" w:rsidRPr="0076589C" w:rsidRDefault="008D5028" w:rsidP="008D5028">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19/1/2024</w:t>
            </w:r>
          </w:p>
        </w:tc>
        <w:tc>
          <w:tcPr>
            <w:tcW w:w="107" w:type="pct"/>
            <w:tcBorders>
              <w:top w:val="single" w:sz="4" w:space="0" w:color="auto"/>
              <w:left w:val="nil"/>
              <w:bottom w:val="nil"/>
              <w:right w:val="nil"/>
            </w:tcBorders>
            <w:shd w:val="clear" w:color="auto" w:fill="auto"/>
            <w:noWrap/>
            <w:vAlign w:val="bottom"/>
            <w:hideMark/>
          </w:tcPr>
          <w:p w14:paraId="19054DC3"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single" w:sz="4" w:space="0" w:color="auto"/>
              <w:left w:val="nil"/>
              <w:bottom w:val="nil"/>
              <w:right w:val="nil"/>
            </w:tcBorders>
            <w:shd w:val="clear" w:color="auto" w:fill="auto"/>
            <w:noWrap/>
            <w:vAlign w:val="bottom"/>
            <w:hideMark/>
          </w:tcPr>
          <w:p w14:paraId="7B84E3AA"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single" w:sz="4" w:space="0" w:color="auto"/>
              <w:left w:val="nil"/>
              <w:bottom w:val="nil"/>
              <w:right w:val="nil"/>
            </w:tcBorders>
            <w:shd w:val="clear" w:color="auto" w:fill="auto"/>
            <w:noWrap/>
            <w:vAlign w:val="bottom"/>
            <w:hideMark/>
          </w:tcPr>
          <w:p w14:paraId="341EE8F2"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1" w:type="pct"/>
            <w:tcBorders>
              <w:top w:val="single" w:sz="4" w:space="0" w:color="auto"/>
              <w:left w:val="nil"/>
              <w:bottom w:val="nil"/>
              <w:right w:val="nil"/>
            </w:tcBorders>
            <w:shd w:val="clear" w:color="auto" w:fill="auto"/>
            <w:noWrap/>
            <w:vAlign w:val="bottom"/>
            <w:hideMark/>
          </w:tcPr>
          <w:p w14:paraId="20DB4CE1"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15" w:type="pct"/>
            <w:tcBorders>
              <w:top w:val="single" w:sz="4" w:space="0" w:color="auto"/>
              <w:left w:val="nil"/>
              <w:bottom w:val="nil"/>
              <w:right w:val="nil"/>
            </w:tcBorders>
            <w:shd w:val="clear" w:color="auto" w:fill="auto"/>
            <w:noWrap/>
            <w:vAlign w:val="bottom"/>
            <w:hideMark/>
          </w:tcPr>
          <w:p w14:paraId="182119B9"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170" w:type="pct"/>
            <w:gridSpan w:val="10"/>
            <w:tcBorders>
              <w:top w:val="single" w:sz="4" w:space="0" w:color="auto"/>
              <w:left w:val="single" w:sz="4" w:space="0" w:color="auto"/>
              <w:bottom w:val="single" w:sz="4" w:space="0" w:color="auto"/>
              <w:right w:val="single" w:sz="4" w:space="0" w:color="000000"/>
            </w:tcBorders>
            <w:shd w:val="clear" w:color="000000" w:fill="85BADC"/>
            <w:noWrap/>
            <w:vAlign w:val="bottom"/>
            <w:hideMark/>
          </w:tcPr>
          <w:p w14:paraId="48E49AB5" w14:textId="77777777" w:rsidR="008D5028" w:rsidRPr="0076589C" w:rsidRDefault="008D5028" w:rsidP="008D5028">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 </w:t>
            </w:r>
          </w:p>
        </w:tc>
        <w:tc>
          <w:tcPr>
            <w:tcW w:w="107" w:type="pct"/>
            <w:tcBorders>
              <w:top w:val="single" w:sz="4" w:space="0" w:color="auto"/>
              <w:left w:val="nil"/>
              <w:bottom w:val="nil"/>
              <w:right w:val="nil"/>
            </w:tcBorders>
            <w:shd w:val="clear" w:color="auto" w:fill="auto"/>
            <w:noWrap/>
            <w:vAlign w:val="bottom"/>
            <w:hideMark/>
          </w:tcPr>
          <w:p w14:paraId="050FFD0E"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single" w:sz="4" w:space="0" w:color="auto"/>
              <w:left w:val="nil"/>
              <w:bottom w:val="nil"/>
              <w:right w:val="nil"/>
            </w:tcBorders>
            <w:shd w:val="clear" w:color="auto" w:fill="auto"/>
            <w:noWrap/>
            <w:vAlign w:val="bottom"/>
            <w:hideMark/>
          </w:tcPr>
          <w:p w14:paraId="516BB9C2"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single" w:sz="4" w:space="0" w:color="auto"/>
              <w:left w:val="nil"/>
              <w:bottom w:val="nil"/>
              <w:right w:val="nil"/>
            </w:tcBorders>
            <w:shd w:val="clear" w:color="auto" w:fill="auto"/>
            <w:noWrap/>
            <w:vAlign w:val="bottom"/>
            <w:hideMark/>
          </w:tcPr>
          <w:p w14:paraId="2CC21FBE"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1" w:type="pct"/>
            <w:tcBorders>
              <w:top w:val="single" w:sz="4" w:space="0" w:color="auto"/>
              <w:left w:val="nil"/>
              <w:bottom w:val="nil"/>
              <w:right w:val="nil"/>
            </w:tcBorders>
            <w:shd w:val="clear" w:color="auto" w:fill="auto"/>
            <w:noWrap/>
            <w:vAlign w:val="bottom"/>
            <w:hideMark/>
          </w:tcPr>
          <w:p w14:paraId="2E4894D1"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15" w:type="pct"/>
            <w:tcBorders>
              <w:top w:val="single" w:sz="4" w:space="0" w:color="auto"/>
              <w:left w:val="nil"/>
              <w:bottom w:val="nil"/>
              <w:right w:val="nil"/>
            </w:tcBorders>
            <w:shd w:val="clear" w:color="auto" w:fill="auto"/>
            <w:noWrap/>
            <w:vAlign w:val="bottom"/>
            <w:hideMark/>
          </w:tcPr>
          <w:p w14:paraId="3181D2C5"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7" w:type="pct"/>
            <w:tcBorders>
              <w:top w:val="single" w:sz="4" w:space="0" w:color="auto"/>
              <w:left w:val="nil"/>
              <w:bottom w:val="nil"/>
              <w:right w:val="nil"/>
            </w:tcBorders>
            <w:shd w:val="clear" w:color="auto" w:fill="auto"/>
            <w:noWrap/>
            <w:vAlign w:val="bottom"/>
            <w:hideMark/>
          </w:tcPr>
          <w:p w14:paraId="5C7F95EC"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single" w:sz="4" w:space="0" w:color="auto"/>
              <w:left w:val="nil"/>
              <w:bottom w:val="nil"/>
              <w:right w:val="nil"/>
            </w:tcBorders>
            <w:shd w:val="clear" w:color="auto" w:fill="auto"/>
            <w:noWrap/>
            <w:vAlign w:val="bottom"/>
            <w:hideMark/>
          </w:tcPr>
          <w:p w14:paraId="25A76E14"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single" w:sz="4" w:space="0" w:color="auto"/>
              <w:left w:val="nil"/>
              <w:bottom w:val="nil"/>
              <w:right w:val="nil"/>
            </w:tcBorders>
            <w:shd w:val="clear" w:color="auto" w:fill="auto"/>
            <w:noWrap/>
            <w:vAlign w:val="bottom"/>
            <w:hideMark/>
          </w:tcPr>
          <w:p w14:paraId="2336CBF6"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1" w:type="pct"/>
            <w:tcBorders>
              <w:top w:val="single" w:sz="4" w:space="0" w:color="auto"/>
              <w:left w:val="nil"/>
              <w:bottom w:val="nil"/>
              <w:right w:val="nil"/>
            </w:tcBorders>
            <w:shd w:val="clear" w:color="auto" w:fill="auto"/>
            <w:noWrap/>
            <w:vAlign w:val="bottom"/>
            <w:hideMark/>
          </w:tcPr>
          <w:p w14:paraId="083B55EA"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10" w:type="pct"/>
            <w:tcBorders>
              <w:top w:val="single" w:sz="4" w:space="0" w:color="auto"/>
              <w:left w:val="nil"/>
              <w:bottom w:val="nil"/>
              <w:right w:val="single" w:sz="4" w:space="0" w:color="auto"/>
            </w:tcBorders>
            <w:shd w:val="clear" w:color="auto" w:fill="auto"/>
            <w:noWrap/>
            <w:vAlign w:val="bottom"/>
            <w:hideMark/>
          </w:tcPr>
          <w:p w14:paraId="675BB8AA"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r>
      <w:tr w:rsidR="008D5028" w:rsidRPr="0076589C" w14:paraId="63DA53D9" w14:textId="77777777" w:rsidTr="00237462">
        <w:trPr>
          <w:trHeight w:val="290"/>
        </w:trPr>
        <w:tc>
          <w:tcPr>
            <w:tcW w:w="655" w:type="pct"/>
            <w:tcBorders>
              <w:top w:val="nil"/>
              <w:left w:val="single" w:sz="4" w:space="0" w:color="auto"/>
              <w:bottom w:val="single" w:sz="4" w:space="0" w:color="auto"/>
              <w:right w:val="single" w:sz="4" w:space="0" w:color="auto"/>
            </w:tcBorders>
            <w:shd w:val="clear" w:color="auto" w:fill="auto"/>
            <w:noWrap/>
            <w:vAlign w:val="bottom"/>
            <w:hideMark/>
          </w:tcPr>
          <w:p w14:paraId="4FE3EB3E" w14:textId="77777777" w:rsidR="008D5028" w:rsidRPr="0076589C" w:rsidRDefault="008D5028" w:rsidP="008D5028">
            <w:pPr>
              <w:spacing w:after="0" w:line="240" w:lineRule="auto"/>
              <w:ind w:left="0"/>
              <w:rPr>
                <w:rFonts w:eastAsia="Times New Roman" w:cs="Times New Roman"/>
                <w:i/>
                <w:iCs/>
                <w:color w:val="000000"/>
                <w:sz w:val="20"/>
                <w:szCs w:val="20"/>
              </w:rPr>
            </w:pPr>
            <w:r w:rsidRPr="0076589C">
              <w:rPr>
                <w:rFonts w:eastAsia="Times New Roman" w:cs="Times New Roman"/>
                <w:i/>
                <w:iCs/>
                <w:color w:val="000000"/>
                <w:sz w:val="20"/>
                <w:szCs w:val="20"/>
              </w:rPr>
              <w:t>Fase del desarrollo</w:t>
            </w:r>
          </w:p>
        </w:tc>
        <w:tc>
          <w:tcPr>
            <w:tcW w:w="493" w:type="pct"/>
            <w:vMerge/>
            <w:tcBorders>
              <w:top w:val="single" w:sz="4" w:space="0" w:color="auto"/>
              <w:left w:val="single" w:sz="4" w:space="0" w:color="auto"/>
              <w:bottom w:val="single" w:sz="4" w:space="0" w:color="000000"/>
              <w:right w:val="single" w:sz="4" w:space="0" w:color="auto"/>
            </w:tcBorders>
            <w:vAlign w:val="center"/>
            <w:hideMark/>
          </w:tcPr>
          <w:p w14:paraId="75C48AED" w14:textId="77777777" w:rsidR="008D5028" w:rsidRPr="0076589C" w:rsidRDefault="008D5028" w:rsidP="008D5028">
            <w:pPr>
              <w:spacing w:after="0" w:line="240" w:lineRule="auto"/>
              <w:ind w:left="0"/>
              <w:rPr>
                <w:rFonts w:eastAsia="Times New Roman" w:cs="Times New Roman"/>
                <w:color w:val="000000"/>
                <w:sz w:val="20"/>
                <w:szCs w:val="20"/>
              </w:rPr>
            </w:pPr>
          </w:p>
        </w:tc>
        <w:tc>
          <w:tcPr>
            <w:tcW w:w="437" w:type="pct"/>
            <w:vMerge/>
            <w:tcBorders>
              <w:top w:val="single" w:sz="4" w:space="0" w:color="auto"/>
              <w:left w:val="single" w:sz="4" w:space="0" w:color="auto"/>
              <w:bottom w:val="single" w:sz="4" w:space="0" w:color="000000"/>
              <w:right w:val="single" w:sz="4" w:space="0" w:color="auto"/>
            </w:tcBorders>
            <w:vAlign w:val="center"/>
            <w:hideMark/>
          </w:tcPr>
          <w:p w14:paraId="1012AB66" w14:textId="77777777" w:rsidR="008D5028" w:rsidRPr="0076589C" w:rsidRDefault="008D5028" w:rsidP="008D5028">
            <w:pPr>
              <w:spacing w:after="0" w:line="240" w:lineRule="auto"/>
              <w:ind w:left="0"/>
              <w:rPr>
                <w:rFonts w:eastAsia="Times New Roman" w:cs="Times New Roman"/>
                <w:color w:val="000000"/>
                <w:sz w:val="20"/>
                <w:szCs w:val="20"/>
              </w:rPr>
            </w:pPr>
          </w:p>
        </w:tc>
        <w:tc>
          <w:tcPr>
            <w:tcW w:w="495" w:type="pct"/>
            <w:vMerge/>
            <w:tcBorders>
              <w:top w:val="single" w:sz="4" w:space="0" w:color="auto"/>
              <w:left w:val="single" w:sz="4" w:space="0" w:color="auto"/>
              <w:bottom w:val="single" w:sz="4" w:space="0" w:color="000000"/>
              <w:right w:val="single" w:sz="4" w:space="0" w:color="auto"/>
            </w:tcBorders>
            <w:vAlign w:val="center"/>
            <w:hideMark/>
          </w:tcPr>
          <w:p w14:paraId="374620ED" w14:textId="77777777" w:rsidR="008D5028" w:rsidRPr="0076589C" w:rsidRDefault="008D5028" w:rsidP="008D5028">
            <w:pPr>
              <w:spacing w:after="0" w:line="240" w:lineRule="auto"/>
              <w:ind w:left="0"/>
              <w:rPr>
                <w:rFonts w:eastAsia="Times New Roman" w:cs="Times New Roman"/>
                <w:color w:val="000000"/>
                <w:sz w:val="20"/>
                <w:szCs w:val="20"/>
              </w:rPr>
            </w:pPr>
          </w:p>
        </w:tc>
        <w:tc>
          <w:tcPr>
            <w:tcW w:w="107" w:type="pct"/>
            <w:tcBorders>
              <w:top w:val="nil"/>
              <w:left w:val="nil"/>
              <w:bottom w:val="nil"/>
              <w:right w:val="nil"/>
            </w:tcBorders>
            <w:shd w:val="clear" w:color="auto" w:fill="auto"/>
            <w:noWrap/>
            <w:vAlign w:val="bottom"/>
            <w:hideMark/>
          </w:tcPr>
          <w:p w14:paraId="1869F8C5"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nil"/>
              <w:right w:val="nil"/>
            </w:tcBorders>
            <w:shd w:val="clear" w:color="auto" w:fill="auto"/>
            <w:noWrap/>
            <w:vAlign w:val="bottom"/>
            <w:hideMark/>
          </w:tcPr>
          <w:p w14:paraId="34795AC9" w14:textId="77777777" w:rsidR="008D5028" w:rsidRPr="0076589C" w:rsidRDefault="008D5028" w:rsidP="008D5028">
            <w:pPr>
              <w:spacing w:after="0" w:line="240" w:lineRule="auto"/>
              <w:ind w:left="0"/>
              <w:rPr>
                <w:rFonts w:eastAsia="Times New Roman" w:cs="Times New Roman"/>
                <w:color w:val="000000"/>
                <w:sz w:val="20"/>
                <w:szCs w:val="20"/>
              </w:rPr>
            </w:pPr>
          </w:p>
        </w:tc>
        <w:tc>
          <w:tcPr>
            <w:tcW w:w="131" w:type="pct"/>
            <w:tcBorders>
              <w:top w:val="nil"/>
              <w:left w:val="nil"/>
              <w:bottom w:val="nil"/>
              <w:right w:val="nil"/>
            </w:tcBorders>
            <w:shd w:val="clear" w:color="auto" w:fill="auto"/>
            <w:noWrap/>
            <w:vAlign w:val="bottom"/>
            <w:hideMark/>
          </w:tcPr>
          <w:p w14:paraId="2E9C93DB" w14:textId="77777777" w:rsidR="008D5028" w:rsidRPr="0076589C" w:rsidRDefault="008D5028" w:rsidP="008D5028">
            <w:pPr>
              <w:spacing w:after="0" w:line="240" w:lineRule="auto"/>
              <w:ind w:left="0"/>
              <w:rPr>
                <w:rFonts w:eastAsia="Times New Roman" w:cs="Times New Roman"/>
                <w:sz w:val="20"/>
                <w:szCs w:val="20"/>
              </w:rPr>
            </w:pPr>
          </w:p>
        </w:tc>
        <w:tc>
          <w:tcPr>
            <w:tcW w:w="101" w:type="pct"/>
            <w:tcBorders>
              <w:top w:val="nil"/>
              <w:left w:val="nil"/>
              <w:bottom w:val="nil"/>
              <w:right w:val="nil"/>
            </w:tcBorders>
            <w:shd w:val="clear" w:color="auto" w:fill="auto"/>
            <w:noWrap/>
            <w:vAlign w:val="bottom"/>
            <w:hideMark/>
          </w:tcPr>
          <w:p w14:paraId="47E1134C" w14:textId="77777777" w:rsidR="008D5028" w:rsidRPr="0076589C" w:rsidRDefault="008D5028" w:rsidP="008D5028">
            <w:pPr>
              <w:spacing w:after="0" w:line="240" w:lineRule="auto"/>
              <w:ind w:left="0"/>
              <w:rPr>
                <w:rFonts w:eastAsia="Times New Roman" w:cs="Times New Roman"/>
                <w:sz w:val="20"/>
                <w:szCs w:val="20"/>
              </w:rPr>
            </w:pPr>
          </w:p>
        </w:tc>
        <w:tc>
          <w:tcPr>
            <w:tcW w:w="115" w:type="pct"/>
            <w:tcBorders>
              <w:top w:val="nil"/>
              <w:left w:val="nil"/>
              <w:bottom w:val="nil"/>
              <w:right w:val="nil"/>
            </w:tcBorders>
            <w:shd w:val="clear" w:color="auto" w:fill="auto"/>
            <w:noWrap/>
            <w:vAlign w:val="bottom"/>
            <w:hideMark/>
          </w:tcPr>
          <w:p w14:paraId="20AE232D" w14:textId="77777777" w:rsidR="008D5028" w:rsidRPr="0076589C" w:rsidRDefault="008D5028" w:rsidP="008D5028">
            <w:pPr>
              <w:spacing w:after="0" w:line="240" w:lineRule="auto"/>
              <w:ind w:left="0"/>
              <w:rPr>
                <w:rFonts w:eastAsia="Times New Roman" w:cs="Times New Roman"/>
                <w:sz w:val="20"/>
                <w:szCs w:val="20"/>
              </w:rPr>
            </w:pPr>
          </w:p>
        </w:tc>
        <w:tc>
          <w:tcPr>
            <w:tcW w:w="107" w:type="pct"/>
            <w:tcBorders>
              <w:top w:val="nil"/>
              <w:left w:val="nil"/>
              <w:bottom w:val="nil"/>
              <w:right w:val="nil"/>
            </w:tcBorders>
            <w:shd w:val="clear" w:color="auto" w:fill="auto"/>
            <w:noWrap/>
            <w:vAlign w:val="bottom"/>
            <w:hideMark/>
          </w:tcPr>
          <w:p w14:paraId="538843A6" w14:textId="77777777" w:rsidR="008D5028" w:rsidRPr="0076589C" w:rsidRDefault="008D5028" w:rsidP="008D5028">
            <w:pPr>
              <w:spacing w:after="0" w:line="240" w:lineRule="auto"/>
              <w:ind w:left="0"/>
              <w:rPr>
                <w:rFonts w:eastAsia="Times New Roman" w:cs="Times New Roman"/>
                <w:sz w:val="20"/>
                <w:szCs w:val="20"/>
              </w:rPr>
            </w:pPr>
          </w:p>
        </w:tc>
        <w:tc>
          <w:tcPr>
            <w:tcW w:w="131" w:type="pct"/>
            <w:tcBorders>
              <w:top w:val="nil"/>
              <w:left w:val="nil"/>
              <w:bottom w:val="nil"/>
              <w:right w:val="nil"/>
            </w:tcBorders>
            <w:shd w:val="clear" w:color="auto" w:fill="auto"/>
            <w:noWrap/>
            <w:vAlign w:val="bottom"/>
            <w:hideMark/>
          </w:tcPr>
          <w:p w14:paraId="2D980A07" w14:textId="77777777" w:rsidR="008D5028" w:rsidRPr="0076589C" w:rsidRDefault="008D5028" w:rsidP="008D5028">
            <w:pPr>
              <w:spacing w:after="0" w:line="240" w:lineRule="auto"/>
              <w:ind w:left="0"/>
              <w:jc w:val="center"/>
              <w:rPr>
                <w:rFonts w:eastAsia="Times New Roman" w:cs="Times New Roman"/>
                <w:sz w:val="20"/>
                <w:szCs w:val="20"/>
              </w:rPr>
            </w:pPr>
          </w:p>
        </w:tc>
        <w:tc>
          <w:tcPr>
            <w:tcW w:w="131" w:type="pct"/>
            <w:tcBorders>
              <w:top w:val="nil"/>
              <w:left w:val="nil"/>
              <w:bottom w:val="nil"/>
              <w:right w:val="nil"/>
            </w:tcBorders>
            <w:shd w:val="clear" w:color="auto" w:fill="auto"/>
            <w:noWrap/>
            <w:vAlign w:val="bottom"/>
            <w:hideMark/>
          </w:tcPr>
          <w:p w14:paraId="3CC57666" w14:textId="77777777" w:rsidR="008D5028" w:rsidRPr="0076589C" w:rsidRDefault="008D5028" w:rsidP="008D5028">
            <w:pPr>
              <w:spacing w:after="0" w:line="240" w:lineRule="auto"/>
              <w:ind w:left="0"/>
              <w:jc w:val="center"/>
              <w:rPr>
                <w:rFonts w:eastAsia="Times New Roman" w:cs="Times New Roman"/>
                <w:sz w:val="20"/>
                <w:szCs w:val="20"/>
              </w:rPr>
            </w:pPr>
          </w:p>
        </w:tc>
        <w:tc>
          <w:tcPr>
            <w:tcW w:w="101" w:type="pct"/>
            <w:tcBorders>
              <w:top w:val="nil"/>
              <w:left w:val="nil"/>
              <w:bottom w:val="nil"/>
              <w:right w:val="nil"/>
            </w:tcBorders>
            <w:shd w:val="clear" w:color="auto" w:fill="auto"/>
            <w:noWrap/>
            <w:vAlign w:val="bottom"/>
            <w:hideMark/>
          </w:tcPr>
          <w:p w14:paraId="7E5C084F" w14:textId="77777777" w:rsidR="008D5028" w:rsidRPr="0076589C" w:rsidRDefault="008D5028" w:rsidP="008D5028">
            <w:pPr>
              <w:spacing w:after="0" w:line="240" w:lineRule="auto"/>
              <w:ind w:left="0"/>
              <w:jc w:val="center"/>
              <w:rPr>
                <w:rFonts w:eastAsia="Times New Roman" w:cs="Times New Roman"/>
                <w:sz w:val="20"/>
                <w:szCs w:val="20"/>
              </w:rPr>
            </w:pPr>
          </w:p>
        </w:tc>
        <w:tc>
          <w:tcPr>
            <w:tcW w:w="1069" w:type="pct"/>
            <w:gridSpan w:val="9"/>
            <w:tcBorders>
              <w:top w:val="single" w:sz="4" w:space="0" w:color="auto"/>
              <w:left w:val="single" w:sz="4" w:space="0" w:color="auto"/>
              <w:bottom w:val="single" w:sz="4" w:space="0" w:color="auto"/>
              <w:right w:val="single" w:sz="4" w:space="0" w:color="000000"/>
            </w:tcBorders>
            <w:shd w:val="clear" w:color="000000" w:fill="88BADC"/>
            <w:noWrap/>
            <w:vAlign w:val="bottom"/>
            <w:hideMark/>
          </w:tcPr>
          <w:p w14:paraId="2BB7B610" w14:textId="77777777" w:rsidR="008D5028" w:rsidRPr="0076589C" w:rsidRDefault="008D5028" w:rsidP="008D5028">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 </w:t>
            </w:r>
          </w:p>
        </w:tc>
        <w:tc>
          <w:tcPr>
            <w:tcW w:w="101" w:type="pct"/>
            <w:tcBorders>
              <w:top w:val="nil"/>
              <w:left w:val="nil"/>
              <w:bottom w:val="nil"/>
              <w:right w:val="nil"/>
            </w:tcBorders>
            <w:shd w:val="clear" w:color="auto" w:fill="auto"/>
            <w:noWrap/>
            <w:vAlign w:val="bottom"/>
            <w:hideMark/>
          </w:tcPr>
          <w:p w14:paraId="41D044ED" w14:textId="77777777" w:rsidR="008D5028" w:rsidRPr="0076589C" w:rsidRDefault="008D5028" w:rsidP="008D5028">
            <w:pPr>
              <w:spacing w:after="0" w:line="240" w:lineRule="auto"/>
              <w:ind w:left="0"/>
              <w:jc w:val="center"/>
              <w:rPr>
                <w:rFonts w:eastAsia="Times New Roman" w:cs="Times New Roman"/>
                <w:color w:val="000000"/>
                <w:sz w:val="20"/>
                <w:szCs w:val="20"/>
              </w:rPr>
            </w:pPr>
          </w:p>
        </w:tc>
        <w:tc>
          <w:tcPr>
            <w:tcW w:w="115" w:type="pct"/>
            <w:tcBorders>
              <w:top w:val="nil"/>
              <w:left w:val="nil"/>
              <w:bottom w:val="nil"/>
              <w:right w:val="nil"/>
            </w:tcBorders>
            <w:shd w:val="clear" w:color="auto" w:fill="auto"/>
            <w:noWrap/>
            <w:vAlign w:val="bottom"/>
            <w:hideMark/>
          </w:tcPr>
          <w:p w14:paraId="6DF10C04" w14:textId="77777777" w:rsidR="008D5028" w:rsidRPr="0076589C" w:rsidRDefault="008D5028" w:rsidP="008D5028">
            <w:pPr>
              <w:spacing w:after="0" w:line="240" w:lineRule="auto"/>
              <w:ind w:left="0"/>
              <w:rPr>
                <w:rFonts w:eastAsia="Times New Roman" w:cs="Times New Roman"/>
                <w:sz w:val="20"/>
                <w:szCs w:val="20"/>
              </w:rPr>
            </w:pPr>
          </w:p>
        </w:tc>
        <w:tc>
          <w:tcPr>
            <w:tcW w:w="107" w:type="pct"/>
            <w:tcBorders>
              <w:top w:val="nil"/>
              <w:left w:val="nil"/>
              <w:bottom w:val="nil"/>
              <w:right w:val="nil"/>
            </w:tcBorders>
            <w:shd w:val="clear" w:color="auto" w:fill="auto"/>
            <w:noWrap/>
            <w:vAlign w:val="bottom"/>
            <w:hideMark/>
          </w:tcPr>
          <w:p w14:paraId="5366E013" w14:textId="77777777" w:rsidR="008D5028" w:rsidRPr="0076589C" w:rsidRDefault="008D5028" w:rsidP="008D5028">
            <w:pPr>
              <w:spacing w:after="0" w:line="240" w:lineRule="auto"/>
              <w:ind w:left="0"/>
              <w:rPr>
                <w:rFonts w:eastAsia="Times New Roman" w:cs="Times New Roman"/>
                <w:sz w:val="20"/>
                <w:szCs w:val="20"/>
              </w:rPr>
            </w:pPr>
          </w:p>
        </w:tc>
        <w:tc>
          <w:tcPr>
            <w:tcW w:w="131" w:type="pct"/>
            <w:tcBorders>
              <w:top w:val="nil"/>
              <w:left w:val="nil"/>
              <w:bottom w:val="nil"/>
              <w:right w:val="nil"/>
            </w:tcBorders>
            <w:shd w:val="clear" w:color="auto" w:fill="auto"/>
            <w:noWrap/>
            <w:vAlign w:val="bottom"/>
            <w:hideMark/>
          </w:tcPr>
          <w:p w14:paraId="2CAF2506" w14:textId="77777777" w:rsidR="008D5028" w:rsidRPr="0076589C" w:rsidRDefault="008D5028" w:rsidP="008D5028">
            <w:pPr>
              <w:spacing w:after="0" w:line="240" w:lineRule="auto"/>
              <w:ind w:left="0"/>
              <w:rPr>
                <w:rFonts w:eastAsia="Times New Roman" w:cs="Times New Roman"/>
                <w:sz w:val="20"/>
                <w:szCs w:val="20"/>
              </w:rPr>
            </w:pPr>
          </w:p>
        </w:tc>
        <w:tc>
          <w:tcPr>
            <w:tcW w:w="131" w:type="pct"/>
            <w:tcBorders>
              <w:top w:val="nil"/>
              <w:left w:val="nil"/>
              <w:bottom w:val="nil"/>
              <w:right w:val="nil"/>
            </w:tcBorders>
            <w:shd w:val="clear" w:color="auto" w:fill="auto"/>
            <w:noWrap/>
            <w:vAlign w:val="bottom"/>
            <w:hideMark/>
          </w:tcPr>
          <w:p w14:paraId="562C3524" w14:textId="77777777" w:rsidR="008D5028" w:rsidRPr="0076589C" w:rsidRDefault="008D5028" w:rsidP="008D5028">
            <w:pPr>
              <w:spacing w:after="0" w:line="240" w:lineRule="auto"/>
              <w:ind w:left="0"/>
              <w:rPr>
                <w:rFonts w:eastAsia="Times New Roman" w:cs="Times New Roman"/>
                <w:sz w:val="20"/>
                <w:szCs w:val="20"/>
              </w:rPr>
            </w:pPr>
          </w:p>
        </w:tc>
        <w:tc>
          <w:tcPr>
            <w:tcW w:w="101" w:type="pct"/>
            <w:tcBorders>
              <w:top w:val="nil"/>
              <w:left w:val="nil"/>
              <w:bottom w:val="nil"/>
              <w:right w:val="nil"/>
            </w:tcBorders>
            <w:shd w:val="clear" w:color="auto" w:fill="auto"/>
            <w:noWrap/>
            <w:vAlign w:val="bottom"/>
            <w:hideMark/>
          </w:tcPr>
          <w:p w14:paraId="78FF775F" w14:textId="77777777" w:rsidR="008D5028" w:rsidRPr="0076589C" w:rsidRDefault="008D5028" w:rsidP="008D5028">
            <w:pPr>
              <w:spacing w:after="0" w:line="240" w:lineRule="auto"/>
              <w:ind w:left="0"/>
              <w:rPr>
                <w:rFonts w:eastAsia="Times New Roman" w:cs="Times New Roman"/>
                <w:sz w:val="20"/>
                <w:szCs w:val="20"/>
              </w:rPr>
            </w:pPr>
          </w:p>
        </w:tc>
        <w:tc>
          <w:tcPr>
            <w:tcW w:w="110" w:type="pct"/>
            <w:tcBorders>
              <w:top w:val="nil"/>
              <w:left w:val="nil"/>
              <w:bottom w:val="nil"/>
              <w:right w:val="single" w:sz="4" w:space="0" w:color="auto"/>
            </w:tcBorders>
            <w:shd w:val="clear" w:color="auto" w:fill="auto"/>
            <w:noWrap/>
            <w:vAlign w:val="bottom"/>
            <w:hideMark/>
          </w:tcPr>
          <w:p w14:paraId="7B937AC8"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r>
      <w:tr w:rsidR="008D5028" w:rsidRPr="0076589C" w14:paraId="6BC1EDED" w14:textId="77777777" w:rsidTr="00237462">
        <w:trPr>
          <w:trHeight w:val="290"/>
        </w:trPr>
        <w:tc>
          <w:tcPr>
            <w:tcW w:w="655" w:type="pct"/>
            <w:tcBorders>
              <w:top w:val="nil"/>
              <w:left w:val="single" w:sz="4" w:space="0" w:color="auto"/>
              <w:bottom w:val="single" w:sz="4" w:space="0" w:color="auto"/>
              <w:right w:val="single" w:sz="4" w:space="0" w:color="auto"/>
            </w:tcBorders>
            <w:shd w:val="clear" w:color="auto" w:fill="auto"/>
            <w:noWrap/>
            <w:vAlign w:val="bottom"/>
            <w:hideMark/>
          </w:tcPr>
          <w:p w14:paraId="49CF9C26" w14:textId="77777777" w:rsidR="008D5028" w:rsidRPr="0076589C" w:rsidRDefault="008D5028" w:rsidP="008D5028">
            <w:pPr>
              <w:spacing w:after="0" w:line="240" w:lineRule="auto"/>
              <w:ind w:left="0"/>
              <w:rPr>
                <w:rFonts w:eastAsia="Times New Roman" w:cs="Times New Roman"/>
                <w:i/>
                <w:iCs/>
                <w:color w:val="000000"/>
                <w:sz w:val="20"/>
                <w:szCs w:val="20"/>
              </w:rPr>
            </w:pPr>
            <w:r w:rsidRPr="0076589C">
              <w:rPr>
                <w:rFonts w:eastAsia="Times New Roman" w:cs="Times New Roman"/>
                <w:i/>
                <w:iCs/>
                <w:color w:val="000000"/>
                <w:sz w:val="20"/>
                <w:szCs w:val="20"/>
              </w:rPr>
              <w:t>Fase de prueba</w:t>
            </w:r>
          </w:p>
        </w:tc>
        <w:tc>
          <w:tcPr>
            <w:tcW w:w="493" w:type="pct"/>
            <w:vMerge/>
            <w:tcBorders>
              <w:top w:val="single" w:sz="4" w:space="0" w:color="auto"/>
              <w:left w:val="single" w:sz="4" w:space="0" w:color="auto"/>
              <w:bottom w:val="single" w:sz="4" w:space="0" w:color="000000"/>
              <w:right w:val="single" w:sz="4" w:space="0" w:color="auto"/>
            </w:tcBorders>
            <w:vAlign w:val="center"/>
            <w:hideMark/>
          </w:tcPr>
          <w:p w14:paraId="3CA6425C" w14:textId="77777777" w:rsidR="008D5028" w:rsidRPr="0076589C" w:rsidRDefault="008D5028" w:rsidP="008D5028">
            <w:pPr>
              <w:spacing w:after="0" w:line="240" w:lineRule="auto"/>
              <w:ind w:left="0"/>
              <w:rPr>
                <w:rFonts w:eastAsia="Times New Roman" w:cs="Times New Roman"/>
                <w:color w:val="000000"/>
                <w:sz w:val="20"/>
                <w:szCs w:val="20"/>
              </w:rPr>
            </w:pPr>
          </w:p>
        </w:tc>
        <w:tc>
          <w:tcPr>
            <w:tcW w:w="437" w:type="pct"/>
            <w:vMerge/>
            <w:tcBorders>
              <w:top w:val="single" w:sz="4" w:space="0" w:color="auto"/>
              <w:left w:val="single" w:sz="4" w:space="0" w:color="auto"/>
              <w:bottom w:val="single" w:sz="4" w:space="0" w:color="000000"/>
              <w:right w:val="single" w:sz="4" w:space="0" w:color="auto"/>
            </w:tcBorders>
            <w:vAlign w:val="center"/>
            <w:hideMark/>
          </w:tcPr>
          <w:p w14:paraId="514C941E" w14:textId="77777777" w:rsidR="008D5028" w:rsidRPr="0076589C" w:rsidRDefault="008D5028" w:rsidP="008D5028">
            <w:pPr>
              <w:spacing w:after="0" w:line="240" w:lineRule="auto"/>
              <w:ind w:left="0"/>
              <w:rPr>
                <w:rFonts w:eastAsia="Times New Roman" w:cs="Times New Roman"/>
                <w:color w:val="000000"/>
                <w:sz w:val="20"/>
                <w:szCs w:val="20"/>
              </w:rPr>
            </w:pPr>
          </w:p>
        </w:tc>
        <w:tc>
          <w:tcPr>
            <w:tcW w:w="495" w:type="pct"/>
            <w:vMerge/>
            <w:tcBorders>
              <w:top w:val="single" w:sz="4" w:space="0" w:color="auto"/>
              <w:left w:val="single" w:sz="4" w:space="0" w:color="auto"/>
              <w:bottom w:val="single" w:sz="4" w:space="0" w:color="000000"/>
              <w:right w:val="single" w:sz="4" w:space="0" w:color="auto"/>
            </w:tcBorders>
            <w:vAlign w:val="center"/>
            <w:hideMark/>
          </w:tcPr>
          <w:p w14:paraId="01DB34CB" w14:textId="77777777" w:rsidR="008D5028" w:rsidRPr="0076589C" w:rsidRDefault="008D5028" w:rsidP="008D5028">
            <w:pPr>
              <w:spacing w:after="0" w:line="240" w:lineRule="auto"/>
              <w:ind w:left="0"/>
              <w:rPr>
                <w:rFonts w:eastAsia="Times New Roman" w:cs="Times New Roman"/>
                <w:color w:val="000000"/>
                <w:sz w:val="20"/>
                <w:szCs w:val="20"/>
              </w:rPr>
            </w:pPr>
          </w:p>
        </w:tc>
        <w:tc>
          <w:tcPr>
            <w:tcW w:w="107" w:type="pct"/>
            <w:tcBorders>
              <w:top w:val="nil"/>
              <w:left w:val="nil"/>
              <w:bottom w:val="nil"/>
              <w:right w:val="nil"/>
            </w:tcBorders>
            <w:shd w:val="clear" w:color="auto" w:fill="auto"/>
            <w:noWrap/>
            <w:vAlign w:val="bottom"/>
            <w:hideMark/>
          </w:tcPr>
          <w:p w14:paraId="518506D1"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nil"/>
              <w:right w:val="nil"/>
            </w:tcBorders>
            <w:shd w:val="clear" w:color="auto" w:fill="auto"/>
            <w:noWrap/>
            <w:vAlign w:val="bottom"/>
            <w:hideMark/>
          </w:tcPr>
          <w:p w14:paraId="77636D2C" w14:textId="77777777" w:rsidR="008D5028" w:rsidRPr="0076589C" w:rsidRDefault="008D5028" w:rsidP="008D5028">
            <w:pPr>
              <w:spacing w:after="0" w:line="240" w:lineRule="auto"/>
              <w:ind w:left="0"/>
              <w:rPr>
                <w:rFonts w:eastAsia="Times New Roman" w:cs="Times New Roman"/>
                <w:color w:val="000000"/>
                <w:sz w:val="20"/>
                <w:szCs w:val="20"/>
              </w:rPr>
            </w:pPr>
          </w:p>
        </w:tc>
        <w:tc>
          <w:tcPr>
            <w:tcW w:w="131" w:type="pct"/>
            <w:tcBorders>
              <w:top w:val="nil"/>
              <w:left w:val="nil"/>
              <w:bottom w:val="nil"/>
              <w:right w:val="nil"/>
            </w:tcBorders>
            <w:shd w:val="clear" w:color="auto" w:fill="auto"/>
            <w:noWrap/>
            <w:vAlign w:val="bottom"/>
            <w:hideMark/>
          </w:tcPr>
          <w:p w14:paraId="3C601B62" w14:textId="77777777" w:rsidR="008D5028" w:rsidRPr="0076589C" w:rsidRDefault="008D5028" w:rsidP="008D5028">
            <w:pPr>
              <w:spacing w:after="0" w:line="240" w:lineRule="auto"/>
              <w:ind w:left="0"/>
              <w:rPr>
                <w:rFonts w:eastAsia="Times New Roman" w:cs="Times New Roman"/>
                <w:sz w:val="20"/>
                <w:szCs w:val="20"/>
              </w:rPr>
            </w:pPr>
          </w:p>
        </w:tc>
        <w:tc>
          <w:tcPr>
            <w:tcW w:w="101" w:type="pct"/>
            <w:tcBorders>
              <w:top w:val="nil"/>
              <w:left w:val="nil"/>
              <w:bottom w:val="nil"/>
              <w:right w:val="nil"/>
            </w:tcBorders>
            <w:shd w:val="clear" w:color="auto" w:fill="auto"/>
            <w:noWrap/>
            <w:vAlign w:val="bottom"/>
            <w:hideMark/>
          </w:tcPr>
          <w:p w14:paraId="4E0755BE" w14:textId="77777777" w:rsidR="008D5028" w:rsidRPr="0076589C" w:rsidRDefault="008D5028" w:rsidP="008D5028">
            <w:pPr>
              <w:spacing w:after="0" w:line="240" w:lineRule="auto"/>
              <w:ind w:left="0"/>
              <w:rPr>
                <w:rFonts w:eastAsia="Times New Roman" w:cs="Times New Roman"/>
                <w:sz w:val="20"/>
                <w:szCs w:val="20"/>
              </w:rPr>
            </w:pPr>
          </w:p>
        </w:tc>
        <w:tc>
          <w:tcPr>
            <w:tcW w:w="115" w:type="pct"/>
            <w:tcBorders>
              <w:top w:val="nil"/>
              <w:left w:val="nil"/>
              <w:bottom w:val="nil"/>
              <w:right w:val="nil"/>
            </w:tcBorders>
            <w:shd w:val="clear" w:color="auto" w:fill="auto"/>
            <w:noWrap/>
            <w:vAlign w:val="bottom"/>
            <w:hideMark/>
          </w:tcPr>
          <w:p w14:paraId="0A713D62" w14:textId="77777777" w:rsidR="008D5028" w:rsidRPr="0076589C" w:rsidRDefault="008D5028" w:rsidP="008D5028">
            <w:pPr>
              <w:spacing w:after="0" w:line="240" w:lineRule="auto"/>
              <w:ind w:left="0"/>
              <w:rPr>
                <w:rFonts w:eastAsia="Times New Roman" w:cs="Times New Roman"/>
                <w:sz w:val="20"/>
                <w:szCs w:val="20"/>
              </w:rPr>
            </w:pPr>
          </w:p>
        </w:tc>
        <w:tc>
          <w:tcPr>
            <w:tcW w:w="107" w:type="pct"/>
            <w:tcBorders>
              <w:top w:val="nil"/>
              <w:left w:val="nil"/>
              <w:bottom w:val="nil"/>
              <w:right w:val="nil"/>
            </w:tcBorders>
            <w:shd w:val="clear" w:color="auto" w:fill="auto"/>
            <w:noWrap/>
            <w:vAlign w:val="bottom"/>
            <w:hideMark/>
          </w:tcPr>
          <w:p w14:paraId="354C8689" w14:textId="77777777" w:rsidR="008D5028" w:rsidRPr="0076589C" w:rsidRDefault="008D5028" w:rsidP="008D5028">
            <w:pPr>
              <w:spacing w:after="0" w:line="240" w:lineRule="auto"/>
              <w:ind w:left="0"/>
              <w:rPr>
                <w:rFonts w:eastAsia="Times New Roman" w:cs="Times New Roman"/>
                <w:sz w:val="20"/>
                <w:szCs w:val="20"/>
              </w:rPr>
            </w:pPr>
          </w:p>
        </w:tc>
        <w:tc>
          <w:tcPr>
            <w:tcW w:w="131" w:type="pct"/>
            <w:tcBorders>
              <w:top w:val="nil"/>
              <w:left w:val="nil"/>
              <w:bottom w:val="nil"/>
              <w:right w:val="nil"/>
            </w:tcBorders>
            <w:shd w:val="clear" w:color="auto" w:fill="auto"/>
            <w:noWrap/>
            <w:vAlign w:val="bottom"/>
            <w:hideMark/>
          </w:tcPr>
          <w:p w14:paraId="53D1F682" w14:textId="77777777" w:rsidR="008D5028" w:rsidRPr="0076589C" w:rsidRDefault="008D5028" w:rsidP="008D5028">
            <w:pPr>
              <w:spacing w:after="0" w:line="240" w:lineRule="auto"/>
              <w:ind w:left="0"/>
              <w:jc w:val="center"/>
              <w:rPr>
                <w:rFonts w:eastAsia="Times New Roman" w:cs="Times New Roman"/>
                <w:sz w:val="20"/>
                <w:szCs w:val="20"/>
              </w:rPr>
            </w:pPr>
          </w:p>
        </w:tc>
        <w:tc>
          <w:tcPr>
            <w:tcW w:w="131" w:type="pct"/>
            <w:tcBorders>
              <w:top w:val="nil"/>
              <w:left w:val="nil"/>
              <w:bottom w:val="nil"/>
              <w:right w:val="nil"/>
            </w:tcBorders>
            <w:shd w:val="clear" w:color="auto" w:fill="auto"/>
            <w:noWrap/>
            <w:vAlign w:val="bottom"/>
            <w:hideMark/>
          </w:tcPr>
          <w:p w14:paraId="38EAB0AB" w14:textId="77777777" w:rsidR="008D5028" w:rsidRPr="0076589C" w:rsidRDefault="008D5028" w:rsidP="008D5028">
            <w:pPr>
              <w:spacing w:after="0" w:line="240" w:lineRule="auto"/>
              <w:ind w:left="0"/>
              <w:jc w:val="center"/>
              <w:rPr>
                <w:rFonts w:eastAsia="Times New Roman" w:cs="Times New Roman"/>
                <w:sz w:val="20"/>
                <w:szCs w:val="20"/>
              </w:rPr>
            </w:pPr>
          </w:p>
        </w:tc>
        <w:tc>
          <w:tcPr>
            <w:tcW w:w="101" w:type="pct"/>
            <w:tcBorders>
              <w:top w:val="nil"/>
              <w:left w:val="nil"/>
              <w:bottom w:val="nil"/>
              <w:right w:val="nil"/>
            </w:tcBorders>
            <w:shd w:val="clear" w:color="auto" w:fill="auto"/>
            <w:noWrap/>
            <w:vAlign w:val="bottom"/>
            <w:hideMark/>
          </w:tcPr>
          <w:p w14:paraId="1E8868FD" w14:textId="77777777" w:rsidR="008D5028" w:rsidRPr="0076589C" w:rsidRDefault="008D5028" w:rsidP="008D5028">
            <w:pPr>
              <w:spacing w:after="0" w:line="240" w:lineRule="auto"/>
              <w:ind w:left="0"/>
              <w:jc w:val="center"/>
              <w:rPr>
                <w:rFonts w:eastAsia="Times New Roman" w:cs="Times New Roman"/>
                <w:sz w:val="20"/>
                <w:szCs w:val="20"/>
              </w:rPr>
            </w:pPr>
          </w:p>
        </w:tc>
        <w:tc>
          <w:tcPr>
            <w:tcW w:w="115" w:type="pct"/>
            <w:tcBorders>
              <w:top w:val="nil"/>
              <w:left w:val="nil"/>
              <w:bottom w:val="nil"/>
              <w:right w:val="nil"/>
            </w:tcBorders>
            <w:shd w:val="clear" w:color="auto" w:fill="auto"/>
            <w:noWrap/>
            <w:vAlign w:val="bottom"/>
            <w:hideMark/>
          </w:tcPr>
          <w:p w14:paraId="723075B8" w14:textId="77777777" w:rsidR="008D5028" w:rsidRPr="0076589C" w:rsidRDefault="008D5028" w:rsidP="008D5028">
            <w:pPr>
              <w:spacing w:after="0" w:line="240" w:lineRule="auto"/>
              <w:ind w:left="0"/>
              <w:jc w:val="center"/>
              <w:rPr>
                <w:rFonts w:eastAsia="Times New Roman" w:cs="Times New Roman"/>
                <w:sz w:val="20"/>
                <w:szCs w:val="20"/>
              </w:rPr>
            </w:pPr>
          </w:p>
        </w:tc>
        <w:tc>
          <w:tcPr>
            <w:tcW w:w="107" w:type="pct"/>
            <w:tcBorders>
              <w:top w:val="nil"/>
              <w:left w:val="nil"/>
              <w:bottom w:val="nil"/>
              <w:right w:val="nil"/>
            </w:tcBorders>
            <w:shd w:val="clear" w:color="auto" w:fill="auto"/>
            <w:noWrap/>
            <w:vAlign w:val="bottom"/>
            <w:hideMark/>
          </w:tcPr>
          <w:p w14:paraId="4820FC72" w14:textId="77777777" w:rsidR="008D5028" w:rsidRPr="0076589C" w:rsidRDefault="008D5028" w:rsidP="008D5028">
            <w:pPr>
              <w:spacing w:after="0" w:line="240" w:lineRule="auto"/>
              <w:ind w:left="0"/>
              <w:jc w:val="center"/>
              <w:rPr>
                <w:rFonts w:eastAsia="Times New Roman" w:cs="Times New Roman"/>
                <w:sz w:val="20"/>
                <w:szCs w:val="20"/>
              </w:rPr>
            </w:pPr>
          </w:p>
        </w:tc>
        <w:tc>
          <w:tcPr>
            <w:tcW w:w="131" w:type="pct"/>
            <w:tcBorders>
              <w:top w:val="nil"/>
              <w:left w:val="nil"/>
              <w:bottom w:val="nil"/>
              <w:right w:val="nil"/>
            </w:tcBorders>
            <w:shd w:val="clear" w:color="auto" w:fill="auto"/>
            <w:noWrap/>
            <w:vAlign w:val="bottom"/>
            <w:hideMark/>
          </w:tcPr>
          <w:p w14:paraId="34816AC5" w14:textId="77777777" w:rsidR="008D5028" w:rsidRPr="0076589C" w:rsidRDefault="008D5028" w:rsidP="008D5028">
            <w:pPr>
              <w:spacing w:after="0" w:line="240" w:lineRule="auto"/>
              <w:ind w:left="0"/>
              <w:jc w:val="center"/>
              <w:rPr>
                <w:rFonts w:eastAsia="Times New Roman" w:cs="Times New Roman"/>
                <w:sz w:val="20"/>
                <w:szCs w:val="20"/>
              </w:rPr>
            </w:pPr>
          </w:p>
        </w:tc>
        <w:tc>
          <w:tcPr>
            <w:tcW w:w="131" w:type="pct"/>
            <w:tcBorders>
              <w:top w:val="nil"/>
              <w:left w:val="nil"/>
              <w:bottom w:val="nil"/>
              <w:right w:val="nil"/>
            </w:tcBorders>
            <w:shd w:val="clear" w:color="auto" w:fill="auto"/>
            <w:noWrap/>
            <w:vAlign w:val="bottom"/>
            <w:hideMark/>
          </w:tcPr>
          <w:p w14:paraId="63E9DABC" w14:textId="77777777" w:rsidR="008D5028" w:rsidRPr="0076589C" w:rsidRDefault="008D5028" w:rsidP="008D5028">
            <w:pPr>
              <w:spacing w:after="0" w:line="240" w:lineRule="auto"/>
              <w:ind w:left="0"/>
              <w:jc w:val="center"/>
              <w:rPr>
                <w:rFonts w:eastAsia="Times New Roman" w:cs="Times New Roman"/>
                <w:sz w:val="20"/>
                <w:szCs w:val="20"/>
              </w:rPr>
            </w:pPr>
          </w:p>
        </w:tc>
        <w:tc>
          <w:tcPr>
            <w:tcW w:w="101" w:type="pct"/>
            <w:tcBorders>
              <w:top w:val="nil"/>
              <w:left w:val="nil"/>
              <w:bottom w:val="nil"/>
              <w:right w:val="nil"/>
            </w:tcBorders>
            <w:shd w:val="clear" w:color="auto" w:fill="auto"/>
            <w:noWrap/>
            <w:vAlign w:val="bottom"/>
            <w:hideMark/>
          </w:tcPr>
          <w:p w14:paraId="1D794FF7" w14:textId="77777777" w:rsidR="008D5028" w:rsidRPr="0076589C" w:rsidRDefault="008D5028" w:rsidP="008D5028">
            <w:pPr>
              <w:spacing w:after="0" w:line="240" w:lineRule="auto"/>
              <w:ind w:left="0"/>
              <w:jc w:val="center"/>
              <w:rPr>
                <w:rFonts w:eastAsia="Times New Roman" w:cs="Times New Roman"/>
                <w:sz w:val="20"/>
                <w:szCs w:val="20"/>
              </w:rPr>
            </w:pPr>
          </w:p>
        </w:tc>
        <w:tc>
          <w:tcPr>
            <w:tcW w:w="115" w:type="pct"/>
            <w:tcBorders>
              <w:top w:val="nil"/>
              <w:left w:val="nil"/>
              <w:bottom w:val="nil"/>
              <w:right w:val="nil"/>
            </w:tcBorders>
            <w:shd w:val="clear" w:color="auto" w:fill="auto"/>
            <w:noWrap/>
            <w:vAlign w:val="bottom"/>
            <w:hideMark/>
          </w:tcPr>
          <w:p w14:paraId="51FD7F43" w14:textId="77777777" w:rsidR="008D5028" w:rsidRPr="0076589C" w:rsidRDefault="008D5028" w:rsidP="008D5028">
            <w:pPr>
              <w:spacing w:after="0" w:line="240" w:lineRule="auto"/>
              <w:ind w:left="0"/>
              <w:jc w:val="center"/>
              <w:rPr>
                <w:rFonts w:eastAsia="Times New Roman" w:cs="Times New Roman"/>
                <w:sz w:val="20"/>
                <w:szCs w:val="20"/>
              </w:rPr>
            </w:pPr>
          </w:p>
        </w:tc>
        <w:tc>
          <w:tcPr>
            <w:tcW w:w="369" w:type="pct"/>
            <w:gridSpan w:val="3"/>
            <w:tcBorders>
              <w:top w:val="single" w:sz="4" w:space="0" w:color="auto"/>
              <w:left w:val="single" w:sz="4" w:space="0" w:color="auto"/>
              <w:bottom w:val="single" w:sz="4" w:space="0" w:color="auto"/>
              <w:right w:val="single" w:sz="4" w:space="0" w:color="000000"/>
            </w:tcBorders>
            <w:shd w:val="clear" w:color="000000" w:fill="85BADC"/>
            <w:noWrap/>
            <w:vAlign w:val="bottom"/>
            <w:hideMark/>
          </w:tcPr>
          <w:p w14:paraId="05080097" w14:textId="77777777" w:rsidR="008D5028" w:rsidRPr="0076589C" w:rsidRDefault="008D5028" w:rsidP="008D5028">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 </w:t>
            </w:r>
          </w:p>
        </w:tc>
        <w:tc>
          <w:tcPr>
            <w:tcW w:w="101" w:type="pct"/>
            <w:tcBorders>
              <w:top w:val="nil"/>
              <w:left w:val="nil"/>
              <w:bottom w:val="nil"/>
              <w:right w:val="nil"/>
            </w:tcBorders>
            <w:shd w:val="clear" w:color="auto" w:fill="auto"/>
            <w:noWrap/>
            <w:vAlign w:val="bottom"/>
            <w:hideMark/>
          </w:tcPr>
          <w:p w14:paraId="1F0B4CC4" w14:textId="77777777" w:rsidR="008D5028" w:rsidRPr="0076589C" w:rsidRDefault="008D5028" w:rsidP="008D5028">
            <w:pPr>
              <w:spacing w:after="0" w:line="240" w:lineRule="auto"/>
              <w:ind w:left="0"/>
              <w:jc w:val="center"/>
              <w:rPr>
                <w:rFonts w:eastAsia="Times New Roman" w:cs="Times New Roman"/>
                <w:color w:val="000000"/>
                <w:sz w:val="20"/>
                <w:szCs w:val="20"/>
              </w:rPr>
            </w:pPr>
          </w:p>
        </w:tc>
        <w:tc>
          <w:tcPr>
            <w:tcW w:w="115" w:type="pct"/>
            <w:tcBorders>
              <w:top w:val="nil"/>
              <w:left w:val="nil"/>
              <w:bottom w:val="nil"/>
              <w:right w:val="nil"/>
            </w:tcBorders>
            <w:shd w:val="clear" w:color="auto" w:fill="auto"/>
            <w:noWrap/>
            <w:vAlign w:val="bottom"/>
            <w:hideMark/>
          </w:tcPr>
          <w:p w14:paraId="0F8CBF9E" w14:textId="77777777" w:rsidR="008D5028" w:rsidRPr="0076589C" w:rsidRDefault="008D5028" w:rsidP="008D5028">
            <w:pPr>
              <w:spacing w:after="0" w:line="240" w:lineRule="auto"/>
              <w:ind w:left="0"/>
              <w:rPr>
                <w:rFonts w:eastAsia="Times New Roman" w:cs="Times New Roman"/>
                <w:sz w:val="20"/>
                <w:szCs w:val="20"/>
              </w:rPr>
            </w:pPr>
          </w:p>
        </w:tc>
        <w:tc>
          <w:tcPr>
            <w:tcW w:w="107" w:type="pct"/>
            <w:tcBorders>
              <w:top w:val="nil"/>
              <w:left w:val="nil"/>
              <w:bottom w:val="nil"/>
              <w:right w:val="nil"/>
            </w:tcBorders>
            <w:shd w:val="clear" w:color="auto" w:fill="auto"/>
            <w:noWrap/>
            <w:vAlign w:val="bottom"/>
            <w:hideMark/>
          </w:tcPr>
          <w:p w14:paraId="259FBDA8" w14:textId="77777777" w:rsidR="008D5028" w:rsidRPr="0076589C" w:rsidRDefault="008D5028" w:rsidP="008D5028">
            <w:pPr>
              <w:spacing w:after="0" w:line="240" w:lineRule="auto"/>
              <w:ind w:left="0"/>
              <w:rPr>
                <w:rFonts w:eastAsia="Times New Roman" w:cs="Times New Roman"/>
                <w:sz w:val="20"/>
                <w:szCs w:val="20"/>
              </w:rPr>
            </w:pPr>
          </w:p>
        </w:tc>
        <w:tc>
          <w:tcPr>
            <w:tcW w:w="131" w:type="pct"/>
            <w:tcBorders>
              <w:top w:val="nil"/>
              <w:left w:val="nil"/>
              <w:bottom w:val="nil"/>
              <w:right w:val="nil"/>
            </w:tcBorders>
            <w:shd w:val="clear" w:color="auto" w:fill="auto"/>
            <w:noWrap/>
            <w:vAlign w:val="bottom"/>
            <w:hideMark/>
          </w:tcPr>
          <w:p w14:paraId="7C3BA4C7" w14:textId="77777777" w:rsidR="008D5028" w:rsidRPr="0076589C" w:rsidRDefault="008D5028" w:rsidP="008D5028">
            <w:pPr>
              <w:spacing w:after="0" w:line="240" w:lineRule="auto"/>
              <w:ind w:left="0"/>
              <w:rPr>
                <w:rFonts w:eastAsia="Times New Roman" w:cs="Times New Roman"/>
                <w:sz w:val="20"/>
                <w:szCs w:val="20"/>
              </w:rPr>
            </w:pPr>
          </w:p>
        </w:tc>
        <w:tc>
          <w:tcPr>
            <w:tcW w:w="131" w:type="pct"/>
            <w:tcBorders>
              <w:top w:val="nil"/>
              <w:left w:val="nil"/>
              <w:bottom w:val="nil"/>
              <w:right w:val="nil"/>
            </w:tcBorders>
            <w:shd w:val="clear" w:color="auto" w:fill="auto"/>
            <w:noWrap/>
            <w:vAlign w:val="bottom"/>
            <w:hideMark/>
          </w:tcPr>
          <w:p w14:paraId="172D62D4" w14:textId="77777777" w:rsidR="008D5028" w:rsidRPr="0076589C" w:rsidRDefault="008D5028" w:rsidP="008D5028">
            <w:pPr>
              <w:spacing w:after="0" w:line="240" w:lineRule="auto"/>
              <w:ind w:left="0"/>
              <w:rPr>
                <w:rFonts w:eastAsia="Times New Roman" w:cs="Times New Roman"/>
                <w:sz w:val="20"/>
                <w:szCs w:val="20"/>
              </w:rPr>
            </w:pPr>
          </w:p>
        </w:tc>
        <w:tc>
          <w:tcPr>
            <w:tcW w:w="101" w:type="pct"/>
            <w:tcBorders>
              <w:top w:val="nil"/>
              <w:left w:val="nil"/>
              <w:bottom w:val="nil"/>
              <w:right w:val="nil"/>
            </w:tcBorders>
            <w:shd w:val="clear" w:color="auto" w:fill="auto"/>
            <w:noWrap/>
            <w:vAlign w:val="bottom"/>
            <w:hideMark/>
          </w:tcPr>
          <w:p w14:paraId="43350E4C" w14:textId="77777777" w:rsidR="008D5028" w:rsidRPr="0076589C" w:rsidRDefault="008D5028" w:rsidP="008D5028">
            <w:pPr>
              <w:spacing w:after="0" w:line="240" w:lineRule="auto"/>
              <w:ind w:left="0"/>
              <w:rPr>
                <w:rFonts w:eastAsia="Times New Roman" w:cs="Times New Roman"/>
                <w:sz w:val="20"/>
                <w:szCs w:val="20"/>
              </w:rPr>
            </w:pPr>
          </w:p>
        </w:tc>
        <w:tc>
          <w:tcPr>
            <w:tcW w:w="110" w:type="pct"/>
            <w:tcBorders>
              <w:top w:val="nil"/>
              <w:left w:val="nil"/>
              <w:bottom w:val="nil"/>
              <w:right w:val="single" w:sz="4" w:space="0" w:color="auto"/>
            </w:tcBorders>
            <w:shd w:val="clear" w:color="auto" w:fill="auto"/>
            <w:noWrap/>
            <w:vAlign w:val="bottom"/>
            <w:hideMark/>
          </w:tcPr>
          <w:p w14:paraId="657244B0"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r>
      <w:tr w:rsidR="008D5028" w:rsidRPr="0076589C" w14:paraId="0DFE288C" w14:textId="77777777" w:rsidTr="00237462">
        <w:trPr>
          <w:trHeight w:val="290"/>
        </w:trPr>
        <w:tc>
          <w:tcPr>
            <w:tcW w:w="655" w:type="pct"/>
            <w:tcBorders>
              <w:top w:val="nil"/>
              <w:left w:val="single" w:sz="4" w:space="0" w:color="auto"/>
              <w:bottom w:val="single" w:sz="4" w:space="0" w:color="auto"/>
              <w:right w:val="single" w:sz="4" w:space="0" w:color="auto"/>
            </w:tcBorders>
            <w:shd w:val="clear" w:color="auto" w:fill="auto"/>
            <w:noWrap/>
            <w:vAlign w:val="bottom"/>
            <w:hideMark/>
          </w:tcPr>
          <w:p w14:paraId="09D17CB6" w14:textId="77777777" w:rsidR="008D5028" w:rsidRPr="0076589C" w:rsidRDefault="008D5028" w:rsidP="008D5028">
            <w:pPr>
              <w:spacing w:after="0" w:line="240" w:lineRule="auto"/>
              <w:ind w:left="0"/>
              <w:rPr>
                <w:rFonts w:eastAsia="Times New Roman" w:cs="Times New Roman"/>
                <w:i/>
                <w:iCs/>
                <w:color w:val="000000"/>
                <w:sz w:val="20"/>
                <w:szCs w:val="20"/>
              </w:rPr>
            </w:pPr>
            <w:r w:rsidRPr="0076589C">
              <w:rPr>
                <w:rFonts w:eastAsia="Times New Roman" w:cs="Times New Roman"/>
                <w:i/>
                <w:iCs/>
                <w:color w:val="000000"/>
                <w:sz w:val="20"/>
                <w:szCs w:val="20"/>
              </w:rPr>
              <w:t>Implementación</w:t>
            </w:r>
          </w:p>
        </w:tc>
        <w:tc>
          <w:tcPr>
            <w:tcW w:w="493" w:type="pct"/>
            <w:vMerge/>
            <w:tcBorders>
              <w:top w:val="single" w:sz="4" w:space="0" w:color="auto"/>
              <w:left w:val="single" w:sz="4" w:space="0" w:color="auto"/>
              <w:bottom w:val="single" w:sz="4" w:space="0" w:color="auto"/>
              <w:right w:val="single" w:sz="4" w:space="0" w:color="auto"/>
            </w:tcBorders>
            <w:vAlign w:val="center"/>
            <w:hideMark/>
          </w:tcPr>
          <w:p w14:paraId="44A9FCE7" w14:textId="77777777" w:rsidR="008D5028" w:rsidRPr="0076589C" w:rsidRDefault="008D5028" w:rsidP="008D5028">
            <w:pPr>
              <w:spacing w:after="0" w:line="240" w:lineRule="auto"/>
              <w:ind w:left="0"/>
              <w:rPr>
                <w:rFonts w:eastAsia="Times New Roman" w:cs="Times New Roman"/>
                <w:color w:val="000000"/>
                <w:sz w:val="20"/>
                <w:szCs w:val="20"/>
              </w:rPr>
            </w:pPr>
          </w:p>
        </w:tc>
        <w:tc>
          <w:tcPr>
            <w:tcW w:w="437" w:type="pct"/>
            <w:vMerge/>
            <w:tcBorders>
              <w:top w:val="single" w:sz="4" w:space="0" w:color="auto"/>
              <w:left w:val="single" w:sz="4" w:space="0" w:color="auto"/>
              <w:bottom w:val="single" w:sz="4" w:space="0" w:color="auto"/>
              <w:right w:val="single" w:sz="4" w:space="0" w:color="auto"/>
            </w:tcBorders>
            <w:vAlign w:val="center"/>
            <w:hideMark/>
          </w:tcPr>
          <w:p w14:paraId="4857F8E4" w14:textId="77777777" w:rsidR="008D5028" w:rsidRPr="0076589C" w:rsidRDefault="008D5028" w:rsidP="008D5028">
            <w:pPr>
              <w:spacing w:after="0" w:line="240" w:lineRule="auto"/>
              <w:ind w:left="0"/>
              <w:rPr>
                <w:rFonts w:eastAsia="Times New Roman" w:cs="Times New Roman"/>
                <w:color w:val="000000"/>
                <w:sz w:val="20"/>
                <w:szCs w:val="20"/>
              </w:rPr>
            </w:pPr>
          </w:p>
        </w:tc>
        <w:tc>
          <w:tcPr>
            <w:tcW w:w="495" w:type="pct"/>
            <w:vMerge/>
            <w:tcBorders>
              <w:top w:val="single" w:sz="4" w:space="0" w:color="auto"/>
              <w:left w:val="single" w:sz="4" w:space="0" w:color="auto"/>
              <w:bottom w:val="single" w:sz="4" w:space="0" w:color="auto"/>
              <w:right w:val="single" w:sz="4" w:space="0" w:color="auto"/>
            </w:tcBorders>
            <w:vAlign w:val="center"/>
            <w:hideMark/>
          </w:tcPr>
          <w:p w14:paraId="71F42DE6" w14:textId="77777777" w:rsidR="008D5028" w:rsidRPr="0076589C" w:rsidRDefault="008D5028" w:rsidP="008D5028">
            <w:pPr>
              <w:spacing w:after="0" w:line="240" w:lineRule="auto"/>
              <w:ind w:left="0"/>
              <w:rPr>
                <w:rFonts w:eastAsia="Times New Roman" w:cs="Times New Roman"/>
                <w:color w:val="000000"/>
                <w:sz w:val="20"/>
                <w:szCs w:val="20"/>
              </w:rPr>
            </w:pPr>
          </w:p>
        </w:tc>
        <w:tc>
          <w:tcPr>
            <w:tcW w:w="107" w:type="pct"/>
            <w:tcBorders>
              <w:top w:val="nil"/>
              <w:left w:val="nil"/>
              <w:bottom w:val="single" w:sz="4" w:space="0" w:color="auto"/>
              <w:right w:val="nil"/>
            </w:tcBorders>
            <w:shd w:val="clear" w:color="auto" w:fill="auto"/>
            <w:noWrap/>
            <w:vAlign w:val="bottom"/>
            <w:hideMark/>
          </w:tcPr>
          <w:p w14:paraId="3F91C00C"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single" w:sz="4" w:space="0" w:color="auto"/>
              <w:right w:val="nil"/>
            </w:tcBorders>
            <w:shd w:val="clear" w:color="auto" w:fill="auto"/>
            <w:noWrap/>
            <w:vAlign w:val="bottom"/>
            <w:hideMark/>
          </w:tcPr>
          <w:p w14:paraId="558170FD"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single" w:sz="4" w:space="0" w:color="auto"/>
              <w:right w:val="nil"/>
            </w:tcBorders>
            <w:shd w:val="clear" w:color="auto" w:fill="auto"/>
            <w:noWrap/>
            <w:vAlign w:val="bottom"/>
            <w:hideMark/>
          </w:tcPr>
          <w:p w14:paraId="61D87193"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1" w:type="pct"/>
            <w:tcBorders>
              <w:top w:val="nil"/>
              <w:left w:val="nil"/>
              <w:bottom w:val="single" w:sz="4" w:space="0" w:color="auto"/>
              <w:right w:val="nil"/>
            </w:tcBorders>
            <w:shd w:val="clear" w:color="auto" w:fill="auto"/>
            <w:noWrap/>
            <w:vAlign w:val="bottom"/>
            <w:hideMark/>
          </w:tcPr>
          <w:p w14:paraId="478A022C"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15" w:type="pct"/>
            <w:tcBorders>
              <w:top w:val="nil"/>
              <w:left w:val="nil"/>
              <w:bottom w:val="single" w:sz="4" w:space="0" w:color="auto"/>
              <w:right w:val="nil"/>
            </w:tcBorders>
            <w:shd w:val="clear" w:color="auto" w:fill="auto"/>
            <w:noWrap/>
            <w:vAlign w:val="bottom"/>
            <w:hideMark/>
          </w:tcPr>
          <w:p w14:paraId="14822FCC"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7" w:type="pct"/>
            <w:tcBorders>
              <w:top w:val="nil"/>
              <w:left w:val="nil"/>
              <w:bottom w:val="single" w:sz="4" w:space="0" w:color="auto"/>
              <w:right w:val="nil"/>
            </w:tcBorders>
            <w:shd w:val="clear" w:color="auto" w:fill="auto"/>
            <w:noWrap/>
            <w:vAlign w:val="bottom"/>
            <w:hideMark/>
          </w:tcPr>
          <w:p w14:paraId="61706878" w14:textId="77777777" w:rsidR="008D5028" w:rsidRPr="0076589C" w:rsidRDefault="008D5028" w:rsidP="008D5028">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single" w:sz="4" w:space="0" w:color="auto"/>
              <w:right w:val="nil"/>
            </w:tcBorders>
            <w:shd w:val="clear" w:color="auto" w:fill="auto"/>
            <w:noWrap/>
            <w:vAlign w:val="bottom"/>
            <w:hideMark/>
          </w:tcPr>
          <w:p w14:paraId="3064A8C0" w14:textId="77777777" w:rsidR="008D5028" w:rsidRPr="0076589C" w:rsidRDefault="008D5028" w:rsidP="008D5028">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single" w:sz="4" w:space="0" w:color="auto"/>
              <w:right w:val="nil"/>
            </w:tcBorders>
            <w:shd w:val="clear" w:color="auto" w:fill="auto"/>
            <w:noWrap/>
            <w:vAlign w:val="bottom"/>
            <w:hideMark/>
          </w:tcPr>
          <w:p w14:paraId="20AA8978" w14:textId="77777777" w:rsidR="008D5028" w:rsidRPr="0076589C" w:rsidRDefault="008D5028" w:rsidP="008D5028">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 </w:t>
            </w:r>
          </w:p>
        </w:tc>
        <w:tc>
          <w:tcPr>
            <w:tcW w:w="101" w:type="pct"/>
            <w:tcBorders>
              <w:top w:val="nil"/>
              <w:left w:val="nil"/>
              <w:bottom w:val="single" w:sz="4" w:space="0" w:color="auto"/>
              <w:right w:val="nil"/>
            </w:tcBorders>
            <w:shd w:val="clear" w:color="auto" w:fill="auto"/>
            <w:noWrap/>
            <w:vAlign w:val="bottom"/>
            <w:hideMark/>
          </w:tcPr>
          <w:p w14:paraId="49689184" w14:textId="77777777" w:rsidR="008D5028" w:rsidRPr="0076589C" w:rsidRDefault="008D5028" w:rsidP="008D5028">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 </w:t>
            </w:r>
          </w:p>
        </w:tc>
        <w:tc>
          <w:tcPr>
            <w:tcW w:w="115" w:type="pct"/>
            <w:tcBorders>
              <w:top w:val="nil"/>
              <w:left w:val="nil"/>
              <w:bottom w:val="single" w:sz="4" w:space="0" w:color="auto"/>
              <w:right w:val="nil"/>
            </w:tcBorders>
            <w:shd w:val="clear" w:color="auto" w:fill="auto"/>
            <w:noWrap/>
            <w:vAlign w:val="bottom"/>
            <w:hideMark/>
          </w:tcPr>
          <w:p w14:paraId="4BA35563" w14:textId="77777777" w:rsidR="008D5028" w:rsidRPr="0076589C" w:rsidRDefault="008D5028" w:rsidP="008D5028">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 </w:t>
            </w:r>
          </w:p>
        </w:tc>
        <w:tc>
          <w:tcPr>
            <w:tcW w:w="107" w:type="pct"/>
            <w:tcBorders>
              <w:top w:val="nil"/>
              <w:left w:val="nil"/>
              <w:bottom w:val="single" w:sz="4" w:space="0" w:color="auto"/>
              <w:right w:val="nil"/>
            </w:tcBorders>
            <w:shd w:val="clear" w:color="auto" w:fill="auto"/>
            <w:noWrap/>
            <w:vAlign w:val="bottom"/>
            <w:hideMark/>
          </w:tcPr>
          <w:p w14:paraId="540F8809" w14:textId="77777777" w:rsidR="008D5028" w:rsidRPr="0076589C" w:rsidRDefault="008D5028" w:rsidP="008D5028">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single" w:sz="4" w:space="0" w:color="auto"/>
              <w:right w:val="nil"/>
            </w:tcBorders>
            <w:shd w:val="clear" w:color="auto" w:fill="auto"/>
            <w:noWrap/>
            <w:vAlign w:val="bottom"/>
            <w:hideMark/>
          </w:tcPr>
          <w:p w14:paraId="72E2AFA3" w14:textId="77777777" w:rsidR="008D5028" w:rsidRPr="0076589C" w:rsidRDefault="008D5028" w:rsidP="008D5028">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single" w:sz="4" w:space="0" w:color="auto"/>
              <w:right w:val="nil"/>
            </w:tcBorders>
            <w:shd w:val="clear" w:color="auto" w:fill="auto"/>
            <w:noWrap/>
            <w:vAlign w:val="bottom"/>
            <w:hideMark/>
          </w:tcPr>
          <w:p w14:paraId="7D78EF68" w14:textId="77777777" w:rsidR="008D5028" w:rsidRPr="0076589C" w:rsidRDefault="008D5028" w:rsidP="008D5028">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 </w:t>
            </w:r>
          </w:p>
        </w:tc>
        <w:tc>
          <w:tcPr>
            <w:tcW w:w="101" w:type="pct"/>
            <w:tcBorders>
              <w:top w:val="nil"/>
              <w:left w:val="nil"/>
              <w:bottom w:val="single" w:sz="4" w:space="0" w:color="auto"/>
              <w:right w:val="nil"/>
            </w:tcBorders>
            <w:shd w:val="clear" w:color="auto" w:fill="auto"/>
            <w:noWrap/>
            <w:vAlign w:val="bottom"/>
            <w:hideMark/>
          </w:tcPr>
          <w:p w14:paraId="238557E7" w14:textId="77777777" w:rsidR="008D5028" w:rsidRPr="0076589C" w:rsidRDefault="008D5028" w:rsidP="008D5028">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 </w:t>
            </w:r>
          </w:p>
        </w:tc>
        <w:tc>
          <w:tcPr>
            <w:tcW w:w="115" w:type="pct"/>
            <w:tcBorders>
              <w:top w:val="nil"/>
              <w:left w:val="nil"/>
              <w:bottom w:val="single" w:sz="4" w:space="0" w:color="auto"/>
              <w:right w:val="nil"/>
            </w:tcBorders>
            <w:shd w:val="clear" w:color="auto" w:fill="auto"/>
            <w:noWrap/>
            <w:vAlign w:val="bottom"/>
            <w:hideMark/>
          </w:tcPr>
          <w:p w14:paraId="4D89FAC8" w14:textId="77777777" w:rsidR="008D5028" w:rsidRPr="0076589C" w:rsidRDefault="008D5028" w:rsidP="008D5028">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 </w:t>
            </w:r>
          </w:p>
        </w:tc>
        <w:tc>
          <w:tcPr>
            <w:tcW w:w="107" w:type="pct"/>
            <w:tcBorders>
              <w:top w:val="nil"/>
              <w:left w:val="nil"/>
              <w:bottom w:val="single" w:sz="4" w:space="0" w:color="auto"/>
              <w:right w:val="nil"/>
            </w:tcBorders>
            <w:shd w:val="clear" w:color="auto" w:fill="auto"/>
            <w:noWrap/>
            <w:vAlign w:val="bottom"/>
            <w:hideMark/>
          </w:tcPr>
          <w:p w14:paraId="41669788"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single" w:sz="4" w:space="0" w:color="auto"/>
              <w:right w:val="nil"/>
            </w:tcBorders>
            <w:shd w:val="clear" w:color="auto" w:fill="auto"/>
            <w:noWrap/>
            <w:vAlign w:val="bottom"/>
            <w:hideMark/>
          </w:tcPr>
          <w:p w14:paraId="17D0242F"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nil"/>
              <w:left w:val="nil"/>
              <w:bottom w:val="single" w:sz="4" w:space="0" w:color="auto"/>
              <w:right w:val="nil"/>
            </w:tcBorders>
            <w:shd w:val="clear" w:color="auto" w:fill="auto"/>
            <w:noWrap/>
            <w:vAlign w:val="bottom"/>
            <w:hideMark/>
          </w:tcPr>
          <w:p w14:paraId="2708E881" w14:textId="77777777" w:rsidR="008D5028" w:rsidRPr="0076589C" w:rsidRDefault="008D5028" w:rsidP="008D5028">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796" w:type="pct"/>
            <w:gridSpan w:val="7"/>
            <w:tcBorders>
              <w:top w:val="single" w:sz="4" w:space="0" w:color="auto"/>
              <w:left w:val="single" w:sz="4" w:space="0" w:color="auto"/>
              <w:bottom w:val="single" w:sz="4" w:space="0" w:color="auto"/>
              <w:right w:val="single" w:sz="4" w:space="0" w:color="000000"/>
            </w:tcBorders>
            <w:shd w:val="clear" w:color="000000" w:fill="85BADC"/>
            <w:noWrap/>
            <w:vAlign w:val="bottom"/>
            <w:hideMark/>
          </w:tcPr>
          <w:p w14:paraId="1BCC7701" w14:textId="77777777" w:rsidR="008D5028" w:rsidRPr="0076589C" w:rsidRDefault="008D5028" w:rsidP="008D5028">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 </w:t>
            </w:r>
          </w:p>
        </w:tc>
      </w:tr>
      <w:tr w:rsidR="008D5028" w:rsidRPr="0076589C" w14:paraId="71756DED" w14:textId="77777777" w:rsidTr="00AF6680">
        <w:trPr>
          <w:trHeight w:val="290"/>
        </w:trPr>
        <w:tc>
          <w:tcPr>
            <w:tcW w:w="5000" w:type="pct"/>
            <w:gridSpan w:val="29"/>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664BC3" w14:textId="77777777" w:rsidR="008D5028" w:rsidRPr="0076589C" w:rsidRDefault="008D5028" w:rsidP="008D5028">
            <w:pPr>
              <w:spacing w:after="0" w:line="240" w:lineRule="auto"/>
              <w:ind w:left="0"/>
              <w:rPr>
                <w:rFonts w:eastAsia="Times New Roman" w:cs="Times New Roman"/>
                <w:b/>
                <w:bCs/>
                <w:color w:val="000000"/>
                <w:sz w:val="20"/>
                <w:szCs w:val="20"/>
              </w:rPr>
            </w:pPr>
            <w:r w:rsidRPr="0076589C">
              <w:rPr>
                <w:rFonts w:eastAsia="Times New Roman" w:cs="Times New Roman"/>
                <w:b/>
                <w:bCs/>
                <w:color w:val="000000"/>
                <w:sz w:val="20"/>
                <w:szCs w:val="20"/>
              </w:rPr>
              <w:t>Capacitación</w:t>
            </w:r>
          </w:p>
        </w:tc>
      </w:tr>
      <w:tr w:rsidR="008D5028" w:rsidRPr="0076589C" w14:paraId="0438B32E" w14:textId="77777777" w:rsidTr="00237462">
        <w:trPr>
          <w:trHeight w:val="290"/>
        </w:trPr>
        <w:tc>
          <w:tcPr>
            <w:tcW w:w="65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070121"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Capacitación al personal</w:t>
            </w:r>
          </w:p>
        </w:tc>
        <w:tc>
          <w:tcPr>
            <w:tcW w:w="493" w:type="pct"/>
            <w:tcBorders>
              <w:top w:val="single" w:sz="4" w:space="0" w:color="auto"/>
              <w:left w:val="nil"/>
              <w:bottom w:val="single" w:sz="4" w:space="0" w:color="auto"/>
              <w:right w:val="single" w:sz="4" w:space="0" w:color="auto"/>
            </w:tcBorders>
            <w:shd w:val="clear" w:color="auto" w:fill="auto"/>
            <w:noWrap/>
            <w:vAlign w:val="center"/>
            <w:hideMark/>
          </w:tcPr>
          <w:p w14:paraId="44C31559"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Equipo de capacitación y soporte</w:t>
            </w:r>
          </w:p>
        </w:tc>
        <w:tc>
          <w:tcPr>
            <w:tcW w:w="437" w:type="pct"/>
            <w:tcBorders>
              <w:top w:val="single" w:sz="4" w:space="0" w:color="auto"/>
              <w:left w:val="nil"/>
              <w:bottom w:val="single" w:sz="4" w:space="0" w:color="auto"/>
              <w:right w:val="single" w:sz="4" w:space="0" w:color="auto"/>
            </w:tcBorders>
            <w:shd w:val="clear" w:color="auto" w:fill="auto"/>
            <w:noWrap/>
            <w:vAlign w:val="center"/>
            <w:hideMark/>
          </w:tcPr>
          <w:p w14:paraId="0B16C051" w14:textId="77777777" w:rsidR="008D5028" w:rsidRPr="0076589C" w:rsidRDefault="008D5028" w:rsidP="00237462">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29/1/2024</w:t>
            </w:r>
          </w:p>
        </w:tc>
        <w:tc>
          <w:tcPr>
            <w:tcW w:w="495" w:type="pct"/>
            <w:tcBorders>
              <w:top w:val="single" w:sz="4" w:space="0" w:color="auto"/>
              <w:left w:val="nil"/>
              <w:bottom w:val="single" w:sz="4" w:space="0" w:color="auto"/>
              <w:right w:val="nil"/>
            </w:tcBorders>
            <w:shd w:val="clear" w:color="auto" w:fill="auto"/>
            <w:noWrap/>
            <w:vAlign w:val="center"/>
            <w:hideMark/>
          </w:tcPr>
          <w:p w14:paraId="02DC93C2" w14:textId="77777777" w:rsidR="008D5028" w:rsidRPr="0076589C" w:rsidRDefault="008D5028" w:rsidP="00237462">
            <w:pPr>
              <w:spacing w:after="0" w:line="240" w:lineRule="auto"/>
              <w:ind w:left="0"/>
              <w:jc w:val="center"/>
              <w:rPr>
                <w:rFonts w:eastAsia="Times New Roman" w:cs="Times New Roman"/>
                <w:color w:val="000000"/>
                <w:sz w:val="20"/>
                <w:szCs w:val="20"/>
              </w:rPr>
            </w:pPr>
            <w:r w:rsidRPr="0076589C">
              <w:rPr>
                <w:rFonts w:eastAsia="Times New Roman" w:cs="Times New Roman"/>
                <w:color w:val="000000"/>
                <w:sz w:val="20"/>
                <w:szCs w:val="20"/>
              </w:rPr>
              <w:t>2/2/2024</w:t>
            </w:r>
          </w:p>
        </w:tc>
        <w:tc>
          <w:tcPr>
            <w:tcW w:w="107" w:type="pct"/>
            <w:tcBorders>
              <w:top w:val="single" w:sz="4" w:space="0" w:color="auto"/>
              <w:left w:val="single" w:sz="4" w:space="0" w:color="auto"/>
              <w:bottom w:val="single" w:sz="4" w:space="0" w:color="auto"/>
              <w:right w:val="nil"/>
            </w:tcBorders>
            <w:shd w:val="clear" w:color="auto" w:fill="auto"/>
            <w:noWrap/>
            <w:vAlign w:val="center"/>
            <w:hideMark/>
          </w:tcPr>
          <w:p w14:paraId="631D3305"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single" w:sz="4" w:space="0" w:color="auto"/>
              <w:left w:val="nil"/>
              <w:bottom w:val="single" w:sz="4" w:space="0" w:color="auto"/>
              <w:right w:val="nil"/>
            </w:tcBorders>
            <w:shd w:val="clear" w:color="auto" w:fill="auto"/>
            <w:noWrap/>
            <w:vAlign w:val="center"/>
            <w:hideMark/>
          </w:tcPr>
          <w:p w14:paraId="723B33D6"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single" w:sz="4" w:space="0" w:color="auto"/>
              <w:left w:val="nil"/>
              <w:bottom w:val="single" w:sz="4" w:space="0" w:color="auto"/>
              <w:right w:val="nil"/>
            </w:tcBorders>
            <w:shd w:val="clear" w:color="auto" w:fill="auto"/>
            <w:noWrap/>
            <w:vAlign w:val="center"/>
            <w:hideMark/>
          </w:tcPr>
          <w:p w14:paraId="64409499"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1" w:type="pct"/>
            <w:tcBorders>
              <w:top w:val="single" w:sz="4" w:space="0" w:color="auto"/>
              <w:left w:val="nil"/>
              <w:bottom w:val="single" w:sz="4" w:space="0" w:color="auto"/>
              <w:right w:val="nil"/>
            </w:tcBorders>
            <w:shd w:val="clear" w:color="auto" w:fill="auto"/>
            <w:noWrap/>
            <w:vAlign w:val="center"/>
            <w:hideMark/>
          </w:tcPr>
          <w:p w14:paraId="1C91952A"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15" w:type="pct"/>
            <w:tcBorders>
              <w:top w:val="single" w:sz="4" w:space="0" w:color="auto"/>
              <w:left w:val="nil"/>
              <w:bottom w:val="single" w:sz="4" w:space="0" w:color="auto"/>
              <w:right w:val="nil"/>
            </w:tcBorders>
            <w:shd w:val="clear" w:color="auto" w:fill="auto"/>
            <w:noWrap/>
            <w:vAlign w:val="center"/>
            <w:hideMark/>
          </w:tcPr>
          <w:p w14:paraId="18142F19"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7" w:type="pct"/>
            <w:tcBorders>
              <w:top w:val="single" w:sz="4" w:space="0" w:color="auto"/>
              <w:left w:val="nil"/>
              <w:bottom w:val="single" w:sz="4" w:space="0" w:color="auto"/>
              <w:right w:val="nil"/>
            </w:tcBorders>
            <w:shd w:val="clear" w:color="auto" w:fill="auto"/>
            <w:noWrap/>
            <w:vAlign w:val="center"/>
            <w:hideMark/>
          </w:tcPr>
          <w:p w14:paraId="595F8675"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single" w:sz="4" w:space="0" w:color="auto"/>
              <w:left w:val="nil"/>
              <w:bottom w:val="single" w:sz="4" w:space="0" w:color="auto"/>
              <w:right w:val="nil"/>
            </w:tcBorders>
            <w:shd w:val="clear" w:color="auto" w:fill="auto"/>
            <w:noWrap/>
            <w:vAlign w:val="center"/>
            <w:hideMark/>
          </w:tcPr>
          <w:p w14:paraId="40B60F12"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single" w:sz="4" w:space="0" w:color="auto"/>
              <w:left w:val="nil"/>
              <w:bottom w:val="single" w:sz="4" w:space="0" w:color="auto"/>
              <w:right w:val="nil"/>
            </w:tcBorders>
            <w:shd w:val="clear" w:color="auto" w:fill="auto"/>
            <w:noWrap/>
            <w:vAlign w:val="center"/>
            <w:hideMark/>
          </w:tcPr>
          <w:p w14:paraId="236CF3D7"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1" w:type="pct"/>
            <w:tcBorders>
              <w:top w:val="single" w:sz="4" w:space="0" w:color="auto"/>
              <w:left w:val="nil"/>
              <w:bottom w:val="single" w:sz="4" w:space="0" w:color="auto"/>
              <w:right w:val="nil"/>
            </w:tcBorders>
            <w:shd w:val="clear" w:color="auto" w:fill="auto"/>
            <w:noWrap/>
            <w:vAlign w:val="center"/>
            <w:hideMark/>
          </w:tcPr>
          <w:p w14:paraId="25D351D4"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15" w:type="pct"/>
            <w:tcBorders>
              <w:top w:val="single" w:sz="4" w:space="0" w:color="auto"/>
              <w:left w:val="nil"/>
              <w:bottom w:val="single" w:sz="4" w:space="0" w:color="auto"/>
              <w:right w:val="nil"/>
            </w:tcBorders>
            <w:shd w:val="clear" w:color="auto" w:fill="auto"/>
            <w:noWrap/>
            <w:vAlign w:val="center"/>
            <w:hideMark/>
          </w:tcPr>
          <w:p w14:paraId="36F6F9DF"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7" w:type="pct"/>
            <w:tcBorders>
              <w:top w:val="single" w:sz="4" w:space="0" w:color="auto"/>
              <w:left w:val="nil"/>
              <w:bottom w:val="single" w:sz="4" w:space="0" w:color="auto"/>
              <w:right w:val="nil"/>
            </w:tcBorders>
            <w:shd w:val="clear" w:color="auto" w:fill="auto"/>
            <w:noWrap/>
            <w:vAlign w:val="center"/>
            <w:hideMark/>
          </w:tcPr>
          <w:p w14:paraId="3BDCC145"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single" w:sz="4" w:space="0" w:color="auto"/>
              <w:left w:val="nil"/>
              <w:bottom w:val="single" w:sz="4" w:space="0" w:color="auto"/>
              <w:right w:val="nil"/>
            </w:tcBorders>
            <w:shd w:val="clear" w:color="auto" w:fill="auto"/>
            <w:noWrap/>
            <w:vAlign w:val="center"/>
            <w:hideMark/>
          </w:tcPr>
          <w:p w14:paraId="1EEF4511"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single" w:sz="4" w:space="0" w:color="auto"/>
              <w:left w:val="nil"/>
              <w:bottom w:val="single" w:sz="4" w:space="0" w:color="auto"/>
              <w:right w:val="nil"/>
            </w:tcBorders>
            <w:shd w:val="clear" w:color="auto" w:fill="auto"/>
            <w:noWrap/>
            <w:vAlign w:val="center"/>
            <w:hideMark/>
          </w:tcPr>
          <w:p w14:paraId="5C395E36"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1" w:type="pct"/>
            <w:tcBorders>
              <w:top w:val="single" w:sz="4" w:space="0" w:color="auto"/>
              <w:left w:val="nil"/>
              <w:bottom w:val="single" w:sz="4" w:space="0" w:color="auto"/>
              <w:right w:val="nil"/>
            </w:tcBorders>
            <w:shd w:val="clear" w:color="auto" w:fill="auto"/>
            <w:noWrap/>
            <w:vAlign w:val="center"/>
            <w:hideMark/>
          </w:tcPr>
          <w:p w14:paraId="1FE030EF"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15" w:type="pct"/>
            <w:tcBorders>
              <w:top w:val="single" w:sz="4" w:space="0" w:color="auto"/>
              <w:left w:val="nil"/>
              <w:bottom w:val="single" w:sz="4" w:space="0" w:color="auto"/>
              <w:right w:val="nil"/>
            </w:tcBorders>
            <w:shd w:val="clear" w:color="auto" w:fill="auto"/>
            <w:noWrap/>
            <w:vAlign w:val="center"/>
            <w:hideMark/>
          </w:tcPr>
          <w:p w14:paraId="76C20934"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7" w:type="pct"/>
            <w:tcBorders>
              <w:top w:val="single" w:sz="4" w:space="0" w:color="auto"/>
              <w:left w:val="nil"/>
              <w:bottom w:val="single" w:sz="4" w:space="0" w:color="auto"/>
              <w:right w:val="nil"/>
            </w:tcBorders>
            <w:shd w:val="clear" w:color="auto" w:fill="auto"/>
            <w:noWrap/>
            <w:vAlign w:val="center"/>
            <w:hideMark/>
          </w:tcPr>
          <w:p w14:paraId="0CE7FB91"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single" w:sz="4" w:space="0" w:color="auto"/>
              <w:left w:val="nil"/>
              <w:bottom w:val="single" w:sz="4" w:space="0" w:color="auto"/>
              <w:right w:val="nil"/>
            </w:tcBorders>
            <w:shd w:val="clear" w:color="auto" w:fill="auto"/>
            <w:noWrap/>
            <w:vAlign w:val="center"/>
            <w:hideMark/>
          </w:tcPr>
          <w:p w14:paraId="3AAA9DE7"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31" w:type="pct"/>
            <w:tcBorders>
              <w:top w:val="single" w:sz="4" w:space="0" w:color="auto"/>
              <w:left w:val="nil"/>
              <w:bottom w:val="single" w:sz="4" w:space="0" w:color="auto"/>
              <w:right w:val="nil"/>
            </w:tcBorders>
            <w:shd w:val="clear" w:color="auto" w:fill="auto"/>
            <w:noWrap/>
            <w:vAlign w:val="center"/>
            <w:hideMark/>
          </w:tcPr>
          <w:p w14:paraId="3E78718C"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01" w:type="pct"/>
            <w:tcBorders>
              <w:top w:val="single" w:sz="4" w:space="0" w:color="auto"/>
              <w:left w:val="nil"/>
              <w:bottom w:val="single" w:sz="4" w:space="0" w:color="auto"/>
              <w:right w:val="nil"/>
            </w:tcBorders>
            <w:shd w:val="clear" w:color="auto" w:fill="auto"/>
            <w:noWrap/>
            <w:vAlign w:val="center"/>
            <w:hideMark/>
          </w:tcPr>
          <w:p w14:paraId="2DA8DE67"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115" w:type="pct"/>
            <w:tcBorders>
              <w:top w:val="single" w:sz="4" w:space="0" w:color="auto"/>
              <w:left w:val="nil"/>
              <w:bottom w:val="single" w:sz="4" w:space="0" w:color="auto"/>
              <w:right w:val="nil"/>
            </w:tcBorders>
            <w:shd w:val="clear" w:color="auto" w:fill="auto"/>
            <w:noWrap/>
            <w:vAlign w:val="center"/>
            <w:hideMark/>
          </w:tcPr>
          <w:p w14:paraId="4268E764"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c>
          <w:tcPr>
            <w:tcW w:w="580" w:type="pct"/>
            <w:gridSpan w:val="5"/>
            <w:tcBorders>
              <w:top w:val="single" w:sz="4" w:space="0" w:color="auto"/>
              <w:left w:val="single" w:sz="4" w:space="0" w:color="auto"/>
              <w:bottom w:val="single" w:sz="4" w:space="0" w:color="auto"/>
              <w:right w:val="single" w:sz="4" w:space="0" w:color="000000"/>
            </w:tcBorders>
            <w:shd w:val="clear" w:color="000000" w:fill="85BADC"/>
            <w:noWrap/>
            <w:vAlign w:val="center"/>
            <w:hideMark/>
          </w:tcPr>
          <w:p w14:paraId="4D81B63A" w14:textId="77777777" w:rsidR="008D5028" w:rsidRPr="0076589C" w:rsidRDefault="008D5028" w:rsidP="00237462">
            <w:pPr>
              <w:spacing w:after="0" w:line="240" w:lineRule="auto"/>
              <w:ind w:left="0"/>
              <w:rPr>
                <w:rFonts w:eastAsia="Times New Roman" w:cs="Times New Roman"/>
                <w:color w:val="000000"/>
                <w:sz w:val="20"/>
                <w:szCs w:val="20"/>
              </w:rPr>
            </w:pPr>
            <w:r w:rsidRPr="0076589C">
              <w:rPr>
                <w:rFonts w:eastAsia="Times New Roman" w:cs="Times New Roman"/>
                <w:color w:val="000000"/>
                <w:sz w:val="20"/>
                <w:szCs w:val="20"/>
              </w:rPr>
              <w:t> </w:t>
            </w:r>
          </w:p>
        </w:tc>
      </w:tr>
    </w:tbl>
    <w:p w14:paraId="20CC5B5E" w14:textId="1C6FDD9B" w:rsidR="0081402B" w:rsidRPr="0076589C" w:rsidRDefault="0081402B" w:rsidP="005A1943">
      <w:pPr>
        <w:pStyle w:val="Fuentes"/>
        <w:rPr>
          <w:lang w:val="es-HN"/>
        </w:rPr>
      </w:pPr>
      <w:r w:rsidRPr="0076589C">
        <w:rPr>
          <w:lang w:val="es-HN"/>
        </w:rPr>
        <w:t xml:space="preserve">Fuente: Elaboración </w:t>
      </w:r>
      <w:r w:rsidR="00CA5A6C" w:rsidRPr="0076589C">
        <w:rPr>
          <w:lang w:val="es-HN"/>
        </w:rPr>
        <w:t>propia</w:t>
      </w:r>
      <w:r w:rsidRPr="0076589C">
        <w:rPr>
          <w:lang w:val="es-HN"/>
        </w:rPr>
        <w:t>.</w:t>
      </w:r>
    </w:p>
    <w:p w14:paraId="1F1EE210" w14:textId="36EB067E" w:rsidR="00285B4F" w:rsidRPr="0076589C" w:rsidRDefault="00CA5A6C" w:rsidP="00CA5A6C">
      <w:pPr>
        <w:rPr>
          <w:rFonts w:eastAsia="Calibri" w:cs="Times New Roman"/>
        </w:rPr>
      </w:pPr>
      <w:r w:rsidRPr="0076589C">
        <w:br w:type="page"/>
      </w:r>
    </w:p>
    <w:p w14:paraId="2A66ACC5" w14:textId="14FD0BAA" w:rsidR="00D01037" w:rsidRPr="0076589C" w:rsidRDefault="00E619DB" w:rsidP="000E1E26">
      <w:pPr>
        <w:pStyle w:val="Ttulonivel3"/>
        <w:numPr>
          <w:ilvl w:val="0"/>
          <w:numId w:val="51"/>
        </w:numPr>
        <w:ind w:left="1080"/>
      </w:pPr>
      <w:bookmarkStart w:id="344" w:name="_Toc158365545"/>
      <w:r w:rsidRPr="0076589C">
        <w:lastRenderedPageBreak/>
        <w:t>PRESUPUESTO DE LA IMPLEMENTACIÓN</w:t>
      </w:r>
      <w:r w:rsidR="00285B4F" w:rsidRPr="0076589C">
        <w:t xml:space="preserve"> DE MÓDULO DE COBRANZA EN IPRA</w:t>
      </w:r>
      <w:bookmarkEnd w:id="344"/>
    </w:p>
    <w:p w14:paraId="3F25B374" w14:textId="2817B320" w:rsidR="00CD082D" w:rsidRPr="0076589C" w:rsidRDefault="372529E0" w:rsidP="00EB21DE">
      <w:pPr>
        <w:pStyle w:val="TextoPrincipal"/>
        <w:rPr>
          <w:lang w:val="es-HN"/>
        </w:rPr>
      </w:pPr>
      <w:r w:rsidRPr="0076589C">
        <w:rPr>
          <w:lang w:val="es-HN"/>
        </w:rPr>
        <w:t xml:space="preserve">Al realizar el presupuesto de la implementación del módulo de cobranza, </w:t>
      </w:r>
      <w:r w:rsidR="51D39503" w:rsidRPr="0076589C">
        <w:rPr>
          <w:lang w:val="es-HN"/>
        </w:rPr>
        <w:t>también</w:t>
      </w:r>
      <w:r w:rsidRPr="0076589C">
        <w:rPr>
          <w:lang w:val="es-HN"/>
        </w:rPr>
        <w:t xml:space="preserve"> </w:t>
      </w:r>
      <w:r w:rsidR="00F45F8D" w:rsidRPr="0076589C">
        <w:rPr>
          <w:lang w:val="es-HN"/>
        </w:rPr>
        <w:t>se puede</w:t>
      </w:r>
      <w:r w:rsidRPr="0076589C">
        <w:rPr>
          <w:lang w:val="es-HN"/>
        </w:rPr>
        <w:t xml:space="preserve"> hacer el comparativo del ahorro que la empresa tendría ya que al automatizar </w:t>
      </w:r>
      <w:r w:rsidR="00353FCA" w:rsidRPr="0076589C">
        <w:rPr>
          <w:lang w:val="es-HN"/>
        </w:rPr>
        <w:t>no sería necesario la utilización</w:t>
      </w:r>
      <w:r w:rsidR="51D39503" w:rsidRPr="0076589C">
        <w:rPr>
          <w:lang w:val="es-HN"/>
        </w:rPr>
        <w:t xml:space="preserve"> de los talonarios manuales. </w:t>
      </w:r>
    </w:p>
    <w:p w14:paraId="1B43E14B" w14:textId="649A0070" w:rsidR="002851D8" w:rsidRPr="0076589C" w:rsidRDefault="1913FAD0" w:rsidP="00BB02C8">
      <w:pPr>
        <w:pStyle w:val="TextoPrincipal"/>
        <w:rPr>
          <w:lang w:val="es-HN"/>
        </w:rPr>
      </w:pPr>
      <w:r w:rsidRPr="0076589C">
        <w:rPr>
          <w:lang w:val="es-HN"/>
        </w:rPr>
        <w:t xml:space="preserve">IPRA invertiría alrededor de 99,693.02 lempiras en realizar el módulo de cobranza, siendo como un costo único de inversión las impresoras y mano de obra, pero al finalizarlo su único costo fijo será la compra del papel térmico, con lo cual tendría un ahorro anual de 22,453 lempiras. </w:t>
      </w:r>
    </w:p>
    <w:p w14:paraId="1626B165" w14:textId="2570D59D" w:rsidR="002851D8" w:rsidRPr="0076589C" w:rsidRDefault="002851D8" w:rsidP="002851D8">
      <w:pPr>
        <w:pStyle w:val="ImagenyTabla"/>
      </w:pPr>
      <w:bookmarkStart w:id="345" w:name="_Toc158365583"/>
      <w:r w:rsidRPr="0076589C">
        <w:t xml:space="preserve">Tabla </w:t>
      </w:r>
      <w:r w:rsidRPr="0076589C">
        <w:rPr>
          <w:noProof w:val="0"/>
        </w:rPr>
        <w:fldChar w:fldCharType="begin"/>
      </w:r>
      <w:r w:rsidRPr="0076589C">
        <w:rPr>
          <w:noProof w:val="0"/>
        </w:rPr>
        <w:instrText xml:space="preserve"> SEQ Tabla \* ARABIC </w:instrText>
      </w:r>
      <w:r w:rsidRPr="0076589C">
        <w:rPr>
          <w:noProof w:val="0"/>
        </w:rPr>
        <w:fldChar w:fldCharType="separate"/>
      </w:r>
      <w:r w:rsidR="009F171A">
        <w:t>35</w:t>
      </w:r>
      <w:r w:rsidRPr="0076589C">
        <w:rPr>
          <w:noProof w:val="0"/>
        </w:rPr>
        <w:fldChar w:fldCharType="end"/>
      </w:r>
      <w:r w:rsidRPr="0076589C">
        <w:t>. Gastos del proceso de cobranza</w:t>
      </w:r>
      <w:r w:rsidR="0099325E" w:rsidRPr="0076589C">
        <w:t xml:space="preserve"> actual</w:t>
      </w:r>
      <w:r w:rsidRPr="0076589C">
        <w:t xml:space="preserve"> en IPRA</w:t>
      </w:r>
      <w:bookmarkEnd w:id="34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32"/>
        <w:gridCol w:w="2305"/>
        <w:gridCol w:w="2308"/>
        <w:gridCol w:w="2305"/>
      </w:tblGrid>
      <w:tr w:rsidR="002851D8" w:rsidRPr="0076589C" w14:paraId="2F0F73B1" w14:textId="77777777" w:rsidTr="595E3A27">
        <w:trPr>
          <w:trHeight w:val="290"/>
        </w:trPr>
        <w:tc>
          <w:tcPr>
            <w:tcW w:w="2329" w:type="pct"/>
            <w:shd w:val="clear" w:color="auto" w:fill="C9E1EF"/>
            <w:noWrap/>
            <w:vAlign w:val="bottom"/>
            <w:hideMark/>
          </w:tcPr>
          <w:p w14:paraId="65703D8A" w14:textId="77777777" w:rsidR="002851D8" w:rsidRPr="0076589C" w:rsidRDefault="002851D8">
            <w:pPr>
              <w:pStyle w:val="Tabla"/>
              <w:jc w:val="center"/>
              <w:rPr>
                <w:b/>
                <w:bCs/>
                <w:sz w:val="20"/>
                <w:szCs w:val="20"/>
                <w:lang w:val="es-HN"/>
              </w:rPr>
            </w:pPr>
            <w:r w:rsidRPr="0076589C">
              <w:rPr>
                <w:b/>
                <w:bCs/>
                <w:sz w:val="20"/>
                <w:szCs w:val="20"/>
              </w:rPr>
              <w:t>ítem</w:t>
            </w:r>
          </w:p>
        </w:tc>
        <w:tc>
          <w:tcPr>
            <w:tcW w:w="890" w:type="pct"/>
            <w:shd w:val="clear" w:color="auto" w:fill="C9E1EF"/>
            <w:noWrap/>
            <w:vAlign w:val="bottom"/>
            <w:hideMark/>
          </w:tcPr>
          <w:p w14:paraId="1DF5CCC6" w14:textId="77777777" w:rsidR="002851D8" w:rsidRPr="0076589C" w:rsidRDefault="002851D8">
            <w:pPr>
              <w:pStyle w:val="Tabla"/>
              <w:jc w:val="center"/>
              <w:rPr>
                <w:b/>
                <w:bCs/>
                <w:sz w:val="20"/>
                <w:szCs w:val="20"/>
                <w:lang w:val="es-HN"/>
              </w:rPr>
            </w:pPr>
            <w:r w:rsidRPr="0076589C">
              <w:rPr>
                <w:b/>
                <w:bCs/>
                <w:sz w:val="20"/>
                <w:szCs w:val="20"/>
                <w:lang w:val="es-HN"/>
              </w:rPr>
              <w:t>Precio (L)</w:t>
            </w:r>
          </w:p>
        </w:tc>
        <w:tc>
          <w:tcPr>
            <w:tcW w:w="891" w:type="pct"/>
            <w:shd w:val="clear" w:color="auto" w:fill="C9E1EF"/>
            <w:noWrap/>
            <w:vAlign w:val="bottom"/>
            <w:hideMark/>
          </w:tcPr>
          <w:p w14:paraId="79BD8225" w14:textId="77777777" w:rsidR="002851D8" w:rsidRPr="0076589C" w:rsidRDefault="002851D8">
            <w:pPr>
              <w:pStyle w:val="Tabla"/>
              <w:jc w:val="center"/>
              <w:rPr>
                <w:b/>
                <w:bCs/>
                <w:sz w:val="20"/>
                <w:szCs w:val="20"/>
                <w:lang w:val="es-HN"/>
              </w:rPr>
            </w:pPr>
            <w:r w:rsidRPr="0076589C">
              <w:rPr>
                <w:b/>
                <w:bCs/>
                <w:sz w:val="20"/>
                <w:szCs w:val="20"/>
                <w:lang w:val="es-HN"/>
              </w:rPr>
              <w:t>Cantidad</w:t>
            </w:r>
          </w:p>
        </w:tc>
        <w:tc>
          <w:tcPr>
            <w:tcW w:w="890" w:type="pct"/>
            <w:shd w:val="clear" w:color="auto" w:fill="C9E1EF"/>
            <w:noWrap/>
            <w:vAlign w:val="bottom"/>
            <w:hideMark/>
          </w:tcPr>
          <w:p w14:paraId="7636CAD0" w14:textId="77777777" w:rsidR="002851D8" w:rsidRPr="0076589C" w:rsidRDefault="002851D8">
            <w:pPr>
              <w:pStyle w:val="Tabla"/>
              <w:jc w:val="center"/>
              <w:rPr>
                <w:b/>
                <w:bCs/>
                <w:sz w:val="20"/>
                <w:szCs w:val="20"/>
                <w:lang w:val="es-HN"/>
              </w:rPr>
            </w:pPr>
            <w:r w:rsidRPr="0076589C">
              <w:rPr>
                <w:b/>
                <w:bCs/>
                <w:sz w:val="20"/>
                <w:szCs w:val="20"/>
                <w:lang w:val="es-HN"/>
              </w:rPr>
              <w:t>Total (L)</w:t>
            </w:r>
          </w:p>
        </w:tc>
      </w:tr>
      <w:tr w:rsidR="002851D8" w:rsidRPr="0076589C" w14:paraId="7243BB09" w14:textId="77777777">
        <w:trPr>
          <w:trHeight w:val="290"/>
        </w:trPr>
        <w:tc>
          <w:tcPr>
            <w:tcW w:w="2329" w:type="pct"/>
            <w:shd w:val="clear" w:color="auto" w:fill="auto"/>
            <w:noWrap/>
            <w:vAlign w:val="bottom"/>
            <w:hideMark/>
          </w:tcPr>
          <w:p w14:paraId="7ED616F4" w14:textId="77777777" w:rsidR="002851D8" w:rsidRPr="0076589C" w:rsidRDefault="002851D8">
            <w:pPr>
              <w:pStyle w:val="Tabla"/>
              <w:rPr>
                <w:sz w:val="20"/>
                <w:szCs w:val="20"/>
                <w:lang w:val="es-HN"/>
              </w:rPr>
            </w:pPr>
            <w:r w:rsidRPr="0076589C">
              <w:rPr>
                <w:sz w:val="20"/>
                <w:szCs w:val="20"/>
                <w:lang w:val="es-HN"/>
              </w:rPr>
              <w:t>Talonario de cobros</w:t>
            </w:r>
          </w:p>
        </w:tc>
        <w:tc>
          <w:tcPr>
            <w:tcW w:w="890" w:type="pct"/>
            <w:shd w:val="clear" w:color="auto" w:fill="auto"/>
            <w:noWrap/>
            <w:vAlign w:val="bottom"/>
            <w:hideMark/>
          </w:tcPr>
          <w:p w14:paraId="763B7DAE" w14:textId="77777777" w:rsidR="002851D8" w:rsidRPr="0076589C" w:rsidRDefault="002851D8">
            <w:pPr>
              <w:pStyle w:val="Tabla"/>
              <w:jc w:val="center"/>
              <w:rPr>
                <w:sz w:val="20"/>
                <w:szCs w:val="20"/>
                <w:lang w:val="es-HN"/>
              </w:rPr>
            </w:pPr>
            <w:r w:rsidRPr="0076589C">
              <w:rPr>
                <w:sz w:val="20"/>
                <w:szCs w:val="20"/>
                <w:lang w:val="es-HN"/>
              </w:rPr>
              <w:t>L      166.75</w:t>
            </w:r>
          </w:p>
        </w:tc>
        <w:tc>
          <w:tcPr>
            <w:tcW w:w="891" w:type="pct"/>
            <w:shd w:val="clear" w:color="auto" w:fill="auto"/>
            <w:noWrap/>
            <w:vAlign w:val="bottom"/>
            <w:hideMark/>
          </w:tcPr>
          <w:p w14:paraId="635183E7" w14:textId="77777777" w:rsidR="002851D8" w:rsidRPr="0076589C" w:rsidRDefault="002851D8">
            <w:pPr>
              <w:pStyle w:val="Tabla"/>
              <w:jc w:val="center"/>
              <w:rPr>
                <w:sz w:val="20"/>
                <w:szCs w:val="20"/>
                <w:lang w:val="es-HN"/>
              </w:rPr>
            </w:pPr>
            <w:r w:rsidRPr="0076589C">
              <w:rPr>
                <w:sz w:val="20"/>
                <w:szCs w:val="20"/>
                <w:lang w:val="es-HN"/>
              </w:rPr>
              <w:t>100</w:t>
            </w:r>
          </w:p>
        </w:tc>
        <w:tc>
          <w:tcPr>
            <w:tcW w:w="890" w:type="pct"/>
            <w:shd w:val="clear" w:color="auto" w:fill="auto"/>
            <w:noWrap/>
            <w:vAlign w:val="bottom"/>
            <w:hideMark/>
          </w:tcPr>
          <w:p w14:paraId="493E3352" w14:textId="77777777" w:rsidR="002851D8" w:rsidRPr="0076589C" w:rsidRDefault="002851D8">
            <w:pPr>
              <w:pStyle w:val="Tabla"/>
              <w:jc w:val="center"/>
              <w:rPr>
                <w:sz w:val="20"/>
                <w:szCs w:val="20"/>
                <w:lang w:val="es-HN"/>
              </w:rPr>
            </w:pPr>
            <w:r w:rsidRPr="0076589C">
              <w:rPr>
                <w:sz w:val="20"/>
                <w:szCs w:val="20"/>
                <w:lang w:val="es-HN"/>
              </w:rPr>
              <w:t>L 16,675.00</w:t>
            </w:r>
          </w:p>
        </w:tc>
      </w:tr>
      <w:tr w:rsidR="002851D8" w:rsidRPr="0076589C" w14:paraId="2484B4D8" w14:textId="77777777">
        <w:trPr>
          <w:trHeight w:val="290"/>
        </w:trPr>
        <w:tc>
          <w:tcPr>
            <w:tcW w:w="2329" w:type="pct"/>
            <w:shd w:val="clear" w:color="auto" w:fill="auto"/>
            <w:noWrap/>
            <w:vAlign w:val="bottom"/>
            <w:hideMark/>
          </w:tcPr>
          <w:p w14:paraId="2B6B37D7" w14:textId="77777777" w:rsidR="002851D8" w:rsidRPr="0076589C" w:rsidRDefault="002851D8">
            <w:pPr>
              <w:pStyle w:val="Tabla"/>
              <w:rPr>
                <w:sz w:val="20"/>
                <w:szCs w:val="20"/>
                <w:lang w:val="es-HN"/>
              </w:rPr>
            </w:pPr>
            <w:r w:rsidRPr="0076589C">
              <w:rPr>
                <w:sz w:val="20"/>
                <w:szCs w:val="20"/>
                <w:lang w:val="es-HN"/>
              </w:rPr>
              <w:t>Talonario de liquidación</w:t>
            </w:r>
          </w:p>
        </w:tc>
        <w:tc>
          <w:tcPr>
            <w:tcW w:w="890" w:type="pct"/>
            <w:shd w:val="clear" w:color="auto" w:fill="auto"/>
            <w:noWrap/>
            <w:vAlign w:val="bottom"/>
            <w:hideMark/>
          </w:tcPr>
          <w:p w14:paraId="4B49F86A" w14:textId="77777777" w:rsidR="002851D8" w:rsidRPr="0076589C" w:rsidRDefault="002851D8">
            <w:pPr>
              <w:pStyle w:val="Tabla"/>
              <w:jc w:val="center"/>
              <w:rPr>
                <w:sz w:val="20"/>
                <w:szCs w:val="20"/>
                <w:lang w:val="es-HN"/>
              </w:rPr>
            </w:pPr>
            <w:r w:rsidRPr="0076589C">
              <w:rPr>
                <w:sz w:val="20"/>
                <w:szCs w:val="20"/>
                <w:lang w:val="es-HN"/>
              </w:rPr>
              <w:t>L      264.36</w:t>
            </w:r>
          </w:p>
        </w:tc>
        <w:tc>
          <w:tcPr>
            <w:tcW w:w="891" w:type="pct"/>
            <w:shd w:val="clear" w:color="auto" w:fill="auto"/>
            <w:noWrap/>
            <w:vAlign w:val="bottom"/>
            <w:hideMark/>
          </w:tcPr>
          <w:p w14:paraId="6FCBD505" w14:textId="77777777" w:rsidR="002851D8" w:rsidRPr="0076589C" w:rsidRDefault="002851D8">
            <w:pPr>
              <w:pStyle w:val="Tabla"/>
              <w:jc w:val="center"/>
              <w:rPr>
                <w:sz w:val="20"/>
                <w:szCs w:val="20"/>
                <w:lang w:val="es-HN"/>
              </w:rPr>
            </w:pPr>
            <w:r w:rsidRPr="0076589C">
              <w:rPr>
                <w:sz w:val="20"/>
                <w:szCs w:val="20"/>
                <w:lang w:val="es-HN"/>
              </w:rPr>
              <w:t>50</w:t>
            </w:r>
          </w:p>
        </w:tc>
        <w:tc>
          <w:tcPr>
            <w:tcW w:w="890" w:type="pct"/>
            <w:shd w:val="clear" w:color="auto" w:fill="auto"/>
            <w:noWrap/>
            <w:vAlign w:val="bottom"/>
            <w:hideMark/>
          </w:tcPr>
          <w:p w14:paraId="79B80AD6" w14:textId="77777777" w:rsidR="002851D8" w:rsidRPr="0076589C" w:rsidRDefault="002851D8">
            <w:pPr>
              <w:pStyle w:val="Tabla"/>
              <w:jc w:val="center"/>
              <w:rPr>
                <w:sz w:val="20"/>
                <w:szCs w:val="20"/>
                <w:lang w:val="es-HN"/>
              </w:rPr>
            </w:pPr>
            <w:r w:rsidRPr="0076589C">
              <w:rPr>
                <w:sz w:val="20"/>
                <w:szCs w:val="20"/>
                <w:lang w:val="es-HN"/>
              </w:rPr>
              <w:t>L 13,218.00</w:t>
            </w:r>
          </w:p>
        </w:tc>
      </w:tr>
      <w:tr w:rsidR="002851D8" w:rsidRPr="0076589C" w14:paraId="77A9FBA6" w14:textId="77777777">
        <w:trPr>
          <w:trHeight w:val="290"/>
        </w:trPr>
        <w:tc>
          <w:tcPr>
            <w:tcW w:w="4110" w:type="pct"/>
            <w:gridSpan w:val="3"/>
            <w:shd w:val="clear" w:color="auto" w:fill="85BADC"/>
            <w:noWrap/>
            <w:vAlign w:val="bottom"/>
            <w:hideMark/>
          </w:tcPr>
          <w:p w14:paraId="121A9B1D" w14:textId="47C1753C" w:rsidR="002851D8" w:rsidRPr="0076589C" w:rsidRDefault="002851D8">
            <w:pPr>
              <w:pStyle w:val="Tabla"/>
              <w:jc w:val="center"/>
              <w:rPr>
                <w:b/>
                <w:bCs/>
                <w:sz w:val="20"/>
                <w:szCs w:val="20"/>
                <w:lang w:val="es-HN"/>
              </w:rPr>
            </w:pPr>
            <w:r w:rsidRPr="0076589C">
              <w:rPr>
                <w:b/>
                <w:bCs/>
                <w:sz w:val="20"/>
                <w:szCs w:val="20"/>
                <w:lang w:val="es-HN"/>
              </w:rPr>
              <w:t>Total gastos</w:t>
            </w:r>
            <w:r w:rsidR="595E3A27" w:rsidRPr="0076589C">
              <w:rPr>
                <w:b/>
                <w:bCs/>
                <w:sz w:val="20"/>
                <w:szCs w:val="20"/>
                <w:lang w:val="es-HN"/>
              </w:rPr>
              <w:t xml:space="preserve"> Anuales</w:t>
            </w:r>
          </w:p>
        </w:tc>
        <w:tc>
          <w:tcPr>
            <w:tcW w:w="890" w:type="pct"/>
            <w:shd w:val="clear" w:color="auto" w:fill="auto"/>
            <w:noWrap/>
            <w:vAlign w:val="bottom"/>
            <w:hideMark/>
          </w:tcPr>
          <w:p w14:paraId="21BD5671" w14:textId="77777777" w:rsidR="002851D8" w:rsidRPr="0076589C" w:rsidRDefault="002851D8">
            <w:pPr>
              <w:pStyle w:val="Tabla"/>
              <w:jc w:val="center"/>
              <w:rPr>
                <w:b/>
                <w:bCs/>
                <w:sz w:val="20"/>
                <w:szCs w:val="20"/>
                <w:lang w:val="es-HN"/>
              </w:rPr>
            </w:pPr>
            <w:r w:rsidRPr="0076589C">
              <w:rPr>
                <w:b/>
                <w:bCs/>
                <w:sz w:val="20"/>
                <w:szCs w:val="20"/>
                <w:lang w:val="es-HN"/>
              </w:rPr>
              <w:t>L 29,893.00</w:t>
            </w:r>
          </w:p>
        </w:tc>
      </w:tr>
    </w:tbl>
    <w:p w14:paraId="3F0E1B8E" w14:textId="6A7B03B7" w:rsidR="002851D8" w:rsidRPr="0076589C" w:rsidRDefault="002851D8" w:rsidP="00BB02C8">
      <w:pPr>
        <w:pStyle w:val="Fuentes"/>
        <w:rPr>
          <w:lang w:val="es-HN"/>
        </w:rPr>
      </w:pPr>
      <w:r w:rsidRPr="0076589C">
        <w:rPr>
          <w:lang w:val="es-HN"/>
        </w:rPr>
        <w:t>Fuente: Elaboración propia con datos de IPRA.</w:t>
      </w:r>
    </w:p>
    <w:p w14:paraId="20AACDC2" w14:textId="77777777" w:rsidR="00BB02C8" w:rsidRPr="0076589C" w:rsidRDefault="00BB02C8" w:rsidP="00BB02C8">
      <w:pPr>
        <w:pStyle w:val="Fuentes"/>
        <w:rPr>
          <w:lang w:val="es-HN"/>
        </w:rPr>
      </w:pPr>
    </w:p>
    <w:p w14:paraId="2065718F" w14:textId="5919E854" w:rsidR="001E7E83" w:rsidRPr="0076589C" w:rsidRDefault="00CA5A6C" w:rsidP="00CA5A6C">
      <w:pPr>
        <w:pStyle w:val="ImagenyTabla"/>
      </w:pPr>
      <w:bookmarkStart w:id="346" w:name="_Toc158365584"/>
      <w:r w:rsidRPr="0076589C">
        <w:t xml:space="preserve">Tabla </w:t>
      </w:r>
      <w:r w:rsidRPr="0076589C">
        <w:rPr>
          <w:noProof w:val="0"/>
        </w:rPr>
        <w:fldChar w:fldCharType="begin"/>
      </w:r>
      <w:r w:rsidRPr="0076589C">
        <w:rPr>
          <w:noProof w:val="0"/>
        </w:rPr>
        <w:instrText xml:space="preserve"> SEQ Tabla \* ARABIC </w:instrText>
      </w:r>
      <w:r w:rsidRPr="0076589C">
        <w:rPr>
          <w:noProof w:val="0"/>
        </w:rPr>
        <w:fldChar w:fldCharType="separate"/>
      </w:r>
      <w:r w:rsidR="009F171A">
        <w:t>36</w:t>
      </w:r>
      <w:r w:rsidRPr="0076589C">
        <w:rPr>
          <w:noProof w:val="0"/>
        </w:rPr>
        <w:fldChar w:fldCharType="end"/>
      </w:r>
      <w:r w:rsidRPr="0076589C">
        <w:t>. Presupuesto de implementación de módulo de cobranza en IPRA</w:t>
      </w:r>
      <w:bookmarkEnd w:id="346"/>
    </w:p>
    <w:tbl>
      <w:tblPr>
        <w:tblW w:w="5000" w:type="pct"/>
        <w:tblLook w:val="04A0" w:firstRow="1" w:lastRow="0" w:firstColumn="1" w:lastColumn="0" w:noHBand="0" w:noVBand="1"/>
      </w:tblPr>
      <w:tblGrid>
        <w:gridCol w:w="5121"/>
        <w:gridCol w:w="1958"/>
        <w:gridCol w:w="1958"/>
        <w:gridCol w:w="1958"/>
        <w:gridCol w:w="1955"/>
      </w:tblGrid>
      <w:tr w:rsidR="00AF5132" w:rsidRPr="0076589C" w14:paraId="4D7DD03D" w14:textId="77777777" w:rsidTr="00AF5132">
        <w:trPr>
          <w:trHeight w:val="290"/>
        </w:trPr>
        <w:tc>
          <w:tcPr>
            <w:tcW w:w="1977" w:type="pct"/>
            <w:tcBorders>
              <w:top w:val="single" w:sz="4" w:space="0" w:color="auto"/>
              <w:left w:val="single" w:sz="4" w:space="0" w:color="auto"/>
              <w:bottom w:val="single" w:sz="4" w:space="0" w:color="auto"/>
              <w:right w:val="single" w:sz="4" w:space="0" w:color="auto"/>
            </w:tcBorders>
            <w:shd w:val="clear" w:color="000000" w:fill="C9E1EF"/>
            <w:noWrap/>
            <w:vAlign w:val="bottom"/>
            <w:hideMark/>
          </w:tcPr>
          <w:p w14:paraId="6D87F173" w14:textId="77777777" w:rsidR="00AF5132" w:rsidRPr="0076589C" w:rsidRDefault="00AF5132" w:rsidP="00FA457F">
            <w:pPr>
              <w:pStyle w:val="Tabla"/>
              <w:jc w:val="center"/>
              <w:rPr>
                <w:b/>
                <w:bCs/>
                <w:sz w:val="20"/>
                <w:szCs w:val="20"/>
                <w:lang w:val="es-HN"/>
              </w:rPr>
            </w:pPr>
            <w:r w:rsidRPr="0076589C">
              <w:rPr>
                <w:b/>
                <w:bCs/>
                <w:sz w:val="20"/>
                <w:szCs w:val="20"/>
                <w:lang w:val="es-HN"/>
              </w:rPr>
              <w:t>Inversión Inicial</w:t>
            </w:r>
          </w:p>
        </w:tc>
        <w:tc>
          <w:tcPr>
            <w:tcW w:w="756" w:type="pct"/>
            <w:tcBorders>
              <w:top w:val="single" w:sz="4" w:space="0" w:color="auto"/>
              <w:left w:val="nil"/>
              <w:bottom w:val="single" w:sz="4" w:space="0" w:color="auto"/>
              <w:right w:val="single" w:sz="4" w:space="0" w:color="auto"/>
            </w:tcBorders>
            <w:shd w:val="clear" w:color="000000" w:fill="C9E1EF"/>
            <w:noWrap/>
            <w:vAlign w:val="bottom"/>
            <w:hideMark/>
          </w:tcPr>
          <w:p w14:paraId="1346B427" w14:textId="77777777" w:rsidR="00AF5132" w:rsidRPr="0076589C" w:rsidRDefault="00AF5132" w:rsidP="00FA457F">
            <w:pPr>
              <w:pStyle w:val="Tabla"/>
              <w:jc w:val="center"/>
              <w:rPr>
                <w:b/>
                <w:bCs/>
                <w:sz w:val="20"/>
                <w:szCs w:val="20"/>
                <w:lang w:val="es-HN"/>
              </w:rPr>
            </w:pPr>
            <w:r w:rsidRPr="0076589C">
              <w:rPr>
                <w:b/>
                <w:bCs/>
                <w:sz w:val="20"/>
                <w:szCs w:val="20"/>
                <w:lang w:val="es-HN"/>
              </w:rPr>
              <w:t>Precio ($)</w:t>
            </w:r>
          </w:p>
        </w:tc>
        <w:tc>
          <w:tcPr>
            <w:tcW w:w="756" w:type="pct"/>
            <w:tcBorders>
              <w:top w:val="single" w:sz="4" w:space="0" w:color="auto"/>
              <w:left w:val="nil"/>
              <w:bottom w:val="single" w:sz="4" w:space="0" w:color="auto"/>
              <w:right w:val="single" w:sz="4" w:space="0" w:color="auto"/>
            </w:tcBorders>
            <w:shd w:val="clear" w:color="000000" w:fill="C9E1EF"/>
            <w:noWrap/>
            <w:vAlign w:val="bottom"/>
            <w:hideMark/>
          </w:tcPr>
          <w:p w14:paraId="1A79FAE3" w14:textId="77777777" w:rsidR="00AF5132" w:rsidRPr="0076589C" w:rsidRDefault="00AF5132" w:rsidP="00FA457F">
            <w:pPr>
              <w:pStyle w:val="Tabla"/>
              <w:jc w:val="center"/>
              <w:rPr>
                <w:b/>
                <w:bCs/>
                <w:sz w:val="20"/>
                <w:szCs w:val="20"/>
                <w:lang w:val="es-HN"/>
              </w:rPr>
            </w:pPr>
            <w:r w:rsidRPr="0076589C">
              <w:rPr>
                <w:b/>
                <w:bCs/>
                <w:sz w:val="20"/>
                <w:szCs w:val="20"/>
                <w:lang w:val="es-HN"/>
              </w:rPr>
              <w:t>Cantidad</w:t>
            </w:r>
          </w:p>
        </w:tc>
        <w:tc>
          <w:tcPr>
            <w:tcW w:w="756" w:type="pct"/>
            <w:tcBorders>
              <w:top w:val="single" w:sz="4" w:space="0" w:color="auto"/>
              <w:left w:val="nil"/>
              <w:bottom w:val="single" w:sz="4" w:space="0" w:color="auto"/>
              <w:right w:val="single" w:sz="4" w:space="0" w:color="auto"/>
            </w:tcBorders>
            <w:shd w:val="clear" w:color="000000" w:fill="C9E1EF"/>
            <w:noWrap/>
            <w:vAlign w:val="bottom"/>
            <w:hideMark/>
          </w:tcPr>
          <w:p w14:paraId="549A8B37" w14:textId="77777777" w:rsidR="00AF5132" w:rsidRPr="0076589C" w:rsidRDefault="00AF5132" w:rsidP="00FA457F">
            <w:pPr>
              <w:pStyle w:val="Tabla"/>
              <w:jc w:val="center"/>
              <w:rPr>
                <w:b/>
                <w:bCs/>
                <w:sz w:val="20"/>
                <w:szCs w:val="20"/>
                <w:lang w:val="es-HN"/>
              </w:rPr>
            </w:pPr>
            <w:r w:rsidRPr="0076589C">
              <w:rPr>
                <w:b/>
                <w:bCs/>
                <w:sz w:val="20"/>
                <w:szCs w:val="20"/>
                <w:lang w:val="es-HN"/>
              </w:rPr>
              <w:t>Total ($)</w:t>
            </w:r>
          </w:p>
        </w:tc>
        <w:tc>
          <w:tcPr>
            <w:tcW w:w="756" w:type="pct"/>
            <w:tcBorders>
              <w:top w:val="single" w:sz="4" w:space="0" w:color="auto"/>
              <w:left w:val="nil"/>
              <w:bottom w:val="single" w:sz="4" w:space="0" w:color="auto"/>
              <w:right w:val="single" w:sz="4" w:space="0" w:color="auto"/>
            </w:tcBorders>
            <w:shd w:val="clear" w:color="000000" w:fill="C9E1EF"/>
            <w:noWrap/>
            <w:vAlign w:val="bottom"/>
            <w:hideMark/>
          </w:tcPr>
          <w:p w14:paraId="47DB9206" w14:textId="77777777" w:rsidR="00AF5132" w:rsidRPr="0076589C" w:rsidRDefault="00AF5132" w:rsidP="00FA457F">
            <w:pPr>
              <w:pStyle w:val="Tabla"/>
              <w:jc w:val="center"/>
              <w:rPr>
                <w:b/>
                <w:bCs/>
                <w:sz w:val="20"/>
                <w:szCs w:val="20"/>
                <w:lang w:val="es-HN"/>
              </w:rPr>
            </w:pPr>
            <w:r w:rsidRPr="0076589C">
              <w:rPr>
                <w:b/>
                <w:bCs/>
                <w:sz w:val="20"/>
                <w:szCs w:val="20"/>
                <w:lang w:val="es-HN"/>
              </w:rPr>
              <w:t>Total (L)</w:t>
            </w:r>
          </w:p>
        </w:tc>
      </w:tr>
      <w:tr w:rsidR="00AF5132" w:rsidRPr="0076589C" w14:paraId="4998DF4B" w14:textId="77777777" w:rsidTr="00AF5132">
        <w:trPr>
          <w:trHeight w:val="290"/>
        </w:trPr>
        <w:tc>
          <w:tcPr>
            <w:tcW w:w="1977" w:type="pct"/>
            <w:tcBorders>
              <w:top w:val="nil"/>
              <w:left w:val="single" w:sz="4" w:space="0" w:color="auto"/>
              <w:bottom w:val="single" w:sz="4" w:space="0" w:color="auto"/>
              <w:right w:val="single" w:sz="4" w:space="0" w:color="auto"/>
            </w:tcBorders>
            <w:shd w:val="clear" w:color="auto" w:fill="auto"/>
            <w:noWrap/>
            <w:vAlign w:val="bottom"/>
            <w:hideMark/>
          </w:tcPr>
          <w:p w14:paraId="6EAA88C0" w14:textId="1CBCF8D5" w:rsidR="00AF5132" w:rsidRPr="0076589C" w:rsidRDefault="00AF5132" w:rsidP="00FA457F">
            <w:pPr>
              <w:pStyle w:val="Tabla"/>
              <w:rPr>
                <w:sz w:val="20"/>
                <w:szCs w:val="20"/>
                <w:lang w:val="es-HN"/>
              </w:rPr>
            </w:pPr>
            <w:r w:rsidRPr="0076589C">
              <w:rPr>
                <w:sz w:val="20"/>
                <w:szCs w:val="20"/>
                <w:lang w:val="es-HN"/>
              </w:rPr>
              <w:t xml:space="preserve">Creación de </w:t>
            </w:r>
            <w:r w:rsidR="00FA457F" w:rsidRPr="0076589C">
              <w:rPr>
                <w:sz w:val="20"/>
                <w:szCs w:val="20"/>
                <w:lang w:val="es-HN"/>
              </w:rPr>
              <w:t>módulo</w:t>
            </w:r>
            <w:r w:rsidRPr="0076589C">
              <w:rPr>
                <w:sz w:val="20"/>
                <w:szCs w:val="20"/>
                <w:lang w:val="es-HN"/>
              </w:rPr>
              <w:t xml:space="preserve"> de cobranza</w:t>
            </w:r>
          </w:p>
        </w:tc>
        <w:tc>
          <w:tcPr>
            <w:tcW w:w="756" w:type="pct"/>
            <w:tcBorders>
              <w:top w:val="nil"/>
              <w:left w:val="nil"/>
              <w:bottom w:val="single" w:sz="4" w:space="0" w:color="auto"/>
              <w:right w:val="single" w:sz="4" w:space="0" w:color="auto"/>
            </w:tcBorders>
            <w:shd w:val="clear" w:color="auto" w:fill="auto"/>
            <w:noWrap/>
            <w:vAlign w:val="bottom"/>
            <w:hideMark/>
          </w:tcPr>
          <w:p w14:paraId="1F4D30BA" w14:textId="3DA4DF88" w:rsidR="00AF5132" w:rsidRPr="0076589C" w:rsidRDefault="00AF5132" w:rsidP="00FA457F">
            <w:pPr>
              <w:pStyle w:val="Tabla"/>
              <w:jc w:val="center"/>
              <w:rPr>
                <w:sz w:val="20"/>
                <w:szCs w:val="20"/>
                <w:lang w:val="es-HN"/>
              </w:rPr>
            </w:pPr>
            <w:r w:rsidRPr="0076589C">
              <w:rPr>
                <w:sz w:val="20"/>
                <w:szCs w:val="20"/>
                <w:lang w:val="es-HN"/>
              </w:rPr>
              <w:t>$   1,000.00</w:t>
            </w:r>
          </w:p>
        </w:tc>
        <w:tc>
          <w:tcPr>
            <w:tcW w:w="756" w:type="pct"/>
            <w:tcBorders>
              <w:top w:val="nil"/>
              <w:left w:val="nil"/>
              <w:bottom w:val="single" w:sz="4" w:space="0" w:color="auto"/>
              <w:right w:val="single" w:sz="4" w:space="0" w:color="auto"/>
            </w:tcBorders>
            <w:shd w:val="clear" w:color="auto" w:fill="auto"/>
            <w:noWrap/>
            <w:vAlign w:val="bottom"/>
            <w:hideMark/>
          </w:tcPr>
          <w:p w14:paraId="6F531686" w14:textId="77777777" w:rsidR="00AF5132" w:rsidRPr="0076589C" w:rsidRDefault="00AF5132" w:rsidP="00FA457F">
            <w:pPr>
              <w:pStyle w:val="Tabla"/>
              <w:jc w:val="center"/>
              <w:rPr>
                <w:sz w:val="20"/>
                <w:szCs w:val="20"/>
                <w:lang w:val="es-HN"/>
              </w:rPr>
            </w:pPr>
            <w:r w:rsidRPr="0076589C">
              <w:rPr>
                <w:sz w:val="20"/>
                <w:szCs w:val="20"/>
                <w:lang w:val="es-HN"/>
              </w:rPr>
              <w:t>3</w:t>
            </w:r>
          </w:p>
        </w:tc>
        <w:tc>
          <w:tcPr>
            <w:tcW w:w="756" w:type="pct"/>
            <w:tcBorders>
              <w:top w:val="nil"/>
              <w:left w:val="nil"/>
              <w:bottom w:val="single" w:sz="4" w:space="0" w:color="auto"/>
              <w:right w:val="single" w:sz="4" w:space="0" w:color="auto"/>
            </w:tcBorders>
            <w:shd w:val="clear" w:color="auto" w:fill="auto"/>
            <w:noWrap/>
            <w:vAlign w:val="bottom"/>
            <w:hideMark/>
          </w:tcPr>
          <w:p w14:paraId="61941368" w14:textId="6576A341" w:rsidR="00AF5132" w:rsidRPr="0076589C" w:rsidRDefault="00AF5132" w:rsidP="00FA457F">
            <w:pPr>
              <w:pStyle w:val="Tabla"/>
              <w:jc w:val="center"/>
              <w:rPr>
                <w:sz w:val="20"/>
                <w:szCs w:val="20"/>
                <w:lang w:val="es-HN"/>
              </w:rPr>
            </w:pPr>
            <w:r w:rsidRPr="0076589C">
              <w:rPr>
                <w:sz w:val="20"/>
                <w:szCs w:val="20"/>
                <w:lang w:val="es-HN"/>
              </w:rPr>
              <w:t>$   3,000.00</w:t>
            </w:r>
          </w:p>
        </w:tc>
        <w:tc>
          <w:tcPr>
            <w:tcW w:w="756" w:type="pct"/>
            <w:tcBorders>
              <w:top w:val="nil"/>
              <w:left w:val="nil"/>
              <w:bottom w:val="single" w:sz="4" w:space="0" w:color="auto"/>
              <w:right w:val="single" w:sz="4" w:space="0" w:color="auto"/>
            </w:tcBorders>
            <w:shd w:val="clear" w:color="auto" w:fill="auto"/>
            <w:noWrap/>
            <w:vAlign w:val="bottom"/>
            <w:hideMark/>
          </w:tcPr>
          <w:p w14:paraId="08B95906" w14:textId="2D986304" w:rsidR="00AF5132" w:rsidRPr="0076589C" w:rsidRDefault="00AF5132" w:rsidP="00FA457F">
            <w:pPr>
              <w:pStyle w:val="Tabla"/>
              <w:jc w:val="center"/>
              <w:rPr>
                <w:sz w:val="20"/>
                <w:szCs w:val="20"/>
                <w:lang w:val="es-HN"/>
              </w:rPr>
            </w:pPr>
            <w:r w:rsidRPr="0076589C">
              <w:rPr>
                <w:sz w:val="20"/>
                <w:szCs w:val="20"/>
                <w:lang w:val="es-HN"/>
              </w:rPr>
              <w:t>L 74,400.00</w:t>
            </w:r>
          </w:p>
        </w:tc>
      </w:tr>
      <w:tr w:rsidR="00AF5132" w:rsidRPr="0076589C" w14:paraId="6B54F6FC" w14:textId="77777777" w:rsidTr="00AF5132">
        <w:trPr>
          <w:trHeight w:val="290"/>
        </w:trPr>
        <w:tc>
          <w:tcPr>
            <w:tcW w:w="1977" w:type="pct"/>
            <w:tcBorders>
              <w:top w:val="nil"/>
              <w:left w:val="single" w:sz="4" w:space="0" w:color="auto"/>
              <w:bottom w:val="single" w:sz="4" w:space="0" w:color="auto"/>
              <w:right w:val="single" w:sz="4" w:space="0" w:color="auto"/>
            </w:tcBorders>
            <w:shd w:val="clear" w:color="auto" w:fill="auto"/>
            <w:noWrap/>
            <w:vAlign w:val="bottom"/>
            <w:hideMark/>
          </w:tcPr>
          <w:p w14:paraId="08BB2F38" w14:textId="6CFCE74D" w:rsidR="00AF5132" w:rsidRPr="0076589C" w:rsidRDefault="00AF5132" w:rsidP="00FA457F">
            <w:pPr>
              <w:pStyle w:val="Tabla"/>
              <w:rPr>
                <w:sz w:val="20"/>
                <w:szCs w:val="20"/>
                <w:lang w:val="es-HN"/>
              </w:rPr>
            </w:pPr>
            <w:r w:rsidRPr="0076589C">
              <w:rPr>
                <w:sz w:val="20"/>
                <w:szCs w:val="20"/>
                <w:lang w:val="es-HN"/>
              </w:rPr>
              <w:t xml:space="preserve">Impresora </w:t>
            </w:r>
            <w:r w:rsidR="00FA457F" w:rsidRPr="0076589C">
              <w:rPr>
                <w:sz w:val="20"/>
                <w:szCs w:val="20"/>
                <w:lang w:val="es-HN"/>
              </w:rPr>
              <w:t>portátil</w:t>
            </w:r>
          </w:p>
        </w:tc>
        <w:tc>
          <w:tcPr>
            <w:tcW w:w="756" w:type="pct"/>
            <w:tcBorders>
              <w:top w:val="nil"/>
              <w:left w:val="nil"/>
              <w:bottom w:val="single" w:sz="4" w:space="0" w:color="auto"/>
              <w:right w:val="single" w:sz="4" w:space="0" w:color="auto"/>
            </w:tcBorders>
            <w:shd w:val="clear" w:color="auto" w:fill="auto"/>
            <w:noWrap/>
            <w:vAlign w:val="bottom"/>
            <w:hideMark/>
          </w:tcPr>
          <w:p w14:paraId="100F2B33" w14:textId="176AE0B3" w:rsidR="00AF5132" w:rsidRPr="0076589C" w:rsidRDefault="00AF5132" w:rsidP="00FA457F">
            <w:pPr>
              <w:pStyle w:val="Tabla"/>
              <w:jc w:val="center"/>
              <w:rPr>
                <w:sz w:val="20"/>
                <w:szCs w:val="20"/>
                <w:lang w:val="es-HN"/>
              </w:rPr>
            </w:pPr>
            <w:r w:rsidRPr="0076589C">
              <w:rPr>
                <w:sz w:val="20"/>
                <w:szCs w:val="20"/>
                <w:lang w:val="es-HN"/>
              </w:rPr>
              <w:t>$        59.99</w:t>
            </w:r>
          </w:p>
        </w:tc>
        <w:tc>
          <w:tcPr>
            <w:tcW w:w="756" w:type="pct"/>
            <w:tcBorders>
              <w:top w:val="nil"/>
              <w:left w:val="nil"/>
              <w:bottom w:val="single" w:sz="4" w:space="0" w:color="auto"/>
              <w:right w:val="single" w:sz="4" w:space="0" w:color="auto"/>
            </w:tcBorders>
            <w:shd w:val="clear" w:color="auto" w:fill="auto"/>
            <w:noWrap/>
            <w:vAlign w:val="bottom"/>
            <w:hideMark/>
          </w:tcPr>
          <w:p w14:paraId="30F8EB51" w14:textId="77777777" w:rsidR="00AF5132" w:rsidRPr="0076589C" w:rsidRDefault="00AF5132" w:rsidP="00FA457F">
            <w:pPr>
              <w:pStyle w:val="Tabla"/>
              <w:jc w:val="center"/>
              <w:rPr>
                <w:sz w:val="20"/>
                <w:szCs w:val="20"/>
                <w:lang w:val="es-HN"/>
              </w:rPr>
            </w:pPr>
            <w:r w:rsidRPr="0076589C">
              <w:rPr>
                <w:sz w:val="20"/>
                <w:szCs w:val="20"/>
                <w:lang w:val="es-HN"/>
              </w:rPr>
              <w:t>12</w:t>
            </w:r>
          </w:p>
        </w:tc>
        <w:tc>
          <w:tcPr>
            <w:tcW w:w="756" w:type="pct"/>
            <w:tcBorders>
              <w:top w:val="nil"/>
              <w:left w:val="nil"/>
              <w:bottom w:val="single" w:sz="4" w:space="0" w:color="auto"/>
              <w:right w:val="single" w:sz="4" w:space="0" w:color="auto"/>
            </w:tcBorders>
            <w:shd w:val="clear" w:color="auto" w:fill="auto"/>
            <w:noWrap/>
            <w:vAlign w:val="bottom"/>
            <w:hideMark/>
          </w:tcPr>
          <w:p w14:paraId="58684735" w14:textId="4133AE54" w:rsidR="00AF5132" w:rsidRPr="0076589C" w:rsidRDefault="00AF5132" w:rsidP="00FA457F">
            <w:pPr>
              <w:pStyle w:val="Tabla"/>
              <w:jc w:val="center"/>
              <w:rPr>
                <w:sz w:val="20"/>
                <w:szCs w:val="20"/>
                <w:lang w:val="es-HN"/>
              </w:rPr>
            </w:pPr>
            <w:r w:rsidRPr="0076589C">
              <w:rPr>
                <w:sz w:val="20"/>
                <w:szCs w:val="20"/>
                <w:lang w:val="es-HN"/>
              </w:rPr>
              <w:t>$      719.88</w:t>
            </w:r>
          </w:p>
        </w:tc>
        <w:tc>
          <w:tcPr>
            <w:tcW w:w="756" w:type="pct"/>
            <w:tcBorders>
              <w:top w:val="nil"/>
              <w:left w:val="nil"/>
              <w:bottom w:val="single" w:sz="4" w:space="0" w:color="auto"/>
              <w:right w:val="single" w:sz="4" w:space="0" w:color="auto"/>
            </w:tcBorders>
            <w:shd w:val="clear" w:color="auto" w:fill="auto"/>
            <w:noWrap/>
            <w:vAlign w:val="bottom"/>
            <w:hideMark/>
          </w:tcPr>
          <w:p w14:paraId="3380B2B7" w14:textId="64104D98" w:rsidR="00AF5132" w:rsidRPr="0076589C" w:rsidRDefault="00AF5132" w:rsidP="00FA457F">
            <w:pPr>
              <w:pStyle w:val="Tabla"/>
              <w:jc w:val="center"/>
              <w:rPr>
                <w:sz w:val="20"/>
                <w:szCs w:val="20"/>
                <w:lang w:val="es-HN"/>
              </w:rPr>
            </w:pPr>
            <w:r w:rsidRPr="0076589C">
              <w:rPr>
                <w:sz w:val="20"/>
                <w:szCs w:val="20"/>
                <w:lang w:val="es-HN"/>
              </w:rPr>
              <w:t>L 17,853.02</w:t>
            </w:r>
          </w:p>
        </w:tc>
      </w:tr>
      <w:tr w:rsidR="00AF5132" w:rsidRPr="0076589C" w14:paraId="2DD2C55F" w14:textId="77777777" w:rsidTr="00AF5132">
        <w:trPr>
          <w:trHeight w:val="290"/>
        </w:trPr>
        <w:tc>
          <w:tcPr>
            <w:tcW w:w="1977" w:type="pct"/>
            <w:tcBorders>
              <w:top w:val="nil"/>
              <w:left w:val="single" w:sz="4" w:space="0" w:color="auto"/>
              <w:bottom w:val="single" w:sz="4" w:space="0" w:color="auto"/>
              <w:right w:val="single" w:sz="4" w:space="0" w:color="auto"/>
            </w:tcBorders>
            <w:shd w:val="clear" w:color="auto" w:fill="auto"/>
            <w:noWrap/>
            <w:vAlign w:val="bottom"/>
            <w:hideMark/>
          </w:tcPr>
          <w:p w14:paraId="35941FF4" w14:textId="367CB4CA" w:rsidR="00AF5132" w:rsidRPr="0076589C" w:rsidRDefault="00AF5132" w:rsidP="00FA457F">
            <w:pPr>
              <w:pStyle w:val="Tabla"/>
              <w:rPr>
                <w:sz w:val="20"/>
                <w:szCs w:val="20"/>
                <w:lang w:val="es-HN"/>
              </w:rPr>
            </w:pPr>
            <w:r w:rsidRPr="0076589C">
              <w:rPr>
                <w:sz w:val="20"/>
                <w:szCs w:val="20"/>
                <w:lang w:val="es-HN"/>
              </w:rPr>
              <w:t xml:space="preserve">Rollo de </w:t>
            </w:r>
            <w:r w:rsidR="00FA457F" w:rsidRPr="0076589C">
              <w:rPr>
                <w:sz w:val="20"/>
                <w:szCs w:val="20"/>
                <w:lang w:val="es-HN"/>
              </w:rPr>
              <w:t>papel</w:t>
            </w:r>
            <w:r w:rsidRPr="0076589C">
              <w:rPr>
                <w:sz w:val="20"/>
                <w:szCs w:val="20"/>
                <w:lang w:val="es-HN"/>
              </w:rPr>
              <w:t xml:space="preserve"> de impresora</w:t>
            </w:r>
          </w:p>
        </w:tc>
        <w:tc>
          <w:tcPr>
            <w:tcW w:w="756" w:type="pct"/>
            <w:tcBorders>
              <w:top w:val="nil"/>
              <w:left w:val="nil"/>
              <w:bottom w:val="single" w:sz="4" w:space="0" w:color="auto"/>
              <w:right w:val="single" w:sz="4" w:space="0" w:color="auto"/>
            </w:tcBorders>
            <w:shd w:val="clear" w:color="auto" w:fill="auto"/>
            <w:noWrap/>
            <w:vAlign w:val="bottom"/>
            <w:hideMark/>
          </w:tcPr>
          <w:p w14:paraId="0E9A979B" w14:textId="4DA30216" w:rsidR="00AF5132" w:rsidRPr="0076589C" w:rsidRDefault="00AF5132" w:rsidP="00FA457F">
            <w:pPr>
              <w:pStyle w:val="Tabla"/>
              <w:jc w:val="center"/>
              <w:rPr>
                <w:sz w:val="20"/>
                <w:szCs w:val="20"/>
                <w:lang w:val="es-HN"/>
              </w:rPr>
            </w:pPr>
            <w:r w:rsidRPr="0076589C">
              <w:rPr>
                <w:sz w:val="20"/>
                <w:szCs w:val="20"/>
                <w:lang w:val="es-HN"/>
              </w:rPr>
              <w:t>$          1.50</w:t>
            </w:r>
          </w:p>
        </w:tc>
        <w:tc>
          <w:tcPr>
            <w:tcW w:w="756" w:type="pct"/>
            <w:tcBorders>
              <w:top w:val="nil"/>
              <w:left w:val="nil"/>
              <w:bottom w:val="single" w:sz="4" w:space="0" w:color="auto"/>
              <w:right w:val="single" w:sz="4" w:space="0" w:color="auto"/>
            </w:tcBorders>
            <w:shd w:val="clear" w:color="auto" w:fill="auto"/>
            <w:noWrap/>
            <w:vAlign w:val="bottom"/>
            <w:hideMark/>
          </w:tcPr>
          <w:p w14:paraId="5BB6BF1E" w14:textId="77777777" w:rsidR="00AF5132" w:rsidRPr="0076589C" w:rsidRDefault="00AF5132" w:rsidP="00FA457F">
            <w:pPr>
              <w:pStyle w:val="Tabla"/>
              <w:jc w:val="center"/>
              <w:rPr>
                <w:sz w:val="20"/>
                <w:szCs w:val="20"/>
                <w:lang w:val="es-HN"/>
              </w:rPr>
            </w:pPr>
            <w:r w:rsidRPr="0076589C">
              <w:rPr>
                <w:sz w:val="20"/>
                <w:szCs w:val="20"/>
                <w:lang w:val="es-HN"/>
              </w:rPr>
              <w:t>200</w:t>
            </w:r>
          </w:p>
        </w:tc>
        <w:tc>
          <w:tcPr>
            <w:tcW w:w="756" w:type="pct"/>
            <w:tcBorders>
              <w:top w:val="nil"/>
              <w:left w:val="nil"/>
              <w:bottom w:val="single" w:sz="4" w:space="0" w:color="auto"/>
              <w:right w:val="single" w:sz="4" w:space="0" w:color="auto"/>
            </w:tcBorders>
            <w:shd w:val="clear" w:color="auto" w:fill="auto"/>
            <w:noWrap/>
            <w:vAlign w:val="bottom"/>
            <w:hideMark/>
          </w:tcPr>
          <w:p w14:paraId="0CCEC961" w14:textId="21BC7784" w:rsidR="00AF5132" w:rsidRPr="0076589C" w:rsidRDefault="00AF5132" w:rsidP="00FA457F">
            <w:pPr>
              <w:pStyle w:val="Tabla"/>
              <w:jc w:val="center"/>
              <w:rPr>
                <w:sz w:val="20"/>
                <w:szCs w:val="20"/>
                <w:lang w:val="es-HN"/>
              </w:rPr>
            </w:pPr>
            <w:r w:rsidRPr="0076589C">
              <w:rPr>
                <w:sz w:val="20"/>
                <w:szCs w:val="20"/>
                <w:lang w:val="es-HN"/>
              </w:rPr>
              <w:t>$      300.00</w:t>
            </w:r>
          </w:p>
        </w:tc>
        <w:tc>
          <w:tcPr>
            <w:tcW w:w="756" w:type="pct"/>
            <w:tcBorders>
              <w:top w:val="nil"/>
              <w:left w:val="nil"/>
              <w:bottom w:val="single" w:sz="4" w:space="0" w:color="auto"/>
              <w:right w:val="single" w:sz="4" w:space="0" w:color="auto"/>
            </w:tcBorders>
            <w:shd w:val="clear" w:color="auto" w:fill="auto"/>
            <w:noWrap/>
            <w:vAlign w:val="bottom"/>
            <w:hideMark/>
          </w:tcPr>
          <w:p w14:paraId="74103BCB" w14:textId="372ABBA5" w:rsidR="00AF5132" w:rsidRPr="0076589C" w:rsidRDefault="00AF5132" w:rsidP="00FA457F">
            <w:pPr>
              <w:pStyle w:val="Tabla"/>
              <w:jc w:val="center"/>
              <w:rPr>
                <w:sz w:val="20"/>
                <w:szCs w:val="20"/>
                <w:lang w:val="es-HN"/>
              </w:rPr>
            </w:pPr>
            <w:r w:rsidRPr="0076589C">
              <w:rPr>
                <w:sz w:val="20"/>
                <w:szCs w:val="20"/>
                <w:lang w:val="es-HN"/>
              </w:rPr>
              <w:t>L   7,440.00</w:t>
            </w:r>
          </w:p>
        </w:tc>
      </w:tr>
      <w:tr w:rsidR="00AF5132" w:rsidRPr="0076589C" w14:paraId="0DCADA05" w14:textId="77777777" w:rsidTr="00FA457F">
        <w:trPr>
          <w:trHeight w:val="290"/>
        </w:trPr>
        <w:tc>
          <w:tcPr>
            <w:tcW w:w="3489" w:type="pct"/>
            <w:gridSpan w:val="3"/>
            <w:tcBorders>
              <w:top w:val="single" w:sz="4" w:space="0" w:color="auto"/>
              <w:left w:val="single" w:sz="4" w:space="0" w:color="auto"/>
              <w:bottom w:val="single" w:sz="4" w:space="0" w:color="auto"/>
              <w:right w:val="single" w:sz="4" w:space="0" w:color="000000"/>
            </w:tcBorders>
            <w:shd w:val="clear" w:color="auto" w:fill="85BADC"/>
            <w:noWrap/>
            <w:vAlign w:val="bottom"/>
            <w:hideMark/>
          </w:tcPr>
          <w:p w14:paraId="09EA9346" w14:textId="77777777" w:rsidR="00AF5132" w:rsidRPr="0076589C" w:rsidRDefault="00AF5132" w:rsidP="00FA457F">
            <w:pPr>
              <w:pStyle w:val="Tabla"/>
              <w:jc w:val="center"/>
              <w:rPr>
                <w:b/>
                <w:bCs/>
                <w:sz w:val="20"/>
                <w:szCs w:val="20"/>
                <w:lang w:val="es-HN"/>
              </w:rPr>
            </w:pPr>
            <w:r w:rsidRPr="0076589C">
              <w:rPr>
                <w:b/>
                <w:bCs/>
                <w:sz w:val="20"/>
                <w:szCs w:val="20"/>
                <w:lang w:val="es-HN"/>
              </w:rPr>
              <w:t>Total Inversión IPRA</w:t>
            </w:r>
          </w:p>
        </w:tc>
        <w:tc>
          <w:tcPr>
            <w:tcW w:w="756" w:type="pct"/>
            <w:tcBorders>
              <w:top w:val="nil"/>
              <w:left w:val="nil"/>
              <w:bottom w:val="single" w:sz="4" w:space="0" w:color="auto"/>
              <w:right w:val="single" w:sz="4" w:space="0" w:color="auto"/>
            </w:tcBorders>
            <w:shd w:val="clear" w:color="auto" w:fill="auto"/>
            <w:noWrap/>
            <w:vAlign w:val="bottom"/>
            <w:hideMark/>
          </w:tcPr>
          <w:p w14:paraId="07209C08" w14:textId="669F251A" w:rsidR="00AF5132" w:rsidRPr="0076589C" w:rsidRDefault="00AF5132" w:rsidP="00FA457F">
            <w:pPr>
              <w:pStyle w:val="Tabla"/>
              <w:jc w:val="center"/>
              <w:rPr>
                <w:b/>
                <w:bCs/>
                <w:sz w:val="20"/>
                <w:szCs w:val="20"/>
                <w:lang w:val="es-HN"/>
              </w:rPr>
            </w:pPr>
            <w:r w:rsidRPr="0076589C">
              <w:rPr>
                <w:b/>
                <w:bCs/>
                <w:sz w:val="20"/>
                <w:szCs w:val="20"/>
                <w:lang w:val="es-HN"/>
              </w:rPr>
              <w:t>$  4,019.88</w:t>
            </w:r>
          </w:p>
        </w:tc>
        <w:tc>
          <w:tcPr>
            <w:tcW w:w="756" w:type="pct"/>
            <w:tcBorders>
              <w:top w:val="nil"/>
              <w:left w:val="nil"/>
              <w:bottom w:val="single" w:sz="4" w:space="0" w:color="auto"/>
              <w:right w:val="single" w:sz="4" w:space="0" w:color="auto"/>
            </w:tcBorders>
            <w:shd w:val="clear" w:color="auto" w:fill="auto"/>
            <w:noWrap/>
            <w:vAlign w:val="bottom"/>
            <w:hideMark/>
          </w:tcPr>
          <w:p w14:paraId="090E89D8" w14:textId="1BA65158" w:rsidR="00AF5132" w:rsidRPr="0076589C" w:rsidRDefault="00AF5132" w:rsidP="00FA457F">
            <w:pPr>
              <w:pStyle w:val="Tabla"/>
              <w:jc w:val="center"/>
              <w:rPr>
                <w:b/>
                <w:bCs/>
                <w:sz w:val="20"/>
                <w:szCs w:val="20"/>
                <w:lang w:val="es-HN"/>
              </w:rPr>
            </w:pPr>
            <w:r w:rsidRPr="0076589C">
              <w:rPr>
                <w:b/>
                <w:bCs/>
                <w:sz w:val="20"/>
                <w:szCs w:val="20"/>
                <w:lang w:val="es-HN"/>
              </w:rPr>
              <w:t>L 99,693.02</w:t>
            </w:r>
          </w:p>
        </w:tc>
      </w:tr>
    </w:tbl>
    <w:p w14:paraId="201C939B" w14:textId="759484DB" w:rsidR="00CA5A6C" w:rsidRPr="0076589C" w:rsidRDefault="00CA5A6C" w:rsidP="00FA457F">
      <w:pPr>
        <w:pStyle w:val="Fuentes"/>
        <w:rPr>
          <w:lang w:val="es-HN"/>
        </w:rPr>
        <w:sectPr w:rsidR="00CA5A6C" w:rsidRPr="0076589C" w:rsidSect="008C6BD1">
          <w:pgSz w:w="15840" w:h="12240" w:orient="landscape"/>
          <w:pgMar w:top="1440" w:right="1440" w:bottom="1440" w:left="1440" w:header="720" w:footer="720" w:gutter="0"/>
          <w:cols w:space="720"/>
        </w:sectPr>
      </w:pPr>
      <w:r w:rsidRPr="0076589C">
        <w:rPr>
          <w:lang w:val="es-HN"/>
        </w:rPr>
        <w:t>Fuente: Elaboración propia.</w:t>
      </w:r>
    </w:p>
    <w:p w14:paraId="273B4247" w14:textId="252EA977" w:rsidR="00285B4F" w:rsidRPr="0076589C" w:rsidRDefault="00285B4F" w:rsidP="5AD7EC43">
      <w:pPr>
        <w:tabs>
          <w:tab w:val="left" w:pos="1041"/>
        </w:tabs>
        <w:ind w:left="0"/>
      </w:pPr>
    </w:p>
    <w:p w14:paraId="7621009C" w14:textId="75CEB6E6" w:rsidR="002E21ED" w:rsidRPr="0076589C" w:rsidRDefault="002E21ED" w:rsidP="002E21ED">
      <w:pPr>
        <w:pStyle w:val="Ttulonivel4"/>
        <w:numPr>
          <w:ilvl w:val="0"/>
          <w:numId w:val="67"/>
        </w:numPr>
        <w:spacing w:after="0"/>
        <w:ind w:left="1797" w:hanging="357"/>
        <w:rPr>
          <w:b w:val="0"/>
        </w:rPr>
      </w:pPr>
      <w:r w:rsidRPr="0076589C">
        <w:t>RESUMEN DE IMPLEMENTACIÓN DE LA PROPUESTA DE AUTOMATIZACIÓN DEL PROCESO DE COBRANZA</w:t>
      </w:r>
    </w:p>
    <w:p w14:paraId="39D778ED" w14:textId="0DEDFB6B" w:rsidR="002E21ED" w:rsidRPr="003908E7" w:rsidRDefault="002E21ED" w:rsidP="0073133B">
      <w:pPr>
        <w:pStyle w:val="TextoPrincipal"/>
        <w:rPr>
          <w:lang w:val="es-HN"/>
        </w:rPr>
      </w:pPr>
      <w:r w:rsidRPr="0076589C">
        <w:rPr>
          <w:lang w:val="es-HN"/>
        </w:rPr>
        <w:t xml:space="preserve">La implementación del módulo de cobranza en IPRA representa una oportunidad significativa para mejorar la eficiencia operativa y optimizar la gestión financiera de la institución. </w:t>
      </w:r>
      <w:r w:rsidRPr="003908E7">
        <w:rPr>
          <w:lang w:val="es-HN"/>
        </w:rPr>
        <w:t>Al automatizar y mejorar los procesos de cobranza, IPRA puede esperar un ahorro anual considerable en términos de tiempo y recursos financieros. Con un presupuesto modesto de alrededor de L 99,693.02 para la implementación inicial, la inversión en impresoras portátiles, rollos de papel de impresora y la creación del módulo de cobranza se verá ampliamente compensada por los beneficios a largo plazo que la propuesta generará.</w:t>
      </w:r>
    </w:p>
    <w:p w14:paraId="50B8FDB7" w14:textId="3045B5DA" w:rsidR="002E21ED" w:rsidRPr="003908E7" w:rsidRDefault="002E21ED" w:rsidP="0073133B">
      <w:pPr>
        <w:pStyle w:val="TextoPrincipal"/>
        <w:rPr>
          <w:lang w:val="es-HN"/>
        </w:rPr>
      </w:pPr>
      <w:r w:rsidRPr="0076589C">
        <w:rPr>
          <w:lang w:val="es-HN"/>
        </w:rPr>
        <w:t xml:space="preserve">La automatización del proceso de cobranza eliminará la necesidad de utilizar talonarios manuales, lo que actualmente representa un gasto anual de L 29,893; y con esta implementación tendrán un costo anual de L   7,440.00 Lempiras en el papel térmico que se utilizará lo cual significa un ahorro significativo de 22, 453 lempiras anuales en los costos operativos y una mayor eficiencia en la gestión de cuentas por cobrar. </w:t>
      </w:r>
      <w:r w:rsidRPr="003908E7">
        <w:rPr>
          <w:lang w:val="es-HN"/>
        </w:rPr>
        <w:t>Además, el ahorro de tiempo asociado con la automatización de tareas repetitivas permitirá a los empleados de IPRA dedicar más tiempo a actividades estratégicas y de valor agregado.</w:t>
      </w:r>
    </w:p>
    <w:p w14:paraId="5EE26352" w14:textId="77777777" w:rsidR="002E21ED" w:rsidRPr="003908E7" w:rsidRDefault="002E21ED" w:rsidP="0073133B">
      <w:pPr>
        <w:pStyle w:val="TextoPrincipal"/>
        <w:rPr>
          <w:lang w:val="es-HN"/>
        </w:rPr>
      </w:pPr>
      <w:r w:rsidRPr="003908E7">
        <w:rPr>
          <w:lang w:val="es-HN"/>
        </w:rPr>
        <w:t xml:space="preserve">Además de los ahorros financieros, la implementación del módulo de cobranza proporcionará a IPRA una visión más clara y transparente de los pagos recibidos y pendientes, facilitando la toma de decisiones informadas y la gestión proactiva de cuentas por cobrar. </w:t>
      </w:r>
    </w:p>
    <w:p w14:paraId="0A28102D" w14:textId="77777777" w:rsidR="002E21ED" w:rsidRPr="0076589C" w:rsidRDefault="002E21ED" w:rsidP="5AD7EC43">
      <w:pPr>
        <w:tabs>
          <w:tab w:val="left" w:pos="1041"/>
        </w:tabs>
        <w:ind w:left="0"/>
        <w:sectPr w:rsidR="002E21ED" w:rsidRPr="0076589C" w:rsidSect="008C6BD1">
          <w:pgSz w:w="12240" w:h="15840" w:code="1"/>
          <w:pgMar w:top="1440" w:right="1440" w:bottom="1440" w:left="1440" w:header="720" w:footer="720" w:gutter="0"/>
          <w:cols w:space="720"/>
          <w:docGrid w:linePitch="360"/>
        </w:sectPr>
      </w:pPr>
    </w:p>
    <w:p w14:paraId="799ABCE3" w14:textId="38378DAD" w:rsidR="003C32F5" w:rsidRPr="0076589C" w:rsidRDefault="00F2220F" w:rsidP="00BB02C8">
      <w:pPr>
        <w:pStyle w:val="Ttulo2"/>
        <w:numPr>
          <w:ilvl w:val="0"/>
          <w:numId w:val="49"/>
        </w:numPr>
        <w:ind w:left="360"/>
      </w:pPr>
      <w:bookmarkStart w:id="347" w:name="_Toc158365546"/>
      <w:r w:rsidRPr="0076589C">
        <w:lastRenderedPageBreak/>
        <w:t>CONCORDANCIA DE LOS SEGMEN</w:t>
      </w:r>
      <w:r w:rsidR="003C32F5" w:rsidRPr="0076589C">
        <w:t>T</w:t>
      </w:r>
      <w:r w:rsidRPr="0076589C">
        <w:t>OS DE LA TESIS CON LA PROPUESTA</w:t>
      </w:r>
      <w:bookmarkEnd w:id="347"/>
    </w:p>
    <w:p w14:paraId="283DFCB3" w14:textId="4E008D07" w:rsidR="007D1B28" w:rsidRPr="0076589C" w:rsidRDefault="003C32F5" w:rsidP="003C32F5">
      <w:pPr>
        <w:pStyle w:val="ImagenyTabla"/>
      </w:pPr>
      <w:bookmarkStart w:id="348" w:name="_Toc158365585"/>
      <w:r w:rsidRPr="0076589C">
        <w:t xml:space="preserve">Tabla </w:t>
      </w:r>
      <w:r w:rsidRPr="0076589C">
        <w:rPr>
          <w:noProof w:val="0"/>
        </w:rPr>
        <w:fldChar w:fldCharType="begin"/>
      </w:r>
      <w:r w:rsidRPr="0076589C">
        <w:rPr>
          <w:noProof w:val="0"/>
        </w:rPr>
        <w:instrText xml:space="preserve"> SEQ Tabla \* ARABIC </w:instrText>
      </w:r>
      <w:r w:rsidRPr="0076589C">
        <w:rPr>
          <w:noProof w:val="0"/>
        </w:rPr>
        <w:fldChar w:fldCharType="separate"/>
      </w:r>
      <w:r w:rsidR="009F171A">
        <w:t>37</w:t>
      </w:r>
      <w:r w:rsidRPr="0076589C">
        <w:rPr>
          <w:noProof w:val="0"/>
        </w:rPr>
        <w:fldChar w:fldCharType="end"/>
      </w:r>
      <w:r w:rsidRPr="0076589C">
        <w:t xml:space="preserve">. Matriz de concordancia de los </w:t>
      </w:r>
      <w:r w:rsidR="004A5EE2" w:rsidRPr="0076589C">
        <w:t>segmentos</w:t>
      </w:r>
      <w:r w:rsidR="00AA120F" w:rsidRPr="0076589C">
        <w:t xml:space="preserve"> de la tesis con la propuesta</w:t>
      </w:r>
      <w:bookmarkEnd w:id="348"/>
      <w:r w:rsidR="00AA120F" w:rsidRPr="0076589C">
        <w:t xml:space="preserve"> </w:t>
      </w:r>
    </w:p>
    <w:tbl>
      <w:tblPr>
        <w:tblStyle w:val="Tablaconcuadrcula"/>
        <w:tblW w:w="0" w:type="auto"/>
        <w:tblLayout w:type="fixed"/>
        <w:tblLook w:val="04A0" w:firstRow="1" w:lastRow="0" w:firstColumn="1" w:lastColumn="0" w:noHBand="0" w:noVBand="1"/>
      </w:tblPr>
      <w:tblGrid>
        <w:gridCol w:w="1555"/>
        <w:gridCol w:w="1701"/>
        <w:gridCol w:w="1275"/>
        <w:gridCol w:w="1134"/>
        <w:gridCol w:w="993"/>
        <w:gridCol w:w="1134"/>
        <w:gridCol w:w="1134"/>
        <w:gridCol w:w="1559"/>
        <w:gridCol w:w="1134"/>
        <w:gridCol w:w="1331"/>
      </w:tblGrid>
      <w:tr w:rsidR="00F47E81" w:rsidRPr="0076589C" w14:paraId="372C31F7" w14:textId="77777777" w:rsidTr="00233C5D">
        <w:trPr>
          <w:trHeight w:val="300"/>
          <w:tblHeader/>
        </w:trPr>
        <w:tc>
          <w:tcPr>
            <w:tcW w:w="4531" w:type="dxa"/>
            <w:gridSpan w:val="3"/>
            <w:shd w:val="clear" w:color="auto" w:fill="85BADC"/>
            <w:noWrap/>
            <w:hideMark/>
          </w:tcPr>
          <w:p w14:paraId="7C85EAAC" w14:textId="77777777" w:rsidR="00807217" w:rsidRPr="0076589C" w:rsidRDefault="00807217" w:rsidP="0070460D">
            <w:pPr>
              <w:ind w:left="0"/>
              <w:jc w:val="center"/>
              <w:rPr>
                <w:rFonts w:eastAsia="Times New Roman" w:cs="Times New Roman"/>
                <w:b/>
                <w:bCs/>
                <w:color w:val="000000"/>
                <w:sz w:val="16"/>
                <w:szCs w:val="16"/>
                <w:lang w:eastAsia="es-HN"/>
              </w:rPr>
            </w:pPr>
            <w:r w:rsidRPr="0076589C">
              <w:rPr>
                <w:rFonts w:eastAsia="Times New Roman" w:cs="Times New Roman"/>
                <w:b/>
                <w:bCs/>
                <w:color w:val="000000"/>
                <w:sz w:val="16"/>
                <w:szCs w:val="16"/>
                <w:lang w:eastAsia="es-HN"/>
              </w:rPr>
              <w:t>Capítulo I</w:t>
            </w:r>
          </w:p>
        </w:tc>
        <w:tc>
          <w:tcPr>
            <w:tcW w:w="1134" w:type="dxa"/>
            <w:shd w:val="clear" w:color="auto" w:fill="85BADC"/>
            <w:noWrap/>
            <w:hideMark/>
          </w:tcPr>
          <w:p w14:paraId="3888B44F" w14:textId="77777777" w:rsidR="00807217" w:rsidRPr="0076589C" w:rsidRDefault="00807217" w:rsidP="0070460D">
            <w:pPr>
              <w:ind w:left="0"/>
              <w:jc w:val="center"/>
              <w:rPr>
                <w:rFonts w:eastAsia="Times New Roman" w:cs="Times New Roman"/>
                <w:b/>
                <w:bCs/>
                <w:color w:val="000000"/>
                <w:sz w:val="16"/>
                <w:szCs w:val="16"/>
                <w:lang w:eastAsia="es-HN"/>
              </w:rPr>
            </w:pPr>
            <w:r w:rsidRPr="0076589C">
              <w:rPr>
                <w:rFonts w:eastAsia="Times New Roman" w:cs="Times New Roman"/>
                <w:b/>
                <w:bCs/>
                <w:color w:val="000000"/>
                <w:sz w:val="16"/>
                <w:szCs w:val="16"/>
                <w:lang w:eastAsia="es-HN"/>
              </w:rPr>
              <w:t>Capítulo II</w:t>
            </w:r>
          </w:p>
        </w:tc>
        <w:tc>
          <w:tcPr>
            <w:tcW w:w="3261" w:type="dxa"/>
            <w:gridSpan w:val="3"/>
            <w:shd w:val="clear" w:color="auto" w:fill="85BADC"/>
            <w:noWrap/>
            <w:hideMark/>
          </w:tcPr>
          <w:p w14:paraId="6F79FCDC" w14:textId="77777777" w:rsidR="00807217" w:rsidRPr="0076589C" w:rsidRDefault="00807217" w:rsidP="0070460D">
            <w:pPr>
              <w:ind w:left="0"/>
              <w:jc w:val="center"/>
              <w:rPr>
                <w:rFonts w:eastAsia="Times New Roman" w:cs="Times New Roman"/>
                <w:b/>
                <w:bCs/>
                <w:color w:val="000000"/>
                <w:sz w:val="16"/>
                <w:szCs w:val="16"/>
                <w:lang w:eastAsia="es-HN"/>
              </w:rPr>
            </w:pPr>
            <w:r w:rsidRPr="0076589C">
              <w:rPr>
                <w:rFonts w:eastAsia="Times New Roman" w:cs="Times New Roman"/>
                <w:b/>
                <w:bCs/>
                <w:color w:val="000000"/>
                <w:sz w:val="16"/>
                <w:szCs w:val="16"/>
                <w:lang w:eastAsia="es-HN"/>
              </w:rPr>
              <w:t>Capítulo III</w:t>
            </w:r>
          </w:p>
        </w:tc>
        <w:tc>
          <w:tcPr>
            <w:tcW w:w="1559" w:type="dxa"/>
            <w:shd w:val="clear" w:color="auto" w:fill="85BADC"/>
            <w:noWrap/>
            <w:hideMark/>
          </w:tcPr>
          <w:p w14:paraId="35E66CAC" w14:textId="77777777" w:rsidR="00807217" w:rsidRPr="0076589C" w:rsidRDefault="00807217" w:rsidP="0070460D">
            <w:pPr>
              <w:ind w:left="0"/>
              <w:jc w:val="center"/>
              <w:rPr>
                <w:rFonts w:eastAsia="Times New Roman" w:cs="Times New Roman"/>
                <w:b/>
                <w:bCs/>
                <w:color w:val="000000"/>
                <w:sz w:val="16"/>
                <w:szCs w:val="16"/>
                <w:lang w:eastAsia="es-HN"/>
              </w:rPr>
            </w:pPr>
            <w:r w:rsidRPr="0076589C">
              <w:rPr>
                <w:rFonts w:eastAsia="Times New Roman" w:cs="Times New Roman"/>
                <w:b/>
                <w:bCs/>
                <w:color w:val="000000"/>
                <w:sz w:val="16"/>
                <w:szCs w:val="16"/>
                <w:lang w:eastAsia="es-HN"/>
              </w:rPr>
              <w:t>Capítulo V</w:t>
            </w:r>
          </w:p>
        </w:tc>
        <w:tc>
          <w:tcPr>
            <w:tcW w:w="2465" w:type="dxa"/>
            <w:gridSpan w:val="2"/>
            <w:shd w:val="clear" w:color="auto" w:fill="85BADC"/>
            <w:noWrap/>
            <w:hideMark/>
          </w:tcPr>
          <w:p w14:paraId="63E3D9EC" w14:textId="77777777" w:rsidR="00807217" w:rsidRPr="0076589C" w:rsidRDefault="00807217" w:rsidP="0070460D">
            <w:pPr>
              <w:ind w:left="0"/>
              <w:jc w:val="center"/>
              <w:rPr>
                <w:rFonts w:eastAsia="Times New Roman" w:cs="Times New Roman"/>
                <w:b/>
                <w:bCs/>
                <w:color w:val="000000"/>
                <w:sz w:val="16"/>
                <w:szCs w:val="16"/>
                <w:lang w:eastAsia="es-HN"/>
              </w:rPr>
            </w:pPr>
            <w:r w:rsidRPr="0076589C">
              <w:rPr>
                <w:rFonts w:eastAsia="Times New Roman" w:cs="Times New Roman"/>
                <w:b/>
                <w:bCs/>
                <w:color w:val="000000"/>
                <w:sz w:val="16"/>
                <w:szCs w:val="16"/>
                <w:lang w:eastAsia="es-HN"/>
              </w:rPr>
              <w:t>Capítulo VI</w:t>
            </w:r>
          </w:p>
        </w:tc>
      </w:tr>
      <w:tr w:rsidR="004F1A05" w:rsidRPr="0076589C" w14:paraId="2A517B99" w14:textId="77777777" w:rsidTr="00233C5D">
        <w:trPr>
          <w:trHeight w:val="53"/>
          <w:tblHeader/>
        </w:trPr>
        <w:tc>
          <w:tcPr>
            <w:tcW w:w="1555" w:type="dxa"/>
            <w:noWrap/>
            <w:vAlign w:val="center"/>
            <w:hideMark/>
          </w:tcPr>
          <w:p w14:paraId="3585948B" w14:textId="77777777" w:rsidR="00807217" w:rsidRPr="0076589C" w:rsidRDefault="00807217" w:rsidP="00233C5D">
            <w:pPr>
              <w:ind w:left="0"/>
              <w:jc w:val="center"/>
              <w:rPr>
                <w:rFonts w:eastAsia="Times New Roman" w:cs="Times New Roman"/>
                <w:b/>
                <w:bCs/>
                <w:color w:val="000000"/>
                <w:sz w:val="16"/>
                <w:szCs w:val="16"/>
                <w:lang w:eastAsia="es-HN"/>
              </w:rPr>
            </w:pPr>
            <w:r w:rsidRPr="0076589C">
              <w:rPr>
                <w:rFonts w:eastAsia="Times New Roman" w:cs="Times New Roman"/>
                <w:b/>
                <w:bCs/>
                <w:color w:val="000000"/>
                <w:sz w:val="16"/>
                <w:szCs w:val="16"/>
                <w:lang w:eastAsia="es-HN"/>
              </w:rPr>
              <w:t>Título de la investigación</w:t>
            </w:r>
          </w:p>
        </w:tc>
        <w:tc>
          <w:tcPr>
            <w:tcW w:w="1701" w:type="dxa"/>
            <w:noWrap/>
            <w:vAlign w:val="center"/>
            <w:hideMark/>
          </w:tcPr>
          <w:p w14:paraId="60A05ABB" w14:textId="77777777" w:rsidR="00807217" w:rsidRPr="0076589C" w:rsidRDefault="00807217" w:rsidP="00233C5D">
            <w:pPr>
              <w:ind w:left="0"/>
              <w:jc w:val="center"/>
              <w:rPr>
                <w:rFonts w:eastAsia="Times New Roman" w:cs="Times New Roman"/>
                <w:b/>
                <w:bCs/>
                <w:color w:val="000000"/>
                <w:sz w:val="16"/>
                <w:szCs w:val="16"/>
                <w:lang w:eastAsia="es-HN"/>
              </w:rPr>
            </w:pPr>
            <w:r w:rsidRPr="0076589C">
              <w:rPr>
                <w:rFonts w:eastAsia="Times New Roman" w:cs="Times New Roman"/>
                <w:b/>
                <w:bCs/>
                <w:color w:val="000000"/>
                <w:sz w:val="16"/>
                <w:szCs w:val="16"/>
                <w:lang w:eastAsia="es-HN"/>
              </w:rPr>
              <w:t>Objetivo general</w:t>
            </w:r>
          </w:p>
        </w:tc>
        <w:tc>
          <w:tcPr>
            <w:tcW w:w="1275" w:type="dxa"/>
            <w:noWrap/>
            <w:vAlign w:val="center"/>
            <w:hideMark/>
          </w:tcPr>
          <w:p w14:paraId="02C5A7A8" w14:textId="77777777" w:rsidR="00807217" w:rsidRPr="0076589C" w:rsidRDefault="00807217" w:rsidP="00233C5D">
            <w:pPr>
              <w:ind w:left="0"/>
              <w:jc w:val="center"/>
              <w:rPr>
                <w:rFonts w:eastAsia="Times New Roman" w:cs="Times New Roman"/>
                <w:b/>
                <w:bCs/>
                <w:color w:val="000000"/>
                <w:sz w:val="16"/>
                <w:szCs w:val="16"/>
                <w:lang w:eastAsia="es-HN"/>
              </w:rPr>
            </w:pPr>
            <w:r w:rsidRPr="0076589C">
              <w:rPr>
                <w:rFonts w:eastAsia="Times New Roman" w:cs="Times New Roman"/>
                <w:b/>
                <w:bCs/>
                <w:color w:val="000000"/>
                <w:sz w:val="16"/>
                <w:szCs w:val="16"/>
                <w:lang w:eastAsia="es-HN"/>
              </w:rPr>
              <w:t>Objetivos específicos</w:t>
            </w:r>
          </w:p>
        </w:tc>
        <w:tc>
          <w:tcPr>
            <w:tcW w:w="1134" w:type="dxa"/>
            <w:noWrap/>
            <w:vAlign w:val="center"/>
            <w:hideMark/>
          </w:tcPr>
          <w:p w14:paraId="7EE2DC3C" w14:textId="77777777" w:rsidR="00233C5D" w:rsidRPr="0076589C" w:rsidRDefault="00807217" w:rsidP="00233C5D">
            <w:pPr>
              <w:ind w:left="0"/>
              <w:jc w:val="center"/>
              <w:rPr>
                <w:rFonts w:eastAsia="Times New Roman" w:cs="Times New Roman"/>
                <w:b/>
                <w:bCs/>
                <w:color w:val="000000"/>
                <w:sz w:val="16"/>
                <w:szCs w:val="16"/>
                <w:lang w:eastAsia="es-HN"/>
              </w:rPr>
            </w:pPr>
            <w:r w:rsidRPr="0076589C">
              <w:rPr>
                <w:rFonts w:eastAsia="Times New Roman" w:cs="Times New Roman"/>
                <w:b/>
                <w:bCs/>
                <w:color w:val="000000"/>
                <w:sz w:val="16"/>
                <w:szCs w:val="16"/>
                <w:lang w:eastAsia="es-HN"/>
              </w:rPr>
              <w:t>Teorías/</w:t>
            </w:r>
          </w:p>
          <w:p w14:paraId="73BD84D6" w14:textId="3E9896ED" w:rsidR="00807217" w:rsidRPr="0076589C" w:rsidRDefault="00807217" w:rsidP="00233C5D">
            <w:pPr>
              <w:ind w:left="0"/>
              <w:jc w:val="center"/>
              <w:rPr>
                <w:rFonts w:eastAsia="Times New Roman" w:cs="Times New Roman"/>
                <w:b/>
                <w:bCs/>
                <w:color w:val="000000"/>
                <w:sz w:val="16"/>
                <w:szCs w:val="16"/>
                <w:lang w:eastAsia="es-HN"/>
              </w:rPr>
            </w:pPr>
            <w:r w:rsidRPr="0076589C">
              <w:rPr>
                <w:rFonts w:eastAsia="Times New Roman" w:cs="Times New Roman"/>
                <w:b/>
                <w:bCs/>
                <w:color w:val="000000"/>
                <w:sz w:val="16"/>
                <w:szCs w:val="16"/>
                <w:lang w:eastAsia="es-HN"/>
              </w:rPr>
              <w:t>Metodologías de sustento</w:t>
            </w:r>
          </w:p>
        </w:tc>
        <w:tc>
          <w:tcPr>
            <w:tcW w:w="993" w:type="dxa"/>
            <w:noWrap/>
            <w:vAlign w:val="center"/>
            <w:hideMark/>
          </w:tcPr>
          <w:p w14:paraId="489DF769" w14:textId="77777777" w:rsidR="00807217" w:rsidRPr="0076589C" w:rsidRDefault="00807217" w:rsidP="00233C5D">
            <w:pPr>
              <w:ind w:left="0"/>
              <w:jc w:val="center"/>
              <w:rPr>
                <w:rFonts w:eastAsia="Times New Roman" w:cs="Times New Roman"/>
                <w:b/>
                <w:bCs/>
                <w:color w:val="000000"/>
                <w:sz w:val="16"/>
                <w:szCs w:val="16"/>
                <w:lang w:eastAsia="es-HN"/>
              </w:rPr>
            </w:pPr>
            <w:r w:rsidRPr="0076589C">
              <w:rPr>
                <w:rFonts w:eastAsia="Times New Roman" w:cs="Times New Roman"/>
                <w:b/>
                <w:bCs/>
                <w:color w:val="000000"/>
                <w:sz w:val="16"/>
                <w:szCs w:val="16"/>
                <w:lang w:eastAsia="es-HN"/>
              </w:rPr>
              <w:t>Variables</w:t>
            </w:r>
          </w:p>
        </w:tc>
        <w:tc>
          <w:tcPr>
            <w:tcW w:w="1134" w:type="dxa"/>
            <w:noWrap/>
            <w:vAlign w:val="center"/>
            <w:hideMark/>
          </w:tcPr>
          <w:p w14:paraId="6F2956AD" w14:textId="77777777" w:rsidR="00807217" w:rsidRPr="0076589C" w:rsidRDefault="00807217" w:rsidP="00233C5D">
            <w:pPr>
              <w:ind w:left="0"/>
              <w:jc w:val="center"/>
              <w:rPr>
                <w:rFonts w:eastAsia="Times New Roman" w:cs="Times New Roman"/>
                <w:b/>
                <w:bCs/>
                <w:color w:val="000000"/>
                <w:sz w:val="16"/>
                <w:szCs w:val="16"/>
                <w:lang w:eastAsia="es-HN"/>
              </w:rPr>
            </w:pPr>
            <w:r w:rsidRPr="0076589C">
              <w:rPr>
                <w:rFonts w:eastAsia="Times New Roman" w:cs="Times New Roman"/>
                <w:b/>
                <w:bCs/>
                <w:color w:val="000000"/>
                <w:sz w:val="16"/>
                <w:szCs w:val="16"/>
                <w:lang w:eastAsia="es-HN"/>
              </w:rPr>
              <w:t>Poblaciones</w:t>
            </w:r>
          </w:p>
        </w:tc>
        <w:tc>
          <w:tcPr>
            <w:tcW w:w="1134" w:type="dxa"/>
            <w:noWrap/>
            <w:vAlign w:val="center"/>
            <w:hideMark/>
          </w:tcPr>
          <w:p w14:paraId="1FEF1B64" w14:textId="77777777" w:rsidR="00807217" w:rsidRPr="0076589C" w:rsidRDefault="00807217" w:rsidP="00233C5D">
            <w:pPr>
              <w:ind w:left="0"/>
              <w:jc w:val="center"/>
              <w:rPr>
                <w:rFonts w:eastAsia="Times New Roman" w:cs="Times New Roman"/>
                <w:b/>
                <w:bCs/>
                <w:color w:val="000000"/>
                <w:sz w:val="16"/>
                <w:szCs w:val="16"/>
                <w:lang w:eastAsia="es-HN"/>
              </w:rPr>
            </w:pPr>
            <w:r w:rsidRPr="0076589C">
              <w:rPr>
                <w:rFonts w:eastAsia="Times New Roman" w:cs="Times New Roman"/>
                <w:b/>
                <w:bCs/>
                <w:color w:val="000000"/>
                <w:sz w:val="16"/>
                <w:szCs w:val="16"/>
                <w:lang w:eastAsia="es-HN"/>
              </w:rPr>
              <w:t>Técnicas</w:t>
            </w:r>
          </w:p>
        </w:tc>
        <w:tc>
          <w:tcPr>
            <w:tcW w:w="1559" w:type="dxa"/>
            <w:noWrap/>
            <w:vAlign w:val="center"/>
            <w:hideMark/>
          </w:tcPr>
          <w:p w14:paraId="32FA9E93" w14:textId="77777777" w:rsidR="00807217" w:rsidRPr="0076589C" w:rsidRDefault="00807217" w:rsidP="00233C5D">
            <w:pPr>
              <w:ind w:left="0"/>
              <w:jc w:val="center"/>
              <w:rPr>
                <w:rFonts w:eastAsia="Times New Roman" w:cs="Times New Roman"/>
                <w:b/>
                <w:bCs/>
                <w:color w:val="000000"/>
                <w:sz w:val="16"/>
                <w:szCs w:val="16"/>
                <w:lang w:eastAsia="es-HN"/>
              </w:rPr>
            </w:pPr>
            <w:r w:rsidRPr="0076589C">
              <w:rPr>
                <w:rFonts w:eastAsia="Times New Roman" w:cs="Times New Roman"/>
                <w:b/>
                <w:bCs/>
                <w:color w:val="000000"/>
                <w:sz w:val="16"/>
                <w:szCs w:val="16"/>
                <w:lang w:eastAsia="es-HN"/>
              </w:rPr>
              <w:t>Conclusiones</w:t>
            </w:r>
          </w:p>
        </w:tc>
        <w:tc>
          <w:tcPr>
            <w:tcW w:w="1134" w:type="dxa"/>
            <w:noWrap/>
            <w:vAlign w:val="center"/>
            <w:hideMark/>
          </w:tcPr>
          <w:p w14:paraId="53A23FAC" w14:textId="77777777" w:rsidR="00807217" w:rsidRPr="0076589C" w:rsidRDefault="00807217" w:rsidP="00233C5D">
            <w:pPr>
              <w:ind w:left="0"/>
              <w:jc w:val="center"/>
              <w:rPr>
                <w:rFonts w:eastAsia="Times New Roman" w:cs="Times New Roman"/>
                <w:b/>
                <w:bCs/>
                <w:color w:val="000000"/>
                <w:sz w:val="16"/>
                <w:szCs w:val="16"/>
                <w:lang w:eastAsia="es-HN"/>
              </w:rPr>
            </w:pPr>
            <w:r w:rsidRPr="0076589C">
              <w:rPr>
                <w:rFonts w:eastAsia="Times New Roman" w:cs="Times New Roman"/>
                <w:b/>
                <w:bCs/>
                <w:color w:val="000000"/>
                <w:sz w:val="16"/>
                <w:szCs w:val="16"/>
                <w:lang w:eastAsia="es-HN"/>
              </w:rPr>
              <w:t>Nombre de propuesta</w:t>
            </w:r>
          </w:p>
        </w:tc>
        <w:tc>
          <w:tcPr>
            <w:tcW w:w="1331" w:type="dxa"/>
            <w:noWrap/>
            <w:vAlign w:val="center"/>
            <w:hideMark/>
          </w:tcPr>
          <w:p w14:paraId="12719443" w14:textId="77777777" w:rsidR="00807217" w:rsidRPr="0076589C" w:rsidRDefault="00807217" w:rsidP="00233C5D">
            <w:pPr>
              <w:ind w:left="0"/>
              <w:jc w:val="center"/>
              <w:rPr>
                <w:rFonts w:eastAsia="Times New Roman" w:cs="Times New Roman"/>
                <w:b/>
                <w:bCs/>
                <w:color w:val="000000"/>
                <w:sz w:val="16"/>
                <w:szCs w:val="16"/>
                <w:lang w:eastAsia="es-HN"/>
              </w:rPr>
            </w:pPr>
            <w:r w:rsidRPr="0076589C">
              <w:rPr>
                <w:rFonts w:eastAsia="Times New Roman" w:cs="Times New Roman"/>
                <w:b/>
                <w:bCs/>
                <w:color w:val="000000"/>
                <w:sz w:val="16"/>
                <w:szCs w:val="16"/>
                <w:lang w:eastAsia="es-HN"/>
              </w:rPr>
              <w:t>Objetivos de la propuesta</w:t>
            </w:r>
          </w:p>
        </w:tc>
      </w:tr>
      <w:tr w:rsidR="00233C5D" w:rsidRPr="0076589C" w14:paraId="24223629" w14:textId="77777777" w:rsidTr="00233C5D">
        <w:trPr>
          <w:trHeight w:val="4270"/>
        </w:trPr>
        <w:tc>
          <w:tcPr>
            <w:tcW w:w="1555" w:type="dxa"/>
            <w:vMerge w:val="restart"/>
            <w:noWrap/>
          </w:tcPr>
          <w:p w14:paraId="36B45BEC" w14:textId="28C5E731" w:rsidR="00233C5D" w:rsidRPr="0076589C" w:rsidRDefault="00233C5D" w:rsidP="000C67E2">
            <w:pPr>
              <w:ind w:left="0"/>
              <w:jc w:val="both"/>
              <w:rPr>
                <w:rFonts w:eastAsia="Times New Roman" w:cs="Times New Roman"/>
                <w:color w:val="000000"/>
                <w:sz w:val="16"/>
                <w:szCs w:val="16"/>
                <w:lang w:eastAsia="es-HN"/>
              </w:rPr>
            </w:pPr>
            <w:r w:rsidRPr="0076589C">
              <w:rPr>
                <w:rFonts w:eastAsia="Times New Roman" w:cs="Times New Roman"/>
                <w:color w:val="000000"/>
                <w:sz w:val="16"/>
                <w:szCs w:val="16"/>
                <w:lang w:eastAsia="es-HN"/>
              </w:rPr>
              <w:t xml:space="preserve">“Análisis </w:t>
            </w:r>
            <w:r w:rsidR="007F18CC" w:rsidRPr="0076589C">
              <w:rPr>
                <w:rFonts w:eastAsia="Times New Roman" w:cs="Times New Roman"/>
                <w:color w:val="000000"/>
                <w:sz w:val="16"/>
                <w:szCs w:val="16"/>
                <w:lang w:eastAsia="es-HN"/>
              </w:rPr>
              <w:t>de la</w:t>
            </w:r>
            <w:r w:rsidRPr="0076589C">
              <w:rPr>
                <w:rFonts w:eastAsia="Times New Roman" w:cs="Times New Roman"/>
                <w:color w:val="000000"/>
                <w:sz w:val="16"/>
                <w:szCs w:val="16"/>
                <w:lang w:eastAsia="es-HN"/>
              </w:rPr>
              <w:t xml:space="preserve"> gestión de crédito y las cuentas por cobrar de la Industria Procesadora de Alimentos (IPRA), Tegucigalpa, Honduras durante el periodo 2019-2022</w:t>
            </w:r>
          </w:p>
        </w:tc>
        <w:tc>
          <w:tcPr>
            <w:tcW w:w="1701" w:type="dxa"/>
            <w:vMerge w:val="restart"/>
            <w:noWrap/>
          </w:tcPr>
          <w:p w14:paraId="40373E55" w14:textId="4CA6A112" w:rsidR="00233C5D" w:rsidRPr="0076589C" w:rsidRDefault="00233C5D" w:rsidP="000C67E2">
            <w:pPr>
              <w:ind w:left="0"/>
              <w:jc w:val="both"/>
              <w:rPr>
                <w:rFonts w:eastAsia="Times New Roman" w:cs="Times New Roman"/>
                <w:color w:val="000000"/>
                <w:sz w:val="16"/>
                <w:szCs w:val="16"/>
                <w:lang w:eastAsia="es-HN"/>
              </w:rPr>
            </w:pPr>
            <w:r w:rsidRPr="0076589C">
              <w:rPr>
                <w:rFonts w:eastAsia="Times New Roman" w:cs="Times New Roman"/>
                <w:color w:val="000000"/>
                <w:sz w:val="16"/>
                <w:szCs w:val="16"/>
                <w:lang w:eastAsia="es-HN"/>
              </w:rPr>
              <w:t>Analizar la inadecuada política de concesión de crédito, sumado a la deficiente gestión de cobranza ejecutado por la empresa Industria Procesadora de Alimentos (IPRA), ubicada en la ciudad de Tegucigalpa, Honduras dentro del periodo 2019-2022 y su incidencia en la situación financiera y capacidad para afrontar sus obligaciones de pago en el corto y mediano plazo, a través de una evaluación de la gestión financiera de la empresa.</w:t>
            </w:r>
          </w:p>
        </w:tc>
        <w:tc>
          <w:tcPr>
            <w:tcW w:w="1275" w:type="dxa"/>
            <w:vMerge w:val="restart"/>
            <w:noWrap/>
          </w:tcPr>
          <w:p w14:paraId="225F154D" w14:textId="1E35FDAB" w:rsidR="00233C5D" w:rsidRPr="0076589C" w:rsidRDefault="00233C5D" w:rsidP="000C67E2">
            <w:pPr>
              <w:ind w:left="0"/>
              <w:jc w:val="both"/>
              <w:rPr>
                <w:rFonts w:eastAsia="Times New Roman" w:cs="Times New Roman"/>
                <w:color w:val="000000"/>
                <w:sz w:val="16"/>
                <w:szCs w:val="16"/>
                <w:lang w:eastAsia="es-HN"/>
              </w:rPr>
            </w:pPr>
            <w:r w:rsidRPr="0076589C">
              <w:rPr>
                <w:rFonts w:eastAsia="Times New Roman" w:cs="Times New Roman"/>
                <w:color w:val="000000"/>
                <w:sz w:val="16"/>
                <w:szCs w:val="16"/>
                <w:lang w:eastAsia="es-HN"/>
              </w:rPr>
              <w:t>Identificar el porcentaje en que evolucionó la cartera de crédito en IPRA para el periodo 2019-2022.</w:t>
            </w:r>
          </w:p>
        </w:tc>
        <w:tc>
          <w:tcPr>
            <w:tcW w:w="1134" w:type="dxa"/>
            <w:vMerge w:val="restart"/>
            <w:noWrap/>
          </w:tcPr>
          <w:p w14:paraId="56ADB949" w14:textId="77777777" w:rsidR="00233C5D" w:rsidRPr="0076589C" w:rsidRDefault="00233C5D" w:rsidP="000C67E2">
            <w:pPr>
              <w:ind w:left="0"/>
              <w:jc w:val="center"/>
              <w:rPr>
                <w:rFonts w:eastAsia="Times New Roman" w:cs="Times New Roman"/>
                <w:color w:val="000000"/>
                <w:sz w:val="16"/>
                <w:szCs w:val="16"/>
                <w:lang w:eastAsia="es-HN"/>
              </w:rPr>
            </w:pPr>
            <w:r w:rsidRPr="0076589C">
              <w:rPr>
                <w:rFonts w:eastAsia="Times New Roman" w:cs="Times New Roman"/>
                <w:color w:val="000000"/>
                <w:sz w:val="16"/>
                <w:szCs w:val="16"/>
                <w:lang w:eastAsia="es-HN"/>
              </w:rPr>
              <w:t>Teoría Financiera</w:t>
            </w:r>
          </w:p>
          <w:p w14:paraId="5E440D63" w14:textId="77777777" w:rsidR="00233C5D" w:rsidRPr="0076589C" w:rsidRDefault="00233C5D" w:rsidP="000C67E2">
            <w:pPr>
              <w:ind w:left="0"/>
              <w:jc w:val="center"/>
              <w:rPr>
                <w:rFonts w:eastAsia="Times New Roman" w:cs="Times New Roman"/>
                <w:color w:val="000000"/>
                <w:sz w:val="16"/>
                <w:szCs w:val="16"/>
                <w:lang w:eastAsia="es-HN"/>
              </w:rPr>
            </w:pPr>
          </w:p>
          <w:p w14:paraId="1927BCF2" w14:textId="77777777" w:rsidR="00233C5D" w:rsidRPr="0076589C" w:rsidRDefault="00233C5D" w:rsidP="000C67E2">
            <w:pPr>
              <w:ind w:left="0"/>
              <w:jc w:val="center"/>
              <w:rPr>
                <w:rFonts w:eastAsia="Times New Roman" w:cs="Times New Roman"/>
                <w:color w:val="000000"/>
                <w:sz w:val="16"/>
                <w:szCs w:val="16"/>
                <w:lang w:eastAsia="es-HN"/>
              </w:rPr>
            </w:pPr>
          </w:p>
          <w:p w14:paraId="42D4DC16" w14:textId="77777777" w:rsidR="00233C5D" w:rsidRPr="0076589C" w:rsidRDefault="00233C5D" w:rsidP="000C67E2">
            <w:pPr>
              <w:ind w:left="0"/>
              <w:jc w:val="center"/>
              <w:rPr>
                <w:rFonts w:eastAsia="Times New Roman" w:cs="Times New Roman"/>
                <w:color w:val="000000"/>
                <w:sz w:val="16"/>
                <w:szCs w:val="16"/>
                <w:lang w:eastAsia="es-HN"/>
              </w:rPr>
            </w:pPr>
            <w:r w:rsidRPr="0076589C">
              <w:rPr>
                <w:rFonts w:eastAsia="Times New Roman" w:cs="Times New Roman"/>
                <w:color w:val="000000"/>
                <w:sz w:val="16"/>
                <w:szCs w:val="16"/>
                <w:lang w:eastAsia="es-HN"/>
              </w:rPr>
              <w:t>Teoría contable</w:t>
            </w:r>
          </w:p>
          <w:p w14:paraId="161B2C53" w14:textId="77777777" w:rsidR="00233C5D" w:rsidRPr="0076589C" w:rsidRDefault="00233C5D" w:rsidP="000C67E2">
            <w:pPr>
              <w:ind w:left="0"/>
              <w:jc w:val="center"/>
              <w:rPr>
                <w:rFonts w:eastAsia="Times New Roman" w:cs="Times New Roman"/>
                <w:color w:val="000000"/>
                <w:sz w:val="16"/>
                <w:szCs w:val="16"/>
                <w:lang w:eastAsia="es-HN"/>
              </w:rPr>
            </w:pPr>
          </w:p>
          <w:p w14:paraId="1A042B36" w14:textId="77777777" w:rsidR="00233C5D" w:rsidRPr="0076589C" w:rsidRDefault="00233C5D" w:rsidP="000C67E2">
            <w:pPr>
              <w:ind w:left="0"/>
              <w:jc w:val="center"/>
              <w:rPr>
                <w:rFonts w:eastAsia="Times New Roman" w:cs="Times New Roman"/>
                <w:color w:val="000000"/>
                <w:sz w:val="16"/>
                <w:szCs w:val="16"/>
                <w:lang w:eastAsia="es-HN"/>
              </w:rPr>
            </w:pPr>
          </w:p>
          <w:p w14:paraId="34C0FD52" w14:textId="1B51A456" w:rsidR="00233C5D" w:rsidRPr="0076589C" w:rsidRDefault="00233C5D" w:rsidP="000C67E2">
            <w:pPr>
              <w:ind w:left="0"/>
              <w:jc w:val="center"/>
              <w:rPr>
                <w:rFonts w:eastAsia="Times New Roman" w:cs="Times New Roman"/>
                <w:color w:val="000000"/>
                <w:sz w:val="16"/>
                <w:szCs w:val="16"/>
                <w:lang w:eastAsia="es-HN"/>
              </w:rPr>
            </w:pPr>
            <w:r w:rsidRPr="0076589C">
              <w:rPr>
                <w:rFonts w:eastAsia="Times New Roman" w:cs="Times New Roman"/>
                <w:color w:val="000000"/>
                <w:sz w:val="16"/>
                <w:szCs w:val="16"/>
                <w:lang w:eastAsia="es-HN"/>
              </w:rPr>
              <w:t>Teoría de capital de trabajo</w:t>
            </w:r>
          </w:p>
        </w:tc>
        <w:tc>
          <w:tcPr>
            <w:tcW w:w="993" w:type="dxa"/>
            <w:noWrap/>
          </w:tcPr>
          <w:p w14:paraId="6AC2FE2A" w14:textId="333BE2C5" w:rsidR="00233C5D" w:rsidRPr="0076589C" w:rsidRDefault="00233C5D" w:rsidP="000C67E2">
            <w:pPr>
              <w:ind w:left="0"/>
              <w:jc w:val="center"/>
              <w:rPr>
                <w:rFonts w:eastAsia="Times New Roman" w:cs="Times New Roman"/>
                <w:color w:val="000000"/>
                <w:sz w:val="16"/>
                <w:szCs w:val="16"/>
                <w:lang w:eastAsia="es-HN"/>
              </w:rPr>
            </w:pPr>
            <w:r w:rsidRPr="0076589C">
              <w:rPr>
                <w:rFonts w:eastAsia="Times New Roman" w:cs="Times New Roman"/>
                <w:color w:val="000000"/>
                <w:sz w:val="16"/>
                <w:szCs w:val="16"/>
                <w:lang w:eastAsia="es-HN"/>
              </w:rPr>
              <w:t>Situación financiera</w:t>
            </w:r>
          </w:p>
        </w:tc>
        <w:tc>
          <w:tcPr>
            <w:tcW w:w="1134" w:type="dxa"/>
            <w:noWrap/>
          </w:tcPr>
          <w:p w14:paraId="559D871E" w14:textId="622C9AA3" w:rsidR="00233C5D" w:rsidRPr="0076589C" w:rsidRDefault="00233C5D" w:rsidP="00233C5D">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Estados financieros (Bance general y estado de resultados)</w:t>
            </w:r>
          </w:p>
        </w:tc>
        <w:tc>
          <w:tcPr>
            <w:tcW w:w="1134" w:type="dxa"/>
            <w:noWrap/>
          </w:tcPr>
          <w:p w14:paraId="17557F64" w14:textId="02DED00E" w:rsidR="00233C5D" w:rsidRPr="0076589C" w:rsidRDefault="00233C5D" w:rsidP="00233C5D">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Análisis vertical y horizontal de estados financieros</w:t>
            </w:r>
          </w:p>
        </w:tc>
        <w:tc>
          <w:tcPr>
            <w:tcW w:w="1559" w:type="dxa"/>
            <w:noWrap/>
          </w:tcPr>
          <w:p w14:paraId="4604CB9C" w14:textId="54660E8C" w:rsidR="00233C5D" w:rsidRPr="0076589C" w:rsidRDefault="00233C5D" w:rsidP="000C67E2">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La situación financiera de IPRA durante 2019-2022 muestra una estrategia equilibrada con una alta proporción de recursos propios (62.5%) y desafíos en cuentas por cobrar y niveles de inventario. A pesar de la pandemia, la empresa mostró resiliencia con un incremento anual del 27.5% en ventas, pero necesita mejorar la gestión de activos y pasivos para asegurar su rentabilidad a largo plazo.</w:t>
            </w:r>
          </w:p>
        </w:tc>
        <w:tc>
          <w:tcPr>
            <w:tcW w:w="1134" w:type="dxa"/>
            <w:vMerge w:val="restart"/>
            <w:tcBorders>
              <w:right w:val="single" w:sz="4" w:space="0" w:color="auto"/>
            </w:tcBorders>
            <w:noWrap/>
          </w:tcPr>
          <w:p w14:paraId="410406EC" w14:textId="50A8B036" w:rsidR="00233C5D" w:rsidRPr="0076589C" w:rsidRDefault="00233C5D" w:rsidP="000C67E2">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Implementación de un módulo de cobranza en el sistema Andynamics</w:t>
            </w:r>
          </w:p>
        </w:tc>
        <w:tc>
          <w:tcPr>
            <w:tcW w:w="1331" w:type="dxa"/>
            <w:tcBorders>
              <w:left w:val="single" w:sz="4" w:space="0" w:color="auto"/>
            </w:tcBorders>
            <w:noWrap/>
          </w:tcPr>
          <w:p w14:paraId="528A711D" w14:textId="308A3DD5" w:rsidR="00233C5D" w:rsidRPr="0076589C" w:rsidRDefault="00233C5D" w:rsidP="000C67E2">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Implementar un módulo en el sistema Andynamics el cual automatizará la gestión de cobranza en IPRA, permitiendo mejorar la eficiencia en la recuperación de cuentas por cobrar, reduciendo el porcentaje de antigüedad en las cuentas mayores a 90 días y agilizando la actualización de la gestión de límites de crédito.</w:t>
            </w:r>
          </w:p>
        </w:tc>
      </w:tr>
      <w:tr w:rsidR="00233C5D" w:rsidRPr="0076589C" w14:paraId="656E70F5" w14:textId="77777777" w:rsidTr="00233C5D">
        <w:trPr>
          <w:trHeight w:val="1179"/>
        </w:trPr>
        <w:tc>
          <w:tcPr>
            <w:tcW w:w="1555" w:type="dxa"/>
            <w:vMerge/>
            <w:noWrap/>
          </w:tcPr>
          <w:p w14:paraId="27294AE4" w14:textId="77777777" w:rsidR="00233C5D" w:rsidRPr="0076589C" w:rsidRDefault="00233C5D" w:rsidP="000C67E2">
            <w:pPr>
              <w:ind w:left="0"/>
              <w:jc w:val="both"/>
              <w:rPr>
                <w:rFonts w:eastAsia="Times New Roman" w:cs="Times New Roman"/>
                <w:color w:val="000000"/>
                <w:sz w:val="16"/>
                <w:szCs w:val="16"/>
                <w:lang w:eastAsia="es-HN"/>
              </w:rPr>
            </w:pPr>
          </w:p>
        </w:tc>
        <w:tc>
          <w:tcPr>
            <w:tcW w:w="1701" w:type="dxa"/>
            <w:vMerge/>
            <w:noWrap/>
          </w:tcPr>
          <w:p w14:paraId="762ADF79" w14:textId="77777777" w:rsidR="00233C5D" w:rsidRPr="0076589C" w:rsidRDefault="00233C5D" w:rsidP="000C67E2">
            <w:pPr>
              <w:ind w:left="0"/>
              <w:jc w:val="both"/>
              <w:rPr>
                <w:rFonts w:eastAsia="Times New Roman" w:cs="Times New Roman"/>
                <w:color w:val="000000"/>
                <w:sz w:val="16"/>
                <w:szCs w:val="16"/>
                <w:lang w:eastAsia="es-HN"/>
              </w:rPr>
            </w:pPr>
          </w:p>
        </w:tc>
        <w:tc>
          <w:tcPr>
            <w:tcW w:w="1275" w:type="dxa"/>
            <w:vMerge/>
            <w:noWrap/>
          </w:tcPr>
          <w:p w14:paraId="65CC17B5" w14:textId="77777777" w:rsidR="00233C5D" w:rsidRPr="0076589C" w:rsidRDefault="00233C5D" w:rsidP="000C67E2">
            <w:pPr>
              <w:ind w:left="0"/>
              <w:jc w:val="both"/>
              <w:rPr>
                <w:rFonts w:eastAsia="Times New Roman" w:cs="Times New Roman"/>
                <w:color w:val="000000"/>
                <w:sz w:val="16"/>
                <w:szCs w:val="16"/>
                <w:lang w:eastAsia="es-HN"/>
              </w:rPr>
            </w:pPr>
          </w:p>
        </w:tc>
        <w:tc>
          <w:tcPr>
            <w:tcW w:w="1134" w:type="dxa"/>
            <w:vMerge/>
            <w:noWrap/>
          </w:tcPr>
          <w:p w14:paraId="61B66ED1" w14:textId="77777777" w:rsidR="00233C5D" w:rsidRPr="0076589C" w:rsidRDefault="00233C5D" w:rsidP="000C67E2">
            <w:pPr>
              <w:ind w:left="0"/>
              <w:jc w:val="center"/>
              <w:rPr>
                <w:rFonts w:eastAsia="Times New Roman" w:cs="Times New Roman"/>
                <w:color w:val="000000"/>
                <w:sz w:val="16"/>
                <w:szCs w:val="16"/>
                <w:lang w:eastAsia="es-HN"/>
              </w:rPr>
            </w:pPr>
          </w:p>
        </w:tc>
        <w:tc>
          <w:tcPr>
            <w:tcW w:w="993" w:type="dxa"/>
            <w:vMerge w:val="restart"/>
            <w:tcBorders>
              <w:top w:val="single" w:sz="4" w:space="0" w:color="auto"/>
            </w:tcBorders>
            <w:noWrap/>
          </w:tcPr>
          <w:p w14:paraId="2EC62FA1" w14:textId="6658CE3D" w:rsidR="00233C5D" w:rsidRPr="0076589C" w:rsidRDefault="00233C5D" w:rsidP="000C67E2">
            <w:pPr>
              <w:ind w:left="0"/>
              <w:jc w:val="center"/>
              <w:rPr>
                <w:rFonts w:eastAsia="Times New Roman" w:cs="Times New Roman"/>
                <w:color w:val="000000"/>
                <w:sz w:val="16"/>
                <w:szCs w:val="16"/>
                <w:lang w:eastAsia="es-HN"/>
              </w:rPr>
            </w:pPr>
            <w:r w:rsidRPr="0076589C">
              <w:rPr>
                <w:rFonts w:eastAsia="Times New Roman" w:cs="Times New Roman"/>
                <w:color w:val="000000"/>
                <w:sz w:val="16"/>
                <w:szCs w:val="16"/>
                <w:lang w:eastAsia="es-HN"/>
              </w:rPr>
              <w:t xml:space="preserve">Cartera de crédito </w:t>
            </w:r>
          </w:p>
        </w:tc>
        <w:tc>
          <w:tcPr>
            <w:tcW w:w="1134" w:type="dxa"/>
            <w:vMerge w:val="restart"/>
            <w:tcBorders>
              <w:top w:val="single" w:sz="4" w:space="0" w:color="auto"/>
            </w:tcBorders>
            <w:noWrap/>
          </w:tcPr>
          <w:p w14:paraId="041DF5F4" w14:textId="0302E370" w:rsidR="00233C5D" w:rsidRPr="0076589C" w:rsidRDefault="00233C5D" w:rsidP="000C67E2">
            <w:pPr>
              <w:ind w:left="0"/>
              <w:rPr>
                <w:rFonts w:eastAsia="Times New Roman" w:cs="Times New Roman"/>
                <w:color w:val="000000"/>
                <w:sz w:val="16"/>
                <w:szCs w:val="16"/>
                <w:lang w:val="pt-PT" w:eastAsia="es-HN"/>
              </w:rPr>
            </w:pPr>
            <w:r w:rsidRPr="0076589C">
              <w:rPr>
                <w:rFonts w:eastAsia="Times New Roman" w:cs="Times New Roman"/>
                <w:color w:val="000000"/>
                <w:sz w:val="16"/>
                <w:szCs w:val="16"/>
                <w:lang w:val="pt-PT" w:eastAsia="es-HN"/>
              </w:rPr>
              <w:t>Bases de datos de IPRA, cartera de credito de clientes</w:t>
            </w:r>
          </w:p>
        </w:tc>
        <w:tc>
          <w:tcPr>
            <w:tcW w:w="1134" w:type="dxa"/>
            <w:tcBorders>
              <w:top w:val="single" w:sz="4" w:space="0" w:color="auto"/>
              <w:bottom w:val="single" w:sz="4" w:space="0" w:color="auto"/>
            </w:tcBorders>
            <w:noWrap/>
          </w:tcPr>
          <w:p w14:paraId="169444A8" w14:textId="77777777" w:rsidR="00233C5D" w:rsidRPr="0076589C" w:rsidRDefault="00233C5D" w:rsidP="000C67E2">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Análisis de las bases de datos de la empresa</w:t>
            </w:r>
          </w:p>
          <w:p w14:paraId="05F9374C" w14:textId="77777777" w:rsidR="00233C5D" w:rsidRPr="0076589C" w:rsidRDefault="00233C5D" w:rsidP="000C67E2">
            <w:pPr>
              <w:ind w:left="0"/>
              <w:rPr>
                <w:rFonts w:eastAsia="Times New Roman" w:cs="Times New Roman"/>
                <w:color w:val="000000"/>
                <w:sz w:val="16"/>
                <w:szCs w:val="16"/>
                <w:lang w:eastAsia="es-HN"/>
              </w:rPr>
            </w:pPr>
          </w:p>
          <w:p w14:paraId="3BE3BA4A" w14:textId="77777777" w:rsidR="00233C5D" w:rsidRPr="0076589C" w:rsidRDefault="00233C5D" w:rsidP="000C67E2">
            <w:pPr>
              <w:ind w:left="0"/>
              <w:rPr>
                <w:rFonts w:eastAsia="Times New Roman" w:cs="Times New Roman"/>
                <w:color w:val="000000"/>
                <w:sz w:val="16"/>
                <w:szCs w:val="16"/>
                <w:lang w:eastAsia="es-HN"/>
              </w:rPr>
            </w:pPr>
          </w:p>
          <w:p w14:paraId="0C71498A" w14:textId="54856118" w:rsidR="00233C5D" w:rsidRPr="0076589C" w:rsidRDefault="00233C5D" w:rsidP="000C67E2">
            <w:pPr>
              <w:ind w:left="0"/>
              <w:rPr>
                <w:rFonts w:eastAsia="Times New Roman" w:cs="Times New Roman"/>
                <w:color w:val="000000"/>
                <w:sz w:val="16"/>
                <w:szCs w:val="16"/>
                <w:lang w:eastAsia="es-HN"/>
              </w:rPr>
            </w:pPr>
          </w:p>
        </w:tc>
        <w:tc>
          <w:tcPr>
            <w:tcW w:w="1559" w:type="dxa"/>
            <w:vMerge w:val="restart"/>
            <w:tcBorders>
              <w:top w:val="single" w:sz="4" w:space="0" w:color="auto"/>
            </w:tcBorders>
            <w:noWrap/>
          </w:tcPr>
          <w:p w14:paraId="711EF9F0" w14:textId="2187BEA1" w:rsidR="00233C5D" w:rsidRPr="0076589C" w:rsidRDefault="00233C5D" w:rsidP="000C67E2">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 xml:space="preserve">Durante 2019-2022, la cartera de crédito de IPRA se adaptó a la economía con una disminución del 59%, a pesar de un aumento modesto del 13% en ventas. La pandemia llevó a una estrategia enfocada en la cobranza y menos endeudamiento. Aunque en 2022 </w:t>
            </w:r>
            <w:r w:rsidRPr="0076589C">
              <w:rPr>
                <w:rFonts w:eastAsia="Times New Roman" w:cs="Times New Roman"/>
                <w:color w:val="000000"/>
                <w:sz w:val="16"/>
                <w:szCs w:val="16"/>
                <w:lang w:eastAsia="es-HN"/>
              </w:rPr>
              <w:lastRenderedPageBreak/>
              <w:t>hubo un aumento del 9.68% en la cartera, reflejó una respuesta eficiente al mercado. El análisis revela desafíos en cuentas más antiguas, sugiriendo la necesidad de enfoque en la gestión y estrategias de mitigación de riesgos.</w:t>
            </w:r>
          </w:p>
        </w:tc>
        <w:tc>
          <w:tcPr>
            <w:tcW w:w="1134" w:type="dxa"/>
            <w:vMerge/>
            <w:tcBorders>
              <w:right w:val="single" w:sz="4" w:space="0" w:color="auto"/>
            </w:tcBorders>
            <w:noWrap/>
          </w:tcPr>
          <w:p w14:paraId="4C675EFA" w14:textId="77777777" w:rsidR="00233C5D" w:rsidRPr="0076589C" w:rsidRDefault="00233C5D" w:rsidP="000C67E2">
            <w:pPr>
              <w:ind w:left="0"/>
              <w:rPr>
                <w:rFonts w:eastAsia="Times New Roman" w:cs="Times New Roman"/>
                <w:color w:val="000000"/>
                <w:sz w:val="16"/>
                <w:szCs w:val="16"/>
                <w:lang w:eastAsia="es-HN"/>
              </w:rPr>
            </w:pPr>
          </w:p>
        </w:tc>
        <w:tc>
          <w:tcPr>
            <w:tcW w:w="1331" w:type="dxa"/>
            <w:tcBorders>
              <w:top w:val="single" w:sz="4" w:space="0" w:color="auto"/>
              <w:left w:val="single" w:sz="4" w:space="0" w:color="auto"/>
              <w:bottom w:val="single" w:sz="4" w:space="0" w:color="auto"/>
            </w:tcBorders>
            <w:noWrap/>
          </w:tcPr>
          <w:p w14:paraId="34B38126" w14:textId="77777777" w:rsidR="00233C5D" w:rsidRPr="0076589C" w:rsidRDefault="00233C5D" w:rsidP="00233C5D">
            <w:pPr>
              <w:ind w:left="0"/>
              <w:rPr>
                <w:rFonts w:eastAsia="Times New Roman" w:cs="Times New Roman"/>
                <w:color w:val="000000"/>
                <w:sz w:val="16"/>
                <w:szCs w:val="16"/>
                <w:lang w:eastAsia="es-HN"/>
              </w:rPr>
            </w:pPr>
            <w:r w:rsidRPr="0076589C">
              <w:rPr>
                <w:rFonts w:eastAsia="Times New Roman" w:cs="Times New Roman"/>
                <w:color w:val="000000" w:themeColor="text1"/>
                <w:sz w:val="16"/>
                <w:szCs w:val="16"/>
                <w:lang w:eastAsia="es-HN"/>
              </w:rPr>
              <w:t>Establecer los requisitos que serán necesarios para la creación del módulo de cobranza.</w:t>
            </w:r>
          </w:p>
        </w:tc>
      </w:tr>
      <w:tr w:rsidR="00233C5D" w:rsidRPr="0076589C" w14:paraId="77EF265F" w14:textId="77777777" w:rsidTr="00233C5D">
        <w:trPr>
          <w:trHeight w:val="1450"/>
        </w:trPr>
        <w:tc>
          <w:tcPr>
            <w:tcW w:w="1555" w:type="dxa"/>
            <w:vMerge/>
            <w:noWrap/>
          </w:tcPr>
          <w:p w14:paraId="2A86DEAD" w14:textId="77777777" w:rsidR="00233C5D" w:rsidRPr="0076589C" w:rsidRDefault="00233C5D" w:rsidP="000C67E2">
            <w:pPr>
              <w:ind w:left="0"/>
              <w:jc w:val="both"/>
              <w:rPr>
                <w:rFonts w:eastAsia="Times New Roman" w:cs="Times New Roman"/>
                <w:color w:val="000000"/>
                <w:sz w:val="16"/>
                <w:szCs w:val="16"/>
                <w:lang w:eastAsia="es-HN"/>
              </w:rPr>
            </w:pPr>
          </w:p>
        </w:tc>
        <w:tc>
          <w:tcPr>
            <w:tcW w:w="1701" w:type="dxa"/>
            <w:vMerge/>
            <w:noWrap/>
          </w:tcPr>
          <w:p w14:paraId="13196439" w14:textId="77777777" w:rsidR="00233C5D" w:rsidRPr="0076589C" w:rsidRDefault="00233C5D" w:rsidP="000C67E2">
            <w:pPr>
              <w:ind w:left="0"/>
              <w:jc w:val="both"/>
              <w:rPr>
                <w:rFonts w:eastAsia="Times New Roman" w:cs="Times New Roman"/>
                <w:color w:val="000000"/>
                <w:sz w:val="16"/>
                <w:szCs w:val="16"/>
                <w:lang w:eastAsia="es-HN"/>
              </w:rPr>
            </w:pPr>
          </w:p>
        </w:tc>
        <w:tc>
          <w:tcPr>
            <w:tcW w:w="1275" w:type="dxa"/>
            <w:vMerge/>
            <w:noWrap/>
          </w:tcPr>
          <w:p w14:paraId="50269C39" w14:textId="77777777" w:rsidR="00233C5D" w:rsidRPr="0076589C" w:rsidRDefault="00233C5D" w:rsidP="000C67E2">
            <w:pPr>
              <w:ind w:left="0"/>
              <w:jc w:val="both"/>
              <w:rPr>
                <w:rFonts w:eastAsia="Times New Roman" w:cs="Times New Roman"/>
                <w:color w:val="000000"/>
                <w:sz w:val="16"/>
                <w:szCs w:val="16"/>
                <w:lang w:eastAsia="es-HN"/>
              </w:rPr>
            </w:pPr>
          </w:p>
        </w:tc>
        <w:tc>
          <w:tcPr>
            <w:tcW w:w="1134" w:type="dxa"/>
            <w:vMerge/>
            <w:noWrap/>
          </w:tcPr>
          <w:p w14:paraId="7444156A" w14:textId="77777777" w:rsidR="00233C5D" w:rsidRPr="0076589C" w:rsidRDefault="00233C5D" w:rsidP="000C67E2">
            <w:pPr>
              <w:ind w:left="0"/>
              <w:jc w:val="center"/>
              <w:rPr>
                <w:rFonts w:eastAsia="Times New Roman" w:cs="Times New Roman"/>
                <w:color w:val="000000"/>
                <w:sz w:val="16"/>
                <w:szCs w:val="16"/>
                <w:lang w:eastAsia="es-HN"/>
              </w:rPr>
            </w:pPr>
          </w:p>
        </w:tc>
        <w:tc>
          <w:tcPr>
            <w:tcW w:w="993" w:type="dxa"/>
            <w:vMerge/>
            <w:noWrap/>
          </w:tcPr>
          <w:p w14:paraId="72F6741F" w14:textId="77777777" w:rsidR="00233C5D" w:rsidRPr="0076589C" w:rsidRDefault="00233C5D" w:rsidP="000C67E2">
            <w:pPr>
              <w:ind w:left="0"/>
              <w:jc w:val="center"/>
              <w:rPr>
                <w:rFonts w:eastAsia="Times New Roman" w:cs="Times New Roman"/>
                <w:color w:val="000000"/>
                <w:sz w:val="16"/>
                <w:szCs w:val="16"/>
                <w:lang w:eastAsia="es-HN"/>
              </w:rPr>
            </w:pPr>
          </w:p>
        </w:tc>
        <w:tc>
          <w:tcPr>
            <w:tcW w:w="1134" w:type="dxa"/>
            <w:vMerge/>
            <w:noWrap/>
          </w:tcPr>
          <w:p w14:paraId="73D1C9C3" w14:textId="77777777" w:rsidR="00233C5D" w:rsidRPr="0076589C" w:rsidRDefault="00233C5D" w:rsidP="000C67E2">
            <w:pPr>
              <w:ind w:left="0"/>
              <w:rPr>
                <w:rFonts w:eastAsia="Times New Roman" w:cs="Times New Roman"/>
                <w:color w:val="000000"/>
                <w:sz w:val="16"/>
                <w:szCs w:val="16"/>
                <w:lang w:eastAsia="es-HN"/>
              </w:rPr>
            </w:pPr>
          </w:p>
        </w:tc>
        <w:tc>
          <w:tcPr>
            <w:tcW w:w="1134" w:type="dxa"/>
            <w:vMerge w:val="restart"/>
            <w:tcBorders>
              <w:top w:val="single" w:sz="4" w:space="0" w:color="auto"/>
            </w:tcBorders>
            <w:noWrap/>
          </w:tcPr>
          <w:p w14:paraId="52362B76" w14:textId="729FEB3E" w:rsidR="00233C5D" w:rsidRPr="0076589C" w:rsidRDefault="00233C5D" w:rsidP="000C67E2">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Entrevista a gerente financiero</w:t>
            </w:r>
          </w:p>
        </w:tc>
        <w:tc>
          <w:tcPr>
            <w:tcW w:w="1559" w:type="dxa"/>
            <w:vMerge/>
            <w:noWrap/>
          </w:tcPr>
          <w:p w14:paraId="032E1DD2" w14:textId="77777777" w:rsidR="00233C5D" w:rsidRPr="0076589C" w:rsidRDefault="00233C5D" w:rsidP="000C67E2">
            <w:pPr>
              <w:ind w:left="0"/>
              <w:rPr>
                <w:rFonts w:eastAsia="Times New Roman" w:cs="Times New Roman"/>
                <w:color w:val="000000"/>
                <w:sz w:val="16"/>
                <w:szCs w:val="16"/>
                <w:lang w:eastAsia="es-HN"/>
              </w:rPr>
            </w:pPr>
          </w:p>
        </w:tc>
        <w:tc>
          <w:tcPr>
            <w:tcW w:w="1134" w:type="dxa"/>
            <w:vMerge/>
            <w:tcBorders>
              <w:right w:val="single" w:sz="4" w:space="0" w:color="auto"/>
            </w:tcBorders>
            <w:noWrap/>
          </w:tcPr>
          <w:p w14:paraId="1B3AAD80" w14:textId="77777777" w:rsidR="00233C5D" w:rsidRPr="0076589C" w:rsidRDefault="00233C5D" w:rsidP="000C67E2">
            <w:pPr>
              <w:ind w:left="0"/>
              <w:rPr>
                <w:rFonts w:eastAsia="Times New Roman" w:cs="Times New Roman"/>
                <w:color w:val="000000"/>
                <w:sz w:val="16"/>
                <w:szCs w:val="16"/>
                <w:lang w:eastAsia="es-HN"/>
              </w:rPr>
            </w:pPr>
          </w:p>
        </w:tc>
        <w:tc>
          <w:tcPr>
            <w:tcW w:w="1331" w:type="dxa"/>
            <w:tcBorders>
              <w:top w:val="single" w:sz="4" w:space="0" w:color="auto"/>
              <w:left w:val="single" w:sz="4" w:space="0" w:color="auto"/>
            </w:tcBorders>
            <w:noWrap/>
          </w:tcPr>
          <w:p w14:paraId="351EC16C" w14:textId="06A3FEBE" w:rsidR="00233C5D" w:rsidRPr="0076589C" w:rsidRDefault="00233C5D" w:rsidP="000C67E2">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Elaborar una propuesta del diseño y desarrollo del módulo de cobranza.</w:t>
            </w:r>
          </w:p>
        </w:tc>
      </w:tr>
      <w:tr w:rsidR="00233C5D" w:rsidRPr="0076589C" w14:paraId="74658987" w14:textId="77777777" w:rsidTr="00233C5D">
        <w:trPr>
          <w:trHeight w:val="538"/>
        </w:trPr>
        <w:tc>
          <w:tcPr>
            <w:tcW w:w="1555" w:type="dxa"/>
            <w:vMerge/>
            <w:noWrap/>
          </w:tcPr>
          <w:p w14:paraId="363C1168" w14:textId="77777777" w:rsidR="00233C5D" w:rsidRPr="0076589C" w:rsidRDefault="00233C5D" w:rsidP="000C67E2">
            <w:pPr>
              <w:ind w:left="0"/>
              <w:jc w:val="both"/>
              <w:rPr>
                <w:rFonts w:eastAsia="Times New Roman" w:cs="Times New Roman"/>
                <w:color w:val="000000"/>
                <w:sz w:val="16"/>
                <w:szCs w:val="16"/>
                <w:lang w:eastAsia="es-HN"/>
              </w:rPr>
            </w:pPr>
          </w:p>
        </w:tc>
        <w:tc>
          <w:tcPr>
            <w:tcW w:w="1701" w:type="dxa"/>
            <w:vMerge/>
            <w:noWrap/>
          </w:tcPr>
          <w:p w14:paraId="397482A9" w14:textId="77777777" w:rsidR="00233C5D" w:rsidRPr="0076589C" w:rsidRDefault="00233C5D" w:rsidP="000C67E2">
            <w:pPr>
              <w:ind w:left="0"/>
              <w:jc w:val="both"/>
              <w:rPr>
                <w:rFonts w:eastAsia="Times New Roman" w:cs="Times New Roman"/>
                <w:color w:val="000000"/>
                <w:sz w:val="16"/>
                <w:szCs w:val="16"/>
                <w:lang w:eastAsia="es-HN"/>
              </w:rPr>
            </w:pPr>
          </w:p>
        </w:tc>
        <w:tc>
          <w:tcPr>
            <w:tcW w:w="1275" w:type="dxa"/>
            <w:vMerge/>
            <w:noWrap/>
          </w:tcPr>
          <w:p w14:paraId="45C559BF" w14:textId="77777777" w:rsidR="00233C5D" w:rsidRPr="0076589C" w:rsidRDefault="00233C5D" w:rsidP="000C67E2">
            <w:pPr>
              <w:ind w:left="0"/>
              <w:jc w:val="both"/>
              <w:rPr>
                <w:rFonts w:eastAsia="Times New Roman" w:cs="Times New Roman"/>
                <w:color w:val="000000"/>
                <w:sz w:val="16"/>
                <w:szCs w:val="16"/>
                <w:lang w:eastAsia="es-HN"/>
              </w:rPr>
            </w:pPr>
          </w:p>
        </w:tc>
        <w:tc>
          <w:tcPr>
            <w:tcW w:w="1134" w:type="dxa"/>
            <w:vMerge/>
            <w:noWrap/>
          </w:tcPr>
          <w:p w14:paraId="3F10D1BF" w14:textId="77777777" w:rsidR="00233C5D" w:rsidRPr="0076589C" w:rsidRDefault="00233C5D" w:rsidP="000C67E2">
            <w:pPr>
              <w:ind w:left="0"/>
              <w:jc w:val="center"/>
              <w:rPr>
                <w:rFonts w:eastAsia="Times New Roman" w:cs="Times New Roman"/>
                <w:color w:val="000000"/>
                <w:sz w:val="16"/>
                <w:szCs w:val="16"/>
                <w:lang w:eastAsia="es-HN"/>
              </w:rPr>
            </w:pPr>
          </w:p>
        </w:tc>
        <w:tc>
          <w:tcPr>
            <w:tcW w:w="993" w:type="dxa"/>
            <w:vMerge/>
            <w:noWrap/>
          </w:tcPr>
          <w:p w14:paraId="034B72AB" w14:textId="77777777" w:rsidR="00233C5D" w:rsidRPr="0076589C" w:rsidRDefault="00233C5D" w:rsidP="000C67E2">
            <w:pPr>
              <w:ind w:left="0"/>
              <w:jc w:val="center"/>
              <w:rPr>
                <w:rFonts w:eastAsia="Times New Roman" w:cs="Times New Roman"/>
                <w:color w:val="000000"/>
                <w:sz w:val="16"/>
                <w:szCs w:val="16"/>
                <w:lang w:eastAsia="es-HN"/>
              </w:rPr>
            </w:pPr>
          </w:p>
        </w:tc>
        <w:tc>
          <w:tcPr>
            <w:tcW w:w="1134" w:type="dxa"/>
            <w:vMerge/>
            <w:noWrap/>
          </w:tcPr>
          <w:p w14:paraId="007ABB47" w14:textId="77777777" w:rsidR="00233C5D" w:rsidRPr="0076589C" w:rsidRDefault="00233C5D" w:rsidP="000C67E2">
            <w:pPr>
              <w:ind w:left="0"/>
              <w:rPr>
                <w:rFonts w:eastAsia="Times New Roman" w:cs="Times New Roman"/>
                <w:color w:val="000000"/>
                <w:sz w:val="16"/>
                <w:szCs w:val="16"/>
                <w:lang w:eastAsia="es-HN"/>
              </w:rPr>
            </w:pPr>
          </w:p>
        </w:tc>
        <w:tc>
          <w:tcPr>
            <w:tcW w:w="1134" w:type="dxa"/>
            <w:vMerge/>
            <w:noWrap/>
          </w:tcPr>
          <w:p w14:paraId="7F6F4C43" w14:textId="77777777" w:rsidR="00233C5D" w:rsidRPr="0076589C" w:rsidRDefault="00233C5D" w:rsidP="000C67E2">
            <w:pPr>
              <w:ind w:left="0"/>
              <w:rPr>
                <w:rFonts w:eastAsia="Times New Roman" w:cs="Times New Roman"/>
                <w:color w:val="000000"/>
                <w:sz w:val="16"/>
                <w:szCs w:val="16"/>
                <w:lang w:eastAsia="es-HN"/>
              </w:rPr>
            </w:pPr>
          </w:p>
        </w:tc>
        <w:tc>
          <w:tcPr>
            <w:tcW w:w="1559" w:type="dxa"/>
            <w:vMerge/>
            <w:noWrap/>
          </w:tcPr>
          <w:p w14:paraId="6BCDA363" w14:textId="77777777" w:rsidR="00233C5D" w:rsidRPr="0076589C" w:rsidRDefault="00233C5D" w:rsidP="000C67E2">
            <w:pPr>
              <w:ind w:left="0"/>
              <w:rPr>
                <w:rFonts w:eastAsia="Times New Roman" w:cs="Times New Roman"/>
                <w:color w:val="000000"/>
                <w:sz w:val="16"/>
                <w:szCs w:val="16"/>
                <w:lang w:eastAsia="es-HN"/>
              </w:rPr>
            </w:pPr>
          </w:p>
        </w:tc>
        <w:tc>
          <w:tcPr>
            <w:tcW w:w="1134" w:type="dxa"/>
            <w:vMerge/>
            <w:tcBorders>
              <w:right w:val="single" w:sz="4" w:space="0" w:color="auto"/>
            </w:tcBorders>
            <w:noWrap/>
          </w:tcPr>
          <w:p w14:paraId="4B020021" w14:textId="77777777" w:rsidR="00233C5D" w:rsidRPr="0076589C" w:rsidRDefault="00233C5D" w:rsidP="000C67E2">
            <w:pPr>
              <w:ind w:left="0"/>
              <w:rPr>
                <w:rFonts w:eastAsia="Times New Roman" w:cs="Times New Roman"/>
                <w:color w:val="000000"/>
                <w:sz w:val="16"/>
                <w:szCs w:val="16"/>
                <w:lang w:eastAsia="es-HN"/>
              </w:rPr>
            </w:pPr>
          </w:p>
        </w:tc>
        <w:tc>
          <w:tcPr>
            <w:tcW w:w="1331" w:type="dxa"/>
            <w:tcBorders>
              <w:top w:val="single" w:sz="4" w:space="0" w:color="auto"/>
              <w:left w:val="single" w:sz="4" w:space="0" w:color="auto"/>
            </w:tcBorders>
            <w:noWrap/>
          </w:tcPr>
          <w:p w14:paraId="26CBD2DF" w14:textId="371D445D" w:rsidR="00233C5D" w:rsidRPr="0076589C" w:rsidRDefault="00233C5D" w:rsidP="000C67E2">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Elaborar un plan de capacitación al personal involucrado en la implementación del módulo de cobranza.</w:t>
            </w:r>
          </w:p>
        </w:tc>
      </w:tr>
      <w:tr w:rsidR="00233C5D" w:rsidRPr="0076589C" w14:paraId="3599C278" w14:textId="77777777" w:rsidTr="00233C5D">
        <w:trPr>
          <w:trHeight w:val="1307"/>
        </w:trPr>
        <w:tc>
          <w:tcPr>
            <w:tcW w:w="1555" w:type="dxa"/>
            <w:vMerge/>
            <w:noWrap/>
          </w:tcPr>
          <w:p w14:paraId="517755B4" w14:textId="77777777" w:rsidR="00233C5D" w:rsidRPr="0076589C" w:rsidRDefault="00233C5D" w:rsidP="002228E3">
            <w:pPr>
              <w:jc w:val="center"/>
              <w:rPr>
                <w:rFonts w:eastAsia="Times New Roman" w:cs="Times New Roman"/>
                <w:color w:val="000000"/>
                <w:sz w:val="16"/>
                <w:szCs w:val="16"/>
                <w:lang w:eastAsia="es-HN"/>
              </w:rPr>
            </w:pPr>
          </w:p>
        </w:tc>
        <w:tc>
          <w:tcPr>
            <w:tcW w:w="1701" w:type="dxa"/>
            <w:vMerge/>
            <w:noWrap/>
          </w:tcPr>
          <w:p w14:paraId="6A1FB491" w14:textId="77777777" w:rsidR="00233C5D" w:rsidRPr="0076589C" w:rsidRDefault="00233C5D" w:rsidP="002228E3">
            <w:pPr>
              <w:jc w:val="center"/>
              <w:rPr>
                <w:rFonts w:eastAsia="Times New Roman" w:cs="Times New Roman"/>
                <w:color w:val="000000"/>
                <w:sz w:val="16"/>
                <w:szCs w:val="16"/>
                <w:lang w:eastAsia="es-HN"/>
              </w:rPr>
            </w:pPr>
          </w:p>
        </w:tc>
        <w:tc>
          <w:tcPr>
            <w:tcW w:w="1275" w:type="dxa"/>
            <w:vMerge w:val="restart"/>
            <w:noWrap/>
          </w:tcPr>
          <w:p w14:paraId="5D5EFC7C" w14:textId="0902D4BF" w:rsidR="00233C5D" w:rsidRPr="0076589C" w:rsidRDefault="00233C5D" w:rsidP="002228E3">
            <w:pPr>
              <w:ind w:left="0"/>
              <w:jc w:val="both"/>
              <w:rPr>
                <w:rFonts w:eastAsia="Times New Roman" w:cs="Times New Roman"/>
                <w:color w:val="000000"/>
                <w:sz w:val="16"/>
                <w:szCs w:val="16"/>
                <w:lang w:eastAsia="es-HN"/>
              </w:rPr>
            </w:pPr>
            <w:r w:rsidRPr="0076589C">
              <w:rPr>
                <w:rFonts w:eastAsia="Times New Roman" w:cs="Times New Roman"/>
                <w:color w:val="000000"/>
                <w:sz w:val="16"/>
                <w:szCs w:val="16"/>
                <w:lang w:eastAsia="es-HN"/>
              </w:rPr>
              <w:t>Verificar las políticas de crédito y cobro implementadas por IPRA en el periodo 2019-2022.</w:t>
            </w:r>
          </w:p>
        </w:tc>
        <w:tc>
          <w:tcPr>
            <w:tcW w:w="1134" w:type="dxa"/>
            <w:vMerge/>
            <w:noWrap/>
          </w:tcPr>
          <w:p w14:paraId="20090AC6" w14:textId="6CE03D57" w:rsidR="00233C5D" w:rsidRPr="0076589C" w:rsidRDefault="00233C5D" w:rsidP="002228E3">
            <w:pPr>
              <w:ind w:left="0"/>
              <w:jc w:val="center"/>
              <w:rPr>
                <w:rFonts w:eastAsia="Times New Roman" w:cs="Times New Roman"/>
                <w:color w:val="000000"/>
                <w:sz w:val="16"/>
                <w:szCs w:val="16"/>
                <w:lang w:eastAsia="es-HN"/>
              </w:rPr>
            </w:pPr>
          </w:p>
        </w:tc>
        <w:tc>
          <w:tcPr>
            <w:tcW w:w="993" w:type="dxa"/>
            <w:vMerge w:val="restart"/>
            <w:noWrap/>
          </w:tcPr>
          <w:p w14:paraId="15EF0CB9" w14:textId="464B22EC" w:rsidR="00233C5D" w:rsidRPr="0076589C" w:rsidRDefault="00233C5D" w:rsidP="002228E3">
            <w:pPr>
              <w:ind w:left="0"/>
              <w:jc w:val="center"/>
              <w:rPr>
                <w:rFonts w:eastAsia="Times New Roman" w:cs="Times New Roman"/>
                <w:color w:val="000000"/>
                <w:sz w:val="16"/>
                <w:szCs w:val="16"/>
                <w:lang w:eastAsia="es-HN"/>
              </w:rPr>
            </w:pPr>
            <w:r w:rsidRPr="0076589C">
              <w:rPr>
                <w:rFonts w:eastAsia="Times New Roman" w:cs="Times New Roman"/>
                <w:color w:val="000000"/>
                <w:sz w:val="16"/>
                <w:szCs w:val="16"/>
                <w:lang w:eastAsia="es-HN"/>
              </w:rPr>
              <w:t>Política de crédito</w:t>
            </w:r>
          </w:p>
        </w:tc>
        <w:tc>
          <w:tcPr>
            <w:tcW w:w="1134" w:type="dxa"/>
            <w:tcBorders>
              <w:bottom w:val="single" w:sz="4" w:space="0" w:color="auto"/>
            </w:tcBorders>
            <w:noWrap/>
          </w:tcPr>
          <w:p w14:paraId="0EC7D0EE" w14:textId="47A0096C" w:rsidR="00233C5D" w:rsidRPr="0076589C" w:rsidRDefault="00233C5D" w:rsidP="002228E3">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Personal del área financiera de IPRA, en especial el gerente financiero</w:t>
            </w:r>
          </w:p>
        </w:tc>
        <w:tc>
          <w:tcPr>
            <w:tcW w:w="1134" w:type="dxa"/>
            <w:tcBorders>
              <w:bottom w:val="single" w:sz="4" w:space="0" w:color="auto"/>
            </w:tcBorders>
            <w:noWrap/>
          </w:tcPr>
          <w:p w14:paraId="22A6E506" w14:textId="7B41898E" w:rsidR="00233C5D" w:rsidRPr="0076589C" w:rsidRDefault="00233C5D" w:rsidP="002228E3">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Entrevista a gerente financiero</w:t>
            </w:r>
          </w:p>
        </w:tc>
        <w:tc>
          <w:tcPr>
            <w:tcW w:w="1559" w:type="dxa"/>
            <w:vMerge w:val="restart"/>
            <w:noWrap/>
          </w:tcPr>
          <w:p w14:paraId="77ACD13F" w14:textId="4955BA21" w:rsidR="00233C5D" w:rsidRPr="0076589C" w:rsidRDefault="00233C5D" w:rsidP="002228E3">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Durante 2019-2022, IPRA ha tenido políticas flexibles de crédito y cobro, estableciendo límites iniciales y ajustándolos según necesidades, con incentivos para pagos a tiempo. Reconocen áreas de mejora en la falta de detalles sobre historiales crediticios y la necesidad de actualizar límites de crédito. A pesar de reducir el período de cobro, buscan modernizar su proceso, actualmente basado en papel, mediante la digitalización para mejorar la eficiencia.</w:t>
            </w:r>
          </w:p>
        </w:tc>
        <w:tc>
          <w:tcPr>
            <w:tcW w:w="1134" w:type="dxa"/>
            <w:vMerge/>
            <w:tcBorders>
              <w:right w:val="single" w:sz="4" w:space="0" w:color="auto"/>
            </w:tcBorders>
            <w:noWrap/>
          </w:tcPr>
          <w:p w14:paraId="3BE45553" w14:textId="77777777" w:rsidR="00233C5D" w:rsidRPr="0076589C" w:rsidRDefault="00233C5D" w:rsidP="002228E3">
            <w:pPr>
              <w:ind w:left="0"/>
              <w:rPr>
                <w:rFonts w:eastAsia="Times New Roman" w:cs="Times New Roman"/>
                <w:color w:val="000000"/>
                <w:sz w:val="16"/>
                <w:szCs w:val="16"/>
                <w:lang w:eastAsia="es-HN"/>
              </w:rPr>
            </w:pPr>
          </w:p>
        </w:tc>
        <w:tc>
          <w:tcPr>
            <w:tcW w:w="1331" w:type="dxa"/>
            <w:vMerge w:val="restart"/>
            <w:tcBorders>
              <w:left w:val="single" w:sz="4" w:space="0" w:color="auto"/>
            </w:tcBorders>
            <w:noWrap/>
          </w:tcPr>
          <w:p w14:paraId="41AA194F" w14:textId="285A3641" w:rsidR="00233C5D" w:rsidRPr="0076589C" w:rsidRDefault="00233C5D" w:rsidP="002228E3">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Realizar recomendaciones sobre los diferentes indicadores claves o módulos que se pueden aplicar como resultado de la implementación del módulo de cobranza.</w:t>
            </w:r>
          </w:p>
        </w:tc>
      </w:tr>
      <w:tr w:rsidR="00233C5D" w:rsidRPr="0076589C" w14:paraId="4E078459" w14:textId="77777777" w:rsidTr="00233C5D">
        <w:trPr>
          <w:trHeight w:val="347"/>
        </w:trPr>
        <w:tc>
          <w:tcPr>
            <w:tcW w:w="1555" w:type="dxa"/>
            <w:vMerge/>
            <w:noWrap/>
          </w:tcPr>
          <w:p w14:paraId="2E64FF9F" w14:textId="77777777" w:rsidR="00233C5D" w:rsidRPr="0076589C" w:rsidRDefault="00233C5D" w:rsidP="002228E3">
            <w:pPr>
              <w:jc w:val="center"/>
              <w:rPr>
                <w:rFonts w:eastAsia="Times New Roman" w:cs="Times New Roman"/>
                <w:color w:val="000000"/>
                <w:sz w:val="16"/>
                <w:szCs w:val="16"/>
                <w:lang w:eastAsia="es-HN"/>
              </w:rPr>
            </w:pPr>
          </w:p>
        </w:tc>
        <w:tc>
          <w:tcPr>
            <w:tcW w:w="1701" w:type="dxa"/>
            <w:vMerge/>
            <w:noWrap/>
          </w:tcPr>
          <w:p w14:paraId="73AF3686" w14:textId="77777777" w:rsidR="00233C5D" w:rsidRPr="0076589C" w:rsidRDefault="00233C5D" w:rsidP="002228E3">
            <w:pPr>
              <w:jc w:val="center"/>
              <w:rPr>
                <w:rFonts w:eastAsia="Times New Roman" w:cs="Times New Roman"/>
                <w:color w:val="000000"/>
                <w:sz w:val="16"/>
                <w:szCs w:val="16"/>
                <w:lang w:eastAsia="es-HN"/>
              </w:rPr>
            </w:pPr>
          </w:p>
        </w:tc>
        <w:tc>
          <w:tcPr>
            <w:tcW w:w="1275" w:type="dxa"/>
            <w:vMerge/>
            <w:noWrap/>
          </w:tcPr>
          <w:p w14:paraId="23CBA2A0" w14:textId="77777777" w:rsidR="00233C5D" w:rsidRPr="0076589C" w:rsidRDefault="00233C5D" w:rsidP="002228E3">
            <w:pPr>
              <w:ind w:left="0"/>
              <w:jc w:val="both"/>
              <w:rPr>
                <w:rFonts w:eastAsia="Times New Roman" w:cs="Times New Roman"/>
                <w:color w:val="000000"/>
                <w:sz w:val="16"/>
                <w:szCs w:val="16"/>
                <w:lang w:eastAsia="es-HN"/>
              </w:rPr>
            </w:pPr>
          </w:p>
        </w:tc>
        <w:tc>
          <w:tcPr>
            <w:tcW w:w="1134" w:type="dxa"/>
            <w:vMerge/>
            <w:noWrap/>
          </w:tcPr>
          <w:p w14:paraId="562A95FC" w14:textId="77777777" w:rsidR="00233C5D" w:rsidRPr="0076589C" w:rsidRDefault="00233C5D" w:rsidP="002228E3">
            <w:pPr>
              <w:ind w:left="0"/>
              <w:jc w:val="center"/>
              <w:rPr>
                <w:rFonts w:eastAsia="Times New Roman" w:cs="Times New Roman"/>
                <w:color w:val="000000"/>
                <w:sz w:val="16"/>
                <w:szCs w:val="16"/>
                <w:lang w:eastAsia="es-HN"/>
              </w:rPr>
            </w:pPr>
          </w:p>
        </w:tc>
        <w:tc>
          <w:tcPr>
            <w:tcW w:w="993" w:type="dxa"/>
            <w:vMerge/>
            <w:noWrap/>
          </w:tcPr>
          <w:p w14:paraId="3AC8D7CA" w14:textId="77777777" w:rsidR="00233C5D" w:rsidRPr="0076589C" w:rsidRDefault="00233C5D" w:rsidP="002228E3">
            <w:pPr>
              <w:ind w:left="0"/>
              <w:jc w:val="center"/>
              <w:rPr>
                <w:rFonts w:eastAsia="Times New Roman" w:cs="Times New Roman"/>
                <w:color w:val="000000"/>
                <w:sz w:val="16"/>
                <w:szCs w:val="16"/>
                <w:lang w:eastAsia="es-HN"/>
              </w:rPr>
            </w:pPr>
          </w:p>
        </w:tc>
        <w:tc>
          <w:tcPr>
            <w:tcW w:w="1134" w:type="dxa"/>
            <w:tcBorders>
              <w:top w:val="single" w:sz="4" w:space="0" w:color="auto"/>
              <w:bottom w:val="single" w:sz="4" w:space="0" w:color="auto"/>
            </w:tcBorders>
            <w:noWrap/>
          </w:tcPr>
          <w:p w14:paraId="460B21CC" w14:textId="5CC15DE3" w:rsidR="00233C5D" w:rsidRPr="0076589C" w:rsidRDefault="00233C5D" w:rsidP="002228E3">
            <w:pPr>
              <w:ind w:left="0"/>
              <w:rPr>
                <w:rFonts w:eastAsia="Times New Roman" w:cs="Times New Roman"/>
                <w:color w:val="000000"/>
                <w:sz w:val="16"/>
                <w:szCs w:val="16"/>
                <w:lang w:eastAsia="es-HN"/>
              </w:rPr>
            </w:pPr>
            <w:r w:rsidRPr="0076589C">
              <w:rPr>
                <w:rFonts w:eastAsia="Times New Roman" w:cs="Times New Roman"/>
                <w:color w:val="000000"/>
                <w:sz w:val="16"/>
                <w:szCs w:val="16"/>
                <w:lang w:val="pt-PT" w:eastAsia="es-HN"/>
              </w:rPr>
              <w:t xml:space="preserve">Bases de datos de IPRA, </w:t>
            </w:r>
          </w:p>
        </w:tc>
        <w:tc>
          <w:tcPr>
            <w:tcW w:w="1134" w:type="dxa"/>
            <w:tcBorders>
              <w:top w:val="single" w:sz="4" w:space="0" w:color="auto"/>
              <w:bottom w:val="single" w:sz="4" w:space="0" w:color="auto"/>
            </w:tcBorders>
            <w:noWrap/>
          </w:tcPr>
          <w:p w14:paraId="341C588A" w14:textId="71A41729" w:rsidR="00233C5D" w:rsidRPr="0076589C" w:rsidRDefault="00233C5D" w:rsidP="002228E3">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Análisis de las bases de datos de la empresa</w:t>
            </w:r>
          </w:p>
        </w:tc>
        <w:tc>
          <w:tcPr>
            <w:tcW w:w="1559" w:type="dxa"/>
            <w:vMerge/>
            <w:noWrap/>
          </w:tcPr>
          <w:p w14:paraId="3E7D8046" w14:textId="77777777" w:rsidR="00233C5D" w:rsidRPr="0076589C" w:rsidRDefault="00233C5D" w:rsidP="002228E3">
            <w:pPr>
              <w:ind w:left="0"/>
              <w:rPr>
                <w:rFonts w:eastAsia="Times New Roman" w:cs="Times New Roman"/>
                <w:color w:val="000000"/>
                <w:sz w:val="16"/>
                <w:szCs w:val="16"/>
                <w:lang w:eastAsia="es-HN"/>
              </w:rPr>
            </w:pPr>
          </w:p>
        </w:tc>
        <w:tc>
          <w:tcPr>
            <w:tcW w:w="1134" w:type="dxa"/>
            <w:vMerge/>
            <w:tcBorders>
              <w:right w:val="single" w:sz="4" w:space="0" w:color="auto"/>
            </w:tcBorders>
            <w:noWrap/>
          </w:tcPr>
          <w:p w14:paraId="6FAEC49C" w14:textId="77777777" w:rsidR="00233C5D" w:rsidRPr="0076589C" w:rsidRDefault="00233C5D" w:rsidP="002228E3">
            <w:pPr>
              <w:ind w:left="0"/>
              <w:rPr>
                <w:rFonts w:eastAsia="Times New Roman" w:cs="Times New Roman"/>
                <w:color w:val="000000"/>
                <w:sz w:val="16"/>
                <w:szCs w:val="16"/>
                <w:lang w:eastAsia="es-HN"/>
              </w:rPr>
            </w:pPr>
          </w:p>
        </w:tc>
        <w:tc>
          <w:tcPr>
            <w:tcW w:w="1331" w:type="dxa"/>
            <w:vMerge/>
            <w:tcBorders>
              <w:left w:val="single" w:sz="4" w:space="0" w:color="auto"/>
            </w:tcBorders>
            <w:noWrap/>
          </w:tcPr>
          <w:p w14:paraId="1EB983F1" w14:textId="77777777" w:rsidR="00233C5D" w:rsidRPr="0076589C" w:rsidRDefault="00233C5D" w:rsidP="002228E3">
            <w:pPr>
              <w:ind w:left="0"/>
              <w:rPr>
                <w:rFonts w:eastAsia="Times New Roman" w:cs="Times New Roman"/>
                <w:color w:val="000000"/>
                <w:sz w:val="16"/>
                <w:szCs w:val="16"/>
                <w:lang w:eastAsia="es-HN"/>
              </w:rPr>
            </w:pPr>
          </w:p>
        </w:tc>
      </w:tr>
      <w:tr w:rsidR="00233C5D" w:rsidRPr="0076589C" w14:paraId="13584433" w14:textId="77777777" w:rsidTr="00233C5D">
        <w:trPr>
          <w:trHeight w:val="746"/>
        </w:trPr>
        <w:tc>
          <w:tcPr>
            <w:tcW w:w="1555" w:type="dxa"/>
            <w:vMerge/>
            <w:noWrap/>
          </w:tcPr>
          <w:p w14:paraId="0E2E25C5" w14:textId="77777777" w:rsidR="00233C5D" w:rsidRPr="0076589C" w:rsidRDefault="00233C5D" w:rsidP="002228E3">
            <w:pPr>
              <w:jc w:val="center"/>
              <w:rPr>
                <w:rFonts w:eastAsia="Times New Roman" w:cs="Times New Roman"/>
                <w:color w:val="000000"/>
                <w:sz w:val="16"/>
                <w:szCs w:val="16"/>
                <w:lang w:eastAsia="es-HN"/>
              </w:rPr>
            </w:pPr>
          </w:p>
        </w:tc>
        <w:tc>
          <w:tcPr>
            <w:tcW w:w="1701" w:type="dxa"/>
            <w:vMerge/>
            <w:noWrap/>
          </w:tcPr>
          <w:p w14:paraId="1B6BB74F" w14:textId="77777777" w:rsidR="00233C5D" w:rsidRPr="0076589C" w:rsidRDefault="00233C5D" w:rsidP="002228E3">
            <w:pPr>
              <w:jc w:val="center"/>
              <w:rPr>
                <w:rFonts w:eastAsia="Times New Roman" w:cs="Times New Roman"/>
                <w:color w:val="000000"/>
                <w:sz w:val="16"/>
                <w:szCs w:val="16"/>
                <w:lang w:eastAsia="es-HN"/>
              </w:rPr>
            </w:pPr>
          </w:p>
        </w:tc>
        <w:tc>
          <w:tcPr>
            <w:tcW w:w="1275" w:type="dxa"/>
            <w:vMerge/>
            <w:noWrap/>
          </w:tcPr>
          <w:p w14:paraId="0E6402C8" w14:textId="77777777" w:rsidR="00233C5D" w:rsidRPr="0076589C" w:rsidRDefault="00233C5D" w:rsidP="002228E3">
            <w:pPr>
              <w:ind w:left="0"/>
              <w:jc w:val="both"/>
              <w:rPr>
                <w:rFonts w:eastAsia="Times New Roman" w:cs="Times New Roman"/>
                <w:color w:val="000000"/>
                <w:sz w:val="16"/>
                <w:szCs w:val="16"/>
                <w:lang w:eastAsia="es-HN"/>
              </w:rPr>
            </w:pPr>
          </w:p>
        </w:tc>
        <w:tc>
          <w:tcPr>
            <w:tcW w:w="1134" w:type="dxa"/>
            <w:vMerge/>
            <w:noWrap/>
          </w:tcPr>
          <w:p w14:paraId="2DCB6529" w14:textId="77777777" w:rsidR="00233C5D" w:rsidRPr="0076589C" w:rsidRDefault="00233C5D" w:rsidP="002228E3">
            <w:pPr>
              <w:ind w:left="0"/>
              <w:jc w:val="center"/>
              <w:rPr>
                <w:rFonts w:eastAsia="Times New Roman" w:cs="Times New Roman"/>
                <w:color w:val="000000"/>
                <w:sz w:val="16"/>
                <w:szCs w:val="16"/>
                <w:lang w:eastAsia="es-HN"/>
              </w:rPr>
            </w:pPr>
          </w:p>
        </w:tc>
        <w:tc>
          <w:tcPr>
            <w:tcW w:w="993" w:type="dxa"/>
            <w:vMerge w:val="restart"/>
            <w:tcBorders>
              <w:top w:val="single" w:sz="4" w:space="0" w:color="auto"/>
            </w:tcBorders>
            <w:noWrap/>
          </w:tcPr>
          <w:p w14:paraId="6EF499B4" w14:textId="4BEE43FD" w:rsidR="00233C5D" w:rsidRPr="0076589C" w:rsidRDefault="00233C5D" w:rsidP="002228E3">
            <w:pPr>
              <w:ind w:left="0"/>
              <w:jc w:val="center"/>
              <w:rPr>
                <w:rFonts w:eastAsia="Times New Roman" w:cs="Times New Roman"/>
                <w:color w:val="000000"/>
                <w:sz w:val="16"/>
                <w:szCs w:val="16"/>
                <w:lang w:eastAsia="es-HN"/>
              </w:rPr>
            </w:pPr>
            <w:r w:rsidRPr="0076589C">
              <w:rPr>
                <w:rFonts w:eastAsia="Times New Roman" w:cs="Times New Roman"/>
                <w:color w:val="000000"/>
                <w:sz w:val="16"/>
                <w:szCs w:val="16"/>
                <w:lang w:eastAsia="es-HN"/>
              </w:rPr>
              <w:t>Política de cobranza</w:t>
            </w:r>
          </w:p>
        </w:tc>
        <w:tc>
          <w:tcPr>
            <w:tcW w:w="1134" w:type="dxa"/>
            <w:tcBorders>
              <w:top w:val="single" w:sz="4" w:space="0" w:color="auto"/>
              <w:bottom w:val="single" w:sz="4" w:space="0" w:color="auto"/>
            </w:tcBorders>
            <w:noWrap/>
          </w:tcPr>
          <w:p w14:paraId="38B976FE" w14:textId="4EF19832" w:rsidR="00233C5D" w:rsidRPr="0076589C" w:rsidRDefault="00233C5D" w:rsidP="00E95D8A">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Estados financieros (Bance general</w:t>
            </w:r>
          </w:p>
        </w:tc>
        <w:tc>
          <w:tcPr>
            <w:tcW w:w="1134" w:type="dxa"/>
            <w:tcBorders>
              <w:top w:val="single" w:sz="4" w:space="0" w:color="auto"/>
              <w:bottom w:val="single" w:sz="4" w:space="0" w:color="auto"/>
            </w:tcBorders>
            <w:noWrap/>
          </w:tcPr>
          <w:p w14:paraId="3E16B7A1" w14:textId="153B49F6" w:rsidR="00233C5D" w:rsidRPr="0076589C" w:rsidRDefault="00233C5D" w:rsidP="001E382B">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Análisis del balance general</w:t>
            </w:r>
          </w:p>
        </w:tc>
        <w:tc>
          <w:tcPr>
            <w:tcW w:w="1559" w:type="dxa"/>
            <w:vMerge/>
            <w:noWrap/>
          </w:tcPr>
          <w:p w14:paraId="088F6EAA" w14:textId="77777777" w:rsidR="00233C5D" w:rsidRPr="0076589C" w:rsidRDefault="00233C5D" w:rsidP="002228E3">
            <w:pPr>
              <w:jc w:val="center"/>
              <w:rPr>
                <w:rFonts w:eastAsia="Times New Roman" w:cs="Times New Roman"/>
                <w:color w:val="000000"/>
                <w:sz w:val="16"/>
                <w:szCs w:val="16"/>
                <w:lang w:eastAsia="es-HN"/>
              </w:rPr>
            </w:pPr>
          </w:p>
        </w:tc>
        <w:tc>
          <w:tcPr>
            <w:tcW w:w="1134" w:type="dxa"/>
            <w:vMerge/>
            <w:tcBorders>
              <w:right w:val="single" w:sz="4" w:space="0" w:color="auto"/>
            </w:tcBorders>
            <w:noWrap/>
          </w:tcPr>
          <w:p w14:paraId="019514B4" w14:textId="77777777" w:rsidR="00233C5D" w:rsidRPr="0076589C" w:rsidRDefault="00233C5D" w:rsidP="002228E3">
            <w:pPr>
              <w:jc w:val="center"/>
              <w:rPr>
                <w:rFonts w:eastAsia="Times New Roman" w:cs="Times New Roman"/>
                <w:color w:val="000000"/>
                <w:sz w:val="16"/>
                <w:szCs w:val="16"/>
                <w:lang w:eastAsia="es-HN"/>
              </w:rPr>
            </w:pPr>
          </w:p>
        </w:tc>
        <w:tc>
          <w:tcPr>
            <w:tcW w:w="1331" w:type="dxa"/>
            <w:vMerge/>
            <w:tcBorders>
              <w:left w:val="single" w:sz="4" w:space="0" w:color="auto"/>
            </w:tcBorders>
            <w:noWrap/>
          </w:tcPr>
          <w:p w14:paraId="4F47DF8F" w14:textId="77777777" w:rsidR="00233C5D" w:rsidRPr="0076589C" w:rsidRDefault="00233C5D" w:rsidP="002228E3">
            <w:pPr>
              <w:jc w:val="center"/>
              <w:rPr>
                <w:rFonts w:eastAsia="Times New Roman" w:cs="Times New Roman"/>
                <w:color w:val="000000"/>
                <w:sz w:val="16"/>
                <w:szCs w:val="16"/>
                <w:lang w:eastAsia="es-HN"/>
              </w:rPr>
            </w:pPr>
          </w:p>
        </w:tc>
      </w:tr>
      <w:tr w:rsidR="00233C5D" w:rsidRPr="0076589C" w14:paraId="6F8AD925" w14:textId="77777777" w:rsidTr="00233C5D">
        <w:trPr>
          <w:trHeight w:val="1409"/>
        </w:trPr>
        <w:tc>
          <w:tcPr>
            <w:tcW w:w="1555" w:type="dxa"/>
            <w:vMerge/>
            <w:noWrap/>
          </w:tcPr>
          <w:p w14:paraId="35A9C58C" w14:textId="77777777" w:rsidR="00233C5D" w:rsidRPr="0076589C" w:rsidRDefault="00233C5D" w:rsidP="00714BBF">
            <w:pPr>
              <w:jc w:val="center"/>
              <w:rPr>
                <w:rFonts w:eastAsia="Times New Roman" w:cs="Times New Roman"/>
                <w:color w:val="000000"/>
                <w:sz w:val="16"/>
                <w:szCs w:val="16"/>
                <w:lang w:eastAsia="es-HN"/>
              </w:rPr>
            </w:pPr>
          </w:p>
        </w:tc>
        <w:tc>
          <w:tcPr>
            <w:tcW w:w="1701" w:type="dxa"/>
            <w:vMerge/>
            <w:noWrap/>
          </w:tcPr>
          <w:p w14:paraId="4D0C5032" w14:textId="77777777" w:rsidR="00233C5D" w:rsidRPr="0076589C" w:rsidRDefault="00233C5D" w:rsidP="00714BBF">
            <w:pPr>
              <w:jc w:val="center"/>
              <w:rPr>
                <w:rFonts w:eastAsia="Times New Roman" w:cs="Times New Roman"/>
                <w:color w:val="000000"/>
                <w:sz w:val="16"/>
                <w:szCs w:val="16"/>
                <w:lang w:eastAsia="es-HN"/>
              </w:rPr>
            </w:pPr>
          </w:p>
        </w:tc>
        <w:tc>
          <w:tcPr>
            <w:tcW w:w="1275" w:type="dxa"/>
            <w:vMerge/>
            <w:noWrap/>
          </w:tcPr>
          <w:p w14:paraId="6C6D5AD0" w14:textId="77777777" w:rsidR="00233C5D" w:rsidRPr="0076589C" w:rsidRDefault="00233C5D" w:rsidP="00714BBF">
            <w:pPr>
              <w:ind w:left="0"/>
              <w:jc w:val="both"/>
              <w:rPr>
                <w:rFonts w:eastAsia="Times New Roman" w:cs="Times New Roman"/>
                <w:color w:val="000000"/>
                <w:sz w:val="16"/>
                <w:szCs w:val="16"/>
                <w:lang w:eastAsia="es-HN"/>
              </w:rPr>
            </w:pPr>
          </w:p>
        </w:tc>
        <w:tc>
          <w:tcPr>
            <w:tcW w:w="1134" w:type="dxa"/>
            <w:vMerge/>
            <w:noWrap/>
          </w:tcPr>
          <w:p w14:paraId="3A41D6CC" w14:textId="77777777" w:rsidR="00233C5D" w:rsidRPr="0076589C" w:rsidRDefault="00233C5D" w:rsidP="00714BBF">
            <w:pPr>
              <w:ind w:left="0"/>
              <w:jc w:val="center"/>
              <w:rPr>
                <w:rFonts w:eastAsia="Times New Roman" w:cs="Times New Roman"/>
                <w:color w:val="000000"/>
                <w:sz w:val="16"/>
                <w:szCs w:val="16"/>
                <w:lang w:eastAsia="es-HN"/>
              </w:rPr>
            </w:pPr>
          </w:p>
        </w:tc>
        <w:tc>
          <w:tcPr>
            <w:tcW w:w="993" w:type="dxa"/>
            <w:vMerge/>
            <w:noWrap/>
          </w:tcPr>
          <w:p w14:paraId="0ADA260E" w14:textId="77777777" w:rsidR="00233C5D" w:rsidRPr="0076589C" w:rsidRDefault="00233C5D" w:rsidP="00714BBF">
            <w:pPr>
              <w:ind w:left="0"/>
              <w:jc w:val="center"/>
              <w:rPr>
                <w:rFonts w:eastAsia="Times New Roman" w:cs="Times New Roman"/>
                <w:color w:val="000000"/>
                <w:sz w:val="16"/>
                <w:szCs w:val="16"/>
                <w:lang w:eastAsia="es-HN"/>
              </w:rPr>
            </w:pPr>
          </w:p>
        </w:tc>
        <w:tc>
          <w:tcPr>
            <w:tcW w:w="1134" w:type="dxa"/>
            <w:tcBorders>
              <w:top w:val="single" w:sz="4" w:space="0" w:color="auto"/>
              <w:bottom w:val="single" w:sz="4" w:space="0" w:color="auto"/>
            </w:tcBorders>
            <w:noWrap/>
          </w:tcPr>
          <w:p w14:paraId="00C5C3C8" w14:textId="5EE2DEE6" w:rsidR="00233C5D" w:rsidRPr="0076589C" w:rsidRDefault="00233C5D" w:rsidP="00714BBF">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Personal del área financiera de IPRA, en especial el gerente financiero</w:t>
            </w:r>
          </w:p>
          <w:p w14:paraId="6DF2A7AC" w14:textId="77777777" w:rsidR="00233C5D" w:rsidRPr="0076589C" w:rsidRDefault="00233C5D" w:rsidP="00714BBF">
            <w:pPr>
              <w:jc w:val="center"/>
              <w:rPr>
                <w:rFonts w:eastAsia="Times New Roman" w:cs="Times New Roman"/>
                <w:color w:val="000000"/>
                <w:sz w:val="16"/>
                <w:szCs w:val="16"/>
                <w:lang w:eastAsia="es-HN"/>
              </w:rPr>
            </w:pPr>
          </w:p>
        </w:tc>
        <w:tc>
          <w:tcPr>
            <w:tcW w:w="1134" w:type="dxa"/>
            <w:tcBorders>
              <w:top w:val="single" w:sz="4" w:space="0" w:color="auto"/>
              <w:bottom w:val="single" w:sz="4" w:space="0" w:color="auto"/>
            </w:tcBorders>
            <w:noWrap/>
          </w:tcPr>
          <w:p w14:paraId="1117615B" w14:textId="4A711137" w:rsidR="00233C5D" w:rsidRPr="0076589C" w:rsidRDefault="00233C5D" w:rsidP="00714BBF">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Entrevista a gerente financiero</w:t>
            </w:r>
          </w:p>
        </w:tc>
        <w:tc>
          <w:tcPr>
            <w:tcW w:w="1559" w:type="dxa"/>
            <w:vMerge/>
            <w:noWrap/>
          </w:tcPr>
          <w:p w14:paraId="48FE9AE1" w14:textId="77777777" w:rsidR="00233C5D" w:rsidRPr="0076589C" w:rsidRDefault="00233C5D" w:rsidP="00714BBF">
            <w:pPr>
              <w:jc w:val="center"/>
              <w:rPr>
                <w:rFonts w:eastAsia="Times New Roman" w:cs="Times New Roman"/>
                <w:color w:val="000000"/>
                <w:sz w:val="16"/>
                <w:szCs w:val="16"/>
                <w:lang w:eastAsia="es-HN"/>
              </w:rPr>
            </w:pPr>
          </w:p>
        </w:tc>
        <w:tc>
          <w:tcPr>
            <w:tcW w:w="1134" w:type="dxa"/>
            <w:vMerge/>
            <w:tcBorders>
              <w:right w:val="single" w:sz="4" w:space="0" w:color="auto"/>
            </w:tcBorders>
            <w:noWrap/>
          </w:tcPr>
          <w:p w14:paraId="6A8873C4" w14:textId="77777777" w:rsidR="00233C5D" w:rsidRPr="0076589C" w:rsidRDefault="00233C5D" w:rsidP="00714BBF">
            <w:pPr>
              <w:jc w:val="center"/>
              <w:rPr>
                <w:rFonts w:eastAsia="Times New Roman" w:cs="Times New Roman"/>
                <w:color w:val="000000"/>
                <w:sz w:val="16"/>
                <w:szCs w:val="16"/>
                <w:lang w:eastAsia="es-HN"/>
              </w:rPr>
            </w:pPr>
          </w:p>
        </w:tc>
        <w:tc>
          <w:tcPr>
            <w:tcW w:w="1331" w:type="dxa"/>
            <w:vMerge/>
            <w:tcBorders>
              <w:left w:val="single" w:sz="4" w:space="0" w:color="auto"/>
            </w:tcBorders>
            <w:noWrap/>
          </w:tcPr>
          <w:p w14:paraId="0FCE11BA" w14:textId="77777777" w:rsidR="00233C5D" w:rsidRPr="0076589C" w:rsidRDefault="00233C5D" w:rsidP="00714BBF">
            <w:pPr>
              <w:jc w:val="center"/>
              <w:rPr>
                <w:rFonts w:eastAsia="Times New Roman" w:cs="Times New Roman"/>
                <w:color w:val="000000"/>
                <w:sz w:val="16"/>
                <w:szCs w:val="16"/>
                <w:lang w:eastAsia="es-HN"/>
              </w:rPr>
            </w:pPr>
          </w:p>
        </w:tc>
      </w:tr>
      <w:tr w:rsidR="00233C5D" w:rsidRPr="0076589C" w14:paraId="4A0D3A13" w14:textId="77777777" w:rsidTr="00233C5D">
        <w:trPr>
          <w:trHeight w:val="849"/>
        </w:trPr>
        <w:tc>
          <w:tcPr>
            <w:tcW w:w="1555" w:type="dxa"/>
            <w:vMerge/>
            <w:noWrap/>
          </w:tcPr>
          <w:p w14:paraId="0FA64DC4" w14:textId="77777777" w:rsidR="00233C5D" w:rsidRPr="0076589C" w:rsidRDefault="00233C5D" w:rsidP="00714BBF">
            <w:pPr>
              <w:jc w:val="center"/>
              <w:rPr>
                <w:rFonts w:eastAsia="Times New Roman" w:cs="Times New Roman"/>
                <w:color w:val="000000"/>
                <w:sz w:val="16"/>
                <w:szCs w:val="16"/>
                <w:lang w:eastAsia="es-HN"/>
              </w:rPr>
            </w:pPr>
          </w:p>
        </w:tc>
        <w:tc>
          <w:tcPr>
            <w:tcW w:w="1701" w:type="dxa"/>
            <w:vMerge/>
            <w:noWrap/>
          </w:tcPr>
          <w:p w14:paraId="7A0201EF" w14:textId="77777777" w:rsidR="00233C5D" w:rsidRPr="0076589C" w:rsidRDefault="00233C5D" w:rsidP="00714BBF">
            <w:pPr>
              <w:jc w:val="center"/>
              <w:rPr>
                <w:rFonts w:eastAsia="Times New Roman" w:cs="Times New Roman"/>
                <w:color w:val="000000"/>
                <w:sz w:val="16"/>
                <w:szCs w:val="16"/>
                <w:lang w:eastAsia="es-HN"/>
              </w:rPr>
            </w:pPr>
          </w:p>
        </w:tc>
        <w:tc>
          <w:tcPr>
            <w:tcW w:w="1275" w:type="dxa"/>
            <w:vMerge/>
            <w:noWrap/>
          </w:tcPr>
          <w:p w14:paraId="3A1134B2" w14:textId="77777777" w:rsidR="00233C5D" w:rsidRPr="0076589C" w:rsidRDefault="00233C5D" w:rsidP="00714BBF">
            <w:pPr>
              <w:ind w:left="0"/>
              <w:jc w:val="both"/>
              <w:rPr>
                <w:rFonts w:eastAsia="Times New Roman" w:cs="Times New Roman"/>
                <w:color w:val="000000"/>
                <w:sz w:val="16"/>
                <w:szCs w:val="16"/>
                <w:lang w:eastAsia="es-HN"/>
              </w:rPr>
            </w:pPr>
          </w:p>
        </w:tc>
        <w:tc>
          <w:tcPr>
            <w:tcW w:w="1134" w:type="dxa"/>
            <w:vMerge/>
            <w:noWrap/>
          </w:tcPr>
          <w:p w14:paraId="411F68B4" w14:textId="77777777" w:rsidR="00233C5D" w:rsidRPr="0076589C" w:rsidRDefault="00233C5D" w:rsidP="00714BBF">
            <w:pPr>
              <w:ind w:left="0"/>
              <w:jc w:val="center"/>
              <w:rPr>
                <w:rFonts w:eastAsia="Times New Roman" w:cs="Times New Roman"/>
                <w:color w:val="000000"/>
                <w:sz w:val="16"/>
                <w:szCs w:val="16"/>
                <w:lang w:eastAsia="es-HN"/>
              </w:rPr>
            </w:pPr>
          </w:p>
        </w:tc>
        <w:tc>
          <w:tcPr>
            <w:tcW w:w="993" w:type="dxa"/>
            <w:vMerge/>
            <w:noWrap/>
          </w:tcPr>
          <w:p w14:paraId="6D00ABA3" w14:textId="77777777" w:rsidR="00233C5D" w:rsidRPr="0076589C" w:rsidRDefault="00233C5D" w:rsidP="00714BBF">
            <w:pPr>
              <w:ind w:left="0"/>
              <w:jc w:val="center"/>
              <w:rPr>
                <w:rFonts w:eastAsia="Times New Roman" w:cs="Times New Roman"/>
                <w:color w:val="000000"/>
                <w:sz w:val="16"/>
                <w:szCs w:val="16"/>
                <w:lang w:eastAsia="es-HN"/>
              </w:rPr>
            </w:pPr>
          </w:p>
        </w:tc>
        <w:tc>
          <w:tcPr>
            <w:tcW w:w="1134" w:type="dxa"/>
            <w:tcBorders>
              <w:top w:val="single" w:sz="4" w:space="0" w:color="auto"/>
              <w:bottom w:val="single" w:sz="4" w:space="0" w:color="auto"/>
            </w:tcBorders>
            <w:noWrap/>
          </w:tcPr>
          <w:p w14:paraId="4DC57BC8" w14:textId="49D9CB25" w:rsidR="00233C5D" w:rsidRPr="0076589C" w:rsidRDefault="00233C5D" w:rsidP="00E95D8A">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Bases de datos de la empresa</w:t>
            </w:r>
          </w:p>
        </w:tc>
        <w:tc>
          <w:tcPr>
            <w:tcW w:w="1134" w:type="dxa"/>
            <w:tcBorders>
              <w:top w:val="single" w:sz="4" w:space="0" w:color="auto"/>
              <w:bottom w:val="single" w:sz="4" w:space="0" w:color="auto"/>
            </w:tcBorders>
            <w:noWrap/>
          </w:tcPr>
          <w:p w14:paraId="2C2A9354" w14:textId="3B62FAA0" w:rsidR="00233C5D" w:rsidRPr="0076589C" w:rsidRDefault="00233C5D" w:rsidP="00714BBF">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Análisis de las bases de datos de la empresa</w:t>
            </w:r>
          </w:p>
        </w:tc>
        <w:tc>
          <w:tcPr>
            <w:tcW w:w="1559" w:type="dxa"/>
            <w:vMerge/>
            <w:noWrap/>
          </w:tcPr>
          <w:p w14:paraId="7862D807" w14:textId="77777777" w:rsidR="00233C5D" w:rsidRPr="0076589C" w:rsidRDefault="00233C5D" w:rsidP="00714BBF">
            <w:pPr>
              <w:jc w:val="center"/>
              <w:rPr>
                <w:rFonts w:eastAsia="Times New Roman" w:cs="Times New Roman"/>
                <w:color w:val="000000"/>
                <w:sz w:val="16"/>
                <w:szCs w:val="16"/>
                <w:lang w:eastAsia="es-HN"/>
              </w:rPr>
            </w:pPr>
          </w:p>
        </w:tc>
        <w:tc>
          <w:tcPr>
            <w:tcW w:w="1134" w:type="dxa"/>
            <w:vMerge/>
            <w:tcBorders>
              <w:right w:val="single" w:sz="4" w:space="0" w:color="auto"/>
            </w:tcBorders>
            <w:noWrap/>
          </w:tcPr>
          <w:p w14:paraId="03066E92" w14:textId="77777777" w:rsidR="00233C5D" w:rsidRPr="0076589C" w:rsidRDefault="00233C5D" w:rsidP="00714BBF">
            <w:pPr>
              <w:jc w:val="center"/>
              <w:rPr>
                <w:rFonts w:eastAsia="Times New Roman" w:cs="Times New Roman"/>
                <w:color w:val="000000"/>
                <w:sz w:val="16"/>
                <w:szCs w:val="16"/>
                <w:lang w:eastAsia="es-HN"/>
              </w:rPr>
            </w:pPr>
          </w:p>
        </w:tc>
        <w:tc>
          <w:tcPr>
            <w:tcW w:w="1331" w:type="dxa"/>
            <w:vMerge/>
            <w:tcBorders>
              <w:left w:val="single" w:sz="4" w:space="0" w:color="auto"/>
            </w:tcBorders>
            <w:noWrap/>
          </w:tcPr>
          <w:p w14:paraId="28CC8B6A" w14:textId="77777777" w:rsidR="00233C5D" w:rsidRPr="0076589C" w:rsidRDefault="00233C5D" w:rsidP="00714BBF">
            <w:pPr>
              <w:jc w:val="center"/>
              <w:rPr>
                <w:rFonts w:eastAsia="Times New Roman" w:cs="Times New Roman"/>
                <w:color w:val="000000"/>
                <w:sz w:val="16"/>
                <w:szCs w:val="16"/>
                <w:lang w:eastAsia="es-HN"/>
              </w:rPr>
            </w:pPr>
          </w:p>
        </w:tc>
      </w:tr>
      <w:tr w:rsidR="00233C5D" w:rsidRPr="0076589C" w14:paraId="5B4DFE2B" w14:textId="77777777" w:rsidTr="00233C5D">
        <w:trPr>
          <w:trHeight w:val="62"/>
        </w:trPr>
        <w:tc>
          <w:tcPr>
            <w:tcW w:w="1555" w:type="dxa"/>
            <w:vMerge/>
            <w:noWrap/>
          </w:tcPr>
          <w:p w14:paraId="027CB84B" w14:textId="77777777" w:rsidR="00233C5D" w:rsidRPr="0076589C" w:rsidRDefault="00233C5D" w:rsidP="00714BBF">
            <w:pPr>
              <w:jc w:val="center"/>
              <w:rPr>
                <w:rFonts w:eastAsia="Times New Roman" w:cs="Times New Roman"/>
                <w:color w:val="000000"/>
                <w:sz w:val="16"/>
                <w:szCs w:val="16"/>
                <w:lang w:eastAsia="es-HN"/>
              </w:rPr>
            </w:pPr>
          </w:p>
        </w:tc>
        <w:tc>
          <w:tcPr>
            <w:tcW w:w="1701" w:type="dxa"/>
            <w:vMerge/>
            <w:noWrap/>
          </w:tcPr>
          <w:p w14:paraId="05B6BE3C" w14:textId="77777777" w:rsidR="00233C5D" w:rsidRPr="0076589C" w:rsidRDefault="00233C5D" w:rsidP="00714BBF">
            <w:pPr>
              <w:jc w:val="center"/>
              <w:rPr>
                <w:rFonts w:eastAsia="Times New Roman" w:cs="Times New Roman"/>
                <w:color w:val="000000"/>
                <w:sz w:val="16"/>
                <w:szCs w:val="16"/>
                <w:lang w:eastAsia="es-HN"/>
              </w:rPr>
            </w:pPr>
          </w:p>
        </w:tc>
        <w:tc>
          <w:tcPr>
            <w:tcW w:w="1275" w:type="dxa"/>
            <w:tcBorders>
              <w:bottom w:val="single" w:sz="4" w:space="0" w:color="auto"/>
            </w:tcBorders>
            <w:noWrap/>
          </w:tcPr>
          <w:p w14:paraId="4EACC4FC" w14:textId="2C08185E" w:rsidR="00233C5D" w:rsidRPr="0076589C" w:rsidRDefault="00233C5D" w:rsidP="00714BBF">
            <w:pPr>
              <w:ind w:left="0"/>
              <w:jc w:val="both"/>
              <w:rPr>
                <w:rFonts w:eastAsia="Times New Roman" w:cs="Times New Roman"/>
                <w:color w:val="000000"/>
                <w:sz w:val="16"/>
                <w:szCs w:val="16"/>
                <w:lang w:eastAsia="es-HN"/>
              </w:rPr>
            </w:pPr>
            <w:r w:rsidRPr="0076589C">
              <w:rPr>
                <w:rFonts w:eastAsia="Times New Roman" w:cs="Times New Roman"/>
                <w:color w:val="000000"/>
                <w:sz w:val="16"/>
                <w:szCs w:val="16"/>
                <w:lang w:eastAsia="es-HN"/>
              </w:rPr>
              <w:t xml:space="preserve">Analizar los resultados que muestran los indicadores de </w:t>
            </w:r>
            <w:r w:rsidRPr="0076589C">
              <w:rPr>
                <w:rFonts w:eastAsia="Times New Roman" w:cs="Times New Roman"/>
                <w:color w:val="000000"/>
                <w:sz w:val="16"/>
                <w:szCs w:val="16"/>
                <w:lang w:eastAsia="es-HN"/>
              </w:rPr>
              <w:lastRenderedPageBreak/>
              <w:t xml:space="preserve">rentabilidad, liquidez, endeudamiento y la estructura de capital de la empresa IPRA ante el aumento en los niveles de crédito otorgado en el periodo del 2019 – 2022. </w:t>
            </w:r>
          </w:p>
        </w:tc>
        <w:tc>
          <w:tcPr>
            <w:tcW w:w="1134" w:type="dxa"/>
            <w:vMerge/>
            <w:noWrap/>
          </w:tcPr>
          <w:p w14:paraId="550DE96D" w14:textId="4C52A423" w:rsidR="00233C5D" w:rsidRPr="0076589C" w:rsidRDefault="00233C5D" w:rsidP="00714BBF">
            <w:pPr>
              <w:ind w:left="0"/>
              <w:jc w:val="center"/>
              <w:rPr>
                <w:rFonts w:eastAsia="Times New Roman" w:cs="Times New Roman"/>
                <w:color w:val="000000"/>
                <w:sz w:val="16"/>
                <w:szCs w:val="16"/>
                <w:lang w:eastAsia="es-HN"/>
              </w:rPr>
            </w:pPr>
          </w:p>
        </w:tc>
        <w:tc>
          <w:tcPr>
            <w:tcW w:w="993" w:type="dxa"/>
            <w:tcBorders>
              <w:bottom w:val="single" w:sz="4" w:space="0" w:color="auto"/>
            </w:tcBorders>
            <w:noWrap/>
          </w:tcPr>
          <w:p w14:paraId="11C0EF1D" w14:textId="0A6FECE8" w:rsidR="00233C5D" w:rsidRPr="0076589C" w:rsidRDefault="00233C5D" w:rsidP="000029AF">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Indicadores financieros</w:t>
            </w:r>
          </w:p>
        </w:tc>
        <w:tc>
          <w:tcPr>
            <w:tcW w:w="1134" w:type="dxa"/>
            <w:tcBorders>
              <w:top w:val="single" w:sz="4" w:space="0" w:color="auto"/>
              <w:bottom w:val="single" w:sz="4" w:space="0" w:color="auto"/>
            </w:tcBorders>
            <w:noWrap/>
          </w:tcPr>
          <w:p w14:paraId="31A1F052" w14:textId="6937E17B" w:rsidR="00233C5D" w:rsidRPr="0076589C" w:rsidRDefault="00233C5D" w:rsidP="00714BBF">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Estados financieros de la empresa</w:t>
            </w:r>
          </w:p>
        </w:tc>
        <w:tc>
          <w:tcPr>
            <w:tcW w:w="1134" w:type="dxa"/>
            <w:tcBorders>
              <w:top w:val="single" w:sz="4" w:space="0" w:color="auto"/>
              <w:bottom w:val="single" w:sz="4" w:space="0" w:color="auto"/>
            </w:tcBorders>
            <w:noWrap/>
          </w:tcPr>
          <w:p w14:paraId="2C8D49E4" w14:textId="4E118CFB" w:rsidR="00233C5D" w:rsidRPr="0076589C" w:rsidRDefault="00233C5D" w:rsidP="00714BBF">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t xml:space="preserve">Análisis de los datos los estados </w:t>
            </w:r>
            <w:r w:rsidRPr="0076589C">
              <w:rPr>
                <w:rFonts w:eastAsia="Times New Roman" w:cs="Times New Roman"/>
                <w:color w:val="000000"/>
                <w:sz w:val="16"/>
                <w:szCs w:val="16"/>
                <w:lang w:eastAsia="es-HN"/>
              </w:rPr>
              <w:lastRenderedPageBreak/>
              <w:t>financieros de la empresa</w:t>
            </w:r>
          </w:p>
        </w:tc>
        <w:tc>
          <w:tcPr>
            <w:tcW w:w="1559" w:type="dxa"/>
            <w:tcBorders>
              <w:bottom w:val="single" w:sz="4" w:space="0" w:color="auto"/>
            </w:tcBorders>
            <w:noWrap/>
          </w:tcPr>
          <w:p w14:paraId="435869F9" w14:textId="7A7E3C95" w:rsidR="00233C5D" w:rsidRPr="0076589C" w:rsidRDefault="00233C5D" w:rsidP="00714BBF">
            <w:pPr>
              <w:ind w:left="0"/>
              <w:rPr>
                <w:rFonts w:eastAsia="Times New Roman" w:cs="Times New Roman"/>
                <w:color w:val="000000"/>
                <w:sz w:val="16"/>
                <w:szCs w:val="16"/>
                <w:lang w:eastAsia="es-HN"/>
              </w:rPr>
            </w:pPr>
            <w:r w:rsidRPr="0076589C">
              <w:rPr>
                <w:rFonts w:eastAsia="Times New Roman" w:cs="Times New Roman"/>
                <w:color w:val="000000"/>
                <w:sz w:val="16"/>
                <w:szCs w:val="16"/>
                <w:lang w:eastAsia="es-HN"/>
              </w:rPr>
              <w:lastRenderedPageBreak/>
              <w:t xml:space="preserve">Los indicadores financieros de IPRA entre 2019 y 2022 muestran una sólida </w:t>
            </w:r>
            <w:r w:rsidRPr="0076589C">
              <w:rPr>
                <w:rFonts w:eastAsia="Times New Roman" w:cs="Times New Roman"/>
                <w:color w:val="000000"/>
                <w:sz w:val="16"/>
                <w:szCs w:val="16"/>
                <w:lang w:eastAsia="es-HN"/>
              </w:rPr>
              <w:lastRenderedPageBreak/>
              <w:t xml:space="preserve">dinámica financiera. Mantuvo márgenes saludables de utilidad bruta (34-36%) y </w:t>
            </w:r>
            <w:r w:rsidR="001E6AA1" w:rsidRPr="0076589C">
              <w:rPr>
                <w:rFonts w:eastAsia="Times New Roman" w:cs="Times New Roman"/>
                <w:color w:val="000000"/>
                <w:sz w:val="16"/>
                <w:szCs w:val="16"/>
                <w:lang w:eastAsia="es-HN"/>
              </w:rPr>
              <w:t>en el margen de</w:t>
            </w:r>
            <w:r w:rsidRPr="0076589C">
              <w:rPr>
                <w:rFonts w:eastAsia="Times New Roman" w:cs="Times New Roman"/>
                <w:color w:val="000000"/>
                <w:sz w:val="16"/>
                <w:szCs w:val="16"/>
                <w:lang w:eastAsia="es-HN"/>
              </w:rPr>
              <w:t xml:space="preserve"> utilidad neta (3-8%)</w:t>
            </w:r>
            <w:r w:rsidR="00800238" w:rsidRPr="0076589C">
              <w:rPr>
                <w:rFonts w:eastAsia="Times New Roman" w:cs="Times New Roman"/>
                <w:color w:val="000000"/>
                <w:sz w:val="16"/>
                <w:szCs w:val="16"/>
                <w:lang w:eastAsia="es-HN"/>
              </w:rPr>
              <w:t xml:space="preserve"> lo que representa que IPRA tiene</w:t>
            </w:r>
            <w:r w:rsidR="00EB654B" w:rsidRPr="0076589C">
              <w:t xml:space="preserve"> </w:t>
            </w:r>
            <w:r w:rsidR="00EB654B" w:rsidRPr="0076589C">
              <w:rPr>
                <w:rFonts w:eastAsia="Times New Roman" w:cs="Times New Roman"/>
                <w:color w:val="000000"/>
                <w:sz w:val="16"/>
                <w:szCs w:val="16"/>
                <w:lang w:eastAsia="es-HN"/>
              </w:rPr>
              <w:t>desafío para mantener una rentabilidad solida después de los gastos de operación</w:t>
            </w:r>
            <w:r w:rsidRPr="0076589C">
              <w:rPr>
                <w:rFonts w:eastAsia="Times New Roman" w:cs="Times New Roman"/>
                <w:color w:val="000000"/>
                <w:sz w:val="16"/>
                <w:szCs w:val="16"/>
                <w:lang w:eastAsia="es-HN"/>
              </w:rPr>
              <w:t xml:space="preserve">. El EBITDA evidenció una mejora continua, reflejando una efectiva generación de ingresos. Los indicadores de rentabilidad se mantuvieron altos, con un ROE consistente del 99.89%, indicando su capacidad para generar valor. En cuanto a la liquidez, hubo variaciones en la liquidez corriente y la razón rápida, pero la razón de efectivo mejoró constantemente, señalando la capacidad para cubrir deudas a corto plazo con efectivo. Aunque el índice de endeudamiento se mantuvo estable y la estructura de capital experimentó cambios, la estrategia de reducir </w:t>
            </w:r>
            <w:r w:rsidRPr="0076589C">
              <w:rPr>
                <w:rFonts w:eastAsia="Times New Roman" w:cs="Times New Roman"/>
                <w:color w:val="000000"/>
                <w:sz w:val="16"/>
                <w:szCs w:val="16"/>
                <w:lang w:eastAsia="es-HN"/>
              </w:rPr>
              <w:lastRenderedPageBreak/>
              <w:t>la dependencia de la deuda fortaleció la posición financiera de IPRA.</w:t>
            </w:r>
          </w:p>
        </w:tc>
        <w:tc>
          <w:tcPr>
            <w:tcW w:w="1134" w:type="dxa"/>
            <w:vMerge/>
            <w:tcBorders>
              <w:right w:val="single" w:sz="4" w:space="0" w:color="auto"/>
            </w:tcBorders>
            <w:noWrap/>
          </w:tcPr>
          <w:p w14:paraId="31E64D80" w14:textId="77777777" w:rsidR="00233C5D" w:rsidRPr="0076589C" w:rsidRDefault="00233C5D" w:rsidP="00714BBF">
            <w:pPr>
              <w:ind w:left="0"/>
              <w:rPr>
                <w:rFonts w:eastAsia="Times New Roman" w:cs="Times New Roman"/>
                <w:color w:val="000000"/>
                <w:sz w:val="16"/>
                <w:szCs w:val="16"/>
                <w:lang w:eastAsia="es-HN"/>
              </w:rPr>
            </w:pPr>
          </w:p>
        </w:tc>
        <w:tc>
          <w:tcPr>
            <w:tcW w:w="1331" w:type="dxa"/>
            <w:vMerge/>
            <w:tcBorders>
              <w:left w:val="single" w:sz="4" w:space="0" w:color="auto"/>
            </w:tcBorders>
            <w:noWrap/>
          </w:tcPr>
          <w:p w14:paraId="6B37EB62" w14:textId="77777777" w:rsidR="00233C5D" w:rsidRPr="0076589C" w:rsidRDefault="00233C5D" w:rsidP="00714BBF">
            <w:pPr>
              <w:ind w:left="0"/>
              <w:rPr>
                <w:rFonts w:eastAsia="Times New Roman" w:cs="Times New Roman"/>
                <w:color w:val="000000"/>
                <w:sz w:val="16"/>
                <w:szCs w:val="16"/>
                <w:lang w:eastAsia="es-HN"/>
              </w:rPr>
            </w:pPr>
          </w:p>
        </w:tc>
      </w:tr>
    </w:tbl>
    <w:p w14:paraId="77E36421" w14:textId="504F56CF" w:rsidR="006E43A3" w:rsidRPr="0076589C" w:rsidRDefault="006E43A3" w:rsidP="006E43A3">
      <w:pPr>
        <w:tabs>
          <w:tab w:val="left" w:pos="4747"/>
        </w:tabs>
        <w:ind w:left="0"/>
      </w:pPr>
    </w:p>
    <w:p w14:paraId="62004CAF" w14:textId="6985430B" w:rsidR="006E43A3" w:rsidRPr="0076589C" w:rsidRDefault="006E43A3" w:rsidP="006E43A3">
      <w:pPr>
        <w:tabs>
          <w:tab w:val="left" w:pos="4747"/>
        </w:tabs>
        <w:sectPr w:rsidR="006E43A3" w:rsidRPr="0076589C" w:rsidSect="008C6BD1">
          <w:pgSz w:w="15840" w:h="12240" w:orient="landscape" w:code="1"/>
          <w:pgMar w:top="1440" w:right="1440" w:bottom="1440" w:left="1440" w:header="720" w:footer="720" w:gutter="0"/>
          <w:cols w:space="720"/>
          <w:docGrid w:linePitch="360"/>
        </w:sectPr>
      </w:pPr>
      <w:r w:rsidRPr="0076589C">
        <w:tab/>
      </w:r>
    </w:p>
    <w:p w14:paraId="693A0790" w14:textId="608593BF" w:rsidR="002C704B" w:rsidRPr="0076589C" w:rsidRDefault="1C8D6E3A" w:rsidP="00812171">
      <w:pPr>
        <w:pStyle w:val="Ttulo1"/>
        <w:rPr>
          <w:rFonts w:eastAsia="Calibri"/>
          <w:lang w:val="pt-PT"/>
        </w:rPr>
      </w:pPr>
      <w:bookmarkStart w:id="349" w:name="_Toc158365547"/>
      <w:r w:rsidRPr="0076589C">
        <w:rPr>
          <w:lang w:val="pt-PT"/>
        </w:rPr>
        <w:lastRenderedPageBreak/>
        <w:t>REFERENCIAS BIBLIOGRÁFICAS</w:t>
      </w:r>
      <w:bookmarkEnd w:id="191"/>
      <w:bookmarkEnd w:id="349"/>
    </w:p>
    <w:p w14:paraId="547D8977" w14:textId="77777777" w:rsidR="008F1200" w:rsidRPr="0076589C" w:rsidRDefault="00D67B1F" w:rsidP="008F1200">
      <w:pPr>
        <w:pStyle w:val="Bibliografa"/>
      </w:pPr>
      <w:r w:rsidRPr="0076589C">
        <w:fldChar w:fldCharType="begin"/>
      </w:r>
      <w:r w:rsidR="00816027" w:rsidRPr="0076589C">
        <w:rPr>
          <w:lang w:val="pt-PT"/>
        </w:rPr>
        <w:instrText xml:space="preserve"> ADDIN ZOTERO_BIBL {"uncited":[],"omitted":[],"custom":[]} CSL_BIBLIOGRAPHY </w:instrText>
      </w:r>
      <w:r w:rsidRPr="0076589C">
        <w:fldChar w:fldCharType="separate"/>
      </w:r>
      <w:r w:rsidR="008F1200" w:rsidRPr="0076589C">
        <w:rPr>
          <w:lang w:val="pt-PT"/>
        </w:rPr>
        <w:t xml:space="preserve">Acevedo, F. E. M. (2019). </w:t>
      </w:r>
      <w:r w:rsidR="008F1200" w:rsidRPr="0076589C">
        <w:rPr>
          <w:i/>
          <w:iCs/>
        </w:rPr>
        <w:t>Gestión de cobro y recuperación de cartera de la empresa Francisco Murillo S.A.S</w:t>
      </w:r>
      <w:r w:rsidR="008F1200" w:rsidRPr="0076589C">
        <w:t>.</w:t>
      </w:r>
    </w:p>
    <w:p w14:paraId="6F0F8F6A" w14:textId="77777777" w:rsidR="008F1200" w:rsidRPr="0076589C" w:rsidRDefault="008F1200" w:rsidP="008F1200">
      <w:pPr>
        <w:pStyle w:val="Bibliografa"/>
      </w:pPr>
      <w:r w:rsidRPr="0076589C">
        <w:t xml:space="preserve">Alcarria, J. J. (2008). </w:t>
      </w:r>
      <w:r w:rsidRPr="0076589C">
        <w:rPr>
          <w:i/>
          <w:iCs/>
        </w:rPr>
        <w:t>Contabilidad financiera I</w:t>
      </w:r>
      <w:r w:rsidRPr="0076589C">
        <w:t>. Publicacions de la Universitat Jaume I.</w:t>
      </w:r>
    </w:p>
    <w:p w14:paraId="42FDD902" w14:textId="77777777" w:rsidR="008F1200" w:rsidRPr="0076589C" w:rsidRDefault="008F1200" w:rsidP="008F1200">
      <w:pPr>
        <w:pStyle w:val="Bibliografa"/>
      </w:pPr>
      <w:r w:rsidRPr="0076589C">
        <w:t xml:space="preserve">Aldena, H. (1980). </w:t>
      </w:r>
      <w:r w:rsidRPr="0076589C">
        <w:rPr>
          <w:i/>
          <w:iCs/>
        </w:rPr>
        <w:t>Manual para Maneja Contable y Control de las Formas Associativas (FAS)</w:t>
      </w:r>
      <w:r w:rsidRPr="0076589C">
        <w:t>. https://www.google.hn/books/edition/Manual_para_Maneja_Contable_y_Control_de/NliTpwybHJYC?hl=es&amp;gbpv=1</w:t>
      </w:r>
    </w:p>
    <w:p w14:paraId="1F7AF32D" w14:textId="77777777" w:rsidR="008F1200" w:rsidRPr="0076589C" w:rsidRDefault="008F1200" w:rsidP="008F1200">
      <w:pPr>
        <w:pStyle w:val="Bibliografa"/>
      </w:pPr>
      <w:r w:rsidRPr="0076589C">
        <w:t xml:space="preserve">Allen, B. M. (2010). </w:t>
      </w:r>
      <w:r w:rsidRPr="0076589C">
        <w:rPr>
          <w:i/>
          <w:iCs/>
        </w:rPr>
        <w:t>Principios de Finanzas Corporativas</w:t>
      </w:r>
      <w:r w:rsidRPr="0076589C">
        <w:t>.</w:t>
      </w:r>
    </w:p>
    <w:p w14:paraId="4ACFC9D5" w14:textId="77777777" w:rsidR="008F1200" w:rsidRPr="0076589C" w:rsidRDefault="008F1200" w:rsidP="008F1200">
      <w:pPr>
        <w:pStyle w:val="Bibliografa"/>
      </w:pPr>
      <w:r w:rsidRPr="0076589C">
        <w:t xml:space="preserve">Alvarez, M. R., &amp; Martínez-Olmo, F. (2014). </w:t>
      </w:r>
      <w:r w:rsidRPr="0076589C">
        <w:rPr>
          <w:i/>
          <w:iCs/>
        </w:rPr>
        <w:t>Operacionalización de conceptos/variables</w:t>
      </w:r>
      <w:r w:rsidRPr="0076589C">
        <w:t>.</w:t>
      </w:r>
    </w:p>
    <w:p w14:paraId="207ECAF8" w14:textId="77777777" w:rsidR="008F1200" w:rsidRPr="0076589C" w:rsidRDefault="008F1200" w:rsidP="008F1200">
      <w:pPr>
        <w:pStyle w:val="Bibliografa"/>
      </w:pPr>
      <w:r w:rsidRPr="0076589C">
        <w:t xml:space="preserve">Alza Wong, C. E., Curahua Marrujo, C. N., &amp; Portugal Manzaneda, R. P. (2022). </w:t>
      </w:r>
      <w:r w:rsidRPr="0076589C">
        <w:rPr>
          <w:i/>
          <w:iCs/>
        </w:rPr>
        <w:t>LAS CUENTAS POR COBRAR Y LA LIQUIDEZ DE LAS EMPRESAS MANUFACTURERAS DE METALES Y ALUMINIO</w:t>
      </w:r>
      <w:r w:rsidRPr="0076589C">
        <w:t>.</w:t>
      </w:r>
    </w:p>
    <w:p w14:paraId="3B3D56B9" w14:textId="77777777" w:rsidR="008F1200" w:rsidRPr="0076589C" w:rsidRDefault="008F1200" w:rsidP="008F1200">
      <w:pPr>
        <w:pStyle w:val="Bibliografa"/>
        <w:rPr>
          <w:lang w:val="en-US"/>
        </w:rPr>
      </w:pPr>
      <w:r w:rsidRPr="0076589C">
        <w:t xml:space="preserve">AL-Zararee, A., Ali Almasria, N., &amp; Ahmad Alawaqleh, Q. (2022). </w:t>
      </w:r>
      <w:r w:rsidRPr="0076589C">
        <w:rPr>
          <w:lang w:val="en-US"/>
        </w:rPr>
        <w:t xml:space="preserve">The effect of working capital management and credit management policy on Jordanian banks’ financial performance. </w:t>
      </w:r>
      <w:r w:rsidRPr="0076589C">
        <w:rPr>
          <w:i/>
          <w:iCs/>
          <w:lang w:val="en-US"/>
        </w:rPr>
        <w:t>Banks and Bank Systems</w:t>
      </w:r>
      <w:r w:rsidRPr="0076589C">
        <w:rPr>
          <w:lang w:val="en-US"/>
        </w:rPr>
        <w:t xml:space="preserve">, </w:t>
      </w:r>
      <w:r w:rsidRPr="0076589C">
        <w:rPr>
          <w:i/>
          <w:iCs/>
          <w:lang w:val="en-US"/>
        </w:rPr>
        <w:t>16</w:t>
      </w:r>
      <w:r w:rsidRPr="0076589C">
        <w:rPr>
          <w:lang w:val="en-US"/>
        </w:rPr>
        <w:t>(4), 229-239. https://doi.org/10.21511/bbs.16(4).2021.19</w:t>
      </w:r>
    </w:p>
    <w:p w14:paraId="3B34CDC0" w14:textId="77777777" w:rsidR="008F1200" w:rsidRPr="0076589C" w:rsidRDefault="008F1200" w:rsidP="008F1200">
      <w:pPr>
        <w:pStyle w:val="Bibliografa"/>
      </w:pPr>
      <w:r w:rsidRPr="0076589C">
        <w:rPr>
          <w:lang w:val="en-US"/>
        </w:rPr>
        <w:t xml:space="preserve">Angarita Dominguez, C. X. (2023). </w:t>
      </w:r>
      <w:r w:rsidRPr="0076589C">
        <w:t xml:space="preserve">Planeación Financiera para una empresa mediana del Sector Ferretero de Palmira. </w:t>
      </w:r>
      <w:r w:rsidRPr="0076589C">
        <w:rPr>
          <w:i/>
          <w:iCs/>
        </w:rPr>
        <w:t>instname:Universidad Antonio Nariño</w:t>
      </w:r>
      <w:r w:rsidRPr="0076589C">
        <w:t>. http://repositorio.uan.edu.co/handle/123456789/8455</w:t>
      </w:r>
    </w:p>
    <w:p w14:paraId="73C610B8" w14:textId="77777777" w:rsidR="008F1200" w:rsidRPr="0076589C" w:rsidRDefault="008F1200" w:rsidP="008F1200">
      <w:pPr>
        <w:pStyle w:val="Bibliografa"/>
      </w:pPr>
      <w:r w:rsidRPr="0076589C">
        <w:t xml:space="preserve">Angulo Sánchez, L. (2016). LA GESTIÓN EFECTIVA DEL CAPITAL DE TRABAJO EN LAS EMPRESAS. </w:t>
      </w:r>
      <w:r w:rsidRPr="0076589C">
        <w:rPr>
          <w:i/>
          <w:iCs/>
        </w:rPr>
        <w:t>Revista Universidad y Sociedad</w:t>
      </w:r>
      <w:r w:rsidRPr="0076589C">
        <w:t xml:space="preserve">, </w:t>
      </w:r>
      <w:r w:rsidRPr="0076589C">
        <w:rPr>
          <w:i/>
          <w:iCs/>
        </w:rPr>
        <w:t>8</w:t>
      </w:r>
      <w:r w:rsidRPr="0076589C">
        <w:t>(4), 54-57.</w:t>
      </w:r>
    </w:p>
    <w:p w14:paraId="107C581C" w14:textId="77777777" w:rsidR="008F1200" w:rsidRPr="0076589C" w:rsidRDefault="008F1200" w:rsidP="008F1200">
      <w:pPr>
        <w:pStyle w:val="Bibliografa"/>
      </w:pPr>
      <w:r w:rsidRPr="0076589C">
        <w:lastRenderedPageBreak/>
        <w:t xml:space="preserve">Archel Domench, P. (2007). </w:t>
      </w:r>
      <w:r w:rsidRPr="0076589C">
        <w:rPr>
          <w:i/>
          <w:iCs/>
        </w:rPr>
        <w:t>Teoría e investigación crítica en contabilidad: Un estudio de caso</w:t>
      </w:r>
      <w:r w:rsidRPr="0076589C">
        <w:t>. Asociación Española de Contabilidad y Administración de Empresas, AECA. https://dialnet.unirioja.es/servlet/libro?codigo=498600</w:t>
      </w:r>
    </w:p>
    <w:p w14:paraId="0D4CE7FE" w14:textId="77777777" w:rsidR="008F1200" w:rsidRPr="0076589C" w:rsidRDefault="008F1200" w:rsidP="008F1200">
      <w:pPr>
        <w:pStyle w:val="Bibliografa"/>
      </w:pPr>
      <w:r w:rsidRPr="0076589C">
        <w:t xml:space="preserve">Arevalo, C. V. C. (2012). </w:t>
      </w:r>
      <w:r w:rsidRPr="0076589C">
        <w:rPr>
          <w:i/>
          <w:iCs/>
        </w:rPr>
        <w:t>DESARROLLAR UN PROGRAMA DE COBRANZA LÍDER EN RECAUDO DE CARTERA PARA LOS CLIENTES ACTUALES Y POTENCIALES DE AON COLOMBIA.</w:t>
      </w:r>
    </w:p>
    <w:p w14:paraId="5A6CA921" w14:textId="77777777" w:rsidR="008F1200" w:rsidRPr="0076589C" w:rsidRDefault="008F1200" w:rsidP="008F1200">
      <w:pPr>
        <w:pStyle w:val="Bibliografa"/>
      </w:pPr>
      <w:r w:rsidRPr="0076589C">
        <w:t xml:space="preserve">Arias, M. D. H. (1993). </w:t>
      </w:r>
      <w:r w:rsidRPr="0076589C">
        <w:rPr>
          <w:i/>
          <w:iCs/>
        </w:rPr>
        <w:t>El crédito bancario en Costa Rica: Una perspectiva de análisis</w:t>
      </w:r>
      <w:r w:rsidRPr="0076589C">
        <w:t>. EUNED.</w:t>
      </w:r>
    </w:p>
    <w:p w14:paraId="15A13720" w14:textId="77777777" w:rsidR="008F1200" w:rsidRPr="0076589C" w:rsidRDefault="008F1200" w:rsidP="008F1200">
      <w:pPr>
        <w:pStyle w:val="Bibliografa"/>
      </w:pPr>
      <w:r w:rsidRPr="0076589C">
        <w:t xml:space="preserve">Ayala Villegas, S. (2005). </w:t>
      </w:r>
      <w:r w:rsidRPr="0076589C">
        <w:rPr>
          <w:i/>
          <w:iCs/>
        </w:rPr>
        <w:t>Créditos financieros</w:t>
      </w:r>
      <w:r w:rsidRPr="0076589C">
        <w:t>. https://www.gestiopolis.com/creditos-financieros/</w:t>
      </w:r>
    </w:p>
    <w:p w14:paraId="64CC7BD2" w14:textId="77777777" w:rsidR="008F1200" w:rsidRPr="0076589C" w:rsidRDefault="008F1200" w:rsidP="008F1200">
      <w:pPr>
        <w:pStyle w:val="Bibliografa"/>
      </w:pPr>
      <w:r w:rsidRPr="0076589C">
        <w:t xml:space="preserve">Aznar, V. E. M. (2005). </w:t>
      </w:r>
      <w:r w:rsidRPr="0076589C">
        <w:rPr>
          <w:i/>
          <w:iCs/>
        </w:rPr>
        <w:t>Estrategias de Cobranza en Época de Crisis</w:t>
      </w:r>
      <w:r w:rsidRPr="0076589C">
        <w:t>. Ediciones Fiscales ISEF.</w:t>
      </w:r>
    </w:p>
    <w:p w14:paraId="13B72625" w14:textId="77777777" w:rsidR="008F1200" w:rsidRPr="0076589C" w:rsidRDefault="008F1200" w:rsidP="008F1200">
      <w:pPr>
        <w:pStyle w:val="Bibliografa"/>
      </w:pPr>
      <w:r w:rsidRPr="0076589C">
        <w:t xml:space="preserve">Azofra Palenzuela, V., &amp; Fernández Alvarez, A. (1992). </w:t>
      </w:r>
      <w:r w:rsidRPr="0076589C">
        <w:rPr>
          <w:i/>
          <w:iCs/>
        </w:rPr>
        <w:t>Evolución Reciente de la Moderna Teoría Financiera</w:t>
      </w:r>
      <w:r w:rsidRPr="0076589C">
        <w:t>.</w:t>
      </w:r>
    </w:p>
    <w:p w14:paraId="743F20C5" w14:textId="77777777" w:rsidR="008F1200" w:rsidRPr="0076589C" w:rsidRDefault="008F1200" w:rsidP="008F1200">
      <w:pPr>
        <w:pStyle w:val="Bibliografa"/>
      </w:pPr>
      <w:r w:rsidRPr="0076589C">
        <w:t xml:space="preserve">Baena Paz, G. (2017). </w:t>
      </w:r>
      <w:r w:rsidRPr="0076589C">
        <w:rPr>
          <w:i/>
          <w:iCs/>
        </w:rPr>
        <w:t>Metodología de la Investigación</w:t>
      </w:r>
      <w:r w:rsidRPr="0076589C">
        <w:t xml:space="preserve"> (3ra ed.).</w:t>
      </w:r>
    </w:p>
    <w:p w14:paraId="34D922C6" w14:textId="77777777" w:rsidR="008F1200" w:rsidRPr="0076589C" w:rsidRDefault="008F1200" w:rsidP="008F1200">
      <w:pPr>
        <w:pStyle w:val="Bibliografa"/>
      </w:pPr>
      <w:r w:rsidRPr="0076589C">
        <w:t xml:space="preserve">Banegas, K. Y. G., &amp; Madrid, E. D. S. (2023). </w:t>
      </w:r>
      <w:r w:rsidRPr="0076589C">
        <w:rPr>
          <w:i/>
          <w:iCs/>
        </w:rPr>
        <w:t>Causas Del Fracaso De Las Mipymes En San Pedro Sula, Cortés, Honduras</w:t>
      </w:r>
      <w:r w:rsidRPr="0076589C">
        <w:t xml:space="preserve"> [Universidad Tecnológica Centroamericana UNITEC]. https://repositorio.unitec.edu/xmlui/handle/123456789/8027</w:t>
      </w:r>
    </w:p>
    <w:p w14:paraId="0917CD7D" w14:textId="77777777" w:rsidR="008F1200" w:rsidRPr="0076589C" w:rsidRDefault="008F1200" w:rsidP="008F1200">
      <w:pPr>
        <w:pStyle w:val="Bibliografa"/>
      </w:pPr>
      <w:r w:rsidRPr="0076589C">
        <w:t xml:space="preserve">Berk, J., &amp; Demarzo, P. (2008). </w:t>
      </w:r>
      <w:r w:rsidRPr="0076589C">
        <w:rPr>
          <w:i/>
          <w:iCs/>
        </w:rPr>
        <w:t>Finanzas corporativas</w:t>
      </w:r>
      <w:r w:rsidRPr="0076589C">
        <w:t>.</w:t>
      </w:r>
    </w:p>
    <w:p w14:paraId="7132F9CB" w14:textId="77777777" w:rsidR="008F1200" w:rsidRPr="0076589C" w:rsidRDefault="008F1200" w:rsidP="008F1200">
      <w:pPr>
        <w:pStyle w:val="Bibliografa"/>
      </w:pPr>
      <w:r w:rsidRPr="0076589C">
        <w:t xml:space="preserve">Boter, F. (1959). </w:t>
      </w:r>
      <w:r w:rsidRPr="0076589C">
        <w:rPr>
          <w:i/>
          <w:iCs/>
        </w:rPr>
        <w:t>Las doctrinas contables</w:t>
      </w:r>
      <w:r w:rsidRPr="0076589C">
        <w:t>. https://www.iberlibro.com/doctrinas-contables-BOTER-Fernando.--Juventud-1959/22772966057/bd</w:t>
      </w:r>
    </w:p>
    <w:p w14:paraId="4BA5C23A" w14:textId="77777777" w:rsidR="008F1200" w:rsidRPr="0076589C" w:rsidRDefault="008F1200" w:rsidP="008F1200">
      <w:pPr>
        <w:pStyle w:val="Bibliografa"/>
      </w:pPr>
      <w:r w:rsidRPr="0076589C">
        <w:t xml:space="preserve">Brachfield Alsina, P. (2009). </w:t>
      </w:r>
      <w:r w:rsidRPr="0076589C">
        <w:rPr>
          <w:i/>
          <w:iCs/>
        </w:rPr>
        <w:t>Gestión del crédito y cobro: Claves para prevenir la morosidad y recuperar los impagados</w:t>
      </w:r>
      <w:r w:rsidRPr="0076589C">
        <w:t>. Profit Editorial.</w:t>
      </w:r>
    </w:p>
    <w:p w14:paraId="3119110D" w14:textId="77777777" w:rsidR="008F1200" w:rsidRPr="0076589C" w:rsidRDefault="008F1200" w:rsidP="008F1200">
      <w:pPr>
        <w:pStyle w:val="Bibliografa"/>
      </w:pPr>
      <w:r w:rsidRPr="0076589C">
        <w:lastRenderedPageBreak/>
        <w:t xml:space="preserve">Brachfield, P. J. (2003). </w:t>
      </w:r>
      <w:r w:rsidRPr="0076589C">
        <w:rPr>
          <w:i/>
          <w:iCs/>
        </w:rPr>
        <w:t>Recobrar impagados y negociar con morosos</w:t>
      </w:r>
      <w:r w:rsidRPr="0076589C">
        <w:t>. Grupo Planeta (GBS).</w:t>
      </w:r>
    </w:p>
    <w:p w14:paraId="29AFDB5E" w14:textId="77777777" w:rsidR="008F1200" w:rsidRPr="0076589C" w:rsidRDefault="008F1200" w:rsidP="008F1200">
      <w:pPr>
        <w:pStyle w:val="Bibliografa"/>
      </w:pPr>
      <w:r w:rsidRPr="0076589C">
        <w:t xml:space="preserve">Brealey, R., Allen, F., &amp; Myers, S. (2010). </w:t>
      </w:r>
      <w:r w:rsidRPr="0076589C">
        <w:rPr>
          <w:i/>
          <w:iCs/>
        </w:rPr>
        <w:t>Principios de Finanzas Corporativas</w:t>
      </w:r>
      <w:r w:rsidRPr="0076589C">
        <w:t>.</w:t>
      </w:r>
    </w:p>
    <w:p w14:paraId="5A7F6F1A" w14:textId="77777777" w:rsidR="008F1200" w:rsidRPr="0076589C" w:rsidRDefault="008F1200" w:rsidP="008F1200">
      <w:pPr>
        <w:pStyle w:val="Bibliografa"/>
      </w:pPr>
      <w:r w:rsidRPr="0076589C">
        <w:rPr>
          <w:lang w:val="en-US"/>
        </w:rPr>
        <w:t xml:space="preserve">Brigham, E. F., &amp; Houston, J. F. (2021). </w:t>
      </w:r>
      <w:r w:rsidRPr="0076589C">
        <w:rPr>
          <w:i/>
          <w:iCs/>
          <w:lang w:val="en-US"/>
        </w:rPr>
        <w:t>Fundamentals of Financial Management: Concise</w:t>
      </w:r>
      <w:r w:rsidRPr="0076589C">
        <w:rPr>
          <w:lang w:val="en-US"/>
        </w:rPr>
        <w:t xml:space="preserve">. </w:t>
      </w:r>
      <w:r w:rsidRPr="0076589C">
        <w:t>Cengage Learning.</w:t>
      </w:r>
    </w:p>
    <w:p w14:paraId="65D61CFF" w14:textId="77777777" w:rsidR="008F1200" w:rsidRPr="0076589C" w:rsidRDefault="008F1200" w:rsidP="008F1200">
      <w:pPr>
        <w:pStyle w:val="Bibliografa"/>
      </w:pPr>
      <w:r w:rsidRPr="0076589C">
        <w:t xml:space="preserve">Brown, G. (1979). </w:t>
      </w:r>
      <w:r w:rsidRPr="0076589C">
        <w:rPr>
          <w:i/>
          <w:iCs/>
        </w:rPr>
        <w:t>Conferencias Sobre Muestreo: Oficina de Censos de los Estados Unidos</w:t>
      </w:r>
      <w:r w:rsidRPr="0076589C">
        <w:t>. IICA Biblioteca Venezuela.</w:t>
      </w:r>
    </w:p>
    <w:p w14:paraId="622359B2" w14:textId="77777777" w:rsidR="008F1200" w:rsidRPr="0076589C" w:rsidRDefault="008F1200" w:rsidP="008F1200">
      <w:pPr>
        <w:pStyle w:val="Bibliografa"/>
      </w:pPr>
      <w:r w:rsidRPr="0076589C">
        <w:t xml:space="preserve">Cabrera Méndez, M. (2010). </w:t>
      </w:r>
      <w:r w:rsidRPr="0076589C">
        <w:rPr>
          <w:i/>
          <w:iCs/>
        </w:rPr>
        <w:t>Introducción a las fuentes de información</w:t>
      </w:r>
      <w:r w:rsidRPr="0076589C">
        <w:t>. https://riunet.upv.es/handle/10251/7580</w:t>
      </w:r>
    </w:p>
    <w:p w14:paraId="0134F38F" w14:textId="77777777" w:rsidR="008F1200" w:rsidRPr="0076589C" w:rsidRDefault="008F1200" w:rsidP="008F1200">
      <w:pPr>
        <w:pStyle w:val="Bibliografa"/>
      </w:pPr>
      <w:r w:rsidRPr="0076589C">
        <w:t xml:space="preserve">Campos, M. C., Ku, C. C., Giraudy, A. J., Chaves, J. S., &amp; Gatjens, E. V. (2012). </w:t>
      </w:r>
      <w:r w:rsidRPr="0076589C">
        <w:rPr>
          <w:i/>
          <w:iCs/>
        </w:rPr>
        <w:t>Estrategias para la disminución de cuentas por cobrar en la industria de repuestos automotrices</w:t>
      </w:r>
      <w:r w:rsidRPr="0076589C">
        <w:t>.</w:t>
      </w:r>
    </w:p>
    <w:p w14:paraId="67706C05" w14:textId="77777777" w:rsidR="008F1200" w:rsidRPr="0076589C" w:rsidRDefault="008F1200" w:rsidP="008F1200">
      <w:pPr>
        <w:pStyle w:val="Bibliografa"/>
      </w:pPr>
      <w:r w:rsidRPr="0076589C">
        <w:t xml:space="preserve">Castillo, G. (2021). </w:t>
      </w:r>
      <w:r w:rsidRPr="0076589C">
        <w:rPr>
          <w:i/>
          <w:iCs/>
        </w:rPr>
        <w:t>Créditos y cobranzas: Enfoque profesional</w:t>
      </w:r>
      <w:r w:rsidRPr="0076589C">
        <w:t>. Tercero en discordia.</w:t>
      </w:r>
    </w:p>
    <w:p w14:paraId="5EECE910" w14:textId="77777777" w:rsidR="008F1200" w:rsidRPr="0076589C" w:rsidRDefault="008F1200" w:rsidP="008F1200">
      <w:pPr>
        <w:pStyle w:val="Bibliografa"/>
      </w:pPr>
      <w:r w:rsidRPr="0076589C">
        <w:t xml:space="preserve">Castillo, G. J. R., &amp; Laínez, J. C. E. (2018). </w:t>
      </w:r>
      <w:r w:rsidRPr="0076589C">
        <w:rPr>
          <w:i/>
          <w:iCs/>
        </w:rPr>
        <w:t>Gestión de la cartera de crédito y su efecto en el crecimiento de cooperativa CACEENP LTDA</w:t>
      </w:r>
      <w:r w:rsidRPr="0076589C">
        <w:t xml:space="preserve"> [Universidad Tecnológica Centroamericana UNITEC]. https://repositorio.unitec.edu/xmlui/handle/123456789/8052</w:t>
      </w:r>
    </w:p>
    <w:p w14:paraId="41B5E9AC" w14:textId="77777777" w:rsidR="008F1200" w:rsidRPr="0076589C" w:rsidRDefault="008F1200" w:rsidP="008F1200">
      <w:pPr>
        <w:pStyle w:val="Bibliografa"/>
      </w:pPr>
      <w:r w:rsidRPr="0076589C">
        <w:t xml:space="preserve">Castillo, S. (2022). </w:t>
      </w:r>
      <w:r w:rsidRPr="0076589C">
        <w:rPr>
          <w:i/>
          <w:iCs/>
        </w:rPr>
        <w:t>CONTROL DE ESTRATEGIAS Y POLÍTICAS PARA DISMINUIR LOS RIESGOS EN LAS CUENTAS POR COBRAR</w:t>
      </w:r>
      <w:r w:rsidRPr="0076589C">
        <w:t>. http://portal.amelica.org/ameli/journal/221/2213811006/</w:t>
      </w:r>
    </w:p>
    <w:p w14:paraId="7AD243AC" w14:textId="77777777" w:rsidR="008F1200" w:rsidRPr="0076589C" w:rsidRDefault="008F1200" w:rsidP="008F1200">
      <w:pPr>
        <w:pStyle w:val="Bibliografa"/>
      </w:pPr>
      <w:r w:rsidRPr="0076589C">
        <w:t xml:space="preserve">Celma, J., &amp; Giménez, J. C. i. (2004). </w:t>
      </w:r>
      <w:r w:rsidRPr="0076589C">
        <w:rPr>
          <w:i/>
          <w:iCs/>
        </w:rPr>
        <w:t>ABC del gestor deportivo</w:t>
      </w:r>
      <w:r w:rsidRPr="0076589C">
        <w:t>. INDE.</w:t>
      </w:r>
    </w:p>
    <w:p w14:paraId="6F7B15AB" w14:textId="77777777" w:rsidR="008F1200" w:rsidRPr="0076589C" w:rsidRDefault="008F1200" w:rsidP="008F1200">
      <w:pPr>
        <w:pStyle w:val="Bibliografa"/>
      </w:pPr>
      <w:r w:rsidRPr="0076589C">
        <w:t xml:space="preserve">Chalupowicz, D. G. (s. f.). </w:t>
      </w:r>
      <w:r w:rsidRPr="0076589C">
        <w:rPr>
          <w:i/>
          <w:iCs/>
        </w:rPr>
        <w:t>Política de Crédito en las Organizaciones—Un instrumento para mejorar.</w:t>
      </w:r>
    </w:p>
    <w:p w14:paraId="5FFB2872" w14:textId="77777777" w:rsidR="008F1200" w:rsidRPr="0076589C" w:rsidRDefault="008F1200" w:rsidP="008F1200">
      <w:pPr>
        <w:pStyle w:val="Bibliografa"/>
      </w:pPr>
      <w:r w:rsidRPr="0076589C">
        <w:rPr>
          <w:lang w:val="pt-PT"/>
        </w:rPr>
        <w:lastRenderedPageBreak/>
        <w:t xml:space="preserve">Chavez Fernandez, Y. de J., &amp; Loconi Leon, J. K. (2018). </w:t>
      </w:r>
      <w:r w:rsidRPr="0076589C">
        <w:rPr>
          <w:i/>
          <w:iCs/>
        </w:rPr>
        <w:t>Evaluación de la gestion de cuentas por cobrar comerciales para determinar la eficiencia de las políticas en créditos y cobranzas en la empresa FERRONOR SAC, 2015. Propuesta de mejora.</w:t>
      </w:r>
      <w:r w:rsidRPr="0076589C">
        <w:t xml:space="preserve"> https://tesis.usat.edu.pe/bitstream/20.500.12423/2141/1/TL_ChavezFernandezYsela_LoconiLeonJenny.pdf</w:t>
      </w:r>
    </w:p>
    <w:p w14:paraId="414B89D6" w14:textId="77777777" w:rsidR="008F1200" w:rsidRPr="0076589C" w:rsidRDefault="008F1200" w:rsidP="008F1200">
      <w:pPr>
        <w:pStyle w:val="Bibliografa"/>
      </w:pPr>
      <w:r w:rsidRPr="0076589C">
        <w:t xml:space="preserve">Chon Wong, W. (2004). Decreto 189-2004: Ley sobre normas de Contabilidad y Auditoría. </w:t>
      </w:r>
      <w:r w:rsidRPr="0076589C">
        <w:rPr>
          <w:i/>
          <w:iCs/>
        </w:rPr>
        <w:t>La Gaceta</w:t>
      </w:r>
      <w:r w:rsidRPr="0076589C">
        <w:t>.</w:t>
      </w:r>
    </w:p>
    <w:p w14:paraId="09F3AA37" w14:textId="77777777" w:rsidR="008F1200" w:rsidRPr="0076589C" w:rsidRDefault="008F1200" w:rsidP="008F1200">
      <w:pPr>
        <w:pStyle w:val="Bibliografa"/>
      </w:pPr>
      <w:r w:rsidRPr="0076589C">
        <w:t xml:space="preserve">Clainche, R. M. L. (1996). </w:t>
      </w:r>
      <w:r w:rsidRPr="0076589C">
        <w:rPr>
          <w:i/>
          <w:iCs/>
        </w:rPr>
        <w:t>Curso de Teoría Monetaria y Política Financiera</w:t>
      </w:r>
      <w:r w:rsidRPr="0076589C">
        <w:t>. UNAM.</w:t>
      </w:r>
    </w:p>
    <w:p w14:paraId="63D5C0CB" w14:textId="77777777" w:rsidR="008F1200" w:rsidRPr="0076589C" w:rsidRDefault="008F1200" w:rsidP="008F1200">
      <w:pPr>
        <w:pStyle w:val="Bibliografa"/>
      </w:pPr>
      <w:r w:rsidRPr="0076589C">
        <w:t xml:space="preserve">Coello, C. E. P. (2016). </w:t>
      </w:r>
      <w:r w:rsidRPr="0076589C">
        <w:rPr>
          <w:i/>
          <w:iCs/>
        </w:rPr>
        <w:t>La información financiera y administrativa</w:t>
      </w:r>
      <w:r w:rsidRPr="0076589C">
        <w:t>. IMCP.</w:t>
      </w:r>
    </w:p>
    <w:p w14:paraId="1A520A29" w14:textId="77777777" w:rsidR="008F1200" w:rsidRPr="0076589C" w:rsidRDefault="008F1200" w:rsidP="008F1200">
      <w:pPr>
        <w:pStyle w:val="Bibliografa"/>
      </w:pPr>
      <w:r w:rsidRPr="0076589C">
        <w:t xml:space="preserve">Comisión Nacional Superviora de Empresas y Valores. (1982). </w:t>
      </w:r>
      <w:r w:rsidRPr="0076589C">
        <w:rPr>
          <w:i/>
          <w:iCs/>
        </w:rPr>
        <w:t>Indicadores financieros de empresas inscritas en bolsa</w:t>
      </w:r>
      <w:r w:rsidRPr="0076589C">
        <w:t>. La Oficina.</w:t>
      </w:r>
    </w:p>
    <w:p w14:paraId="585C7546" w14:textId="77777777" w:rsidR="008F1200" w:rsidRPr="0076589C" w:rsidRDefault="008F1200" w:rsidP="008F1200">
      <w:pPr>
        <w:pStyle w:val="Bibliografa"/>
      </w:pPr>
      <w:r w:rsidRPr="0076589C">
        <w:t xml:space="preserve">Conexión ESAN. (2016). </w:t>
      </w:r>
      <w:r w:rsidRPr="0076589C">
        <w:rPr>
          <w:i/>
          <w:iCs/>
        </w:rPr>
        <w:t>La política de créditos de una entidad financiera</w:t>
      </w:r>
      <w:r w:rsidRPr="0076589C">
        <w:t>. https://www.esan.edu.pe/conexion-esan/la-politica-de-creditos-de-una-entidad-financiera</w:t>
      </w:r>
    </w:p>
    <w:p w14:paraId="6E0BE8FA" w14:textId="77777777" w:rsidR="008F1200" w:rsidRPr="0076589C" w:rsidRDefault="008F1200" w:rsidP="008F1200">
      <w:pPr>
        <w:pStyle w:val="Bibliografa"/>
      </w:pPr>
      <w:r w:rsidRPr="0076589C">
        <w:t xml:space="preserve">Corporación Financiera Nacional (CFN). (2018). </w:t>
      </w:r>
      <w:r w:rsidRPr="0076589C">
        <w:rPr>
          <w:i/>
          <w:iCs/>
        </w:rPr>
        <w:t>Glosario de Términos Financieros</w:t>
      </w:r>
      <w:r w:rsidRPr="0076589C">
        <w:t>. https://www.cfn.fin.ec/wp-content/uploads/2018/08/GLOSARIO-DE-TERMINOS-FINANCIEROS.pdf</w:t>
      </w:r>
    </w:p>
    <w:p w14:paraId="59F5A3E6" w14:textId="77777777" w:rsidR="008F1200" w:rsidRPr="0076589C" w:rsidRDefault="008F1200" w:rsidP="008F1200">
      <w:pPr>
        <w:pStyle w:val="Bibliografa"/>
      </w:pPr>
      <w:r w:rsidRPr="0076589C">
        <w:t xml:space="preserve">Cortez, D. (2016). </w:t>
      </w:r>
      <w:r w:rsidRPr="0076589C">
        <w:rPr>
          <w:i/>
          <w:iCs/>
        </w:rPr>
        <w:t>La gesti</w:t>
      </w:r>
      <w:r w:rsidRPr="0076589C">
        <w:rPr>
          <w:rFonts w:ascii="Tahoma" w:hAnsi="Tahoma" w:cs="Tahoma"/>
          <w:i/>
          <w:iCs/>
        </w:rPr>
        <w:t>�</w:t>
      </w:r>
      <w:r w:rsidRPr="0076589C">
        <w:rPr>
          <w:i/>
          <w:iCs/>
        </w:rPr>
        <w:t>n de cartera de cr</w:t>
      </w:r>
      <w:r w:rsidRPr="0076589C">
        <w:rPr>
          <w:rFonts w:ascii="Tahoma" w:hAnsi="Tahoma" w:cs="Tahoma"/>
          <w:i/>
          <w:iCs/>
        </w:rPr>
        <w:t>�</w:t>
      </w:r>
      <w:r w:rsidRPr="0076589C">
        <w:rPr>
          <w:i/>
          <w:iCs/>
        </w:rPr>
        <w:t>dito y el riesgo crediticio como determinante</w:t>
      </w:r>
      <w:r w:rsidRPr="0076589C">
        <w:t>. http://www.eumed.net/cursecon/ecolat/ec/2016/riesgo.html</w:t>
      </w:r>
    </w:p>
    <w:p w14:paraId="3F9D89BE" w14:textId="77777777" w:rsidR="008F1200" w:rsidRPr="0076589C" w:rsidRDefault="008F1200" w:rsidP="008F1200">
      <w:pPr>
        <w:pStyle w:val="Bibliografa"/>
      </w:pPr>
      <w:r w:rsidRPr="0076589C">
        <w:t xml:space="preserve">Crotte, I. R. R. (2011). </w:t>
      </w:r>
      <w:r w:rsidRPr="0076589C">
        <w:rPr>
          <w:i/>
          <w:iCs/>
        </w:rPr>
        <w:t>ELEMENTOS PARA EL DISEÑO DE TÉCNICAS DE INVESTIGACIÓN: UNA PROPUESTA DE DEFINICIONES Y PROCEDIMIENTOS EN LA INVESTIGACIÓN CIENTÍFICA</w:t>
      </w:r>
      <w:r w:rsidRPr="0076589C">
        <w:t>.</w:t>
      </w:r>
    </w:p>
    <w:p w14:paraId="19BA1A0A" w14:textId="77777777" w:rsidR="008F1200" w:rsidRPr="0076589C" w:rsidRDefault="008F1200" w:rsidP="008F1200">
      <w:pPr>
        <w:pStyle w:val="Bibliografa"/>
      </w:pPr>
      <w:r w:rsidRPr="0076589C">
        <w:rPr>
          <w:i/>
          <w:iCs/>
        </w:rPr>
        <w:t>Curso de formacion profesional bancaria</w:t>
      </w:r>
      <w:r w:rsidRPr="0076589C">
        <w:t>. (s. f.). El Nacional.</w:t>
      </w:r>
    </w:p>
    <w:p w14:paraId="1385A736" w14:textId="77777777" w:rsidR="008F1200" w:rsidRPr="0076589C" w:rsidRDefault="008F1200" w:rsidP="008F1200">
      <w:pPr>
        <w:pStyle w:val="Bibliografa"/>
      </w:pPr>
      <w:r w:rsidRPr="0076589C">
        <w:lastRenderedPageBreak/>
        <w:t xml:space="preserve">Date, C. J. (2001). </w:t>
      </w:r>
      <w:r w:rsidRPr="0076589C">
        <w:rPr>
          <w:i/>
          <w:iCs/>
        </w:rPr>
        <w:t>Introducción a los sistemas de bases de datos</w:t>
      </w:r>
      <w:r w:rsidRPr="0076589C">
        <w:t>. Pearson Educación.</w:t>
      </w:r>
    </w:p>
    <w:p w14:paraId="096C713A" w14:textId="77777777" w:rsidR="008F1200" w:rsidRPr="0076589C" w:rsidRDefault="008F1200" w:rsidP="008F1200">
      <w:pPr>
        <w:pStyle w:val="Bibliografa"/>
      </w:pPr>
      <w:r w:rsidRPr="0076589C">
        <w:t xml:space="preserve">De La Hoz Suárez, B., Ferrer, M. A., &amp; De La Hoz Suárez, A. (2008). Indicadores de rentabilidad: Herramientas para la toma decisiones financieras en hoteles de categoría media ubicados en Maracaibo. </w:t>
      </w:r>
      <w:r w:rsidRPr="0076589C">
        <w:rPr>
          <w:i/>
          <w:iCs/>
        </w:rPr>
        <w:t>Revista de Ciencias Sociales</w:t>
      </w:r>
      <w:r w:rsidRPr="0076589C">
        <w:t xml:space="preserve">, </w:t>
      </w:r>
      <w:r w:rsidRPr="0076589C">
        <w:rPr>
          <w:i/>
          <w:iCs/>
        </w:rPr>
        <w:t>14</w:t>
      </w:r>
      <w:r w:rsidRPr="0076589C">
        <w:t>(1), 88-109.</w:t>
      </w:r>
    </w:p>
    <w:p w14:paraId="204070CD" w14:textId="77777777" w:rsidR="008F1200" w:rsidRPr="0076589C" w:rsidRDefault="008F1200" w:rsidP="008F1200">
      <w:pPr>
        <w:pStyle w:val="Bibliografa"/>
      </w:pPr>
      <w:r w:rsidRPr="0076589C">
        <w:t xml:space="preserve">Deloitte. (2016). </w:t>
      </w:r>
      <w:r w:rsidRPr="0076589C">
        <w:rPr>
          <w:i/>
          <w:iCs/>
        </w:rPr>
        <w:t>NIIF 9 Instrumentos Financieros: Lo que hay que saber desde la perspectiva de las empresas no financieras</w:t>
      </w:r>
      <w:r w:rsidRPr="0076589C">
        <w:t>. https://www2.deloitte.com/content/dam/Deloitte/es/Documents/auditoria/Deloitte-ES-Auditoria-niif9.pdf</w:t>
      </w:r>
    </w:p>
    <w:p w14:paraId="63341AD3" w14:textId="77777777" w:rsidR="008F1200" w:rsidRPr="0076589C" w:rsidRDefault="008F1200" w:rsidP="008F1200">
      <w:pPr>
        <w:pStyle w:val="Bibliografa"/>
      </w:pPr>
      <w:r w:rsidRPr="0076589C">
        <w:t xml:space="preserve">Díaz-Bravo, L., Torruco-García, U., Martínez-Hernández, M., &amp; Varela-Ruiz, M. (2013). La entrevista, recurso flexible y dinámico. </w:t>
      </w:r>
      <w:r w:rsidRPr="0076589C">
        <w:rPr>
          <w:i/>
          <w:iCs/>
        </w:rPr>
        <w:t>Investigación en Educación Médica</w:t>
      </w:r>
      <w:r w:rsidRPr="0076589C">
        <w:t xml:space="preserve">, </w:t>
      </w:r>
      <w:r w:rsidRPr="0076589C">
        <w:rPr>
          <w:i/>
          <w:iCs/>
        </w:rPr>
        <w:t>2</w:t>
      </w:r>
      <w:r w:rsidRPr="0076589C">
        <w:t>(7), 162-167. https://doi.org/10.1016/S2007-5057(13)72706-6</w:t>
      </w:r>
    </w:p>
    <w:p w14:paraId="60F5ECE3" w14:textId="77777777" w:rsidR="008F1200" w:rsidRPr="0076589C" w:rsidRDefault="008F1200" w:rsidP="008F1200">
      <w:pPr>
        <w:pStyle w:val="Bibliografa"/>
      </w:pPr>
      <w:r w:rsidRPr="0076589C">
        <w:t xml:space="preserve">Ediciones Díaz de Santos. (1998). </w:t>
      </w:r>
      <w:r w:rsidRPr="0076589C">
        <w:rPr>
          <w:i/>
          <w:iCs/>
        </w:rPr>
        <w:t>Estrategias de crecimiento</w:t>
      </w:r>
      <w:r w:rsidRPr="0076589C">
        <w:t>. Ediciones Díaz de Santos.</w:t>
      </w:r>
    </w:p>
    <w:p w14:paraId="558DB14E" w14:textId="77777777" w:rsidR="008F1200" w:rsidRPr="0076589C" w:rsidRDefault="008F1200" w:rsidP="008F1200">
      <w:pPr>
        <w:pStyle w:val="Bibliografa"/>
      </w:pPr>
      <w:r w:rsidRPr="0076589C">
        <w:t xml:space="preserve">Escobar, A. A. H., Rodríguez, M. P. R., López, B. M. P., Ganchozo, B. I., Gómez, A. J. Q., &amp; Ponce, L. A. M. (2018). </w:t>
      </w:r>
      <w:r w:rsidRPr="0076589C">
        <w:rPr>
          <w:i/>
          <w:iCs/>
        </w:rPr>
        <w:t>METODOLOGÍA DE LA INVESTIGACIÓN CIENTÍFICA</w:t>
      </w:r>
      <w:r w:rsidRPr="0076589C">
        <w:t>. 3Ciencias.</w:t>
      </w:r>
    </w:p>
    <w:p w14:paraId="37D7EC4E" w14:textId="77777777" w:rsidR="008F1200" w:rsidRPr="0076589C" w:rsidRDefault="008F1200" w:rsidP="008F1200">
      <w:pPr>
        <w:pStyle w:val="Bibliografa"/>
      </w:pPr>
      <w:r w:rsidRPr="0076589C">
        <w:t xml:space="preserve">Eslava, J. de J. (2010). </w:t>
      </w:r>
      <w:r w:rsidRPr="0076589C">
        <w:rPr>
          <w:i/>
          <w:iCs/>
        </w:rPr>
        <w:t>Las claves del análisis económico-financiero de la empresa</w:t>
      </w:r>
      <w:r w:rsidRPr="0076589C">
        <w:t>. ESIC Editorial.</w:t>
      </w:r>
    </w:p>
    <w:p w14:paraId="7191468C" w14:textId="77777777" w:rsidR="008F1200" w:rsidRPr="0076589C" w:rsidRDefault="008F1200" w:rsidP="008F1200">
      <w:pPr>
        <w:pStyle w:val="Bibliografa"/>
      </w:pPr>
      <w:r w:rsidRPr="0076589C">
        <w:t xml:space="preserve">Espinoza, E., &amp; Toscano, D. (2015). </w:t>
      </w:r>
      <w:r w:rsidRPr="0076589C">
        <w:rPr>
          <w:i/>
          <w:iCs/>
        </w:rPr>
        <w:t>Metodología de Investigación Educativa y Técnica</w:t>
      </w:r>
      <w:r w:rsidRPr="0076589C">
        <w:t>. http://librodigital.sangregorio.edu.ec/librosusgp/B0060.pdf</w:t>
      </w:r>
    </w:p>
    <w:p w14:paraId="6D4C5D5F" w14:textId="77777777" w:rsidR="008F1200" w:rsidRPr="0076589C" w:rsidRDefault="008F1200" w:rsidP="008F1200">
      <w:pPr>
        <w:pStyle w:val="Bibliografa"/>
      </w:pPr>
      <w:r w:rsidRPr="0076589C">
        <w:t xml:space="preserve">Espinoza Zúñiga, A. B. (2020). </w:t>
      </w:r>
      <w:r w:rsidRPr="0076589C">
        <w:rPr>
          <w:i/>
          <w:iCs/>
        </w:rPr>
        <w:t>Gestión de cobranzas, rentabilidad y liquidez de MIPYMES comercializadoras de materiales de construcción en Cuenca, caso ISCEA Cia. Ltda.</w:t>
      </w:r>
      <w:r w:rsidRPr="0076589C">
        <w:t xml:space="preserve"> [masterThesis]. http://dspace.ups.edu.ec/handle/123456789/19795</w:t>
      </w:r>
    </w:p>
    <w:p w14:paraId="25A6F0BC" w14:textId="77777777" w:rsidR="008F1200" w:rsidRPr="0076589C" w:rsidRDefault="008F1200" w:rsidP="008F1200">
      <w:pPr>
        <w:pStyle w:val="Bibliografa"/>
      </w:pPr>
      <w:r w:rsidRPr="0076589C">
        <w:lastRenderedPageBreak/>
        <w:t xml:space="preserve">Flores, C. M. V., &amp; Orellana, D. E. T. (2023). Análisis control de mora de la asociación de investigación para el desarrollo ecológico y socioeconómico. </w:t>
      </w:r>
      <w:r w:rsidRPr="0076589C">
        <w:rPr>
          <w:i/>
          <w:iCs/>
        </w:rPr>
        <w:t>Universidad Tecnológica Centroamericana UNITEC</w:t>
      </w:r>
      <w:r w:rsidRPr="0076589C">
        <w:t>. https://repositorio.unitec.edu/xmlui/handle/123456789/8173</w:t>
      </w:r>
    </w:p>
    <w:p w14:paraId="106E3371" w14:textId="77777777" w:rsidR="008F1200" w:rsidRPr="0076589C" w:rsidRDefault="008F1200" w:rsidP="008F1200">
      <w:pPr>
        <w:pStyle w:val="Bibliografa"/>
      </w:pPr>
      <w:r w:rsidRPr="0076589C">
        <w:t xml:space="preserve">Flores Padilla, J. (2009). Acuerdo No. 4 2009: Norma Hondureña de Contabilidad. </w:t>
      </w:r>
      <w:r w:rsidRPr="0076589C">
        <w:rPr>
          <w:i/>
          <w:iCs/>
        </w:rPr>
        <w:t>La Gaceta</w:t>
      </w:r>
      <w:r w:rsidRPr="0076589C">
        <w:t>.</w:t>
      </w:r>
    </w:p>
    <w:p w14:paraId="6EB8330A" w14:textId="77777777" w:rsidR="008F1200" w:rsidRPr="0076589C" w:rsidRDefault="008F1200" w:rsidP="008F1200">
      <w:pPr>
        <w:pStyle w:val="Bibliografa"/>
      </w:pPr>
      <w:r w:rsidRPr="0076589C">
        <w:t xml:space="preserve">Flórez Ríos, L. S. (2008). </w:t>
      </w:r>
      <w:r w:rsidRPr="0076589C">
        <w:rPr>
          <w:i/>
          <w:iCs/>
        </w:rPr>
        <w:t>Evolución de la Teoría Financiera en el Siglo XX</w:t>
      </w:r>
      <w:r w:rsidRPr="0076589C">
        <w:t>.</w:t>
      </w:r>
    </w:p>
    <w:p w14:paraId="2B8B014B" w14:textId="77777777" w:rsidR="008F1200" w:rsidRPr="0076589C" w:rsidRDefault="008F1200" w:rsidP="008F1200">
      <w:pPr>
        <w:pStyle w:val="Bibliografa"/>
      </w:pPr>
      <w:r w:rsidRPr="0076589C">
        <w:t xml:space="preserve">Fortin, D. (2019). RESOLUCIÓN JTNCA 074-12/2019. </w:t>
      </w:r>
      <w:r w:rsidRPr="0076589C">
        <w:rPr>
          <w:i/>
          <w:iCs/>
        </w:rPr>
        <w:t>La Gaceta</w:t>
      </w:r>
      <w:r w:rsidRPr="0076589C">
        <w:t>. https://www.ccichonduras.org/website/Descargas/LEYES/LEYES_ADMINISTRATIVAS_ESPECIALES/Reforma_Resolucion_JTNCA_001-2010.pdf</w:t>
      </w:r>
    </w:p>
    <w:p w14:paraId="0EBD5B10" w14:textId="77777777" w:rsidR="008F1200" w:rsidRPr="0076589C" w:rsidRDefault="008F1200" w:rsidP="008F1200">
      <w:pPr>
        <w:pStyle w:val="Bibliografa"/>
      </w:pPr>
      <w:r w:rsidRPr="0076589C">
        <w:t xml:space="preserve">Fridson, M. S. (1997). </w:t>
      </w:r>
      <w:r w:rsidRPr="0076589C">
        <w:rPr>
          <w:i/>
          <w:iCs/>
        </w:rPr>
        <w:t>La Interpretación de Los Estados Financieros: Una Guía para Profesionales</w:t>
      </w:r>
      <w:r w:rsidRPr="0076589C">
        <w:t>. Grupo Planeta (GBS).</w:t>
      </w:r>
    </w:p>
    <w:p w14:paraId="115B2CDD" w14:textId="77777777" w:rsidR="008F1200" w:rsidRPr="0076589C" w:rsidRDefault="008F1200" w:rsidP="008F1200">
      <w:pPr>
        <w:pStyle w:val="Bibliografa"/>
      </w:pPr>
      <w:r w:rsidRPr="0076589C">
        <w:t xml:space="preserve">Fuentes, C. P. J. C. R. (2019). </w:t>
      </w:r>
      <w:r w:rsidRPr="0076589C">
        <w:rPr>
          <w:i/>
          <w:iCs/>
        </w:rPr>
        <w:t>ESTADOS FINANCIEROS BÁSICOS 2019: Proceso de elaboración y reexpresión</w:t>
      </w:r>
      <w:r w:rsidRPr="0076589C">
        <w:t>. Ediciones Fiscales ISEF.</w:t>
      </w:r>
    </w:p>
    <w:p w14:paraId="71D4C8AA" w14:textId="77777777" w:rsidR="008F1200" w:rsidRPr="0076589C" w:rsidRDefault="008F1200" w:rsidP="008F1200">
      <w:pPr>
        <w:pStyle w:val="Bibliografa"/>
      </w:pPr>
      <w:r w:rsidRPr="0076589C">
        <w:t xml:space="preserve">Gamboa, N. (2018). </w:t>
      </w:r>
      <w:r w:rsidRPr="0076589C">
        <w:rPr>
          <w:i/>
          <w:iCs/>
        </w:rPr>
        <w:t>POLÍTICAS DE CRÉDITOS Y COBRANZAS Y LA LIQUIDEZ EN LA EMPREA GRÁFICA BIBLOS S.A. AÑO 2016- 2017</w:t>
      </w:r>
      <w:r w:rsidRPr="0076589C">
        <w:t>. https://repositorio.autonoma.edu.pe/bitstream/handle/20.500.13067/609/NORMA%20PERALTA%2c%20GAMBOA.pdf?sequence=1&amp;isAllowed=y</w:t>
      </w:r>
    </w:p>
    <w:p w14:paraId="0B230C4F" w14:textId="77777777" w:rsidR="008F1200" w:rsidRPr="0076589C" w:rsidRDefault="008F1200" w:rsidP="008F1200">
      <w:pPr>
        <w:pStyle w:val="Bibliografa"/>
      </w:pPr>
      <w:r w:rsidRPr="0076589C">
        <w:t xml:space="preserve">García, E. Z. (2023). </w:t>
      </w:r>
      <w:r w:rsidRPr="0076589C">
        <w:rPr>
          <w:i/>
          <w:iCs/>
        </w:rPr>
        <w:t>Análisis financiero para la toma de decisiones</w:t>
      </w:r>
      <w:r w:rsidRPr="0076589C">
        <w:t>. Ecoe Ediciones.</w:t>
      </w:r>
    </w:p>
    <w:p w14:paraId="5A9BF190" w14:textId="77777777" w:rsidR="008F1200" w:rsidRPr="0076589C" w:rsidRDefault="008F1200" w:rsidP="008F1200">
      <w:pPr>
        <w:pStyle w:val="Bibliografa"/>
      </w:pPr>
      <w:r w:rsidRPr="0076589C">
        <w:t xml:space="preserve">Gitman, L. J. (2003). </w:t>
      </w:r>
      <w:r w:rsidRPr="0076589C">
        <w:rPr>
          <w:i/>
          <w:iCs/>
        </w:rPr>
        <w:t>Principios de administración financiera</w:t>
      </w:r>
      <w:r w:rsidRPr="0076589C">
        <w:t>. Pearson Educación.</w:t>
      </w:r>
    </w:p>
    <w:p w14:paraId="2B8F0A5D" w14:textId="77777777" w:rsidR="008F1200" w:rsidRPr="0076589C" w:rsidRDefault="008F1200" w:rsidP="008F1200">
      <w:pPr>
        <w:pStyle w:val="Bibliografa"/>
      </w:pPr>
      <w:r w:rsidRPr="0076589C">
        <w:rPr>
          <w:lang w:val="en-US"/>
        </w:rPr>
        <w:t xml:space="preserve">Gitman, L. J., Zutter, C. J., &amp; Gitman, L. J. (2012). </w:t>
      </w:r>
      <w:r w:rsidRPr="0076589C">
        <w:rPr>
          <w:i/>
          <w:iCs/>
        </w:rPr>
        <w:t>Principios de administración financiera</w:t>
      </w:r>
      <w:r w:rsidRPr="0076589C">
        <w:t xml:space="preserve"> (12. ed). Pearson Educación.</w:t>
      </w:r>
    </w:p>
    <w:p w14:paraId="298D5E97" w14:textId="77777777" w:rsidR="008F1200" w:rsidRPr="0076589C" w:rsidRDefault="008F1200" w:rsidP="008F1200">
      <w:pPr>
        <w:pStyle w:val="Bibliografa"/>
      </w:pPr>
      <w:r w:rsidRPr="0076589C">
        <w:t xml:space="preserve">Gómez Bezares, F. (1995). Panorama de la Teoría Financiera. </w:t>
      </w:r>
      <w:r w:rsidRPr="0076589C">
        <w:rPr>
          <w:i/>
          <w:iCs/>
        </w:rPr>
        <w:t>Economía - Teoría y nuevos desafíos</w:t>
      </w:r>
      <w:r w:rsidRPr="0076589C">
        <w:t xml:space="preserve">, </w:t>
      </w:r>
      <w:r w:rsidRPr="0076589C">
        <w:rPr>
          <w:i/>
          <w:iCs/>
        </w:rPr>
        <w:t>156</w:t>
      </w:r>
      <w:r w:rsidRPr="0076589C">
        <w:t>, 30.</w:t>
      </w:r>
    </w:p>
    <w:p w14:paraId="2F72814D" w14:textId="77777777" w:rsidR="008F1200" w:rsidRPr="0076589C" w:rsidRDefault="008F1200" w:rsidP="008F1200">
      <w:pPr>
        <w:pStyle w:val="Bibliografa"/>
      </w:pPr>
      <w:r w:rsidRPr="0076589C">
        <w:lastRenderedPageBreak/>
        <w:t xml:space="preserve">Gonzalo, B. R. (2007). </w:t>
      </w:r>
      <w:r w:rsidRPr="0076589C">
        <w:rPr>
          <w:i/>
          <w:iCs/>
        </w:rPr>
        <w:t>Operaciones bancarias en Venezuela: Teoría y práctica</w:t>
      </w:r>
      <w:r w:rsidRPr="0076589C">
        <w:t>. Universidad Catolica Andres.</w:t>
      </w:r>
    </w:p>
    <w:p w14:paraId="56D73486" w14:textId="77777777" w:rsidR="008F1200" w:rsidRPr="0076589C" w:rsidRDefault="008F1200" w:rsidP="008F1200">
      <w:pPr>
        <w:pStyle w:val="Bibliografa"/>
        <w:rPr>
          <w:lang w:val="en-US"/>
        </w:rPr>
      </w:pPr>
      <w:r w:rsidRPr="0076589C">
        <w:t xml:space="preserve">Gordillo Cabezas, G. W. (2022). </w:t>
      </w:r>
      <w:r w:rsidRPr="0076589C">
        <w:rPr>
          <w:i/>
          <w:iCs/>
        </w:rPr>
        <w:t>Plan de prevención de fraudes para cooperativas de ahorro y crédito utilizando técnicas de auditoría forense.</w:t>
      </w:r>
      <w:r w:rsidRPr="0076589C">
        <w:t xml:space="preserve"> </w:t>
      </w:r>
      <w:r w:rsidRPr="0076589C">
        <w:rPr>
          <w:lang w:val="en-US"/>
        </w:rPr>
        <w:t>[bachelorThesis, Quito : UCE]. http://www.dspace.uce.edu.ec/handle/25000/30150</w:t>
      </w:r>
    </w:p>
    <w:p w14:paraId="1906D272" w14:textId="77777777" w:rsidR="008F1200" w:rsidRPr="0076589C" w:rsidRDefault="008F1200" w:rsidP="008F1200">
      <w:pPr>
        <w:pStyle w:val="Bibliografa"/>
      </w:pPr>
      <w:r w:rsidRPr="0076589C">
        <w:t xml:space="preserve">Guao-Samper, R. (2020). Teoría crítica e investigación contable. El caso de la opacidad de la información financiera. </w:t>
      </w:r>
      <w:r w:rsidRPr="0076589C">
        <w:rPr>
          <w:i/>
          <w:iCs/>
        </w:rPr>
        <w:t>Actualidad Contable Faces</w:t>
      </w:r>
      <w:r w:rsidRPr="0076589C">
        <w:t xml:space="preserve">, </w:t>
      </w:r>
      <w:r w:rsidRPr="0076589C">
        <w:rPr>
          <w:i/>
          <w:iCs/>
        </w:rPr>
        <w:t>23</w:t>
      </w:r>
      <w:r w:rsidRPr="0076589C">
        <w:t>(40), 28-51.</w:t>
      </w:r>
    </w:p>
    <w:p w14:paraId="35C42A1E" w14:textId="77777777" w:rsidR="008F1200" w:rsidRPr="0076589C" w:rsidRDefault="008F1200" w:rsidP="008F1200">
      <w:pPr>
        <w:pStyle w:val="Bibliografa"/>
      </w:pPr>
      <w:r w:rsidRPr="0076589C">
        <w:t xml:space="preserve">Gudino, J. (2011). </w:t>
      </w:r>
      <w:r w:rsidRPr="0076589C">
        <w:rPr>
          <w:i/>
          <w:iCs/>
        </w:rPr>
        <w:t>Glosario contable y financiero</w:t>
      </w:r>
      <w:r w:rsidRPr="0076589C">
        <w:t>. Jorge Gudiño.</w:t>
      </w:r>
    </w:p>
    <w:p w14:paraId="41909E69" w14:textId="77777777" w:rsidR="008F1200" w:rsidRPr="0076589C" w:rsidRDefault="008F1200" w:rsidP="008F1200">
      <w:pPr>
        <w:pStyle w:val="Bibliografa"/>
      </w:pPr>
      <w:r w:rsidRPr="0076589C">
        <w:t xml:space="preserve">Guerrero, M., Jiménez, F., &amp; Varona, S. (2010). </w:t>
      </w:r>
      <w:r w:rsidRPr="0076589C">
        <w:rPr>
          <w:i/>
          <w:iCs/>
        </w:rPr>
        <w:t>La administración del capital de trabajo en el marco de la administración financiera a corto plazo</w:t>
      </w:r>
      <w:r w:rsidRPr="0076589C">
        <w:t>.</w:t>
      </w:r>
    </w:p>
    <w:p w14:paraId="6419EFFE" w14:textId="77777777" w:rsidR="008F1200" w:rsidRPr="0076589C" w:rsidRDefault="008F1200" w:rsidP="008F1200">
      <w:pPr>
        <w:pStyle w:val="Bibliografa"/>
      </w:pPr>
      <w:r w:rsidRPr="0076589C">
        <w:t xml:space="preserve">Gutiérrez Viguera, M. (2013). </w:t>
      </w:r>
      <w:r w:rsidRPr="0076589C">
        <w:rPr>
          <w:i/>
          <w:iCs/>
        </w:rPr>
        <w:t>Iniciación a la contabilidad desde cero</w:t>
      </w:r>
      <w:r w:rsidRPr="0076589C">
        <w:t>. Paracuellos de Jarama (Madrid) : Ra-Ma. http://archive.org/details/iniciacionlacont0000guti</w:t>
      </w:r>
    </w:p>
    <w:p w14:paraId="5218D8E9" w14:textId="77777777" w:rsidR="008F1200" w:rsidRPr="0076589C" w:rsidRDefault="008F1200" w:rsidP="008F1200">
      <w:pPr>
        <w:pStyle w:val="Bibliografa"/>
      </w:pPr>
      <w:r w:rsidRPr="0076589C">
        <w:t xml:space="preserve">Guzmán, C. A., &amp; Samatelo, J. L. A. (2006). </w:t>
      </w:r>
      <w:r w:rsidRPr="0076589C">
        <w:rPr>
          <w:i/>
          <w:iCs/>
        </w:rPr>
        <w:t>Ratios Financieros Y Matema ́ticas de la Mercadotecnia</w:t>
      </w:r>
      <w:r w:rsidRPr="0076589C">
        <w:t>. Juan Carlos Martínez Coll.</w:t>
      </w:r>
    </w:p>
    <w:p w14:paraId="1E46433B" w14:textId="77777777" w:rsidR="008F1200" w:rsidRPr="0076589C" w:rsidRDefault="008F1200" w:rsidP="008F1200">
      <w:pPr>
        <w:pStyle w:val="Bibliografa"/>
      </w:pPr>
      <w:r w:rsidRPr="0076589C">
        <w:t xml:space="preserve">Hernandez Sampieri, R. (2010). </w:t>
      </w:r>
      <w:r w:rsidRPr="0076589C">
        <w:rPr>
          <w:i/>
          <w:iCs/>
        </w:rPr>
        <w:t>Metodología de la investigación</w:t>
      </w:r>
      <w:r w:rsidRPr="0076589C">
        <w:t xml:space="preserve"> (5ta ed.).</w:t>
      </w:r>
    </w:p>
    <w:p w14:paraId="088DE715" w14:textId="77777777" w:rsidR="008F1200" w:rsidRPr="0076589C" w:rsidRDefault="008F1200" w:rsidP="008F1200">
      <w:pPr>
        <w:pStyle w:val="Bibliografa"/>
      </w:pPr>
      <w:r w:rsidRPr="0076589C">
        <w:rPr>
          <w:lang w:val="en-US"/>
        </w:rPr>
        <w:t xml:space="preserve">Horne, J. C. V., &amp; Wachowicz, J. M. (2002). </w:t>
      </w:r>
      <w:r w:rsidRPr="0076589C">
        <w:rPr>
          <w:i/>
          <w:iCs/>
        </w:rPr>
        <w:t>Fundamentos de administración financiera</w:t>
      </w:r>
      <w:r w:rsidRPr="0076589C">
        <w:t>. Pearson Educación.</w:t>
      </w:r>
    </w:p>
    <w:p w14:paraId="46E6D065" w14:textId="77777777" w:rsidR="008F1200" w:rsidRPr="0076589C" w:rsidRDefault="008F1200" w:rsidP="008F1200">
      <w:pPr>
        <w:pStyle w:val="Bibliografa"/>
      </w:pPr>
      <w:r w:rsidRPr="0076589C">
        <w:t xml:space="preserve">Jimenez, F., Ramirez, C., &amp; Reyes, L. (2019). </w:t>
      </w:r>
      <w:r w:rsidRPr="0076589C">
        <w:rPr>
          <w:i/>
          <w:iCs/>
        </w:rPr>
        <w:t>La administración del capital de Trabajo en una empresa de materiales de construcción</w:t>
      </w:r>
      <w:r w:rsidRPr="0076589C">
        <w:t>.</w:t>
      </w:r>
    </w:p>
    <w:p w14:paraId="1FD57C46" w14:textId="77777777" w:rsidR="008F1200" w:rsidRPr="0076589C" w:rsidRDefault="008F1200" w:rsidP="008F1200">
      <w:pPr>
        <w:pStyle w:val="Bibliografa"/>
      </w:pPr>
      <w:r w:rsidRPr="0076589C">
        <w:t xml:space="preserve">JOSE, M. A., JOSE, M. A., EDUARDO, FERNANDEZ, G. D. T., MANUEL, BELÉN, D. D., ISABEL, F. R., MARÍA, C. P., ANA, ESTEBAN, F. G., LUIS, F. S., JOSÉ, PATRICIO, </w:t>
      </w:r>
      <w:r w:rsidRPr="0076589C">
        <w:lastRenderedPageBreak/>
        <w:t xml:space="preserve">P. G., LAURA, C. R., CLARA, &amp; MYRIAM, G. O. (2014). </w:t>
      </w:r>
      <w:r w:rsidRPr="0076589C">
        <w:rPr>
          <w:i/>
          <w:iCs/>
        </w:rPr>
        <w:t>Manual del asesor financiero</w:t>
      </w:r>
      <w:r w:rsidRPr="0076589C">
        <w:t>. Ediciones Paraninfo, S.A.</w:t>
      </w:r>
    </w:p>
    <w:p w14:paraId="5C0D4B24" w14:textId="77777777" w:rsidR="008F1200" w:rsidRPr="0076589C" w:rsidRDefault="008F1200" w:rsidP="008F1200">
      <w:pPr>
        <w:pStyle w:val="Bibliografa"/>
        <w:rPr>
          <w:lang w:val="en-US"/>
        </w:rPr>
      </w:pPr>
      <w:r w:rsidRPr="0076589C">
        <w:t xml:space="preserve">Kalu, E. O., Shieler, B., &amp; Amu, C. U. (2018). </w:t>
      </w:r>
      <w:r w:rsidRPr="0076589C">
        <w:rPr>
          <w:lang w:val="en-US"/>
        </w:rPr>
        <w:t xml:space="preserve">Credit Risk Management and Financial Performance of Microfinance Institutions in Kampala, Uganda. </w:t>
      </w:r>
      <w:r w:rsidRPr="0076589C">
        <w:rPr>
          <w:i/>
          <w:iCs/>
          <w:lang w:val="en-US"/>
        </w:rPr>
        <w:t>Independent Journal of Management &amp; Production</w:t>
      </w:r>
      <w:r w:rsidRPr="0076589C">
        <w:rPr>
          <w:lang w:val="en-US"/>
        </w:rPr>
        <w:t xml:space="preserve">, </w:t>
      </w:r>
      <w:r w:rsidRPr="0076589C">
        <w:rPr>
          <w:i/>
          <w:iCs/>
          <w:lang w:val="en-US"/>
        </w:rPr>
        <w:t>9</w:t>
      </w:r>
      <w:r w:rsidRPr="0076589C">
        <w:rPr>
          <w:lang w:val="en-US"/>
        </w:rPr>
        <w:t>(1), Article 1. https://doi.org/10.14807/ijmp.v9i1.658</w:t>
      </w:r>
    </w:p>
    <w:p w14:paraId="05088963" w14:textId="77777777" w:rsidR="008F1200" w:rsidRPr="0076589C" w:rsidRDefault="008F1200" w:rsidP="008F1200">
      <w:pPr>
        <w:pStyle w:val="Bibliografa"/>
      </w:pPr>
      <w:r w:rsidRPr="0076589C">
        <w:t xml:space="preserve">La Hipotecaria. (s. f.). </w:t>
      </w:r>
      <w:r w:rsidRPr="0076589C">
        <w:rPr>
          <w:i/>
          <w:iCs/>
        </w:rPr>
        <w:t>Glosario términos Financieros</w:t>
      </w:r>
      <w:r w:rsidRPr="0076589C">
        <w:t>. https://www.lahipotecaria.com/colombia/wp-content/uploads/2014/10/Glosario-terminos-Financieros.pdf</w:t>
      </w:r>
    </w:p>
    <w:p w14:paraId="338B3E42" w14:textId="77777777" w:rsidR="008F1200" w:rsidRPr="0076589C" w:rsidRDefault="008F1200" w:rsidP="008F1200">
      <w:pPr>
        <w:pStyle w:val="Bibliografa"/>
      </w:pPr>
      <w:r w:rsidRPr="0076589C">
        <w:t xml:space="preserve">Laya, A. (2011). Los principios y postulados básicos de la contabilidad: Una perspectiva histórica-conceptual desde la doctrina contable. </w:t>
      </w:r>
      <w:r w:rsidRPr="0076589C">
        <w:rPr>
          <w:i/>
          <w:iCs/>
        </w:rPr>
        <w:t>Actualidad Contable Faces</w:t>
      </w:r>
      <w:r w:rsidRPr="0076589C">
        <w:t xml:space="preserve">, </w:t>
      </w:r>
      <w:r w:rsidRPr="0076589C">
        <w:rPr>
          <w:i/>
          <w:iCs/>
        </w:rPr>
        <w:t>14</w:t>
      </w:r>
      <w:r w:rsidRPr="0076589C">
        <w:t>(23), 79-101.</w:t>
      </w:r>
    </w:p>
    <w:p w14:paraId="7FE032A7" w14:textId="77777777" w:rsidR="008F1200" w:rsidRPr="0076589C" w:rsidRDefault="008F1200" w:rsidP="008F1200">
      <w:pPr>
        <w:pStyle w:val="Bibliografa"/>
      </w:pPr>
      <w:r w:rsidRPr="0076589C">
        <w:t xml:space="preserve">Lopez, T. (2019). </w:t>
      </w:r>
      <w:r w:rsidRPr="0076589C">
        <w:rPr>
          <w:i/>
          <w:iCs/>
        </w:rPr>
        <w:t>Estrategia para la recuperación de la cartera morosa de ENACALMATAGALPA del periodo 2017-2018</w:t>
      </w:r>
      <w:r w:rsidRPr="0076589C">
        <w:t>. https://repositorio.unan.edu.ni/7537/1/17986.pdf</w:t>
      </w:r>
    </w:p>
    <w:p w14:paraId="57043836" w14:textId="77777777" w:rsidR="008F1200" w:rsidRPr="0076589C" w:rsidRDefault="008F1200" w:rsidP="008F1200">
      <w:pPr>
        <w:pStyle w:val="Bibliografa"/>
      </w:pPr>
      <w:r w:rsidRPr="0076589C">
        <w:t xml:space="preserve">Lubo, K. J. P., Medina, E. E. M., &amp; Lubo, K. A. P. (2020). Gestión de tesorería en las pymes de Riohacha D.E.T.C.: Caso gestión de cobros. </w:t>
      </w:r>
      <w:r w:rsidRPr="0076589C">
        <w:rPr>
          <w:i/>
          <w:iCs/>
        </w:rPr>
        <w:t>Renovat: Revista de Estudios Interdisciplinarios en Ciencias Sociales, Tecnología e Innovación</w:t>
      </w:r>
      <w:r w:rsidRPr="0076589C">
        <w:t xml:space="preserve">, </w:t>
      </w:r>
      <w:r w:rsidRPr="0076589C">
        <w:rPr>
          <w:i/>
          <w:iCs/>
        </w:rPr>
        <w:t>5</w:t>
      </w:r>
      <w:r w:rsidRPr="0076589C">
        <w:t>(2), Article 2.</w:t>
      </w:r>
    </w:p>
    <w:p w14:paraId="57ED6015" w14:textId="77777777" w:rsidR="008F1200" w:rsidRPr="0076589C" w:rsidRDefault="008F1200" w:rsidP="008F1200">
      <w:pPr>
        <w:pStyle w:val="Bibliografa"/>
      </w:pPr>
      <w:r w:rsidRPr="0076589C">
        <w:t xml:space="preserve">Macías, M. T. (2023). </w:t>
      </w:r>
      <w:r w:rsidRPr="0076589C">
        <w:rPr>
          <w:i/>
          <w:iCs/>
        </w:rPr>
        <w:t>Guía de gerente financiero: Desde el diagnóstico hasta la toma de decisiones</w:t>
      </w:r>
      <w:r w:rsidRPr="0076589C">
        <w:t>. Universidad de La Sabana.</w:t>
      </w:r>
    </w:p>
    <w:p w14:paraId="488BF81E" w14:textId="77777777" w:rsidR="008F1200" w:rsidRPr="0076589C" w:rsidRDefault="008F1200" w:rsidP="008F1200">
      <w:pPr>
        <w:pStyle w:val="Bibliografa"/>
      </w:pPr>
      <w:r w:rsidRPr="0076589C">
        <w:t xml:space="preserve">Malhotra, N. K. (2004). </w:t>
      </w:r>
      <w:r w:rsidRPr="0076589C">
        <w:rPr>
          <w:i/>
          <w:iCs/>
        </w:rPr>
        <w:t>Investigación de mercados: Un enfoque aplicado</w:t>
      </w:r>
      <w:r w:rsidRPr="0076589C">
        <w:t>. Pearson Educación.</w:t>
      </w:r>
    </w:p>
    <w:p w14:paraId="3CBA85B8" w14:textId="77777777" w:rsidR="008F1200" w:rsidRPr="0076589C" w:rsidRDefault="008F1200" w:rsidP="008F1200">
      <w:pPr>
        <w:pStyle w:val="Bibliografa"/>
      </w:pPr>
      <w:r w:rsidRPr="0076589C">
        <w:lastRenderedPageBreak/>
        <w:t xml:space="preserve">Maron Callo, S. L. (2019). Gestión de cuentas por cobrar de la empresa Falcón Alimentos Corporación SAC, San Juan de Miraflores 2012—2018. </w:t>
      </w:r>
      <w:r w:rsidRPr="0076589C">
        <w:rPr>
          <w:i/>
          <w:iCs/>
        </w:rPr>
        <w:t>Universidad Peruana Unión</w:t>
      </w:r>
      <w:r w:rsidRPr="0076589C">
        <w:t>. https://repositorio.upeu.edu.pe/handle/20.500.12840/2346</w:t>
      </w:r>
    </w:p>
    <w:p w14:paraId="5AA8B01F" w14:textId="77777777" w:rsidR="008F1200" w:rsidRPr="0076589C" w:rsidRDefault="008F1200" w:rsidP="008F1200">
      <w:pPr>
        <w:pStyle w:val="Bibliografa"/>
        <w:rPr>
          <w:lang w:val="pt-PT"/>
        </w:rPr>
      </w:pPr>
      <w:r w:rsidRPr="0076589C">
        <w:t xml:space="preserve">Marques, J., &amp; Machado, B. (2016). </w:t>
      </w:r>
      <w:r w:rsidRPr="0076589C">
        <w:rPr>
          <w:i/>
          <w:iCs/>
          <w:lang w:val="pt-PT"/>
        </w:rPr>
        <w:t>Recensión de “Teorias da Contabilidade—Construção e Demarcação Epistemológica”</w:t>
      </w:r>
      <w:r w:rsidRPr="0076589C">
        <w:rPr>
          <w:lang w:val="pt-PT"/>
        </w:rPr>
        <w:t>.</w:t>
      </w:r>
    </w:p>
    <w:p w14:paraId="14796BA8" w14:textId="77777777" w:rsidR="008F1200" w:rsidRPr="0076589C" w:rsidRDefault="008F1200" w:rsidP="008F1200">
      <w:pPr>
        <w:pStyle w:val="Bibliografa"/>
      </w:pPr>
      <w:r w:rsidRPr="0076589C">
        <w:rPr>
          <w:lang w:val="pt-PT"/>
        </w:rPr>
        <w:t xml:space="preserve">Martínez, Á. M. F., Cruz, F. M. F., &amp; Cruz, F. A. F. (2021). </w:t>
      </w:r>
      <w:r w:rsidRPr="0076589C">
        <w:rPr>
          <w:i/>
          <w:iCs/>
        </w:rPr>
        <w:t>Contabilidad general: Enfoque NIIF para pymes</w:t>
      </w:r>
      <w:r w:rsidRPr="0076589C">
        <w:t>. Ediciones de la U.</w:t>
      </w:r>
    </w:p>
    <w:p w14:paraId="1123D012" w14:textId="77777777" w:rsidR="008F1200" w:rsidRPr="0076589C" w:rsidRDefault="008F1200" w:rsidP="008F1200">
      <w:pPr>
        <w:pStyle w:val="Bibliografa"/>
      </w:pPr>
      <w:r w:rsidRPr="0076589C">
        <w:t xml:space="preserve">Mendieta, M. T. (2010). RESOLUCIÓN JTNCA 001/2010. </w:t>
      </w:r>
      <w:r w:rsidRPr="0076589C">
        <w:rPr>
          <w:i/>
          <w:iCs/>
        </w:rPr>
        <w:t>La Gaceta</w:t>
      </w:r>
      <w:r w:rsidRPr="0076589C">
        <w:t>. https://juntec.org.hn/wp-content/uploads/2021/09/Resolucion-JTNCA-001-09-2010-Aplicacion-NIIF-por-primera-vez.pdf</w:t>
      </w:r>
    </w:p>
    <w:p w14:paraId="25F1F352" w14:textId="77777777" w:rsidR="008F1200" w:rsidRPr="0076589C" w:rsidRDefault="008F1200" w:rsidP="008F1200">
      <w:pPr>
        <w:pStyle w:val="Bibliografa"/>
      </w:pPr>
      <w:r w:rsidRPr="0076589C">
        <w:t xml:space="preserve">Mendoza, E. N. E., &amp; Maldonado, N. G. G. (2020). </w:t>
      </w:r>
      <w:r w:rsidRPr="0076589C">
        <w:rPr>
          <w:i/>
          <w:iCs/>
        </w:rPr>
        <w:t>PROPUESTA DE MEJORA PARA MANEJO DE CUENTAS POR COBRAR EN DISTRIBUIDORA COMERCIAL VALLADARES (DICOVA)</w:t>
      </w:r>
      <w:r w:rsidRPr="0076589C">
        <w:t>.</w:t>
      </w:r>
    </w:p>
    <w:p w14:paraId="4E104DC8" w14:textId="77777777" w:rsidR="008F1200" w:rsidRPr="0076589C" w:rsidRDefault="008F1200" w:rsidP="008F1200">
      <w:pPr>
        <w:pStyle w:val="Bibliografa"/>
      </w:pPr>
      <w:r w:rsidRPr="0076589C">
        <w:t xml:space="preserve">Mendoza, F. J. C. del C. (2012). </w:t>
      </w:r>
      <w:r w:rsidRPr="0076589C">
        <w:rPr>
          <w:i/>
          <w:iCs/>
        </w:rPr>
        <w:t>Estadística en fenómenos naturales y procesos sociales</w:t>
      </w:r>
      <w:r w:rsidRPr="0076589C">
        <w:t>. Secretaría De Educación Pública.</w:t>
      </w:r>
    </w:p>
    <w:p w14:paraId="6284C5F3" w14:textId="77777777" w:rsidR="008F1200" w:rsidRPr="0076589C" w:rsidRDefault="008F1200" w:rsidP="008F1200">
      <w:pPr>
        <w:pStyle w:val="Bibliografa"/>
        <w:rPr>
          <w:lang w:val="en-US"/>
        </w:rPr>
      </w:pPr>
      <w:r w:rsidRPr="0076589C">
        <w:t xml:space="preserve">Mesco, M. (2013, julio 13). En Europa, el cobro de deudas es un trabajo arduo y poco rentable. </w:t>
      </w:r>
      <w:r w:rsidRPr="0076589C">
        <w:rPr>
          <w:i/>
          <w:iCs/>
          <w:lang w:val="en-US"/>
        </w:rPr>
        <w:t>Wall Street Journal</w:t>
      </w:r>
      <w:r w:rsidRPr="0076589C">
        <w:rPr>
          <w:lang w:val="en-US"/>
        </w:rPr>
        <w:t>. http://online.wsj.com/article/SB10001424127887324425204578600323637163986.html</w:t>
      </w:r>
    </w:p>
    <w:p w14:paraId="1AAAE262" w14:textId="77777777" w:rsidR="008F1200" w:rsidRPr="0076589C" w:rsidRDefault="008F1200" w:rsidP="008F1200">
      <w:pPr>
        <w:pStyle w:val="Bibliografa"/>
      </w:pPr>
      <w:r w:rsidRPr="0076589C">
        <w:rPr>
          <w:lang w:val="en-US"/>
        </w:rPr>
        <w:t xml:space="preserve">Meza, C. (1996). </w:t>
      </w:r>
      <w:r w:rsidRPr="0076589C">
        <w:rPr>
          <w:i/>
          <w:iCs/>
        </w:rPr>
        <w:t>Contabilidad. Análisis de Cuentas</w:t>
      </w:r>
      <w:r w:rsidRPr="0076589C">
        <w:t>. EUNED.</w:t>
      </w:r>
    </w:p>
    <w:p w14:paraId="28BB7AAE" w14:textId="77777777" w:rsidR="008F1200" w:rsidRPr="0076589C" w:rsidRDefault="008F1200" w:rsidP="008F1200">
      <w:pPr>
        <w:pStyle w:val="Bibliografa"/>
      </w:pPr>
      <w:r w:rsidRPr="0076589C">
        <w:t xml:space="preserve">Mires Perez, L. (2022). </w:t>
      </w:r>
      <w:r w:rsidRPr="0076589C">
        <w:rPr>
          <w:i/>
          <w:iCs/>
        </w:rPr>
        <w:t xml:space="preserve">Evaluación de la gestión de las cuentas por cobrar, para medir el riesgo de iliquidez y falta de capital de trabajo y diseñar política de crédito y cobranza de la </w:t>
      </w:r>
      <w:r w:rsidRPr="0076589C">
        <w:rPr>
          <w:i/>
          <w:iCs/>
        </w:rPr>
        <w:lastRenderedPageBreak/>
        <w:t>Empresa Alimentos Balanceados S.A.C., periodo 2018-2019</w:t>
      </w:r>
      <w:r w:rsidRPr="0076589C">
        <w:t xml:space="preserve"> [Universidad Católica Santo Toribio de Mogrovejo]. http://tesis.usat.edu.pe/handle/20.500.12423/5153</w:t>
      </w:r>
    </w:p>
    <w:p w14:paraId="3B5E3E14" w14:textId="77777777" w:rsidR="008F1200" w:rsidRPr="0076589C" w:rsidRDefault="008F1200" w:rsidP="008F1200">
      <w:pPr>
        <w:pStyle w:val="Bibliografa"/>
      </w:pPr>
      <w:r w:rsidRPr="0076589C">
        <w:t xml:space="preserve">Mogollón Gómez, J. (2021). </w:t>
      </w:r>
      <w:r w:rsidRPr="0076589C">
        <w:rPr>
          <w:i/>
          <w:iCs/>
        </w:rPr>
        <w:t>Gestión de Cobranza y su impacto en la Gerencia Financiera de la empresa PP S.A: Periodo 2014-2016</w:t>
      </w:r>
      <w:r w:rsidRPr="0076589C">
        <w:t>. https://www.revistas.unah.edu.pe/index.php/puriq/article/view/121</w:t>
      </w:r>
    </w:p>
    <w:p w14:paraId="29804914" w14:textId="77777777" w:rsidR="008F1200" w:rsidRPr="0076589C" w:rsidRDefault="008F1200" w:rsidP="008F1200">
      <w:pPr>
        <w:pStyle w:val="Bibliografa"/>
        <w:rPr>
          <w:lang w:val="pt-PT"/>
        </w:rPr>
      </w:pPr>
      <w:r w:rsidRPr="0076589C">
        <w:t xml:space="preserve">Moguel, E. A. R. (2005). </w:t>
      </w:r>
      <w:r w:rsidRPr="0076589C">
        <w:rPr>
          <w:i/>
          <w:iCs/>
        </w:rPr>
        <w:t>Metodología de la Investigación</w:t>
      </w:r>
      <w:r w:rsidRPr="0076589C">
        <w:t xml:space="preserve">. </w:t>
      </w:r>
      <w:r w:rsidRPr="0076589C">
        <w:rPr>
          <w:lang w:val="pt-PT"/>
        </w:rPr>
        <w:t>Univ. J. Autónoma de Tabasco.</w:t>
      </w:r>
    </w:p>
    <w:p w14:paraId="39804681" w14:textId="77777777" w:rsidR="008F1200" w:rsidRPr="0076589C" w:rsidRDefault="008F1200" w:rsidP="008F1200">
      <w:pPr>
        <w:pStyle w:val="Bibliografa"/>
      </w:pPr>
      <w:r w:rsidRPr="0076589C">
        <w:rPr>
          <w:lang w:val="pt-PT"/>
        </w:rPr>
        <w:t xml:space="preserve">Moncada Silva, E. (1995). </w:t>
      </w:r>
      <w:r w:rsidRPr="0076589C">
        <w:t xml:space="preserve">Decreto 160-95: Primeros 15 principios de contabilidad generalmente aceptados en Honduras. </w:t>
      </w:r>
      <w:r w:rsidRPr="0076589C">
        <w:rPr>
          <w:i/>
          <w:iCs/>
        </w:rPr>
        <w:t>La Gaceta</w:t>
      </w:r>
      <w:r w:rsidRPr="0076589C">
        <w:t>.</w:t>
      </w:r>
    </w:p>
    <w:p w14:paraId="091D8C39" w14:textId="77777777" w:rsidR="008F1200" w:rsidRPr="0076589C" w:rsidRDefault="008F1200" w:rsidP="008F1200">
      <w:pPr>
        <w:pStyle w:val="Bibliografa"/>
      </w:pPr>
      <w:r w:rsidRPr="0076589C">
        <w:t xml:space="preserve">Montes Chino, A. A. M. (2005). </w:t>
      </w:r>
      <w:r w:rsidRPr="0076589C">
        <w:rPr>
          <w:i/>
          <w:iCs/>
        </w:rPr>
        <w:t>La adminitracion del Departamento de Credito y cobranza en empresas farmaceuticas</w:t>
      </w:r>
      <w:r w:rsidRPr="0076589C">
        <w:t>. http://www.bib.uia.mx/tesis/pdf/014610/014610.pdf</w:t>
      </w:r>
    </w:p>
    <w:p w14:paraId="4D991383" w14:textId="77777777" w:rsidR="008F1200" w:rsidRPr="0076589C" w:rsidRDefault="008F1200" w:rsidP="008F1200">
      <w:pPr>
        <w:pStyle w:val="Bibliografa"/>
      </w:pPr>
      <w:r w:rsidRPr="0076589C">
        <w:t xml:space="preserve">Morales Castro, A., &amp; Morales Castro, J. A. (2014). </w:t>
      </w:r>
      <w:r w:rsidRPr="0076589C">
        <w:rPr>
          <w:i/>
          <w:iCs/>
        </w:rPr>
        <w:t>Crédito y Cobranza</w:t>
      </w:r>
      <w:r w:rsidRPr="0076589C">
        <w:t>. Grupo Editorial Patria.</w:t>
      </w:r>
    </w:p>
    <w:p w14:paraId="048E7A43" w14:textId="77777777" w:rsidR="008F1200" w:rsidRPr="0076589C" w:rsidRDefault="008F1200" w:rsidP="008F1200">
      <w:pPr>
        <w:pStyle w:val="Bibliografa"/>
      </w:pPr>
      <w:r w:rsidRPr="0076589C">
        <w:t xml:space="preserve">Nakasone, G. T. (2001). </w:t>
      </w:r>
      <w:r w:rsidRPr="0076589C">
        <w:rPr>
          <w:i/>
          <w:iCs/>
        </w:rPr>
        <w:t>Análisis de Estados Financieros Para la Toma de Decisiones</w:t>
      </w:r>
      <w:r w:rsidRPr="0076589C">
        <w:t>. Fondo Editorial PUCP.</w:t>
      </w:r>
    </w:p>
    <w:p w14:paraId="68F4FE81" w14:textId="77777777" w:rsidR="008F1200" w:rsidRPr="0076589C" w:rsidRDefault="008F1200" w:rsidP="008F1200">
      <w:pPr>
        <w:pStyle w:val="Bibliografa"/>
        <w:rPr>
          <w:lang w:val="pt-PT"/>
        </w:rPr>
      </w:pPr>
      <w:r w:rsidRPr="0076589C">
        <w:t xml:space="preserve">Narváez, V. P. D. (2009). </w:t>
      </w:r>
      <w:r w:rsidRPr="0076589C">
        <w:rPr>
          <w:i/>
          <w:iCs/>
        </w:rPr>
        <w:t>Metodología de la investigación científica y bioestadística: Para médicos, odontólogos y estudiantes de ciencias de la salud</w:t>
      </w:r>
      <w:r w:rsidRPr="0076589C">
        <w:t xml:space="preserve">. </w:t>
      </w:r>
      <w:r w:rsidRPr="0076589C">
        <w:rPr>
          <w:lang w:val="pt-PT"/>
        </w:rPr>
        <w:t>RIL Editores.</w:t>
      </w:r>
    </w:p>
    <w:p w14:paraId="19D49479" w14:textId="77777777" w:rsidR="008F1200" w:rsidRPr="0076589C" w:rsidRDefault="008F1200" w:rsidP="008F1200">
      <w:pPr>
        <w:pStyle w:val="Bibliografa"/>
        <w:rPr>
          <w:lang w:val="en-US"/>
        </w:rPr>
      </w:pPr>
      <w:r w:rsidRPr="0076589C">
        <w:rPr>
          <w:lang w:val="pt-PT"/>
        </w:rPr>
        <w:t xml:space="preserve">Ngumo, K. S., Collins, K. W., &amp; David, S. H. (2020). </w:t>
      </w:r>
      <w:r w:rsidRPr="0076589C">
        <w:rPr>
          <w:i/>
          <w:iCs/>
          <w:lang w:val="en-US"/>
        </w:rPr>
        <w:t>Determinants of Financial Performance of Microfinance Banks in Kenya</w:t>
      </w:r>
      <w:r w:rsidRPr="0076589C">
        <w:rPr>
          <w:lang w:val="en-US"/>
        </w:rPr>
        <w:t xml:space="preserve"> (arXiv:2010.12569). arXiv. https://doi.org/10.48550/arXiv.2010.12569</w:t>
      </w:r>
    </w:p>
    <w:p w14:paraId="0B50B83B" w14:textId="77777777" w:rsidR="008F1200" w:rsidRPr="0076589C" w:rsidRDefault="008F1200" w:rsidP="008F1200">
      <w:pPr>
        <w:pStyle w:val="Bibliografa"/>
      </w:pPr>
      <w:r w:rsidRPr="0076589C">
        <w:t xml:space="preserve">Novoa, A. B. (2008). </w:t>
      </w:r>
      <w:r w:rsidRPr="0076589C">
        <w:rPr>
          <w:i/>
          <w:iCs/>
        </w:rPr>
        <w:t>Finanzas para no financistas</w:t>
      </w:r>
      <w:r w:rsidRPr="0076589C">
        <w:t>. Pontificia Universidad Javeriana.</w:t>
      </w:r>
    </w:p>
    <w:p w14:paraId="32B873D8" w14:textId="77777777" w:rsidR="008F1200" w:rsidRPr="0076589C" w:rsidRDefault="008F1200" w:rsidP="008F1200">
      <w:pPr>
        <w:pStyle w:val="Bibliografa"/>
      </w:pPr>
      <w:r w:rsidRPr="0076589C">
        <w:t xml:space="preserve">Orellana, G. (2016). </w:t>
      </w:r>
      <w:r w:rsidRPr="0076589C">
        <w:rPr>
          <w:i/>
          <w:iCs/>
        </w:rPr>
        <w:t>CONSTRUCCION DE INSTRUMENTOS DE INVESTIGACIÓN EN CIENCIAS SOCIALES</w:t>
      </w:r>
      <w:r w:rsidRPr="0076589C">
        <w:t>.</w:t>
      </w:r>
    </w:p>
    <w:p w14:paraId="6940F916" w14:textId="77777777" w:rsidR="008F1200" w:rsidRPr="0076589C" w:rsidRDefault="008F1200" w:rsidP="008F1200">
      <w:pPr>
        <w:pStyle w:val="Bibliografa"/>
      </w:pPr>
      <w:r w:rsidRPr="0076589C">
        <w:lastRenderedPageBreak/>
        <w:t xml:space="preserve">Ortíz, L. G. (2021). </w:t>
      </w:r>
      <w:r w:rsidRPr="0076589C">
        <w:rPr>
          <w:i/>
          <w:iCs/>
        </w:rPr>
        <w:t>Políticas de marketing internacional. COMM0110</w:t>
      </w:r>
      <w:r w:rsidRPr="0076589C">
        <w:t>. IC Editorial.</w:t>
      </w:r>
    </w:p>
    <w:p w14:paraId="7CA0B61A" w14:textId="77777777" w:rsidR="008F1200" w:rsidRPr="0076589C" w:rsidRDefault="008F1200" w:rsidP="008F1200">
      <w:pPr>
        <w:pStyle w:val="Bibliografa"/>
      </w:pPr>
      <w:r w:rsidRPr="0076589C">
        <w:t xml:space="preserve">Ospina, G. (2001). </w:t>
      </w:r>
      <w:r w:rsidRPr="0076589C">
        <w:rPr>
          <w:i/>
          <w:iCs/>
        </w:rPr>
        <w:t>Calificación de cartera de crédito</w:t>
      </w:r>
      <w:r w:rsidRPr="0076589C">
        <w:t>.</w:t>
      </w:r>
    </w:p>
    <w:p w14:paraId="3C76FFFA" w14:textId="77777777" w:rsidR="008F1200" w:rsidRPr="0076589C" w:rsidRDefault="008F1200" w:rsidP="008F1200">
      <w:pPr>
        <w:pStyle w:val="Bibliografa"/>
      </w:pPr>
      <w:r w:rsidRPr="0076589C">
        <w:t xml:space="preserve">Padilla, M. C. (2014). </w:t>
      </w:r>
      <w:r w:rsidRPr="0076589C">
        <w:rPr>
          <w:i/>
          <w:iCs/>
        </w:rPr>
        <w:t>Análisis financiero—1ra edición</w:t>
      </w:r>
      <w:r w:rsidRPr="0076589C">
        <w:t>. Ecoe Ediciones.</w:t>
      </w:r>
    </w:p>
    <w:p w14:paraId="3C46EF77" w14:textId="77777777" w:rsidR="008F1200" w:rsidRPr="0076589C" w:rsidRDefault="008F1200" w:rsidP="008F1200">
      <w:pPr>
        <w:pStyle w:val="Bibliografa"/>
      </w:pPr>
      <w:r w:rsidRPr="0076589C">
        <w:t xml:space="preserve">Padilla, N. M. (2021). </w:t>
      </w:r>
      <w:r w:rsidRPr="0076589C">
        <w:rPr>
          <w:i/>
          <w:iCs/>
        </w:rPr>
        <w:t>Propuesta de mejora para el proceso de gestión Cobranza de la cartera de exvinculados en la empresa Enel-Codensa S.A ESP y Emgesa.</w:t>
      </w:r>
    </w:p>
    <w:p w14:paraId="085D7350" w14:textId="77777777" w:rsidR="008F1200" w:rsidRPr="0076589C" w:rsidRDefault="008F1200" w:rsidP="008F1200">
      <w:pPr>
        <w:pStyle w:val="Bibliografa"/>
      </w:pPr>
      <w:r w:rsidRPr="0076589C">
        <w:t xml:space="preserve">Palmezano Ibarra, Y. I., &amp; Toncel Montesino, A. E. (2021). </w:t>
      </w:r>
      <w:r w:rsidRPr="0076589C">
        <w:rPr>
          <w:i/>
          <w:iCs/>
        </w:rPr>
        <w:t>Indicadores financieros generados por créditos educativos a los estudiantes de Uniguajira como factor clave en la administración de cuentas por cobrar.</w:t>
      </w:r>
      <w:r w:rsidRPr="0076589C">
        <w:t xml:space="preserve"> [Trabajo de grado - Maestría, Universidad de La Guajira]. https://repositoryinst.uniguajira.edu.co/handle/uniguajira/342</w:t>
      </w:r>
    </w:p>
    <w:p w14:paraId="041D77B1" w14:textId="77777777" w:rsidR="008F1200" w:rsidRPr="0076589C" w:rsidRDefault="008F1200" w:rsidP="008F1200">
      <w:pPr>
        <w:pStyle w:val="Bibliografa"/>
      </w:pPr>
      <w:r w:rsidRPr="0076589C">
        <w:t xml:space="preserve">Pampillón, F. (2001). </w:t>
      </w:r>
      <w:r w:rsidRPr="0076589C">
        <w:rPr>
          <w:i/>
          <w:iCs/>
        </w:rPr>
        <w:t>Apuntes de tendencias del sistema financiero español</w:t>
      </w:r>
      <w:r w:rsidRPr="0076589C">
        <w:t>. Librería-Editorial Dykinson.</w:t>
      </w:r>
    </w:p>
    <w:p w14:paraId="79857A8B" w14:textId="77777777" w:rsidR="008F1200" w:rsidRPr="0076589C" w:rsidRDefault="008F1200" w:rsidP="008F1200">
      <w:pPr>
        <w:pStyle w:val="Bibliografa"/>
      </w:pPr>
      <w:r w:rsidRPr="0076589C">
        <w:t xml:space="preserve">Pampillón, P. F., De la Cuesta, M., Ruiz, C., &amp; Vásquez, O. (2022). </w:t>
      </w:r>
      <w:r w:rsidRPr="0076589C">
        <w:rPr>
          <w:i/>
          <w:iCs/>
        </w:rPr>
        <w:t>Sistema financiero en perspectiva</w:t>
      </w:r>
      <w:r w:rsidRPr="0076589C">
        <w:t>. Editorial UNED.</w:t>
      </w:r>
    </w:p>
    <w:p w14:paraId="10BB1E03" w14:textId="77777777" w:rsidR="008F1200" w:rsidRPr="0076589C" w:rsidRDefault="008F1200" w:rsidP="008F1200">
      <w:pPr>
        <w:pStyle w:val="Bibliografa"/>
      </w:pPr>
      <w:r w:rsidRPr="0076589C">
        <w:t xml:space="preserve">Pandey, I. M. (2015). </w:t>
      </w:r>
      <w:r w:rsidRPr="0076589C">
        <w:rPr>
          <w:i/>
          <w:iCs/>
        </w:rPr>
        <w:t>Financial Management</w:t>
      </w:r>
      <w:r w:rsidRPr="0076589C">
        <w:t>. India.</w:t>
      </w:r>
    </w:p>
    <w:p w14:paraId="757B01C6" w14:textId="77777777" w:rsidR="008F1200" w:rsidRPr="0076589C" w:rsidRDefault="008F1200" w:rsidP="008F1200">
      <w:pPr>
        <w:pStyle w:val="Bibliografa"/>
        <w:rPr>
          <w:lang w:val="en-US"/>
        </w:rPr>
      </w:pPr>
      <w:r w:rsidRPr="0076589C">
        <w:t xml:space="preserve">Parra, A. (2020, agosto 25). Pasos para validar un instrumento de investigación. </w:t>
      </w:r>
      <w:r w:rsidRPr="0076589C">
        <w:rPr>
          <w:i/>
          <w:iCs/>
          <w:lang w:val="en-US"/>
        </w:rPr>
        <w:t>QuestionPro</w:t>
      </w:r>
      <w:r w:rsidRPr="0076589C">
        <w:rPr>
          <w:lang w:val="en-US"/>
        </w:rPr>
        <w:t>. https://www.questionpro.com/blog/es/pasos-para-validar-un-instrumento-de-investigacion/</w:t>
      </w:r>
    </w:p>
    <w:p w14:paraId="0AFFFAF9" w14:textId="77777777" w:rsidR="008F1200" w:rsidRPr="0076589C" w:rsidRDefault="008F1200" w:rsidP="008F1200">
      <w:pPr>
        <w:pStyle w:val="Bibliografa"/>
      </w:pPr>
      <w:r w:rsidRPr="0076589C">
        <w:t xml:space="preserve">Parra, D. (2019). </w:t>
      </w:r>
      <w:r w:rsidRPr="0076589C">
        <w:rPr>
          <w:i/>
          <w:iCs/>
        </w:rPr>
        <w:t>Alternativas de inversión: Cómo ganar en la bolsa y mercado de valores</w:t>
      </w:r>
      <w:r w:rsidRPr="0076589C">
        <w:t>. CreaLibros Ediciones.</w:t>
      </w:r>
    </w:p>
    <w:p w14:paraId="194BE79E" w14:textId="77777777" w:rsidR="008F1200" w:rsidRPr="0076589C" w:rsidRDefault="008F1200" w:rsidP="008F1200">
      <w:pPr>
        <w:pStyle w:val="Bibliografa"/>
      </w:pPr>
      <w:r w:rsidRPr="0076589C">
        <w:t xml:space="preserve">Párraga Franco, S. M., Pinargote Vázquez, N. F., García Álava, C. M., Zamora Sornoza, J. C., Párraga Franco, S. M., Pinargote Vázquez, N. F., García Álava, C. M., &amp; Zamora Sornoza, J. C. (2021). Indicadores de gestión financiera en pequeñas y medianas </w:t>
      </w:r>
      <w:r w:rsidRPr="0076589C">
        <w:lastRenderedPageBreak/>
        <w:t xml:space="preserve">empresas en Iberoamérica: Una revisión sistemática. </w:t>
      </w:r>
      <w:r w:rsidRPr="0076589C">
        <w:rPr>
          <w:i/>
          <w:iCs/>
        </w:rPr>
        <w:t>Dilemas contemporáneos: educación, política y valores</w:t>
      </w:r>
      <w:r w:rsidRPr="0076589C">
        <w:t xml:space="preserve">, </w:t>
      </w:r>
      <w:r w:rsidRPr="0076589C">
        <w:rPr>
          <w:i/>
          <w:iCs/>
        </w:rPr>
        <w:t>8</w:t>
      </w:r>
      <w:r w:rsidRPr="0076589C">
        <w:t>(SPE2). https://doi.org/10.46377/dilemas.v8i.2610</w:t>
      </w:r>
    </w:p>
    <w:p w14:paraId="100164FA" w14:textId="77777777" w:rsidR="008F1200" w:rsidRPr="0076589C" w:rsidRDefault="008F1200" w:rsidP="008F1200">
      <w:pPr>
        <w:pStyle w:val="Bibliografa"/>
      </w:pPr>
      <w:r w:rsidRPr="0076589C">
        <w:t xml:space="preserve">Pedraza Rendón, Ó. H. (2001). La Matriz de Congruencia: Una Herramienta para Realizar Investigaciones Sociales. </w:t>
      </w:r>
      <w:r w:rsidRPr="0076589C">
        <w:rPr>
          <w:i/>
          <w:iCs/>
        </w:rPr>
        <w:t>Economía y Sociedad</w:t>
      </w:r>
      <w:r w:rsidRPr="0076589C">
        <w:t xml:space="preserve">, </w:t>
      </w:r>
      <w:r w:rsidRPr="0076589C">
        <w:rPr>
          <w:i/>
          <w:iCs/>
        </w:rPr>
        <w:t>6</w:t>
      </w:r>
      <w:r w:rsidRPr="0076589C">
        <w:t>(10), 311-316.</w:t>
      </w:r>
    </w:p>
    <w:p w14:paraId="208B96BA" w14:textId="77777777" w:rsidR="008F1200" w:rsidRPr="0076589C" w:rsidRDefault="008F1200" w:rsidP="008F1200">
      <w:pPr>
        <w:pStyle w:val="Bibliografa"/>
        <w:rPr>
          <w:lang w:val="pt-PT"/>
        </w:rPr>
      </w:pPr>
      <w:r w:rsidRPr="0076589C">
        <w:t xml:space="preserve">Peralta, S. D. G., Castillo, A. L. P., &amp; Bellorín, M. U. M. (2021). Incidencia de la aplicación de las políticas de crédito y cobranza en la recuperación de cartera del Súper Las Segovias, S.A. de la ciudad de Estelí, Nicaragua, durante el primer semestre del año 2020. </w:t>
      </w:r>
      <w:r w:rsidRPr="0076589C">
        <w:rPr>
          <w:i/>
          <w:iCs/>
          <w:lang w:val="pt-PT"/>
        </w:rPr>
        <w:t>Revista Científica de FAREM-Estelí</w:t>
      </w:r>
      <w:r w:rsidRPr="0076589C">
        <w:rPr>
          <w:lang w:val="pt-PT"/>
        </w:rPr>
        <w:t xml:space="preserve">, </w:t>
      </w:r>
      <w:r w:rsidRPr="0076589C">
        <w:rPr>
          <w:i/>
          <w:iCs/>
          <w:lang w:val="pt-PT"/>
        </w:rPr>
        <w:t>38</w:t>
      </w:r>
      <w:r w:rsidRPr="0076589C">
        <w:rPr>
          <w:lang w:val="pt-PT"/>
        </w:rPr>
        <w:t>, Article 38. https://doi.org/10.5377/farem.v0i38.11949</w:t>
      </w:r>
    </w:p>
    <w:p w14:paraId="2622111F" w14:textId="77777777" w:rsidR="008F1200" w:rsidRPr="0076589C" w:rsidRDefault="008F1200" w:rsidP="008F1200">
      <w:pPr>
        <w:pStyle w:val="Bibliografa"/>
        <w:rPr>
          <w:lang w:val="pt-PT"/>
        </w:rPr>
      </w:pPr>
      <w:r w:rsidRPr="0076589C">
        <w:rPr>
          <w:i/>
          <w:iCs/>
          <w:lang w:val="pt-PT"/>
        </w:rPr>
        <w:t>Política—Definicion.de</w:t>
      </w:r>
      <w:r w:rsidRPr="0076589C">
        <w:rPr>
          <w:lang w:val="pt-PT"/>
        </w:rPr>
        <w:t>. (s. f.). Definición.de. Recuperado 22 de octubre de 2023, de https://definicion.de/politica/</w:t>
      </w:r>
    </w:p>
    <w:p w14:paraId="03F7AAE8" w14:textId="77777777" w:rsidR="008F1200" w:rsidRPr="0076589C" w:rsidRDefault="008F1200" w:rsidP="008F1200">
      <w:pPr>
        <w:pStyle w:val="Bibliografa"/>
      </w:pPr>
      <w:r w:rsidRPr="0076589C">
        <w:rPr>
          <w:lang w:val="pt-PT"/>
        </w:rPr>
        <w:t xml:space="preserve">Poma Garriazo, Y. D., Ramos Garcia, K. E., &amp; Sulca Quispe, K. S. (2020). </w:t>
      </w:r>
      <w:r w:rsidRPr="0076589C">
        <w:t xml:space="preserve">La gestión financiera y la liquidez en la empresa Sirex Medica Perú S.A.C. periodo 2017—2019. </w:t>
      </w:r>
      <w:r w:rsidRPr="0076589C">
        <w:rPr>
          <w:i/>
          <w:iCs/>
        </w:rPr>
        <w:t>Repositorio Institucional - UNAC</w:t>
      </w:r>
      <w:r w:rsidRPr="0076589C">
        <w:t>. http://repositorio.unac.edu.pe/handle/20.500.12952/5668</w:t>
      </w:r>
    </w:p>
    <w:p w14:paraId="4F643530" w14:textId="77777777" w:rsidR="008F1200" w:rsidRPr="0076589C" w:rsidRDefault="008F1200" w:rsidP="008F1200">
      <w:pPr>
        <w:pStyle w:val="Bibliografa"/>
      </w:pPr>
      <w:r w:rsidRPr="0076589C">
        <w:t xml:space="preserve">Ponce, A. R. (1978). </w:t>
      </w:r>
      <w:r w:rsidRPr="0076589C">
        <w:rPr>
          <w:i/>
          <w:iCs/>
        </w:rPr>
        <w:t>Administración de empresas: Teoría y práctica</w:t>
      </w:r>
      <w:r w:rsidRPr="0076589C">
        <w:t>. Editorial Limusa.</w:t>
      </w:r>
    </w:p>
    <w:p w14:paraId="52594109" w14:textId="77777777" w:rsidR="008F1200" w:rsidRPr="0076589C" w:rsidRDefault="008F1200" w:rsidP="008F1200">
      <w:pPr>
        <w:pStyle w:val="Bibliografa"/>
        <w:rPr>
          <w:lang w:val="en-US"/>
        </w:rPr>
      </w:pPr>
      <w:r w:rsidRPr="0076589C">
        <w:t xml:space="preserve">Primicias. (2020). El 31% de las empresas ha tenido dificultades para pagar créditos. </w:t>
      </w:r>
      <w:r w:rsidRPr="0076589C">
        <w:rPr>
          <w:i/>
          <w:iCs/>
          <w:lang w:val="en-US"/>
        </w:rPr>
        <w:t>Primicias</w:t>
      </w:r>
      <w:r w:rsidRPr="0076589C">
        <w:rPr>
          <w:lang w:val="en-US"/>
        </w:rPr>
        <w:t>. https://www.primicias.ec/noticias/economia/empresas-creditos-dificultades-pago-pandemia-ecuador/</w:t>
      </w:r>
    </w:p>
    <w:p w14:paraId="4520E4DD" w14:textId="77777777" w:rsidR="008F1200" w:rsidRPr="0076589C" w:rsidRDefault="008F1200" w:rsidP="008F1200">
      <w:pPr>
        <w:pStyle w:val="Bibliografa"/>
        <w:rPr>
          <w:lang w:val="en-US"/>
        </w:rPr>
      </w:pPr>
      <w:r w:rsidRPr="0076589C">
        <w:rPr>
          <w:lang w:val="en-US"/>
        </w:rPr>
        <w:t xml:space="preserve">Rappaport, A. (1986). </w:t>
      </w:r>
      <w:r w:rsidRPr="0076589C">
        <w:rPr>
          <w:i/>
          <w:iCs/>
          <w:lang w:val="en-US"/>
        </w:rPr>
        <w:t>CREATING SHAREHOLDER VALUE</w:t>
      </w:r>
      <w:r w:rsidRPr="0076589C">
        <w:rPr>
          <w:lang w:val="en-US"/>
        </w:rPr>
        <w:t>. https://biblio.es/libro/creating-shareholder-value-alfred-rappaport/1429429450</w:t>
      </w:r>
    </w:p>
    <w:p w14:paraId="19F8D006" w14:textId="77777777" w:rsidR="008F1200" w:rsidRPr="0076589C" w:rsidRDefault="008F1200" w:rsidP="008F1200">
      <w:pPr>
        <w:pStyle w:val="Bibliografa"/>
      </w:pPr>
      <w:r w:rsidRPr="0076589C">
        <w:t xml:space="preserve">Rendón, B. (2022). </w:t>
      </w:r>
      <w:r w:rsidRPr="0076589C">
        <w:rPr>
          <w:i/>
          <w:iCs/>
        </w:rPr>
        <w:t>Contabilidad financiera</w:t>
      </w:r>
      <w:r w:rsidRPr="0076589C">
        <w:t>. Ediciones de la U.</w:t>
      </w:r>
    </w:p>
    <w:p w14:paraId="79513292" w14:textId="77777777" w:rsidR="008F1200" w:rsidRPr="0076589C" w:rsidRDefault="008F1200" w:rsidP="008F1200">
      <w:pPr>
        <w:pStyle w:val="Bibliografa"/>
      </w:pPr>
      <w:r w:rsidRPr="0076589C">
        <w:rPr>
          <w:lang w:val="pt-PT"/>
        </w:rPr>
        <w:lastRenderedPageBreak/>
        <w:t xml:space="preserve">Rey-Ares, L., Fernández-López, S., &amp; Rodeiro-Pazos, D. (2021). </w:t>
      </w:r>
      <w:r w:rsidRPr="0076589C">
        <w:rPr>
          <w:lang w:val="en-US"/>
        </w:rPr>
        <w:t xml:space="preserve">Impact of working capital management on profitability for Spanish fish canning companies. </w:t>
      </w:r>
      <w:r w:rsidRPr="0076589C">
        <w:rPr>
          <w:i/>
          <w:iCs/>
        </w:rPr>
        <w:t>Marine Policy</w:t>
      </w:r>
      <w:r w:rsidRPr="0076589C">
        <w:t xml:space="preserve">, </w:t>
      </w:r>
      <w:r w:rsidRPr="0076589C">
        <w:rPr>
          <w:i/>
          <w:iCs/>
        </w:rPr>
        <w:t>130</w:t>
      </w:r>
      <w:r w:rsidRPr="0076589C">
        <w:t>, 104583. https://doi.org/10.1016/j.marpol.2021.104583</w:t>
      </w:r>
    </w:p>
    <w:p w14:paraId="3B0DF450" w14:textId="77777777" w:rsidR="008F1200" w:rsidRPr="0076589C" w:rsidRDefault="008F1200" w:rsidP="008F1200">
      <w:pPr>
        <w:pStyle w:val="Bibliografa"/>
      </w:pPr>
      <w:r w:rsidRPr="0076589C">
        <w:t xml:space="preserve">Riva Tafur, D., &amp; Farje Hidalgo, C. lluliana. (2020). </w:t>
      </w:r>
      <w:r w:rsidRPr="0076589C">
        <w:rPr>
          <w:i/>
          <w:iCs/>
        </w:rPr>
        <w:t>La gestión del capital de trabajo y la liquidez de la empresa Musalab Med S.A.C. de San Juan de Lurigancho – periodo 2017 – 2018</w:t>
      </w:r>
      <w:r w:rsidRPr="0076589C">
        <w:t xml:space="preserve"> [Universidad Nacional del Callao]. http://repositorio.unac.edu.pe/handle/20.500.12952/5787</w:t>
      </w:r>
    </w:p>
    <w:p w14:paraId="216282D9" w14:textId="77777777" w:rsidR="008F1200" w:rsidRPr="0076589C" w:rsidRDefault="008F1200" w:rsidP="008F1200">
      <w:pPr>
        <w:pStyle w:val="Bibliografa"/>
      </w:pPr>
      <w:r w:rsidRPr="0076589C">
        <w:t xml:space="preserve">Rizo, E., Pablos, G., &amp; Rizo, E. (2022). </w:t>
      </w:r>
      <w:r w:rsidRPr="0076589C">
        <w:rPr>
          <w:i/>
          <w:iCs/>
        </w:rPr>
        <w:t>La teoría del capital de trabajo y sus técnicas</w:t>
      </w:r>
      <w:r w:rsidRPr="0076589C">
        <w:t>.</w:t>
      </w:r>
    </w:p>
    <w:p w14:paraId="5B4273E1" w14:textId="77777777" w:rsidR="008F1200" w:rsidRPr="0076589C" w:rsidRDefault="008F1200" w:rsidP="008F1200">
      <w:pPr>
        <w:pStyle w:val="Bibliografa"/>
      </w:pPr>
      <w:r w:rsidRPr="0076589C">
        <w:t xml:space="preserve">Rojas, M. M. (2017). </w:t>
      </w:r>
      <w:r w:rsidRPr="0076589C">
        <w:rPr>
          <w:i/>
          <w:iCs/>
        </w:rPr>
        <w:t>Redacción comercial creativa</w:t>
      </w:r>
      <w:r w:rsidRPr="0076589C">
        <w:t>. Ediciones de la U.</w:t>
      </w:r>
    </w:p>
    <w:p w14:paraId="1F646FA8" w14:textId="77777777" w:rsidR="008F1200" w:rsidRPr="0076589C" w:rsidRDefault="008F1200" w:rsidP="008F1200">
      <w:pPr>
        <w:pStyle w:val="Bibliografa"/>
      </w:pPr>
      <w:r w:rsidRPr="0076589C">
        <w:t xml:space="preserve">Ronco, J. H. (2017). </w:t>
      </w:r>
      <w:r w:rsidRPr="0076589C">
        <w:rPr>
          <w:i/>
          <w:iCs/>
        </w:rPr>
        <w:t>Impacto Emprendedor: La fuerza que mueve el mundo</w:t>
      </w:r>
      <w:r w:rsidRPr="0076589C">
        <w:t>. Alpha Editorial.</w:t>
      </w:r>
    </w:p>
    <w:p w14:paraId="6B1C4F9A" w14:textId="77777777" w:rsidR="008F1200" w:rsidRPr="0076589C" w:rsidRDefault="008F1200" w:rsidP="008F1200">
      <w:pPr>
        <w:pStyle w:val="Bibliografa"/>
      </w:pPr>
      <w:r w:rsidRPr="0076589C">
        <w:t xml:space="preserve">Rosario, A. H. de, &amp; Díaz, J. F. R. (2017). </w:t>
      </w:r>
      <w:r w:rsidRPr="0076589C">
        <w:rPr>
          <w:i/>
          <w:iCs/>
        </w:rPr>
        <w:t>Gestión Financiera: Decisiones financieras a corto plazo</w:t>
      </w:r>
      <w:r w:rsidRPr="0076589C">
        <w:t>. Universidad Almería.</w:t>
      </w:r>
    </w:p>
    <w:p w14:paraId="3826C367" w14:textId="77777777" w:rsidR="008F1200" w:rsidRPr="0076589C" w:rsidRDefault="008F1200" w:rsidP="008F1200">
      <w:pPr>
        <w:pStyle w:val="Bibliografa"/>
      </w:pPr>
      <w:r w:rsidRPr="0076589C">
        <w:t xml:space="preserve">RSM. (2020). </w:t>
      </w:r>
      <w:r w:rsidRPr="0076589C">
        <w:rPr>
          <w:i/>
          <w:iCs/>
        </w:rPr>
        <w:t>NIIF 9: Instrumentos Financieros. Cuentas por cobrar</w:t>
      </w:r>
      <w:r w:rsidRPr="0076589C">
        <w:t>. https://www.rsm.global/venezuela/sites/default/files/media/Boletin/11-09-2020/niif_9_instrumentos_financieros._cuentas_por_cobrar._diseno_de_la_politica_contable_para_el_reconocimiento_y_medicion_de_la_perdida_crediticia_esperada.pdf</w:t>
      </w:r>
    </w:p>
    <w:p w14:paraId="42231505" w14:textId="77777777" w:rsidR="008F1200" w:rsidRPr="0076589C" w:rsidRDefault="008F1200" w:rsidP="008F1200">
      <w:pPr>
        <w:pStyle w:val="Bibliografa"/>
      </w:pPr>
      <w:r w:rsidRPr="0076589C">
        <w:t xml:space="preserve">Rubí, L. V. (2003). </w:t>
      </w:r>
      <w:r w:rsidRPr="0076589C">
        <w:rPr>
          <w:i/>
          <w:iCs/>
        </w:rPr>
        <w:t>Glosario de términos financieros: Términos financieros, contables, administrativos, económicos, computacionales y legales</w:t>
      </w:r>
      <w:r w:rsidRPr="0076589C">
        <w:t>. Plaza y Valdes.</w:t>
      </w:r>
    </w:p>
    <w:p w14:paraId="56EA290C" w14:textId="77777777" w:rsidR="008F1200" w:rsidRPr="0076589C" w:rsidRDefault="008F1200" w:rsidP="008F1200">
      <w:pPr>
        <w:pStyle w:val="Bibliografa"/>
      </w:pPr>
      <w:r w:rsidRPr="0076589C">
        <w:t xml:space="preserve">Salazar, P. (2022). </w:t>
      </w:r>
      <w:r w:rsidRPr="0076589C">
        <w:rPr>
          <w:i/>
          <w:iCs/>
        </w:rPr>
        <w:t>Análisis Financiero para la mejora en la gestión contable de una empresa comercial, Lima 2022.</w:t>
      </w:r>
      <w:r w:rsidRPr="0076589C">
        <w:t xml:space="preserve"> [Universidad Privada Norbert Wiener]. https://repositorio.uwiener.edu.pe/handle/20.500.13053/7046</w:t>
      </w:r>
    </w:p>
    <w:p w14:paraId="70358F18" w14:textId="77777777" w:rsidR="008F1200" w:rsidRPr="0076589C" w:rsidRDefault="008F1200" w:rsidP="008F1200">
      <w:pPr>
        <w:pStyle w:val="Bibliografa"/>
        <w:rPr>
          <w:lang w:val="pt-PT"/>
        </w:rPr>
      </w:pPr>
      <w:r w:rsidRPr="0076589C">
        <w:t xml:space="preserve">Sánchez, J. (2004). </w:t>
      </w:r>
      <w:r w:rsidRPr="0076589C">
        <w:rPr>
          <w:i/>
          <w:iCs/>
        </w:rPr>
        <w:t>Comentarios a la legislación concursal</w:t>
      </w:r>
      <w:r w:rsidRPr="0076589C">
        <w:t xml:space="preserve">. </w:t>
      </w:r>
      <w:r w:rsidRPr="0076589C">
        <w:rPr>
          <w:lang w:val="pt-PT"/>
        </w:rPr>
        <w:t>Lex Nova.</w:t>
      </w:r>
    </w:p>
    <w:p w14:paraId="51BF6E79" w14:textId="77777777" w:rsidR="008F1200" w:rsidRPr="0076589C" w:rsidRDefault="008F1200" w:rsidP="008F1200">
      <w:pPr>
        <w:pStyle w:val="Bibliografa"/>
      </w:pPr>
      <w:r w:rsidRPr="0076589C">
        <w:rPr>
          <w:lang w:val="pt-PT"/>
        </w:rPr>
        <w:lastRenderedPageBreak/>
        <w:t xml:space="preserve">Santoyo, C. (2005). </w:t>
      </w:r>
      <w:r w:rsidRPr="0076589C">
        <w:rPr>
          <w:i/>
          <w:iCs/>
          <w:lang w:val="pt-PT"/>
        </w:rPr>
        <w:t xml:space="preserve">Alternativas Docentes. </w:t>
      </w:r>
      <w:r w:rsidRPr="0076589C">
        <w:rPr>
          <w:i/>
          <w:iCs/>
        </w:rPr>
        <w:t>Vol. Iii. Analisis Y Evaluacion de Habilidades Metodologicas, Conceptuales Y Profesionales en la Formacion Del Psicologo</w:t>
      </w:r>
      <w:r w:rsidRPr="0076589C">
        <w:t>. UNAM.</w:t>
      </w:r>
    </w:p>
    <w:p w14:paraId="37FE0162" w14:textId="77777777" w:rsidR="008F1200" w:rsidRPr="0076589C" w:rsidRDefault="008F1200" w:rsidP="008F1200">
      <w:pPr>
        <w:pStyle w:val="Bibliografa"/>
      </w:pPr>
      <w:r w:rsidRPr="0076589C">
        <w:t xml:space="preserve">Scarfó, E., Vélez-Pareja, I., Sandoval-Llanos, J., Castilla-Ávila, P., &amp; Ortiz, D. (2021). </w:t>
      </w:r>
      <w:r w:rsidRPr="0076589C">
        <w:rPr>
          <w:i/>
          <w:iCs/>
        </w:rPr>
        <w:t>Análisis financiero integral: Teoría y práctica</w:t>
      </w:r>
      <w:r w:rsidRPr="0076589C">
        <w:t>. Alpha Editorial.</w:t>
      </w:r>
    </w:p>
    <w:p w14:paraId="2687D5E2" w14:textId="77777777" w:rsidR="008F1200" w:rsidRPr="0076589C" w:rsidRDefault="008F1200" w:rsidP="008F1200">
      <w:pPr>
        <w:pStyle w:val="Bibliografa"/>
      </w:pPr>
      <w:r w:rsidRPr="0076589C">
        <w:t xml:space="preserve">Serrano de Entrambasaguas, G. (1976). </w:t>
      </w:r>
      <w:r w:rsidRPr="0076589C">
        <w:rPr>
          <w:i/>
          <w:iCs/>
        </w:rPr>
        <w:t>Bases de datos (una concepción de sistemas de información)</w:t>
      </w:r>
      <w:r w:rsidRPr="0076589C">
        <w:t>. Ministerio de Educación.</w:t>
      </w:r>
    </w:p>
    <w:p w14:paraId="44250B4E" w14:textId="77777777" w:rsidR="008F1200" w:rsidRPr="0076589C" w:rsidRDefault="008F1200" w:rsidP="008F1200">
      <w:pPr>
        <w:pStyle w:val="Bibliografa"/>
      </w:pPr>
      <w:r w:rsidRPr="0076589C">
        <w:t xml:space="preserve">Tacuri Malla, C. N. (2019). </w:t>
      </w:r>
      <w:r w:rsidRPr="0076589C">
        <w:rPr>
          <w:i/>
          <w:iCs/>
        </w:rPr>
        <w:t>Gestión financiera y su efecto en el proceso de toma de decisiones de la empresa Meriban S.A. periodo 2016-2018</w:t>
      </w:r>
      <w:r w:rsidRPr="0076589C">
        <w:t>. http://repositorio.uteq.edu.ec/handle/43000/6053</w:t>
      </w:r>
    </w:p>
    <w:p w14:paraId="5C2F7EC2" w14:textId="77777777" w:rsidR="008F1200" w:rsidRPr="0076589C" w:rsidRDefault="008F1200" w:rsidP="008F1200">
      <w:pPr>
        <w:pStyle w:val="Bibliografa"/>
      </w:pPr>
      <w:r w:rsidRPr="0076589C">
        <w:t xml:space="preserve">Toro, D. B. (2014). </w:t>
      </w:r>
      <w:r w:rsidRPr="0076589C">
        <w:rPr>
          <w:i/>
          <w:iCs/>
        </w:rPr>
        <w:t>Análisis financiero</w:t>
      </w:r>
      <w:r w:rsidRPr="0076589C">
        <w:t>. Ecoe Ediciones.</w:t>
      </w:r>
    </w:p>
    <w:p w14:paraId="251EC6FF" w14:textId="77777777" w:rsidR="008F1200" w:rsidRPr="0076589C" w:rsidRDefault="008F1200" w:rsidP="008F1200">
      <w:pPr>
        <w:pStyle w:val="Bibliografa"/>
      </w:pPr>
      <w:r w:rsidRPr="0076589C">
        <w:t xml:space="preserve">Torres, M. G. A. (1996). </w:t>
      </w:r>
      <w:r w:rsidRPr="0076589C">
        <w:rPr>
          <w:i/>
          <w:iCs/>
        </w:rPr>
        <w:t>Manual para elaborar manuales de políticas y procedimientos</w:t>
      </w:r>
      <w:r w:rsidRPr="0076589C">
        <w:t>. Panorama Editorial.</w:t>
      </w:r>
    </w:p>
    <w:p w14:paraId="28C4FB68" w14:textId="77777777" w:rsidR="008F1200" w:rsidRPr="0076589C" w:rsidRDefault="008F1200" w:rsidP="008F1200">
      <w:pPr>
        <w:pStyle w:val="Bibliografa"/>
      </w:pPr>
      <w:r w:rsidRPr="0076589C">
        <w:t xml:space="preserve">Torres Rodríguez, H. C., &amp; Matute Paz, X. N. (2020). Propuesta de un modelo de gestión financiera para la empresa Tiendas Door´S. </w:t>
      </w:r>
      <w:r w:rsidRPr="0076589C">
        <w:rPr>
          <w:i/>
          <w:iCs/>
        </w:rPr>
        <w:t>Universidad Tecnológica Centroaméricana UNITEC</w:t>
      </w:r>
      <w:r w:rsidRPr="0076589C">
        <w:t>. https://repositorio.unitec.edu/xmlui/handle/123456789/11462</w:t>
      </w:r>
    </w:p>
    <w:p w14:paraId="27ED854C" w14:textId="77777777" w:rsidR="008F1200" w:rsidRPr="0076589C" w:rsidRDefault="008F1200" w:rsidP="008F1200">
      <w:pPr>
        <w:pStyle w:val="Bibliografa"/>
      </w:pPr>
      <w:r w:rsidRPr="0076589C">
        <w:t xml:space="preserve">Trujillo, J., &amp; Martínez, Ó. (2020). </w:t>
      </w:r>
      <w:r w:rsidRPr="0076589C">
        <w:rPr>
          <w:i/>
          <w:iCs/>
        </w:rPr>
        <w:t>Finanzas empresariales: Análisis y gestión</w:t>
      </w:r>
      <w:r w:rsidRPr="0076589C">
        <w:t>. Alpha Editorial.</w:t>
      </w:r>
    </w:p>
    <w:p w14:paraId="5E1F7725" w14:textId="77777777" w:rsidR="008F1200" w:rsidRPr="0076589C" w:rsidRDefault="008F1200" w:rsidP="008F1200">
      <w:pPr>
        <w:pStyle w:val="Bibliografa"/>
      </w:pPr>
      <w:r w:rsidRPr="0076589C">
        <w:t xml:space="preserve">Valencia, H. (2005). </w:t>
      </w:r>
      <w:r w:rsidRPr="0076589C">
        <w:rPr>
          <w:i/>
          <w:iCs/>
        </w:rPr>
        <w:t>MANUAL DE TECNICAS DE INVESTIGACION Conceptos y Aplicaciones</w:t>
      </w:r>
      <w:r w:rsidRPr="0076589C">
        <w:t>. Hector Guillermo Huaman Valencia.</w:t>
      </w:r>
    </w:p>
    <w:p w14:paraId="782AABAB" w14:textId="77777777" w:rsidR="008F1200" w:rsidRPr="0076589C" w:rsidRDefault="008F1200" w:rsidP="008F1200">
      <w:pPr>
        <w:pStyle w:val="Bibliografa"/>
      </w:pPr>
      <w:r w:rsidRPr="0076589C">
        <w:t xml:space="preserve">Yúgar, M. A. A. (2023). </w:t>
      </w:r>
      <w:r w:rsidRPr="0076589C">
        <w:rPr>
          <w:i/>
          <w:iCs/>
        </w:rPr>
        <w:t>Contabilidad básica para empresas turísticas</w:t>
      </w:r>
      <w:r w:rsidRPr="0076589C">
        <w:t>. Mario Antezana Yugar.</w:t>
      </w:r>
    </w:p>
    <w:p w14:paraId="1808A82C" w14:textId="77777777" w:rsidR="008F1200" w:rsidRPr="0076589C" w:rsidRDefault="008F1200" w:rsidP="008F1200">
      <w:pPr>
        <w:pStyle w:val="Bibliografa"/>
      </w:pPr>
      <w:r w:rsidRPr="0076589C">
        <w:t xml:space="preserve">Zambrano, X., Galarza, C., &amp; Grijalva, G. (2019). </w:t>
      </w:r>
      <w:r w:rsidRPr="0076589C">
        <w:rPr>
          <w:i/>
          <w:iCs/>
        </w:rPr>
        <w:t>LA GESTIÓN DE CRÉDITOS Y COBRANZAS CASO EMPRESA “MULTILLANTA RAMÍREZ”</w:t>
      </w:r>
      <w:r w:rsidRPr="0076589C">
        <w:t>. 9. https://doi.org/10.34070/rif.v7i1</w:t>
      </w:r>
    </w:p>
    <w:p w14:paraId="1F286CF0" w14:textId="77777777" w:rsidR="008F1200" w:rsidRPr="0076589C" w:rsidRDefault="008F1200" w:rsidP="008F1200">
      <w:pPr>
        <w:pStyle w:val="Bibliografa"/>
      </w:pPr>
      <w:r w:rsidRPr="0076589C">
        <w:lastRenderedPageBreak/>
        <w:t xml:space="preserve">Zelaya, I. J. V., &amp; Huete, A. A. F. (2020). Mejora en los procedimientos de las cuentas por cobrar de la empresa Inversiones del Norte S. de R.L de C.V. </w:t>
      </w:r>
      <w:r w:rsidRPr="0076589C">
        <w:rPr>
          <w:i/>
          <w:iCs/>
        </w:rPr>
        <w:t>Centro Universitario Tecnológico CEUTEC</w:t>
      </w:r>
      <w:r w:rsidRPr="0076589C">
        <w:t>. https://repositorio.unitec.edu/xmlui/handle/123456789/9971</w:t>
      </w:r>
    </w:p>
    <w:p w14:paraId="6AACBA93" w14:textId="1AAAD55A" w:rsidR="00FD6507" w:rsidRPr="0076589C" w:rsidRDefault="00D67B1F" w:rsidP="001A7FD9">
      <w:pPr>
        <w:pStyle w:val="Bibliografa"/>
      </w:pPr>
      <w:r w:rsidRPr="0076589C">
        <w:fldChar w:fldCharType="end"/>
      </w:r>
    </w:p>
    <w:p w14:paraId="4AEC4A0B" w14:textId="5D575C99" w:rsidR="003F1731" w:rsidRPr="0076589C" w:rsidRDefault="00FD6507" w:rsidP="00FD6507">
      <w:r w:rsidRPr="0076589C">
        <w:br w:type="page"/>
      </w:r>
    </w:p>
    <w:p w14:paraId="011FCA71" w14:textId="7579ADF8" w:rsidR="00916D61" w:rsidRPr="0076589C" w:rsidRDefault="1C8D6E3A" w:rsidP="00665E1E">
      <w:pPr>
        <w:pStyle w:val="Ttulo1"/>
      </w:pPr>
      <w:bookmarkStart w:id="350" w:name="_Toc158365548"/>
      <w:r w:rsidRPr="0076589C">
        <w:lastRenderedPageBreak/>
        <w:t>ANEXOS</w:t>
      </w:r>
      <w:bookmarkEnd w:id="350"/>
    </w:p>
    <w:p w14:paraId="3B203BFF" w14:textId="2B729C10" w:rsidR="006076EF" w:rsidRPr="0076589C" w:rsidRDefault="7A54A044" w:rsidP="006076EF">
      <w:pPr>
        <w:pStyle w:val="ImagenyTabla"/>
        <w:spacing w:after="0"/>
        <w:rPr>
          <w:bCs w:val="0"/>
          <w:sz w:val="24"/>
          <w:lang w:val="pt-PT"/>
        </w:rPr>
      </w:pPr>
      <w:r w:rsidRPr="0076589C">
        <w:rPr>
          <w:sz w:val="24"/>
        </w:rPr>
        <w:t xml:space="preserve">Anexo </w:t>
      </w:r>
      <w:r w:rsidR="72A91A42" w:rsidRPr="0076589C">
        <w:rPr>
          <w:sz w:val="24"/>
        </w:rPr>
        <w:fldChar w:fldCharType="begin"/>
      </w:r>
      <w:r w:rsidR="72A91A42" w:rsidRPr="0076589C">
        <w:rPr>
          <w:sz w:val="24"/>
        </w:rPr>
        <w:instrText xml:space="preserve"> SEQ Anexo \* ARABIC </w:instrText>
      </w:r>
      <w:r w:rsidR="72A91A42" w:rsidRPr="0076589C">
        <w:rPr>
          <w:sz w:val="24"/>
        </w:rPr>
        <w:fldChar w:fldCharType="separate"/>
      </w:r>
      <w:r w:rsidR="009F171A">
        <w:rPr>
          <w:sz w:val="24"/>
        </w:rPr>
        <w:t>1</w:t>
      </w:r>
      <w:r w:rsidR="72A91A42" w:rsidRPr="0076589C">
        <w:rPr>
          <w:sz w:val="24"/>
        </w:rPr>
        <w:fldChar w:fldCharType="end"/>
      </w:r>
      <w:r w:rsidRPr="0076589C">
        <w:rPr>
          <w:sz w:val="24"/>
        </w:rPr>
        <w:t xml:space="preserve">. </w:t>
      </w:r>
      <w:r w:rsidR="006076EF" w:rsidRPr="0076589C">
        <w:rPr>
          <w:bCs w:val="0"/>
          <w:sz w:val="24"/>
          <w:lang w:val="pt-PT"/>
        </w:rPr>
        <w:t>Entrevista realizada a gerente financieroe en IPRA</w:t>
      </w:r>
    </w:p>
    <w:p w14:paraId="3006EE57" w14:textId="77777777" w:rsidR="006076EF" w:rsidRPr="0076589C" w:rsidRDefault="006076EF" w:rsidP="006076EF">
      <w:pPr>
        <w:pStyle w:val="TextoPrincipal"/>
        <w:spacing w:after="0"/>
        <w:rPr>
          <w:lang w:eastAsia="es-HN"/>
        </w:rPr>
      </w:pPr>
    </w:p>
    <w:p w14:paraId="1634F0DF" w14:textId="6FE7F07C" w:rsidR="006076EF" w:rsidRPr="0076589C" w:rsidRDefault="006076EF" w:rsidP="006076EF">
      <w:pPr>
        <w:pStyle w:val="ImagenyTabla"/>
        <w:jc w:val="center"/>
      </w:pPr>
      <w:r w:rsidRPr="0076589C">
        <w:drawing>
          <wp:inline distT="0" distB="0" distL="0" distR="0" wp14:anchorId="2695F568" wp14:editId="69C096D5">
            <wp:extent cx="4418223" cy="5199321"/>
            <wp:effectExtent l="0" t="0" r="1905" b="1905"/>
            <wp:docPr id="1570935329" name="Picture 1570935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9">
                      <a:extLst>
                        <a:ext uri="{28A0092B-C50C-407E-A947-70E740481C1C}">
                          <a14:useLocalDpi xmlns:a14="http://schemas.microsoft.com/office/drawing/2010/main" val="0"/>
                        </a:ext>
                      </a:extLst>
                    </a:blip>
                    <a:srcRect l="22783" r="13723" b="432"/>
                    <a:stretch/>
                  </pic:blipFill>
                  <pic:spPr bwMode="auto">
                    <a:xfrm>
                      <a:off x="0" y="0"/>
                      <a:ext cx="4430031" cy="5213217"/>
                    </a:xfrm>
                    <a:prstGeom prst="rect">
                      <a:avLst/>
                    </a:prstGeom>
                    <a:noFill/>
                    <a:ln>
                      <a:noFill/>
                    </a:ln>
                    <a:extLst>
                      <a:ext uri="{53640926-AAD7-44D8-BBD7-CCE9431645EC}">
                        <a14:shadowObscured xmlns:a14="http://schemas.microsoft.com/office/drawing/2010/main"/>
                      </a:ext>
                    </a:extLst>
                  </pic:spPr>
                </pic:pic>
              </a:graphicData>
            </a:graphic>
          </wp:inline>
        </w:drawing>
      </w:r>
    </w:p>
    <w:p w14:paraId="3001B6DD" w14:textId="1F37E811" w:rsidR="006076EF" w:rsidRPr="0076589C" w:rsidRDefault="006076EF" w:rsidP="006076EF">
      <w:pPr>
        <w:pStyle w:val="TextoPrincipal"/>
        <w:rPr>
          <w:lang w:val="es-HN" w:eastAsia="es-HN"/>
        </w:rPr>
      </w:pPr>
    </w:p>
    <w:p w14:paraId="0AE6BBBC" w14:textId="77777777" w:rsidR="006076EF" w:rsidRPr="0076589C" w:rsidRDefault="006076EF">
      <w:pPr>
        <w:rPr>
          <w:rFonts w:eastAsia="Times New Roman" w:cs="Times New Roman"/>
          <w:b/>
          <w:bCs/>
          <w:noProof/>
          <w:sz w:val="20"/>
          <w:lang w:eastAsia="es-HN"/>
        </w:rPr>
      </w:pPr>
      <w:r w:rsidRPr="0076589C">
        <w:br w:type="page"/>
      </w:r>
    </w:p>
    <w:p w14:paraId="5D2C418C" w14:textId="721F8409" w:rsidR="006076EF" w:rsidRPr="0076589C" w:rsidRDefault="006076EF" w:rsidP="0033143E">
      <w:pPr>
        <w:pStyle w:val="ImagenyTabla"/>
        <w:spacing w:after="0"/>
        <w:rPr>
          <w:noProof w:val="0"/>
        </w:rPr>
      </w:pPr>
      <w:r w:rsidRPr="0076589C">
        <w:rPr>
          <w:sz w:val="24"/>
        </w:rPr>
        <w:lastRenderedPageBreak/>
        <w:t xml:space="preserve">Anexo </w:t>
      </w:r>
      <w:r w:rsidRPr="0076589C">
        <w:rPr>
          <w:sz w:val="24"/>
        </w:rPr>
        <w:fldChar w:fldCharType="begin"/>
      </w:r>
      <w:r w:rsidRPr="0076589C">
        <w:rPr>
          <w:sz w:val="24"/>
        </w:rPr>
        <w:instrText xml:space="preserve"> SEQ Anexo \* ARABIC </w:instrText>
      </w:r>
      <w:r w:rsidRPr="0076589C">
        <w:rPr>
          <w:sz w:val="24"/>
        </w:rPr>
        <w:fldChar w:fldCharType="separate"/>
      </w:r>
      <w:r w:rsidR="009F171A">
        <w:rPr>
          <w:sz w:val="24"/>
        </w:rPr>
        <w:t>2</w:t>
      </w:r>
      <w:r w:rsidRPr="0076589C">
        <w:rPr>
          <w:sz w:val="24"/>
        </w:rPr>
        <w:fldChar w:fldCharType="end"/>
      </w:r>
      <w:r w:rsidRPr="0076589C">
        <w:rPr>
          <w:sz w:val="24"/>
        </w:rPr>
        <w:t>. Guía de Entrevista</w:t>
      </w:r>
    </w:p>
    <w:p w14:paraId="09D833C1" w14:textId="3F0ABB2C" w:rsidR="00665E1E" w:rsidRPr="0076589C" w:rsidRDefault="00685099" w:rsidP="00685099">
      <w:pPr>
        <w:pStyle w:val="Fuentes"/>
        <w:ind w:firstLine="0"/>
      </w:pPr>
      <w:r w:rsidRPr="0076589C">
        <w:rPr>
          <w:noProof/>
          <w:lang w:val="es-HN" w:eastAsia="es-HN"/>
        </w:rPr>
        <w:drawing>
          <wp:inline distT="0" distB="0" distL="0" distR="0" wp14:anchorId="19BB6A6B" wp14:editId="47DC5B30">
            <wp:extent cx="5658884" cy="6840574"/>
            <wp:effectExtent l="0" t="0" r="0" b="0"/>
            <wp:docPr id="867454045" name="Picture 867454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7454045" name=""/>
                    <pic:cNvPicPr/>
                  </pic:nvPicPr>
                  <pic:blipFill rotWithShape="1">
                    <a:blip r:embed="rId40"/>
                    <a:srcRect t="319"/>
                    <a:stretch/>
                  </pic:blipFill>
                  <pic:spPr bwMode="auto">
                    <a:xfrm>
                      <a:off x="0" y="0"/>
                      <a:ext cx="5717456" cy="6911377"/>
                    </a:xfrm>
                    <a:prstGeom prst="rect">
                      <a:avLst/>
                    </a:prstGeom>
                    <a:ln>
                      <a:noFill/>
                    </a:ln>
                    <a:extLst>
                      <a:ext uri="{53640926-AAD7-44D8-BBD7-CCE9431645EC}">
                        <a14:shadowObscured xmlns:a14="http://schemas.microsoft.com/office/drawing/2010/main"/>
                      </a:ext>
                    </a:extLst>
                  </pic:spPr>
                </pic:pic>
              </a:graphicData>
            </a:graphic>
          </wp:inline>
        </w:drawing>
      </w:r>
    </w:p>
    <w:p w14:paraId="55C6EC22" w14:textId="131EAB6F" w:rsidR="002D22E0" w:rsidRPr="0076589C" w:rsidRDefault="7A54A044" w:rsidP="00A11853">
      <w:pPr>
        <w:pStyle w:val="Fuentes"/>
        <w:rPr>
          <w:lang w:val="es-HN"/>
        </w:rPr>
        <w:sectPr w:rsidR="002D22E0" w:rsidRPr="0076589C" w:rsidSect="008C6BD1">
          <w:pgSz w:w="12240" w:h="15840" w:code="1"/>
          <w:pgMar w:top="1440" w:right="1440" w:bottom="1440" w:left="1440" w:header="720" w:footer="720" w:gutter="0"/>
          <w:cols w:space="720"/>
          <w:docGrid w:linePitch="360"/>
        </w:sectPr>
      </w:pPr>
      <w:r w:rsidRPr="0076589C">
        <w:rPr>
          <w:lang w:val="es-ES"/>
        </w:rPr>
        <w:t>Fuente: Elaboración propia</w:t>
      </w:r>
    </w:p>
    <w:p w14:paraId="10D3961C" w14:textId="09C15E69" w:rsidR="00C620CB" w:rsidRPr="0076589C" w:rsidRDefault="7A54A044" w:rsidP="00C620CB">
      <w:pPr>
        <w:pStyle w:val="ImagenyTabla"/>
        <w:rPr>
          <w:noProof w:val="0"/>
          <w:sz w:val="24"/>
        </w:rPr>
      </w:pPr>
      <w:r w:rsidRPr="0076589C">
        <w:rPr>
          <w:sz w:val="24"/>
        </w:rPr>
        <w:lastRenderedPageBreak/>
        <w:t xml:space="preserve">Anexo </w:t>
      </w:r>
      <w:r w:rsidR="006076EF" w:rsidRPr="0076589C">
        <w:rPr>
          <w:sz w:val="24"/>
        </w:rPr>
        <w:t>3</w:t>
      </w:r>
      <w:r w:rsidRPr="0076589C">
        <w:rPr>
          <w:sz w:val="24"/>
        </w:rPr>
        <w:t>. Validación de instrumento</w:t>
      </w:r>
    </w:p>
    <w:p w14:paraId="660D8471" w14:textId="042C091F" w:rsidR="002D22E0" w:rsidRPr="0076589C" w:rsidRDefault="002D22E0" w:rsidP="00702D68">
      <w:pPr>
        <w:pStyle w:val="Fuentes"/>
        <w:ind w:firstLine="0"/>
        <w:jc w:val="center"/>
        <w:rPr>
          <w:lang w:val="es-HN"/>
        </w:rPr>
      </w:pPr>
      <w:r w:rsidRPr="0076589C">
        <w:rPr>
          <w:noProof/>
          <w:lang w:val="es-HN" w:eastAsia="es-HN"/>
        </w:rPr>
        <w:drawing>
          <wp:inline distT="0" distB="0" distL="0" distR="0" wp14:anchorId="0F5A3D78" wp14:editId="23DE2397">
            <wp:extent cx="6151880" cy="5064369"/>
            <wp:effectExtent l="0" t="0" r="1270" b="3175"/>
            <wp:docPr id="937928059" name="Picture 937928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37928059"/>
                    <pic:cNvPicPr/>
                  </pic:nvPicPr>
                  <pic:blipFill>
                    <a:blip r:embed="rId41">
                      <a:extLst>
                        <a:ext uri="{28A0092B-C50C-407E-A947-70E740481C1C}">
                          <a14:useLocalDpi xmlns:a14="http://schemas.microsoft.com/office/drawing/2010/main" val="0"/>
                        </a:ext>
                      </a:extLst>
                    </a:blip>
                    <a:stretch>
                      <a:fillRect/>
                    </a:stretch>
                  </pic:blipFill>
                  <pic:spPr>
                    <a:xfrm>
                      <a:off x="0" y="0"/>
                      <a:ext cx="6153058" cy="5065339"/>
                    </a:xfrm>
                    <a:prstGeom prst="rect">
                      <a:avLst/>
                    </a:prstGeom>
                  </pic:spPr>
                </pic:pic>
              </a:graphicData>
            </a:graphic>
          </wp:inline>
        </w:drawing>
      </w:r>
    </w:p>
    <w:p w14:paraId="2866A41C" w14:textId="7F604EB2" w:rsidR="0033143E" w:rsidRPr="0076589C" w:rsidRDefault="0033143E" w:rsidP="00702D68">
      <w:pPr>
        <w:pStyle w:val="Fuentes"/>
        <w:ind w:firstLine="0"/>
        <w:jc w:val="center"/>
        <w:rPr>
          <w:lang w:val="es-HN"/>
        </w:rPr>
      </w:pPr>
    </w:p>
    <w:p w14:paraId="2CB80F02" w14:textId="510CCBED" w:rsidR="0033143E" w:rsidRPr="0076589C" w:rsidRDefault="0033143E">
      <w:pPr>
        <w:rPr>
          <w:rFonts w:eastAsia="Calibri" w:cs="Times New Roman"/>
          <w:sz w:val="20"/>
          <w:szCs w:val="20"/>
        </w:rPr>
      </w:pPr>
      <w:r w:rsidRPr="0076589C">
        <w:br w:type="page"/>
      </w:r>
    </w:p>
    <w:p w14:paraId="72F816A4" w14:textId="77777777" w:rsidR="0033143E" w:rsidRPr="0076589C" w:rsidRDefault="0033143E" w:rsidP="00702D68">
      <w:pPr>
        <w:pStyle w:val="Fuentes"/>
        <w:ind w:firstLine="0"/>
        <w:jc w:val="center"/>
        <w:rPr>
          <w:lang w:val="es-HN"/>
        </w:rPr>
        <w:sectPr w:rsidR="0033143E" w:rsidRPr="0076589C" w:rsidSect="008C6BD1">
          <w:pgSz w:w="15840" w:h="12240" w:orient="landscape" w:code="1"/>
          <w:pgMar w:top="1440" w:right="1440" w:bottom="1440" w:left="1440" w:header="720" w:footer="720" w:gutter="0"/>
          <w:cols w:space="720"/>
          <w:docGrid w:linePitch="360"/>
        </w:sectPr>
      </w:pPr>
    </w:p>
    <w:tbl>
      <w:tblPr>
        <w:tblpPr w:leftFromText="141" w:rightFromText="141" w:horzAnchor="margin" w:tblpXSpec="center" w:tblpY="488"/>
        <w:tblW w:w="5000" w:type="pct"/>
        <w:tblLook w:val="06A0" w:firstRow="1" w:lastRow="0" w:firstColumn="1" w:lastColumn="0" w:noHBand="1" w:noVBand="1"/>
      </w:tblPr>
      <w:tblGrid>
        <w:gridCol w:w="3465"/>
        <w:gridCol w:w="3048"/>
        <w:gridCol w:w="2842"/>
      </w:tblGrid>
      <w:tr w:rsidR="0033143E" w:rsidRPr="0076589C" w14:paraId="6B07A50D" w14:textId="77777777" w:rsidTr="00925E89">
        <w:trPr>
          <w:trHeight w:val="39"/>
        </w:trPr>
        <w:tc>
          <w:tcPr>
            <w:tcW w:w="1852"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2D5C5C7F"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Calibri" w:hAnsiTheme="minorHAnsi"/>
                <w:b/>
                <w:bCs/>
                <w:color w:val="000000" w:themeColor="text1"/>
                <w:sz w:val="20"/>
                <w:szCs w:val="20"/>
              </w:rPr>
              <w:lastRenderedPageBreak/>
              <w:t>Cliente</w:t>
            </w:r>
          </w:p>
        </w:tc>
        <w:tc>
          <w:tcPr>
            <w:tcW w:w="1629" w:type="pc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B5531F4" w14:textId="77777777" w:rsidR="0033143E" w:rsidRPr="0076589C" w:rsidRDefault="0033143E" w:rsidP="0033143E">
            <w:pPr>
              <w:spacing w:after="0"/>
              <w:jc w:val="center"/>
              <w:rPr>
                <w:rFonts w:asciiTheme="minorHAnsi" w:hAnsiTheme="minorHAnsi"/>
                <w:sz w:val="20"/>
                <w:szCs w:val="20"/>
              </w:rPr>
            </w:pPr>
            <w:r w:rsidRPr="0076589C">
              <w:rPr>
                <w:rFonts w:asciiTheme="minorHAnsi" w:hAnsiTheme="minorHAnsi"/>
                <w:sz w:val="20"/>
                <w:szCs w:val="20"/>
              </w:rPr>
              <w:t>Inversiones LL</w:t>
            </w:r>
          </w:p>
        </w:tc>
        <w:tc>
          <w:tcPr>
            <w:tcW w:w="1519" w:type="pct"/>
            <w:tcBorders>
              <w:top w:val="nil"/>
              <w:left w:val="single" w:sz="4" w:space="0" w:color="auto"/>
              <w:bottom w:val="nil"/>
              <w:right w:val="nil"/>
            </w:tcBorders>
            <w:tcMar>
              <w:top w:w="15" w:type="dxa"/>
              <w:left w:w="15" w:type="dxa"/>
              <w:right w:w="15" w:type="dxa"/>
            </w:tcMar>
            <w:vAlign w:val="center"/>
          </w:tcPr>
          <w:p w14:paraId="1E6A31DD" w14:textId="77777777" w:rsidR="0033143E" w:rsidRPr="0076589C" w:rsidRDefault="0033143E" w:rsidP="0033143E">
            <w:pPr>
              <w:jc w:val="center"/>
              <w:rPr>
                <w:rFonts w:asciiTheme="minorHAnsi" w:hAnsiTheme="minorHAnsi"/>
                <w:sz w:val="20"/>
                <w:szCs w:val="20"/>
              </w:rPr>
            </w:pPr>
          </w:p>
        </w:tc>
      </w:tr>
      <w:tr w:rsidR="0033143E" w:rsidRPr="0076589C" w14:paraId="1DA0DFD4" w14:textId="77777777" w:rsidTr="00925E89">
        <w:trPr>
          <w:trHeight w:val="270"/>
        </w:trPr>
        <w:tc>
          <w:tcPr>
            <w:tcW w:w="1852"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1F53E5A7"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Calibri" w:hAnsiTheme="minorHAnsi"/>
                <w:b/>
                <w:bCs/>
                <w:color w:val="000000" w:themeColor="text1"/>
                <w:sz w:val="20"/>
                <w:szCs w:val="20"/>
              </w:rPr>
              <w:t>Días de Crédito Otorgados</w:t>
            </w:r>
          </w:p>
        </w:tc>
        <w:tc>
          <w:tcPr>
            <w:tcW w:w="1629" w:type="pc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09DE9F1"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90 días</w:t>
            </w:r>
          </w:p>
        </w:tc>
        <w:tc>
          <w:tcPr>
            <w:tcW w:w="1519" w:type="pct"/>
            <w:tcBorders>
              <w:top w:val="nil"/>
              <w:left w:val="single" w:sz="4" w:space="0" w:color="auto"/>
              <w:bottom w:val="nil"/>
              <w:right w:val="nil"/>
            </w:tcBorders>
            <w:tcMar>
              <w:top w:w="15" w:type="dxa"/>
              <w:left w:w="15" w:type="dxa"/>
              <w:right w:w="15" w:type="dxa"/>
            </w:tcMar>
            <w:vAlign w:val="center"/>
          </w:tcPr>
          <w:p w14:paraId="7524BE2E" w14:textId="77777777" w:rsidR="0033143E" w:rsidRPr="0076589C" w:rsidRDefault="0033143E" w:rsidP="0033143E">
            <w:pPr>
              <w:jc w:val="center"/>
              <w:rPr>
                <w:rFonts w:asciiTheme="minorHAnsi" w:hAnsiTheme="minorHAnsi"/>
                <w:sz w:val="20"/>
                <w:szCs w:val="20"/>
              </w:rPr>
            </w:pPr>
          </w:p>
        </w:tc>
      </w:tr>
      <w:tr w:rsidR="0033143E" w:rsidRPr="0076589C" w14:paraId="7FC80B66" w14:textId="77777777" w:rsidTr="00925E89">
        <w:trPr>
          <w:trHeight w:val="270"/>
        </w:trPr>
        <w:tc>
          <w:tcPr>
            <w:tcW w:w="1852"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3FB777E5"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Calibri" w:hAnsiTheme="minorHAnsi"/>
                <w:b/>
                <w:bCs/>
                <w:color w:val="000000" w:themeColor="text1"/>
                <w:sz w:val="20"/>
                <w:szCs w:val="20"/>
              </w:rPr>
              <w:t>Límite de Crédito Otorgado</w:t>
            </w:r>
          </w:p>
        </w:tc>
        <w:tc>
          <w:tcPr>
            <w:tcW w:w="1629" w:type="pc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C7F68A6"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1,100,000.00 </w:t>
            </w:r>
          </w:p>
        </w:tc>
        <w:tc>
          <w:tcPr>
            <w:tcW w:w="1519" w:type="pct"/>
            <w:tcBorders>
              <w:top w:val="nil"/>
              <w:left w:val="single" w:sz="4" w:space="0" w:color="auto"/>
              <w:bottom w:val="nil"/>
              <w:right w:val="nil"/>
            </w:tcBorders>
            <w:tcMar>
              <w:top w:w="15" w:type="dxa"/>
              <w:left w:w="15" w:type="dxa"/>
              <w:right w:w="15" w:type="dxa"/>
            </w:tcMar>
            <w:vAlign w:val="center"/>
          </w:tcPr>
          <w:p w14:paraId="3EDEAE0D" w14:textId="77777777" w:rsidR="0033143E" w:rsidRPr="0076589C" w:rsidRDefault="0033143E" w:rsidP="0033143E">
            <w:pPr>
              <w:jc w:val="center"/>
              <w:rPr>
                <w:rFonts w:asciiTheme="minorHAnsi" w:hAnsiTheme="minorHAnsi"/>
                <w:sz w:val="20"/>
                <w:szCs w:val="20"/>
              </w:rPr>
            </w:pPr>
          </w:p>
        </w:tc>
      </w:tr>
      <w:tr w:rsidR="0033143E" w:rsidRPr="0076589C" w14:paraId="13C99BCE" w14:textId="77777777" w:rsidTr="00925E89">
        <w:trPr>
          <w:trHeight w:val="255"/>
        </w:trPr>
        <w:tc>
          <w:tcPr>
            <w:tcW w:w="1852" w:type="pct"/>
            <w:tcBorders>
              <w:top w:val="single" w:sz="4" w:space="0" w:color="auto"/>
              <w:left w:val="nil"/>
              <w:bottom w:val="single" w:sz="4" w:space="0" w:color="auto"/>
              <w:right w:val="nil"/>
            </w:tcBorders>
            <w:tcMar>
              <w:top w:w="15" w:type="dxa"/>
              <w:left w:w="15" w:type="dxa"/>
              <w:right w:w="15" w:type="dxa"/>
            </w:tcMar>
            <w:vAlign w:val="center"/>
          </w:tcPr>
          <w:p w14:paraId="386A50BA" w14:textId="77777777" w:rsidR="0033143E" w:rsidRPr="0076589C" w:rsidRDefault="0033143E" w:rsidP="00925E89">
            <w:pPr>
              <w:spacing w:after="0"/>
              <w:jc w:val="center"/>
              <w:rPr>
                <w:rFonts w:asciiTheme="minorHAnsi" w:hAnsiTheme="minorHAnsi"/>
                <w:sz w:val="20"/>
                <w:szCs w:val="20"/>
              </w:rPr>
            </w:pPr>
          </w:p>
        </w:tc>
        <w:tc>
          <w:tcPr>
            <w:tcW w:w="1629" w:type="pct"/>
            <w:tcBorders>
              <w:top w:val="single" w:sz="4" w:space="0" w:color="auto"/>
              <w:left w:val="nil"/>
              <w:bottom w:val="single" w:sz="4" w:space="0" w:color="auto"/>
              <w:right w:val="nil"/>
            </w:tcBorders>
            <w:tcMar>
              <w:top w:w="15" w:type="dxa"/>
              <w:left w:w="15" w:type="dxa"/>
              <w:right w:w="15" w:type="dxa"/>
            </w:tcMar>
            <w:vAlign w:val="center"/>
          </w:tcPr>
          <w:p w14:paraId="61A7AF08" w14:textId="77777777" w:rsidR="0033143E" w:rsidRPr="0076589C" w:rsidRDefault="0033143E" w:rsidP="0033143E">
            <w:pPr>
              <w:jc w:val="center"/>
              <w:rPr>
                <w:rFonts w:asciiTheme="minorHAnsi" w:hAnsiTheme="minorHAnsi"/>
                <w:sz w:val="20"/>
                <w:szCs w:val="20"/>
              </w:rPr>
            </w:pPr>
          </w:p>
        </w:tc>
        <w:tc>
          <w:tcPr>
            <w:tcW w:w="1519" w:type="pct"/>
            <w:tcBorders>
              <w:top w:val="nil"/>
              <w:left w:val="nil"/>
              <w:bottom w:val="nil"/>
              <w:right w:val="nil"/>
            </w:tcBorders>
            <w:tcMar>
              <w:top w:w="15" w:type="dxa"/>
              <w:left w:w="15" w:type="dxa"/>
              <w:right w:w="15" w:type="dxa"/>
            </w:tcMar>
            <w:vAlign w:val="center"/>
          </w:tcPr>
          <w:p w14:paraId="78F2C056" w14:textId="77777777" w:rsidR="0033143E" w:rsidRPr="0076589C" w:rsidRDefault="0033143E" w:rsidP="0033143E">
            <w:pPr>
              <w:jc w:val="center"/>
              <w:rPr>
                <w:rFonts w:asciiTheme="minorHAnsi" w:hAnsiTheme="minorHAnsi"/>
                <w:sz w:val="20"/>
                <w:szCs w:val="20"/>
              </w:rPr>
            </w:pPr>
          </w:p>
        </w:tc>
      </w:tr>
      <w:tr w:rsidR="0033143E" w:rsidRPr="0076589C" w14:paraId="1F2C1D69" w14:textId="77777777" w:rsidTr="00925E89">
        <w:trPr>
          <w:trHeight w:val="39"/>
        </w:trPr>
        <w:tc>
          <w:tcPr>
            <w:tcW w:w="1852"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386AEB5A"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b/>
                <w:bCs/>
                <w:color w:val="000000" w:themeColor="text1"/>
                <w:sz w:val="20"/>
                <w:szCs w:val="20"/>
              </w:rPr>
              <w:t xml:space="preserve">Límite de crédito otorgado </w:t>
            </w:r>
          </w:p>
        </w:tc>
        <w:tc>
          <w:tcPr>
            <w:tcW w:w="1629"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78D3BA67"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b/>
                <w:bCs/>
                <w:color w:val="000000" w:themeColor="text1"/>
                <w:sz w:val="20"/>
                <w:szCs w:val="20"/>
              </w:rPr>
              <w:t xml:space="preserve">-L              1,100,000.00 </w:t>
            </w:r>
          </w:p>
        </w:tc>
        <w:tc>
          <w:tcPr>
            <w:tcW w:w="1519" w:type="pct"/>
            <w:tcBorders>
              <w:top w:val="nil"/>
              <w:left w:val="single" w:sz="4" w:space="0" w:color="auto"/>
              <w:bottom w:val="nil"/>
              <w:right w:val="nil"/>
            </w:tcBorders>
            <w:tcMar>
              <w:top w:w="15" w:type="dxa"/>
              <w:left w:w="15" w:type="dxa"/>
              <w:right w:w="15" w:type="dxa"/>
            </w:tcMar>
            <w:vAlign w:val="center"/>
          </w:tcPr>
          <w:p w14:paraId="6DA2F208" w14:textId="77777777" w:rsidR="0033143E" w:rsidRPr="0076589C" w:rsidRDefault="0033143E" w:rsidP="0033143E">
            <w:pPr>
              <w:jc w:val="center"/>
              <w:rPr>
                <w:rFonts w:asciiTheme="minorHAnsi" w:hAnsiTheme="minorHAnsi"/>
                <w:sz w:val="20"/>
                <w:szCs w:val="20"/>
              </w:rPr>
            </w:pPr>
          </w:p>
        </w:tc>
      </w:tr>
      <w:tr w:rsidR="0033143E" w:rsidRPr="0076589C" w14:paraId="4263C3FA" w14:textId="77777777" w:rsidTr="00925E89">
        <w:trPr>
          <w:trHeight w:val="49"/>
        </w:trPr>
        <w:tc>
          <w:tcPr>
            <w:tcW w:w="1852" w:type="pct"/>
            <w:tcBorders>
              <w:top w:val="single" w:sz="4" w:space="0" w:color="auto"/>
              <w:left w:val="single" w:sz="4" w:space="0" w:color="auto"/>
              <w:bottom w:val="nil"/>
              <w:right w:val="nil"/>
            </w:tcBorders>
            <w:tcMar>
              <w:top w:w="15" w:type="dxa"/>
              <w:left w:w="15" w:type="dxa"/>
              <w:right w:w="15" w:type="dxa"/>
            </w:tcMar>
            <w:vAlign w:val="center"/>
          </w:tcPr>
          <w:p w14:paraId="7A710C66"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saldo pendiente de cobro dic 2021</w:t>
            </w:r>
          </w:p>
        </w:tc>
        <w:tc>
          <w:tcPr>
            <w:tcW w:w="1629" w:type="pct"/>
            <w:tcBorders>
              <w:top w:val="single" w:sz="4" w:space="0" w:color="auto"/>
              <w:left w:val="nil"/>
              <w:bottom w:val="nil"/>
              <w:right w:val="single" w:sz="4" w:space="0" w:color="auto"/>
            </w:tcBorders>
            <w:shd w:val="clear" w:color="auto" w:fill="FFFFFF" w:themeFill="background1"/>
            <w:tcMar>
              <w:top w:w="15" w:type="dxa"/>
              <w:left w:w="15" w:type="dxa"/>
              <w:right w:w="15" w:type="dxa"/>
            </w:tcMar>
            <w:vAlign w:val="center"/>
          </w:tcPr>
          <w:p w14:paraId="5DF59B4A"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848,062.57 </w:t>
            </w:r>
          </w:p>
        </w:tc>
        <w:tc>
          <w:tcPr>
            <w:tcW w:w="1519" w:type="pct"/>
            <w:tcBorders>
              <w:top w:val="nil"/>
              <w:left w:val="single" w:sz="4" w:space="0" w:color="auto"/>
              <w:bottom w:val="nil"/>
              <w:right w:val="nil"/>
            </w:tcBorders>
            <w:tcMar>
              <w:top w:w="15" w:type="dxa"/>
              <w:left w:w="15" w:type="dxa"/>
              <w:right w:w="15" w:type="dxa"/>
            </w:tcMar>
            <w:vAlign w:val="center"/>
          </w:tcPr>
          <w:p w14:paraId="32535800" w14:textId="77777777" w:rsidR="0033143E" w:rsidRPr="0076589C" w:rsidRDefault="0033143E" w:rsidP="0033143E">
            <w:pPr>
              <w:jc w:val="center"/>
              <w:rPr>
                <w:rFonts w:asciiTheme="minorHAnsi" w:hAnsiTheme="minorHAnsi"/>
                <w:sz w:val="20"/>
                <w:szCs w:val="20"/>
              </w:rPr>
            </w:pPr>
          </w:p>
        </w:tc>
      </w:tr>
      <w:tr w:rsidR="0033143E" w:rsidRPr="0076589C" w14:paraId="01647CF7" w14:textId="77777777" w:rsidTr="00925E89">
        <w:trPr>
          <w:trHeight w:val="255"/>
        </w:trPr>
        <w:tc>
          <w:tcPr>
            <w:tcW w:w="1852" w:type="pct"/>
            <w:tcBorders>
              <w:top w:val="nil"/>
              <w:left w:val="single" w:sz="4" w:space="0" w:color="auto"/>
              <w:bottom w:val="nil"/>
              <w:right w:val="nil"/>
            </w:tcBorders>
            <w:tcMar>
              <w:top w:w="15" w:type="dxa"/>
              <w:left w:w="15" w:type="dxa"/>
              <w:right w:w="15" w:type="dxa"/>
            </w:tcMar>
            <w:vAlign w:val="center"/>
          </w:tcPr>
          <w:p w14:paraId="08622EB5"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enero 2022</w:t>
            </w:r>
          </w:p>
        </w:tc>
        <w:tc>
          <w:tcPr>
            <w:tcW w:w="1629"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39A683E9"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304,781.52 </w:t>
            </w:r>
          </w:p>
        </w:tc>
        <w:tc>
          <w:tcPr>
            <w:tcW w:w="1519" w:type="pct"/>
            <w:tcBorders>
              <w:top w:val="nil"/>
              <w:left w:val="single" w:sz="4" w:space="0" w:color="auto"/>
              <w:bottom w:val="nil"/>
              <w:right w:val="nil"/>
            </w:tcBorders>
            <w:tcMar>
              <w:top w:w="15" w:type="dxa"/>
              <w:left w:w="15" w:type="dxa"/>
              <w:right w:w="15" w:type="dxa"/>
            </w:tcMar>
            <w:vAlign w:val="center"/>
          </w:tcPr>
          <w:p w14:paraId="441F574A" w14:textId="77777777" w:rsidR="0033143E" w:rsidRPr="0076589C" w:rsidRDefault="0033143E" w:rsidP="0033143E">
            <w:pPr>
              <w:jc w:val="center"/>
              <w:rPr>
                <w:rFonts w:asciiTheme="minorHAnsi" w:hAnsiTheme="minorHAnsi"/>
                <w:sz w:val="20"/>
                <w:szCs w:val="20"/>
              </w:rPr>
            </w:pPr>
          </w:p>
        </w:tc>
      </w:tr>
      <w:tr w:rsidR="0033143E" w:rsidRPr="0076589C" w14:paraId="4B355030" w14:textId="77777777" w:rsidTr="00925E89">
        <w:trPr>
          <w:trHeight w:val="255"/>
        </w:trPr>
        <w:tc>
          <w:tcPr>
            <w:tcW w:w="1852" w:type="pct"/>
            <w:tcBorders>
              <w:top w:val="nil"/>
              <w:left w:val="single" w:sz="4" w:space="0" w:color="auto"/>
              <w:bottom w:val="nil"/>
              <w:right w:val="nil"/>
            </w:tcBorders>
            <w:tcMar>
              <w:top w:w="15" w:type="dxa"/>
              <w:left w:w="15" w:type="dxa"/>
              <w:right w:w="15" w:type="dxa"/>
            </w:tcMar>
            <w:vAlign w:val="center"/>
          </w:tcPr>
          <w:p w14:paraId="071AC35C"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629" w:type="pct"/>
            <w:tcBorders>
              <w:top w:val="nil"/>
              <w:left w:val="nil"/>
              <w:bottom w:val="nil"/>
              <w:right w:val="single" w:sz="4" w:space="0" w:color="auto"/>
            </w:tcBorders>
            <w:tcMar>
              <w:top w:w="15" w:type="dxa"/>
              <w:left w:w="15" w:type="dxa"/>
              <w:right w:w="15" w:type="dxa"/>
            </w:tcMar>
            <w:vAlign w:val="center"/>
          </w:tcPr>
          <w:p w14:paraId="28C559AC"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118,812.55 </w:t>
            </w:r>
          </w:p>
        </w:tc>
        <w:tc>
          <w:tcPr>
            <w:tcW w:w="1519" w:type="pct"/>
            <w:tcBorders>
              <w:top w:val="nil"/>
              <w:left w:val="single" w:sz="4" w:space="0" w:color="auto"/>
              <w:bottom w:val="nil"/>
              <w:right w:val="nil"/>
            </w:tcBorders>
            <w:tcMar>
              <w:top w:w="15" w:type="dxa"/>
              <w:left w:w="15" w:type="dxa"/>
              <w:right w:w="15" w:type="dxa"/>
            </w:tcMar>
            <w:vAlign w:val="center"/>
          </w:tcPr>
          <w:p w14:paraId="360DD1C5" w14:textId="77777777" w:rsidR="0033143E" w:rsidRPr="0076589C" w:rsidRDefault="0033143E" w:rsidP="0033143E">
            <w:pPr>
              <w:jc w:val="center"/>
              <w:rPr>
                <w:rFonts w:asciiTheme="minorHAnsi" w:hAnsiTheme="minorHAnsi"/>
                <w:sz w:val="20"/>
                <w:szCs w:val="20"/>
              </w:rPr>
            </w:pPr>
          </w:p>
        </w:tc>
      </w:tr>
      <w:tr w:rsidR="0033143E" w:rsidRPr="0076589C" w14:paraId="06A9DBA4" w14:textId="77777777" w:rsidTr="00925E89">
        <w:trPr>
          <w:trHeight w:val="255"/>
        </w:trPr>
        <w:tc>
          <w:tcPr>
            <w:tcW w:w="1852" w:type="pct"/>
            <w:tcBorders>
              <w:top w:val="nil"/>
              <w:left w:val="single" w:sz="4" w:space="0" w:color="auto"/>
              <w:bottom w:val="nil"/>
              <w:right w:val="nil"/>
            </w:tcBorders>
            <w:tcMar>
              <w:top w:w="15" w:type="dxa"/>
              <w:left w:w="15" w:type="dxa"/>
              <w:right w:w="15" w:type="dxa"/>
            </w:tcMar>
            <w:vAlign w:val="center"/>
          </w:tcPr>
          <w:p w14:paraId="57522CE2"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febrero 2022</w:t>
            </w:r>
          </w:p>
        </w:tc>
        <w:tc>
          <w:tcPr>
            <w:tcW w:w="1629" w:type="pct"/>
            <w:tcBorders>
              <w:top w:val="nil"/>
              <w:left w:val="nil"/>
              <w:bottom w:val="nil"/>
              <w:right w:val="single" w:sz="4" w:space="0" w:color="auto"/>
            </w:tcBorders>
            <w:tcMar>
              <w:top w:w="15" w:type="dxa"/>
              <w:left w:w="15" w:type="dxa"/>
              <w:right w:w="15" w:type="dxa"/>
            </w:tcMar>
            <w:vAlign w:val="center"/>
          </w:tcPr>
          <w:p w14:paraId="0690C614"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136,194.11 </w:t>
            </w:r>
          </w:p>
        </w:tc>
        <w:tc>
          <w:tcPr>
            <w:tcW w:w="1519" w:type="pct"/>
            <w:tcBorders>
              <w:top w:val="nil"/>
              <w:left w:val="single" w:sz="4" w:space="0" w:color="auto"/>
              <w:bottom w:val="nil"/>
              <w:right w:val="nil"/>
            </w:tcBorders>
            <w:tcMar>
              <w:top w:w="15" w:type="dxa"/>
              <w:left w:w="15" w:type="dxa"/>
              <w:right w:w="15" w:type="dxa"/>
            </w:tcMar>
            <w:vAlign w:val="center"/>
          </w:tcPr>
          <w:p w14:paraId="7B0B96EC" w14:textId="77777777" w:rsidR="0033143E" w:rsidRPr="0076589C" w:rsidRDefault="0033143E" w:rsidP="0033143E">
            <w:pPr>
              <w:jc w:val="center"/>
              <w:rPr>
                <w:rFonts w:asciiTheme="minorHAnsi" w:hAnsiTheme="minorHAnsi"/>
                <w:sz w:val="20"/>
                <w:szCs w:val="20"/>
              </w:rPr>
            </w:pPr>
          </w:p>
        </w:tc>
      </w:tr>
      <w:tr w:rsidR="0033143E" w:rsidRPr="0076589C" w14:paraId="4747605D" w14:textId="77777777" w:rsidTr="00925E89">
        <w:trPr>
          <w:trHeight w:val="255"/>
        </w:trPr>
        <w:tc>
          <w:tcPr>
            <w:tcW w:w="1852" w:type="pct"/>
            <w:tcBorders>
              <w:top w:val="nil"/>
              <w:left w:val="single" w:sz="4" w:space="0" w:color="auto"/>
              <w:bottom w:val="nil"/>
              <w:right w:val="nil"/>
            </w:tcBorders>
            <w:tcMar>
              <w:top w:w="15" w:type="dxa"/>
              <w:left w:w="15" w:type="dxa"/>
              <w:right w:w="15" w:type="dxa"/>
            </w:tcMar>
            <w:vAlign w:val="center"/>
          </w:tcPr>
          <w:p w14:paraId="3D5BD874"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629" w:type="pct"/>
            <w:tcBorders>
              <w:top w:val="nil"/>
              <w:left w:val="nil"/>
              <w:bottom w:val="nil"/>
              <w:right w:val="single" w:sz="4" w:space="0" w:color="auto"/>
            </w:tcBorders>
            <w:tcMar>
              <w:top w:w="15" w:type="dxa"/>
              <w:left w:w="15" w:type="dxa"/>
              <w:right w:w="15" w:type="dxa"/>
            </w:tcMar>
            <w:vAlign w:val="center"/>
          </w:tcPr>
          <w:p w14:paraId="078BA4A0"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502,944.04 </w:t>
            </w:r>
          </w:p>
        </w:tc>
        <w:tc>
          <w:tcPr>
            <w:tcW w:w="1519" w:type="pct"/>
            <w:tcBorders>
              <w:top w:val="nil"/>
              <w:left w:val="single" w:sz="4" w:space="0" w:color="auto"/>
              <w:bottom w:val="nil"/>
              <w:right w:val="nil"/>
            </w:tcBorders>
            <w:tcMar>
              <w:top w:w="15" w:type="dxa"/>
              <w:left w:w="15" w:type="dxa"/>
              <w:right w:w="15" w:type="dxa"/>
            </w:tcMar>
            <w:vAlign w:val="center"/>
          </w:tcPr>
          <w:p w14:paraId="1337305F" w14:textId="77777777" w:rsidR="0033143E" w:rsidRPr="0076589C" w:rsidRDefault="0033143E" w:rsidP="0033143E">
            <w:pPr>
              <w:jc w:val="center"/>
              <w:rPr>
                <w:rFonts w:asciiTheme="minorHAnsi" w:hAnsiTheme="minorHAnsi"/>
                <w:sz w:val="20"/>
                <w:szCs w:val="20"/>
              </w:rPr>
            </w:pPr>
          </w:p>
        </w:tc>
      </w:tr>
      <w:tr w:rsidR="0033143E" w:rsidRPr="0076589C" w14:paraId="607CAC18" w14:textId="77777777" w:rsidTr="00925E89">
        <w:trPr>
          <w:trHeight w:val="255"/>
        </w:trPr>
        <w:tc>
          <w:tcPr>
            <w:tcW w:w="1852" w:type="pct"/>
            <w:tcBorders>
              <w:top w:val="nil"/>
              <w:left w:val="single" w:sz="4" w:space="0" w:color="auto"/>
              <w:bottom w:val="nil"/>
              <w:right w:val="nil"/>
            </w:tcBorders>
            <w:tcMar>
              <w:top w:w="15" w:type="dxa"/>
              <w:left w:w="15" w:type="dxa"/>
              <w:right w:w="15" w:type="dxa"/>
            </w:tcMar>
            <w:vAlign w:val="center"/>
          </w:tcPr>
          <w:p w14:paraId="18489DF0"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marzo 2022</w:t>
            </w:r>
          </w:p>
        </w:tc>
        <w:tc>
          <w:tcPr>
            <w:tcW w:w="1629" w:type="pct"/>
            <w:tcBorders>
              <w:top w:val="nil"/>
              <w:left w:val="nil"/>
              <w:bottom w:val="nil"/>
              <w:right w:val="single" w:sz="4" w:space="0" w:color="auto"/>
            </w:tcBorders>
            <w:tcMar>
              <w:top w:w="15" w:type="dxa"/>
              <w:left w:w="15" w:type="dxa"/>
              <w:right w:w="15" w:type="dxa"/>
            </w:tcMar>
            <w:vAlign w:val="center"/>
          </w:tcPr>
          <w:p w14:paraId="34DFC4F9"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   </w:t>
            </w:r>
          </w:p>
        </w:tc>
        <w:tc>
          <w:tcPr>
            <w:tcW w:w="1519" w:type="pct"/>
            <w:tcBorders>
              <w:top w:val="nil"/>
              <w:left w:val="single" w:sz="4" w:space="0" w:color="auto"/>
              <w:right w:val="nil"/>
            </w:tcBorders>
            <w:tcMar>
              <w:top w:w="15" w:type="dxa"/>
              <w:left w:w="15" w:type="dxa"/>
              <w:right w:w="15" w:type="dxa"/>
            </w:tcMar>
            <w:vAlign w:val="center"/>
          </w:tcPr>
          <w:p w14:paraId="0794548F" w14:textId="77777777" w:rsidR="0033143E" w:rsidRPr="0076589C" w:rsidRDefault="0033143E" w:rsidP="0033143E">
            <w:pPr>
              <w:jc w:val="center"/>
              <w:rPr>
                <w:rFonts w:asciiTheme="minorHAnsi" w:hAnsiTheme="minorHAnsi"/>
                <w:sz w:val="20"/>
                <w:szCs w:val="20"/>
              </w:rPr>
            </w:pPr>
          </w:p>
        </w:tc>
      </w:tr>
      <w:tr w:rsidR="0033143E" w:rsidRPr="0076589C" w14:paraId="76B11786" w14:textId="77777777" w:rsidTr="00925E89">
        <w:trPr>
          <w:trHeight w:val="255"/>
        </w:trPr>
        <w:tc>
          <w:tcPr>
            <w:tcW w:w="1852" w:type="pct"/>
            <w:tcBorders>
              <w:top w:val="nil"/>
              <w:left w:val="single" w:sz="4" w:space="0" w:color="auto"/>
              <w:bottom w:val="single" w:sz="4" w:space="0" w:color="auto"/>
              <w:right w:val="nil"/>
            </w:tcBorders>
            <w:tcMar>
              <w:top w:w="15" w:type="dxa"/>
              <w:left w:w="15" w:type="dxa"/>
              <w:right w:w="15" w:type="dxa"/>
            </w:tcMar>
            <w:vAlign w:val="center"/>
          </w:tcPr>
          <w:p w14:paraId="29E2ECC3"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629" w:type="pct"/>
            <w:tcBorders>
              <w:top w:val="nil"/>
              <w:left w:val="nil"/>
              <w:bottom w:val="single" w:sz="4" w:space="0" w:color="auto"/>
              <w:right w:val="single" w:sz="4" w:space="0" w:color="auto"/>
            </w:tcBorders>
            <w:tcMar>
              <w:top w:w="15" w:type="dxa"/>
              <w:left w:w="15" w:type="dxa"/>
              <w:right w:w="15" w:type="dxa"/>
            </w:tcMar>
            <w:vAlign w:val="center"/>
          </w:tcPr>
          <w:p w14:paraId="01A1B8BB"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71,728.02 </w:t>
            </w:r>
          </w:p>
        </w:tc>
        <w:tc>
          <w:tcPr>
            <w:tcW w:w="1519" w:type="pct"/>
            <w:tcBorders>
              <w:top w:val="nil"/>
              <w:left w:val="single" w:sz="4" w:space="0" w:color="auto"/>
              <w:right w:val="nil"/>
            </w:tcBorders>
            <w:tcMar>
              <w:top w:w="15" w:type="dxa"/>
              <w:left w:w="15" w:type="dxa"/>
              <w:right w:w="15" w:type="dxa"/>
            </w:tcMar>
            <w:vAlign w:val="center"/>
          </w:tcPr>
          <w:p w14:paraId="343880C7" w14:textId="77777777" w:rsidR="0033143E" w:rsidRPr="0076589C" w:rsidRDefault="0033143E" w:rsidP="0033143E">
            <w:pPr>
              <w:jc w:val="center"/>
              <w:rPr>
                <w:rFonts w:asciiTheme="minorHAnsi" w:hAnsiTheme="minorHAnsi"/>
                <w:sz w:val="20"/>
                <w:szCs w:val="20"/>
              </w:rPr>
            </w:pPr>
          </w:p>
        </w:tc>
      </w:tr>
      <w:tr w:rsidR="0033143E" w:rsidRPr="0076589C" w14:paraId="55DF7705" w14:textId="77777777" w:rsidTr="00925E89">
        <w:trPr>
          <w:trHeight w:val="270"/>
        </w:trPr>
        <w:tc>
          <w:tcPr>
            <w:tcW w:w="1852" w:type="pct"/>
            <w:tcBorders>
              <w:top w:val="single" w:sz="4" w:space="0" w:color="auto"/>
              <w:left w:val="single" w:sz="4" w:space="0" w:color="auto"/>
              <w:bottom w:val="single" w:sz="4" w:space="0" w:color="auto"/>
            </w:tcBorders>
            <w:tcMar>
              <w:top w:w="15" w:type="dxa"/>
              <w:left w:w="15" w:type="dxa"/>
              <w:right w:w="15" w:type="dxa"/>
            </w:tcMar>
            <w:vAlign w:val="center"/>
          </w:tcPr>
          <w:p w14:paraId="02E07518" w14:textId="77777777" w:rsidR="0033143E" w:rsidRPr="0076589C" w:rsidRDefault="0033143E" w:rsidP="0033143E">
            <w:pPr>
              <w:jc w:val="center"/>
              <w:rPr>
                <w:rFonts w:asciiTheme="minorHAnsi" w:hAnsiTheme="minorHAnsi"/>
                <w:sz w:val="20"/>
                <w:szCs w:val="20"/>
              </w:rPr>
            </w:pPr>
          </w:p>
        </w:tc>
        <w:tc>
          <w:tcPr>
            <w:tcW w:w="1629" w:type="pct"/>
            <w:tcBorders>
              <w:top w:val="single" w:sz="4" w:space="0" w:color="auto"/>
              <w:bottom w:val="single" w:sz="4" w:space="0" w:color="auto"/>
              <w:right w:val="single" w:sz="4" w:space="0" w:color="auto"/>
            </w:tcBorders>
            <w:tcMar>
              <w:top w:w="15" w:type="dxa"/>
              <w:left w:w="15" w:type="dxa"/>
              <w:right w:w="15" w:type="dxa"/>
            </w:tcMar>
            <w:vAlign w:val="center"/>
          </w:tcPr>
          <w:p w14:paraId="77F8C9E5"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b/>
                <w:bCs/>
                <w:color w:val="000000" w:themeColor="text1"/>
                <w:sz w:val="20"/>
                <w:szCs w:val="20"/>
              </w:rPr>
              <w:t xml:space="preserve">-L                 504,446.41 </w:t>
            </w:r>
          </w:p>
        </w:tc>
        <w:tc>
          <w:tcPr>
            <w:tcW w:w="1519" w:type="pct"/>
            <w:tcBorders>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1E664E88" w14:textId="77777777" w:rsidR="0033143E" w:rsidRPr="0076589C" w:rsidRDefault="0033143E" w:rsidP="0033143E">
            <w:pPr>
              <w:spacing w:after="0"/>
              <w:rPr>
                <w:rFonts w:asciiTheme="minorHAnsi" w:hAnsiTheme="minorHAnsi"/>
                <w:b/>
                <w:bCs/>
                <w:sz w:val="20"/>
                <w:szCs w:val="20"/>
              </w:rPr>
            </w:pPr>
            <w:r w:rsidRPr="0076589C">
              <w:rPr>
                <w:rFonts w:asciiTheme="minorHAnsi" w:eastAsia="Arial" w:hAnsiTheme="minorHAnsi"/>
                <w:b/>
                <w:bCs/>
                <w:color w:val="000000" w:themeColor="text1"/>
                <w:sz w:val="20"/>
                <w:szCs w:val="20"/>
              </w:rPr>
              <w:t>Límite disponible</w:t>
            </w:r>
          </w:p>
        </w:tc>
      </w:tr>
      <w:tr w:rsidR="0033143E" w:rsidRPr="0076589C" w14:paraId="4EC6A8DA" w14:textId="77777777" w:rsidTr="00925E89">
        <w:trPr>
          <w:trHeight w:val="255"/>
        </w:trPr>
        <w:tc>
          <w:tcPr>
            <w:tcW w:w="1852" w:type="pct"/>
            <w:tcBorders>
              <w:top w:val="nil"/>
              <w:left w:val="single" w:sz="4" w:space="0" w:color="auto"/>
              <w:bottom w:val="single" w:sz="4" w:space="0" w:color="auto"/>
              <w:right w:val="nil"/>
            </w:tcBorders>
            <w:tcMar>
              <w:top w:w="15" w:type="dxa"/>
              <w:left w:w="15" w:type="dxa"/>
              <w:right w:w="15" w:type="dxa"/>
            </w:tcMar>
            <w:vAlign w:val="center"/>
          </w:tcPr>
          <w:p w14:paraId="78E5DCD2"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abril 2022</w:t>
            </w:r>
          </w:p>
        </w:tc>
        <w:tc>
          <w:tcPr>
            <w:tcW w:w="1629" w:type="pct"/>
            <w:tcBorders>
              <w:top w:val="nil"/>
              <w:left w:val="nil"/>
              <w:bottom w:val="single" w:sz="4" w:space="0" w:color="auto"/>
              <w:right w:val="single" w:sz="4" w:space="0" w:color="auto"/>
            </w:tcBorders>
            <w:tcMar>
              <w:top w:w="15" w:type="dxa"/>
              <w:left w:w="15" w:type="dxa"/>
              <w:right w:w="15" w:type="dxa"/>
            </w:tcMar>
            <w:vAlign w:val="center"/>
          </w:tcPr>
          <w:p w14:paraId="2555549C"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275,302.85 </w:t>
            </w:r>
          </w:p>
        </w:tc>
        <w:tc>
          <w:tcPr>
            <w:tcW w:w="1519" w:type="pct"/>
            <w:tcBorders>
              <w:top w:val="nil"/>
              <w:left w:val="single" w:sz="4" w:space="0" w:color="auto"/>
              <w:bottom w:val="nil"/>
              <w:right w:val="nil"/>
            </w:tcBorders>
            <w:tcMar>
              <w:top w:w="15" w:type="dxa"/>
              <w:left w:w="15" w:type="dxa"/>
              <w:right w:w="15" w:type="dxa"/>
            </w:tcMar>
            <w:vAlign w:val="center"/>
          </w:tcPr>
          <w:p w14:paraId="559BA2F0" w14:textId="77777777" w:rsidR="0033143E" w:rsidRPr="0076589C" w:rsidRDefault="0033143E" w:rsidP="0033143E">
            <w:pPr>
              <w:jc w:val="center"/>
              <w:rPr>
                <w:rFonts w:asciiTheme="minorHAnsi" w:hAnsiTheme="minorHAnsi"/>
                <w:sz w:val="20"/>
                <w:szCs w:val="20"/>
              </w:rPr>
            </w:pPr>
          </w:p>
        </w:tc>
      </w:tr>
      <w:tr w:rsidR="0033143E" w:rsidRPr="0076589C" w14:paraId="2B7D5AB7" w14:textId="77777777" w:rsidTr="00925E89">
        <w:trPr>
          <w:trHeight w:val="255"/>
        </w:trPr>
        <w:tc>
          <w:tcPr>
            <w:tcW w:w="1852" w:type="pct"/>
            <w:tcBorders>
              <w:top w:val="single" w:sz="4" w:space="0" w:color="auto"/>
              <w:left w:val="single" w:sz="4" w:space="0" w:color="auto"/>
              <w:bottom w:val="nil"/>
              <w:right w:val="nil"/>
            </w:tcBorders>
            <w:tcMar>
              <w:top w:w="15" w:type="dxa"/>
              <w:left w:w="15" w:type="dxa"/>
              <w:right w:w="15" w:type="dxa"/>
            </w:tcMar>
            <w:vAlign w:val="center"/>
          </w:tcPr>
          <w:p w14:paraId="3648A0F7"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629" w:type="pct"/>
            <w:tcBorders>
              <w:top w:val="single" w:sz="4" w:space="0" w:color="auto"/>
              <w:left w:val="nil"/>
              <w:bottom w:val="nil"/>
              <w:right w:val="single" w:sz="4" w:space="0" w:color="auto"/>
            </w:tcBorders>
            <w:tcMar>
              <w:top w:w="15" w:type="dxa"/>
              <w:left w:w="15" w:type="dxa"/>
              <w:right w:w="15" w:type="dxa"/>
            </w:tcMar>
            <w:vAlign w:val="center"/>
          </w:tcPr>
          <w:p w14:paraId="1B54018B"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226,032.74 </w:t>
            </w:r>
          </w:p>
        </w:tc>
        <w:tc>
          <w:tcPr>
            <w:tcW w:w="1519" w:type="pct"/>
            <w:tcBorders>
              <w:top w:val="nil"/>
              <w:left w:val="single" w:sz="4" w:space="0" w:color="auto"/>
              <w:bottom w:val="nil"/>
              <w:right w:val="nil"/>
            </w:tcBorders>
            <w:tcMar>
              <w:top w:w="15" w:type="dxa"/>
              <w:left w:w="15" w:type="dxa"/>
              <w:right w:w="15" w:type="dxa"/>
            </w:tcMar>
            <w:vAlign w:val="center"/>
          </w:tcPr>
          <w:p w14:paraId="00CBF4DC" w14:textId="77777777" w:rsidR="0033143E" w:rsidRPr="0076589C" w:rsidRDefault="0033143E" w:rsidP="0033143E">
            <w:pPr>
              <w:jc w:val="center"/>
              <w:rPr>
                <w:rFonts w:asciiTheme="minorHAnsi" w:hAnsiTheme="minorHAnsi"/>
                <w:sz w:val="20"/>
                <w:szCs w:val="20"/>
              </w:rPr>
            </w:pPr>
          </w:p>
        </w:tc>
      </w:tr>
      <w:tr w:rsidR="0033143E" w:rsidRPr="0076589C" w14:paraId="446BC8DF" w14:textId="77777777" w:rsidTr="00925E89">
        <w:trPr>
          <w:trHeight w:val="255"/>
        </w:trPr>
        <w:tc>
          <w:tcPr>
            <w:tcW w:w="1852" w:type="pct"/>
            <w:tcBorders>
              <w:top w:val="nil"/>
              <w:left w:val="single" w:sz="4" w:space="0" w:color="auto"/>
              <w:bottom w:val="nil"/>
              <w:right w:val="nil"/>
            </w:tcBorders>
            <w:tcMar>
              <w:top w:w="15" w:type="dxa"/>
              <w:left w:w="15" w:type="dxa"/>
              <w:right w:w="15" w:type="dxa"/>
            </w:tcMar>
            <w:vAlign w:val="center"/>
          </w:tcPr>
          <w:p w14:paraId="030DDA34"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mayo 2022</w:t>
            </w:r>
          </w:p>
        </w:tc>
        <w:tc>
          <w:tcPr>
            <w:tcW w:w="1629" w:type="pct"/>
            <w:tcBorders>
              <w:top w:val="nil"/>
              <w:left w:val="nil"/>
              <w:bottom w:val="nil"/>
              <w:right w:val="single" w:sz="4" w:space="0" w:color="auto"/>
            </w:tcBorders>
            <w:tcMar>
              <w:top w:w="15" w:type="dxa"/>
              <w:left w:w="15" w:type="dxa"/>
              <w:right w:w="15" w:type="dxa"/>
            </w:tcMar>
            <w:vAlign w:val="center"/>
          </w:tcPr>
          <w:p w14:paraId="4578B2F4"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31,453.06 </w:t>
            </w:r>
          </w:p>
        </w:tc>
        <w:tc>
          <w:tcPr>
            <w:tcW w:w="1519" w:type="pct"/>
            <w:tcBorders>
              <w:top w:val="nil"/>
              <w:left w:val="single" w:sz="4" w:space="0" w:color="auto"/>
              <w:bottom w:val="nil"/>
              <w:right w:val="nil"/>
            </w:tcBorders>
            <w:tcMar>
              <w:top w:w="15" w:type="dxa"/>
              <w:left w:w="15" w:type="dxa"/>
              <w:right w:w="15" w:type="dxa"/>
            </w:tcMar>
            <w:vAlign w:val="center"/>
          </w:tcPr>
          <w:p w14:paraId="4276035C" w14:textId="77777777" w:rsidR="0033143E" w:rsidRPr="0076589C" w:rsidRDefault="0033143E" w:rsidP="0033143E">
            <w:pPr>
              <w:jc w:val="center"/>
              <w:rPr>
                <w:rFonts w:asciiTheme="minorHAnsi" w:hAnsiTheme="minorHAnsi"/>
                <w:sz w:val="20"/>
                <w:szCs w:val="20"/>
              </w:rPr>
            </w:pPr>
          </w:p>
        </w:tc>
      </w:tr>
      <w:tr w:rsidR="0033143E" w:rsidRPr="0076589C" w14:paraId="129C615B" w14:textId="77777777" w:rsidTr="00925E89">
        <w:trPr>
          <w:trHeight w:val="255"/>
        </w:trPr>
        <w:tc>
          <w:tcPr>
            <w:tcW w:w="1852" w:type="pct"/>
            <w:tcBorders>
              <w:top w:val="nil"/>
              <w:left w:val="single" w:sz="4" w:space="0" w:color="auto"/>
              <w:bottom w:val="nil"/>
              <w:right w:val="nil"/>
            </w:tcBorders>
            <w:tcMar>
              <w:top w:w="15" w:type="dxa"/>
              <w:left w:w="15" w:type="dxa"/>
              <w:right w:w="15" w:type="dxa"/>
            </w:tcMar>
            <w:vAlign w:val="center"/>
          </w:tcPr>
          <w:p w14:paraId="7605F4CA"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629" w:type="pct"/>
            <w:tcBorders>
              <w:top w:val="nil"/>
              <w:left w:val="nil"/>
              <w:bottom w:val="nil"/>
              <w:right w:val="single" w:sz="4" w:space="0" w:color="auto"/>
            </w:tcBorders>
            <w:tcMar>
              <w:top w:w="15" w:type="dxa"/>
              <w:left w:w="15" w:type="dxa"/>
              <w:right w:w="15" w:type="dxa"/>
            </w:tcMar>
            <w:vAlign w:val="center"/>
          </w:tcPr>
          <w:p w14:paraId="5D8CEB28"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403,852.50 </w:t>
            </w:r>
          </w:p>
        </w:tc>
        <w:tc>
          <w:tcPr>
            <w:tcW w:w="1519" w:type="pct"/>
            <w:tcBorders>
              <w:top w:val="nil"/>
              <w:left w:val="single" w:sz="4" w:space="0" w:color="auto"/>
              <w:bottom w:val="nil"/>
              <w:right w:val="nil"/>
            </w:tcBorders>
            <w:tcMar>
              <w:top w:w="15" w:type="dxa"/>
              <w:left w:w="15" w:type="dxa"/>
              <w:right w:w="15" w:type="dxa"/>
            </w:tcMar>
            <w:vAlign w:val="center"/>
          </w:tcPr>
          <w:p w14:paraId="02264E74" w14:textId="77777777" w:rsidR="0033143E" w:rsidRPr="0076589C" w:rsidRDefault="0033143E" w:rsidP="0033143E">
            <w:pPr>
              <w:jc w:val="center"/>
              <w:rPr>
                <w:rFonts w:asciiTheme="minorHAnsi" w:hAnsiTheme="minorHAnsi"/>
                <w:sz w:val="20"/>
                <w:szCs w:val="20"/>
              </w:rPr>
            </w:pPr>
          </w:p>
        </w:tc>
      </w:tr>
      <w:tr w:rsidR="0033143E" w:rsidRPr="0076589C" w14:paraId="06727793" w14:textId="77777777" w:rsidTr="00925E89">
        <w:trPr>
          <w:trHeight w:val="255"/>
        </w:trPr>
        <w:tc>
          <w:tcPr>
            <w:tcW w:w="1852" w:type="pct"/>
            <w:tcBorders>
              <w:top w:val="nil"/>
              <w:left w:val="single" w:sz="4" w:space="0" w:color="auto"/>
              <w:bottom w:val="nil"/>
              <w:right w:val="nil"/>
            </w:tcBorders>
            <w:tcMar>
              <w:top w:w="15" w:type="dxa"/>
              <w:left w:w="15" w:type="dxa"/>
              <w:right w:w="15" w:type="dxa"/>
            </w:tcMar>
            <w:vAlign w:val="center"/>
          </w:tcPr>
          <w:p w14:paraId="144F8FCB"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junio 2022</w:t>
            </w:r>
          </w:p>
        </w:tc>
        <w:tc>
          <w:tcPr>
            <w:tcW w:w="1629" w:type="pct"/>
            <w:tcBorders>
              <w:top w:val="nil"/>
              <w:left w:val="nil"/>
              <w:bottom w:val="nil"/>
              <w:right w:val="single" w:sz="4" w:space="0" w:color="auto"/>
            </w:tcBorders>
            <w:tcMar>
              <w:top w:w="15" w:type="dxa"/>
              <w:left w:w="15" w:type="dxa"/>
              <w:right w:w="15" w:type="dxa"/>
            </w:tcMar>
            <w:vAlign w:val="center"/>
          </w:tcPr>
          <w:p w14:paraId="4B4C1DE9"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714,615.37 </w:t>
            </w:r>
          </w:p>
        </w:tc>
        <w:tc>
          <w:tcPr>
            <w:tcW w:w="1519" w:type="pct"/>
            <w:tcBorders>
              <w:top w:val="nil"/>
              <w:left w:val="single" w:sz="4" w:space="0" w:color="auto"/>
              <w:bottom w:val="nil"/>
              <w:right w:val="nil"/>
            </w:tcBorders>
            <w:tcMar>
              <w:top w:w="15" w:type="dxa"/>
              <w:left w:w="15" w:type="dxa"/>
              <w:right w:w="15" w:type="dxa"/>
            </w:tcMar>
            <w:vAlign w:val="center"/>
          </w:tcPr>
          <w:p w14:paraId="42245234" w14:textId="77777777" w:rsidR="0033143E" w:rsidRPr="0076589C" w:rsidRDefault="0033143E" w:rsidP="0033143E">
            <w:pPr>
              <w:jc w:val="center"/>
              <w:rPr>
                <w:rFonts w:asciiTheme="minorHAnsi" w:hAnsiTheme="minorHAnsi"/>
                <w:sz w:val="20"/>
                <w:szCs w:val="20"/>
              </w:rPr>
            </w:pPr>
          </w:p>
        </w:tc>
      </w:tr>
      <w:tr w:rsidR="0033143E" w:rsidRPr="0076589C" w14:paraId="395417DB" w14:textId="77777777" w:rsidTr="00925E89">
        <w:trPr>
          <w:trHeight w:val="255"/>
        </w:trPr>
        <w:tc>
          <w:tcPr>
            <w:tcW w:w="1852" w:type="pct"/>
            <w:tcBorders>
              <w:top w:val="nil"/>
              <w:left w:val="single" w:sz="4" w:space="0" w:color="auto"/>
              <w:bottom w:val="single" w:sz="4" w:space="0" w:color="auto"/>
              <w:right w:val="nil"/>
            </w:tcBorders>
            <w:tcMar>
              <w:top w:w="15" w:type="dxa"/>
              <w:left w:w="15" w:type="dxa"/>
              <w:right w:w="15" w:type="dxa"/>
            </w:tcMar>
            <w:vAlign w:val="center"/>
          </w:tcPr>
          <w:p w14:paraId="7061FE58" w14:textId="77777777" w:rsidR="0033143E" w:rsidRPr="0076589C" w:rsidRDefault="0033143E" w:rsidP="0033143E">
            <w:pPr>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629" w:type="pct"/>
            <w:tcBorders>
              <w:top w:val="nil"/>
              <w:left w:val="nil"/>
              <w:bottom w:val="single" w:sz="4" w:space="0" w:color="auto"/>
              <w:right w:val="single" w:sz="4" w:space="0" w:color="auto"/>
            </w:tcBorders>
            <w:tcMar>
              <w:top w:w="15" w:type="dxa"/>
              <w:left w:w="15" w:type="dxa"/>
              <w:right w:w="15" w:type="dxa"/>
            </w:tcMar>
            <w:vAlign w:val="center"/>
          </w:tcPr>
          <w:p w14:paraId="7A675BCB"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 L                              -   </w:t>
            </w:r>
          </w:p>
        </w:tc>
        <w:tc>
          <w:tcPr>
            <w:tcW w:w="1519" w:type="pct"/>
            <w:tcBorders>
              <w:top w:val="nil"/>
              <w:left w:val="single" w:sz="4" w:space="0" w:color="auto"/>
              <w:bottom w:val="single" w:sz="4" w:space="0" w:color="auto"/>
              <w:right w:val="nil"/>
            </w:tcBorders>
            <w:tcMar>
              <w:top w:w="15" w:type="dxa"/>
              <w:left w:w="15" w:type="dxa"/>
              <w:right w:w="15" w:type="dxa"/>
            </w:tcMar>
            <w:vAlign w:val="center"/>
          </w:tcPr>
          <w:p w14:paraId="6A397540" w14:textId="77777777" w:rsidR="0033143E" w:rsidRPr="0076589C" w:rsidRDefault="0033143E" w:rsidP="0033143E">
            <w:pPr>
              <w:jc w:val="center"/>
              <w:rPr>
                <w:rFonts w:asciiTheme="minorHAnsi" w:hAnsiTheme="minorHAnsi"/>
                <w:sz w:val="20"/>
                <w:szCs w:val="20"/>
              </w:rPr>
            </w:pPr>
          </w:p>
        </w:tc>
      </w:tr>
      <w:tr w:rsidR="0033143E" w:rsidRPr="0076589C" w14:paraId="374C3673" w14:textId="77777777" w:rsidTr="00925E89">
        <w:trPr>
          <w:trHeight w:val="270"/>
        </w:trPr>
        <w:tc>
          <w:tcPr>
            <w:tcW w:w="1852"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6A23ECD8" w14:textId="77777777" w:rsidR="0033143E" w:rsidRPr="0076589C" w:rsidRDefault="0033143E" w:rsidP="0033143E">
            <w:pPr>
              <w:jc w:val="center"/>
              <w:rPr>
                <w:rFonts w:asciiTheme="minorHAnsi" w:hAnsiTheme="minorHAnsi"/>
                <w:sz w:val="20"/>
                <w:szCs w:val="20"/>
              </w:rPr>
            </w:pPr>
          </w:p>
        </w:tc>
        <w:tc>
          <w:tcPr>
            <w:tcW w:w="1629"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7F4214D3"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b/>
                <w:bCs/>
                <w:color w:val="000000" w:themeColor="text1"/>
                <w:sz w:val="20"/>
                <w:szCs w:val="20"/>
              </w:rPr>
              <w:t xml:space="preserve">-L                 112,960.37 </w:t>
            </w:r>
          </w:p>
        </w:tc>
        <w:tc>
          <w:tcPr>
            <w:tcW w:w="1519"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2525D43F" w14:textId="77777777" w:rsidR="0033143E" w:rsidRPr="0076589C" w:rsidRDefault="0033143E" w:rsidP="0033143E">
            <w:pPr>
              <w:spacing w:after="0"/>
              <w:rPr>
                <w:rFonts w:asciiTheme="minorHAnsi" w:hAnsiTheme="minorHAnsi"/>
                <w:sz w:val="20"/>
                <w:szCs w:val="20"/>
              </w:rPr>
            </w:pPr>
            <w:r w:rsidRPr="0076589C">
              <w:rPr>
                <w:rFonts w:asciiTheme="minorHAnsi" w:eastAsia="Arial" w:hAnsiTheme="minorHAnsi"/>
                <w:b/>
                <w:bCs/>
                <w:color w:val="000000" w:themeColor="text1"/>
                <w:sz w:val="20"/>
                <w:szCs w:val="20"/>
              </w:rPr>
              <w:t>Límite disponible</w:t>
            </w:r>
          </w:p>
        </w:tc>
      </w:tr>
      <w:tr w:rsidR="0033143E" w:rsidRPr="0076589C" w14:paraId="39FCEE00" w14:textId="77777777" w:rsidTr="00925E89">
        <w:trPr>
          <w:trHeight w:val="255"/>
        </w:trPr>
        <w:tc>
          <w:tcPr>
            <w:tcW w:w="1852" w:type="pct"/>
            <w:tcBorders>
              <w:top w:val="nil"/>
              <w:left w:val="single" w:sz="4" w:space="0" w:color="auto"/>
              <w:bottom w:val="nil"/>
              <w:right w:val="nil"/>
            </w:tcBorders>
            <w:tcMar>
              <w:top w:w="15" w:type="dxa"/>
              <w:left w:w="15" w:type="dxa"/>
              <w:right w:w="15" w:type="dxa"/>
            </w:tcMar>
            <w:vAlign w:val="center"/>
          </w:tcPr>
          <w:p w14:paraId="01D1B126"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julio 2022</w:t>
            </w:r>
          </w:p>
        </w:tc>
        <w:tc>
          <w:tcPr>
            <w:tcW w:w="1629" w:type="pct"/>
            <w:tcBorders>
              <w:top w:val="nil"/>
              <w:left w:val="nil"/>
              <w:bottom w:val="nil"/>
              <w:right w:val="single" w:sz="4" w:space="0" w:color="auto"/>
            </w:tcBorders>
            <w:tcMar>
              <w:top w:w="15" w:type="dxa"/>
              <w:left w:w="15" w:type="dxa"/>
              <w:right w:w="15" w:type="dxa"/>
            </w:tcMar>
            <w:vAlign w:val="center"/>
          </w:tcPr>
          <w:p w14:paraId="6485AA56"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88,297.20 </w:t>
            </w:r>
          </w:p>
        </w:tc>
        <w:tc>
          <w:tcPr>
            <w:tcW w:w="1519" w:type="pct"/>
            <w:tcBorders>
              <w:top w:val="nil"/>
              <w:left w:val="single" w:sz="4" w:space="0" w:color="auto"/>
              <w:bottom w:val="nil"/>
              <w:right w:val="nil"/>
            </w:tcBorders>
            <w:tcMar>
              <w:top w:w="15" w:type="dxa"/>
              <w:left w:w="15" w:type="dxa"/>
              <w:right w:w="15" w:type="dxa"/>
            </w:tcMar>
            <w:vAlign w:val="center"/>
          </w:tcPr>
          <w:p w14:paraId="76E49389" w14:textId="77777777" w:rsidR="0033143E" w:rsidRPr="0076589C" w:rsidRDefault="0033143E" w:rsidP="0033143E">
            <w:pPr>
              <w:jc w:val="center"/>
              <w:rPr>
                <w:rFonts w:asciiTheme="minorHAnsi" w:hAnsiTheme="minorHAnsi"/>
                <w:sz w:val="20"/>
                <w:szCs w:val="20"/>
              </w:rPr>
            </w:pPr>
          </w:p>
        </w:tc>
      </w:tr>
      <w:tr w:rsidR="0033143E" w:rsidRPr="0076589C" w14:paraId="20074798" w14:textId="77777777" w:rsidTr="00925E89">
        <w:trPr>
          <w:trHeight w:val="255"/>
        </w:trPr>
        <w:tc>
          <w:tcPr>
            <w:tcW w:w="1852" w:type="pct"/>
            <w:tcBorders>
              <w:top w:val="nil"/>
              <w:left w:val="single" w:sz="4" w:space="0" w:color="auto"/>
              <w:bottom w:val="nil"/>
              <w:right w:val="nil"/>
            </w:tcBorders>
            <w:tcMar>
              <w:top w:w="15" w:type="dxa"/>
              <w:left w:w="15" w:type="dxa"/>
              <w:right w:w="15" w:type="dxa"/>
            </w:tcMar>
            <w:vAlign w:val="center"/>
          </w:tcPr>
          <w:p w14:paraId="374339F6" w14:textId="77777777" w:rsidR="0033143E" w:rsidRPr="0076589C" w:rsidRDefault="0033143E" w:rsidP="0033143E">
            <w:pPr>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629" w:type="pct"/>
            <w:tcBorders>
              <w:top w:val="nil"/>
              <w:left w:val="nil"/>
              <w:bottom w:val="nil"/>
              <w:right w:val="single" w:sz="4" w:space="0" w:color="auto"/>
            </w:tcBorders>
            <w:tcMar>
              <w:top w:w="15" w:type="dxa"/>
              <w:left w:w="15" w:type="dxa"/>
              <w:right w:w="15" w:type="dxa"/>
            </w:tcMar>
            <w:vAlign w:val="center"/>
          </w:tcPr>
          <w:p w14:paraId="2913628B"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 L                              -   </w:t>
            </w:r>
          </w:p>
        </w:tc>
        <w:tc>
          <w:tcPr>
            <w:tcW w:w="1519" w:type="pct"/>
            <w:tcBorders>
              <w:top w:val="nil"/>
              <w:left w:val="single" w:sz="4" w:space="0" w:color="auto"/>
              <w:bottom w:val="nil"/>
              <w:right w:val="nil"/>
            </w:tcBorders>
            <w:tcMar>
              <w:top w:w="15" w:type="dxa"/>
              <w:left w:w="15" w:type="dxa"/>
              <w:right w:w="15" w:type="dxa"/>
            </w:tcMar>
            <w:vAlign w:val="center"/>
          </w:tcPr>
          <w:p w14:paraId="67B82F9B" w14:textId="77777777" w:rsidR="0033143E" w:rsidRPr="0076589C" w:rsidRDefault="0033143E" w:rsidP="0033143E">
            <w:pPr>
              <w:jc w:val="center"/>
              <w:rPr>
                <w:rFonts w:asciiTheme="minorHAnsi" w:hAnsiTheme="minorHAnsi"/>
                <w:sz w:val="20"/>
                <w:szCs w:val="20"/>
              </w:rPr>
            </w:pPr>
          </w:p>
        </w:tc>
      </w:tr>
      <w:tr w:rsidR="0033143E" w:rsidRPr="0076589C" w14:paraId="64B7D57F" w14:textId="77777777" w:rsidTr="00925E89">
        <w:trPr>
          <w:trHeight w:val="255"/>
        </w:trPr>
        <w:tc>
          <w:tcPr>
            <w:tcW w:w="1852" w:type="pct"/>
            <w:tcBorders>
              <w:top w:val="nil"/>
              <w:left w:val="single" w:sz="4" w:space="0" w:color="auto"/>
              <w:bottom w:val="nil"/>
              <w:right w:val="nil"/>
            </w:tcBorders>
            <w:tcMar>
              <w:top w:w="15" w:type="dxa"/>
              <w:left w:w="15" w:type="dxa"/>
              <w:right w:w="15" w:type="dxa"/>
            </w:tcMar>
            <w:vAlign w:val="center"/>
          </w:tcPr>
          <w:p w14:paraId="5252567A"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agosto 2022</w:t>
            </w:r>
          </w:p>
        </w:tc>
        <w:tc>
          <w:tcPr>
            <w:tcW w:w="1629" w:type="pct"/>
            <w:tcBorders>
              <w:top w:val="nil"/>
              <w:left w:val="nil"/>
              <w:bottom w:val="nil"/>
              <w:right w:val="single" w:sz="4" w:space="0" w:color="auto"/>
            </w:tcBorders>
            <w:tcMar>
              <w:top w:w="15" w:type="dxa"/>
              <w:left w:w="15" w:type="dxa"/>
              <w:right w:w="15" w:type="dxa"/>
            </w:tcMar>
            <w:vAlign w:val="center"/>
          </w:tcPr>
          <w:p w14:paraId="3BCC725E"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   </w:t>
            </w:r>
          </w:p>
        </w:tc>
        <w:tc>
          <w:tcPr>
            <w:tcW w:w="1519" w:type="pct"/>
            <w:tcBorders>
              <w:top w:val="nil"/>
              <w:left w:val="single" w:sz="4" w:space="0" w:color="auto"/>
              <w:bottom w:val="nil"/>
              <w:right w:val="nil"/>
            </w:tcBorders>
            <w:tcMar>
              <w:top w:w="15" w:type="dxa"/>
              <w:left w:w="15" w:type="dxa"/>
              <w:right w:w="15" w:type="dxa"/>
            </w:tcMar>
            <w:vAlign w:val="center"/>
          </w:tcPr>
          <w:p w14:paraId="2D4C5724" w14:textId="77777777" w:rsidR="0033143E" w:rsidRPr="0076589C" w:rsidRDefault="0033143E" w:rsidP="0033143E">
            <w:pPr>
              <w:jc w:val="center"/>
              <w:rPr>
                <w:rFonts w:asciiTheme="minorHAnsi" w:hAnsiTheme="minorHAnsi"/>
                <w:sz w:val="20"/>
                <w:szCs w:val="20"/>
              </w:rPr>
            </w:pPr>
          </w:p>
        </w:tc>
      </w:tr>
      <w:tr w:rsidR="0033143E" w:rsidRPr="0076589C" w14:paraId="06EEE187" w14:textId="77777777" w:rsidTr="00925E89">
        <w:trPr>
          <w:trHeight w:val="255"/>
        </w:trPr>
        <w:tc>
          <w:tcPr>
            <w:tcW w:w="1852" w:type="pct"/>
            <w:tcBorders>
              <w:top w:val="nil"/>
              <w:left w:val="single" w:sz="4" w:space="0" w:color="auto"/>
              <w:bottom w:val="nil"/>
              <w:right w:val="nil"/>
            </w:tcBorders>
            <w:tcMar>
              <w:top w:w="15" w:type="dxa"/>
              <w:left w:w="15" w:type="dxa"/>
              <w:right w:w="15" w:type="dxa"/>
            </w:tcMar>
            <w:vAlign w:val="center"/>
          </w:tcPr>
          <w:p w14:paraId="7B8645AB"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629" w:type="pct"/>
            <w:tcBorders>
              <w:top w:val="nil"/>
              <w:left w:val="nil"/>
              <w:bottom w:val="nil"/>
              <w:right w:val="single" w:sz="4" w:space="0" w:color="auto"/>
            </w:tcBorders>
            <w:tcMar>
              <w:top w:w="15" w:type="dxa"/>
              <w:left w:w="15" w:type="dxa"/>
              <w:right w:w="15" w:type="dxa"/>
            </w:tcMar>
            <w:vAlign w:val="center"/>
          </w:tcPr>
          <w:p w14:paraId="692BBDD6"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254,771.51 </w:t>
            </w:r>
          </w:p>
        </w:tc>
        <w:tc>
          <w:tcPr>
            <w:tcW w:w="1519" w:type="pct"/>
            <w:tcBorders>
              <w:top w:val="nil"/>
              <w:left w:val="single" w:sz="4" w:space="0" w:color="auto"/>
              <w:bottom w:val="nil"/>
              <w:right w:val="nil"/>
            </w:tcBorders>
            <w:tcMar>
              <w:top w:w="15" w:type="dxa"/>
              <w:left w:w="15" w:type="dxa"/>
              <w:right w:w="15" w:type="dxa"/>
            </w:tcMar>
            <w:vAlign w:val="center"/>
          </w:tcPr>
          <w:p w14:paraId="4E1E9960" w14:textId="77777777" w:rsidR="0033143E" w:rsidRPr="0076589C" w:rsidRDefault="0033143E" w:rsidP="0033143E">
            <w:pPr>
              <w:jc w:val="center"/>
              <w:rPr>
                <w:rFonts w:asciiTheme="minorHAnsi" w:hAnsiTheme="minorHAnsi"/>
                <w:sz w:val="20"/>
                <w:szCs w:val="20"/>
              </w:rPr>
            </w:pPr>
          </w:p>
        </w:tc>
      </w:tr>
      <w:tr w:rsidR="0033143E" w:rsidRPr="0076589C" w14:paraId="109FA8F6" w14:textId="77777777" w:rsidTr="00925E89">
        <w:trPr>
          <w:trHeight w:val="255"/>
        </w:trPr>
        <w:tc>
          <w:tcPr>
            <w:tcW w:w="1852" w:type="pct"/>
            <w:tcBorders>
              <w:top w:val="nil"/>
              <w:left w:val="single" w:sz="4" w:space="0" w:color="auto"/>
              <w:bottom w:val="nil"/>
              <w:right w:val="nil"/>
            </w:tcBorders>
            <w:tcMar>
              <w:top w:w="15" w:type="dxa"/>
              <w:left w:w="15" w:type="dxa"/>
              <w:right w:w="15" w:type="dxa"/>
            </w:tcMar>
            <w:vAlign w:val="center"/>
          </w:tcPr>
          <w:p w14:paraId="154EAFDE"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septiembre 2022</w:t>
            </w:r>
          </w:p>
        </w:tc>
        <w:tc>
          <w:tcPr>
            <w:tcW w:w="1629" w:type="pct"/>
            <w:tcBorders>
              <w:top w:val="nil"/>
              <w:left w:val="nil"/>
              <w:bottom w:val="nil"/>
              <w:right w:val="single" w:sz="4" w:space="0" w:color="auto"/>
            </w:tcBorders>
            <w:tcMar>
              <w:top w:w="15" w:type="dxa"/>
              <w:left w:w="15" w:type="dxa"/>
              <w:right w:w="15" w:type="dxa"/>
            </w:tcMar>
            <w:vAlign w:val="center"/>
          </w:tcPr>
          <w:p w14:paraId="06BD977E"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799,915.19 </w:t>
            </w:r>
          </w:p>
        </w:tc>
        <w:tc>
          <w:tcPr>
            <w:tcW w:w="1519" w:type="pct"/>
            <w:tcBorders>
              <w:top w:val="nil"/>
              <w:left w:val="single" w:sz="4" w:space="0" w:color="auto"/>
              <w:bottom w:val="nil"/>
              <w:right w:val="nil"/>
            </w:tcBorders>
            <w:tcMar>
              <w:top w:w="15" w:type="dxa"/>
              <w:left w:w="15" w:type="dxa"/>
              <w:right w:w="15" w:type="dxa"/>
            </w:tcMar>
            <w:vAlign w:val="center"/>
          </w:tcPr>
          <w:p w14:paraId="326966F6" w14:textId="77777777" w:rsidR="0033143E" w:rsidRPr="0076589C" w:rsidRDefault="0033143E" w:rsidP="0033143E">
            <w:pPr>
              <w:jc w:val="center"/>
              <w:rPr>
                <w:rFonts w:asciiTheme="minorHAnsi" w:hAnsiTheme="minorHAnsi"/>
                <w:sz w:val="20"/>
                <w:szCs w:val="20"/>
              </w:rPr>
            </w:pPr>
          </w:p>
        </w:tc>
      </w:tr>
      <w:tr w:rsidR="0033143E" w:rsidRPr="0076589C" w14:paraId="715F77DA" w14:textId="77777777" w:rsidTr="00925E89">
        <w:trPr>
          <w:trHeight w:val="255"/>
        </w:trPr>
        <w:tc>
          <w:tcPr>
            <w:tcW w:w="1852" w:type="pct"/>
            <w:tcBorders>
              <w:top w:val="nil"/>
              <w:left w:val="single" w:sz="4" w:space="0" w:color="auto"/>
              <w:bottom w:val="single" w:sz="4" w:space="0" w:color="auto"/>
              <w:right w:val="nil"/>
            </w:tcBorders>
            <w:tcMar>
              <w:top w:w="15" w:type="dxa"/>
              <w:left w:w="15" w:type="dxa"/>
              <w:right w:w="15" w:type="dxa"/>
            </w:tcMar>
            <w:vAlign w:val="center"/>
          </w:tcPr>
          <w:p w14:paraId="5821A4AE"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629" w:type="pct"/>
            <w:tcBorders>
              <w:top w:val="nil"/>
              <w:left w:val="nil"/>
              <w:bottom w:val="single" w:sz="4" w:space="0" w:color="auto"/>
              <w:right w:val="single" w:sz="4" w:space="0" w:color="auto"/>
            </w:tcBorders>
            <w:shd w:val="clear" w:color="auto" w:fill="auto"/>
            <w:tcMar>
              <w:top w:w="15" w:type="dxa"/>
              <w:left w:w="15" w:type="dxa"/>
              <w:right w:w="15" w:type="dxa"/>
            </w:tcMar>
            <w:vAlign w:val="center"/>
          </w:tcPr>
          <w:p w14:paraId="1DB793B6"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248,559.86 </w:t>
            </w:r>
          </w:p>
        </w:tc>
        <w:tc>
          <w:tcPr>
            <w:tcW w:w="1519" w:type="pct"/>
            <w:tcBorders>
              <w:top w:val="nil"/>
              <w:left w:val="single" w:sz="4" w:space="0" w:color="auto"/>
              <w:bottom w:val="single" w:sz="4" w:space="0" w:color="auto"/>
              <w:right w:val="nil"/>
            </w:tcBorders>
            <w:tcMar>
              <w:top w:w="15" w:type="dxa"/>
              <w:left w:w="15" w:type="dxa"/>
              <w:right w:w="15" w:type="dxa"/>
            </w:tcMar>
            <w:vAlign w:val="center"/>
          </w:tcPr>
          <w:p w14:paraId="26AA6132" w14:textId="77777777" w:rsidR="0033143E" w:rsidRPr="0076589C" w:rsidRDefault="0033143E" w:rsidP="0033143E">
            <w:pPr>
              <w:jc w:val="center"/>
              <w:rPr>
                <w:rFonts w:asciiTheme="minorHAnsi" w:hAnsiTheme="minorHAnsi"/>
                <w:sz w:val="20"/>
                <w:szCs w:val="20"/>
              </w:rPr>
            </w:pPr>
          </w:p>
        </w:tc>
      </w:tr>
      <w:tr w:rsidR="0033143E" w:rsidRPr="0076589C" w14:paraId="38D262BD" w14:textId="77777777" w:rsidTr="00925E89">
        <w:trPr>
          <w:trHeight w:val="255"/>
        </w:trPr>
        <w:tc>
          <w:tcPr>
            <w:tcW w:w="1852"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7685EB57" w14:textId="77777777" w:rsidR="0033143E" w:rsidRPr="0076589C" w:rsidRDefault="0033143E" w:rsidP="0033143E">
            <w:pPr>
              <w:jc w:val="center"/>
              <w:rPr>
                <w:rFonts w:asciiTheme="minorHAnsi" w:hAnsiTheme="minorHAnsi"/>
                <w:sz w:val="20"/>
                <w:szCs w:val="20"/>
              </w:rPr>
            </w:pPr>
          </w:p>
        </w:tc>
        <w:tc>
          <w:tcPr>
            <w:tcW w:w="1629"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0AA26045"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b/>
                <w:bCs/>
                <w:color w:val="000000" w:themeColor="text1"/>
                <w:sz w:val="20"/>
                <w:szCs w:val="20"/>
              </w:rPr>
              <w:t xml:space="preserve"> L                 271,920.65 </w:t>
            </w:r>
          </w:p>
        </w:tc>
        <w:tc>
          <w:tcPr>
            <w:tcW w:w="1519"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1253EDB1" w14:textId="77777777" w:rsidR="0033143E" w:rsidRPr="0076589C" w:rsidRDefault="0033143E" w:rsidP="0033143E">
            <w:pPr>
              <w:spacing w:after="0"/>
              <w:rPr>
                <w:rFonts w:asciiTheme="minorHAnsi" w:eastAsia="Arial" w:hAnsiTheme="minorHAnsi"/>
                <w:b/>
                <w:bCs/>
                <w:color w:val="000000" w:themeColor="text1"/>
                <w:sz w:val="20"/>
                <w:szCs w:val="20"/>
              </w:rPr>
            </w:pPr>
            <w:r w:rsidRPr="0076589C">
              <w:rPr>
                <w:rFonts w:asciiTheme="minorHAnsi" w:eastAsia="Arial" w:hAnsiTheme="minorHAnsi"/>
                <w:b/>
                <w:bCs/>
                <w:color w:val="000000" w:themeColor="text1"/>
                <w:sz w:val="20"/>
                <w:szCs w:val="20"/>
              </w:rPr>
              <w:t>Fuera del límite de crédito</w:t>
            </w:r>
          </w:p>
        </w:tc>
      </w:tr>
      <w:tr w:rsidR="0033143E" w:rsidRPr="0076589C" w14:paraId="0B90E581" w14:textId="77777777" w:rsidTr="00925E89">
        <w:trPr>
          <w:trHeight w:val="255"/>
        </w:trPr>
        <w:tc>
          <w:tcPr>
            <w:tcW w:w="1852" w:type="pct"/>
            <w:tcBorders>
              <w:top w:val="nil"/>
              <w:left w:val="single" w:sz="4" w:space="0" w:color="auto"/>
              <w:bottom w:val="nil"/>
              <w:right w:val="nil"/>
            </w:tcBorders>
            <w:tcMar>
              <w:top w:w="15" w:type="dxa"/>
              <w:left w:w="15" w:type="dxa"/>
              <w:right w:w="15" w:type="dxa"/>
            </w:tcMar>
            <w:vAlign w:val="center"/>
          </w:tcPr>
          <w:p w14:paraId="7A22B26A"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octubre 2022</w:t>
            </w:r>
          </w:p>
        </w:tc>
        <w:tc>
          <w:tcPr>
            <w:tcW w:w="1629" w:type="pct"/>
            <w:tcBorders>
              <w:top w:val="nil"/>
              <w:left w:val="nil"/>
              <w:bottom w:val="nil"/>
              <w:right w:val="single" w:sz="4" w:space="0" w:color="auto"/>
            </w:tcBorders>
            <w:tcMar>
              <w:top w:w="15" w:type="dxa"/>
              <w:left w:w="15" w:type="dxa"/>
              <w:right w:w="15" w:type="dxa"/>
            </w:tcMar>
            <w:vAlign w:val="center"/>
          </w:tcPr>
          <w:p w14:paraId="202390D5"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261,122.66 </w:t>
            </w:r>
          </w:p>
        </w:tc>
        <w:tc>
          <w:tcPr>
            <w:tcW w:w="1519" w:type="pct"/>
            <w:tcBorders>
              <w:top w:val="nil"/>
              <w:left w:val="single" w:sz="4" w:space="0" w:color="auto"/>
              <w:bottom w:val="nil"/>
              <w:right w:val="nil"/>
            </w:tcBorders>
            <w:tcMar>
              <w:top w:w="15" w:type="dxa"/>
              <w:left w:w="15" w:type="dxa"/>
              <w:right w:w="15" w:type="dxa"/>
            </w:tcMar>
            <w:vAlign w:val="center"/>
          </w:tcPr>
          <w:p w14:paraId="0F780CD4" w14:textId="77777777" w:rsidR="0033143E" w:rsidRPr="0076589C" w:rsidRDefault="0033143E" w:rsidP="0033143E">
            <w:pPr>
              <w:jc w:val="center"/>
              <w:rPr>
                <w:rFonts w:asciiTheme="minorHAnsi" w:hAnsiTheme="minorHAnsi"/>
                <w:sz w:val="20"/>
                <w:szCs w:val="20"/>
              </w:rPr>
            </w:pPr>
          </w:p>
        </w:tc>
      </w:tr>
      <w:tr w:rsidR="0033143E" w:rsidRPr="0076589C" w14:paraId="566F7453" w14:textId="77777777" w:rsidTr="00925E89">
        <w:trPr>
          <w:trHeight w:val="255"/>
        </w:trPr>
        <w:tc>
          <w:tcPr>
            <w:tcW w:w="1852" w:type="pct"/>
            <w:tcBorders>
              <w:top w:val="nil"/>
              <w:left w:val="single" w:sz="4" w:space="0" w:color="auto"/>
              <w:bottom w:val="nil"/>
              <w:right w:val="nil"/>
            </w:tcBorders>
            <w:tcMar>
              <w:top w:w="15" w:type="dxa"/>
              <w:left w:w="15" w:type="dxa"/>
              <w:right w:w="15" w:type="dxa"/>
            </w:tcMar>
            <w:vAlign w:val="center"/>
          </w:tcPr>
          <w:p w14:paraId="50C13A16"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629" w:type="pct"/>
            <w:tcBorders>
              <w:top w:val="nil"/>
              <w:left w:val="nil"/>
              <w:bottom w:val="nil"/>
              <w:right w:val="single" w:sz="4" w:space="0" w:color="auto"/>
            </w:tcBorders>
            <w:tcMar>
              <w:top w:w="15" w:type="dxa"/>
              <w:left w:w="15" w:type="dxa"/>
              <w:right w:w="15" w:type="dxa"/>
            </w:tcMar>
            <w:vAlign w:val="center"/>
          </w:tcPr>
          <w:p w14:paraId="1FDE4EFD"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789,908.65 </w:t>
            </w:r>
          </w:p>
        </w:tc>
        <w:tc>
          <w:tcPr>
            <w:tcW w:w="1519" w:type="pct"/>
            <w:tcBorders>
              <w:top w:val="nil"/>
              <w:left w:val="single" w:sz="4" w:space="0" w:color="auto"/>
              <w:bottom w:val="nil"/>
              <w:right w:val="nil"/>
            </w:tcBorders>
            <w:tcMar>
              <w:top w:w="15" w:type="dxa"/>
              <w:left w:w="15" w:type="dxa"/>
              <w:right w:w="15" w:type="dxa"/>
            </w:tcMar>
            <w:vAlign w:val="center"/>
          </w:tcPr>
          <w:p w14:paraId="2E88F017" w14:textId="77777777" w:rsidR="0033143E" w:rsidRPr="0076589C" w:rsidRDefault="0033143E" w:rsidP="0033143E">
            <w:pPr>
              <w:jc w:val="center"/>
              <w:rPr>
                <w:rFonts w:asciiTheme="minorHAnsi" w:hAnsiTheme="minorHAnsi"/>
                <w:sz w:val="20"/>
                <w:szCs w:val="20"/>
              </w:rPr>
            </w:pPr>
          </w:p>
        </w:tc>
      </w:tr>
      <w:tr w:rsidR="0033143E" w:rsidRPr="0076589C" w14:paraId="23987BC7" w14:textId="77777777" w:rsidTr="00925E89">
        <w:trPr>
          <w:trHeight w:val="255"/>
        </w:trPr>
        <w:tc>
          <w:tcPr>
            <w:tcW w:w="1852" w:type="pct"/>
            <w:tcBorders>
              <w:top w:val="nil"/>
              <w:left w:val="single" w:sz="4" w:space="0" w:color="auto"/>
              <w:bottom w:val="nil"/>
              <w:right w:val="nil"/>
            </w:tcBorders>
            <w:tcMar>
              <w:top w:w="15" w:type="dxa"/>
              <w:left w:w="15" w:type="dxa"/>
              <w:right w:w="15" w:type="dxa"/>
            </w:tcMar>
            <w:vAlign w:val="center"/>
          </w:tcPr>
          <w:p w14:paraId="0CCE896B"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noviembre 2022</w:t>
            </w:r>
          </w:p>
        </w:tc>
        <w:tc>
          <w:tcPr>
            <w:tcW w:w="1629" w:type="pct"/>
            <w:tcBorders>
              <w:top w:val="nil"/>
              <w:left w:val="nil"/>
              <w:bottom w:val="nil"/>
              <w:right w:val="single" w:sz="4" w:space="0" w:color="auto"/>
            </w:tcBorders>
            <w:tcMar>
              <w:top w:w="15" w:type="dxa"/>
              <w:left w:w="15" w:type="dxa"/>
              <w:right w:w="15" w:type="dxa"/>
            </w:tcMar>
            <w:vAlign w:val="center"/>
          </w:tcPr>
          <w:p w14:paraId="6A7A8B9C"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81,549.36 </w:t>
            </w:r>
          </w:p>
        </w:tc>
        <w:tc>
          <w:tcPr>
            <w:tcW w:w="1519" w:type="pct"/>
            <w:tcBorders>
              <w:top w:val="nil"/>
              <w:left w:val="single" w:sz="4" w:space="0" w:color="auto"/>
              <w:bottom w:val="nil"/>
              <w:right w:val="nil"/>
            </w:tcBorders>
            <w:tcMar>
              <w:top w:w="15" w:type="dxa"/>
              <w:left w:w="15" w:type="dxa"/>
              <w:right w:w="15" w:type="dxa"/>
            </w:tcMar>
            <w:vAlign w:val="center"/>
          </w:tcPr>
          <w:p w14:paraId="7A4AD348" w14:textId="77777777" w:rsidR="0033143E" w:rsidRPr="0076589C" w:rsidRDefault="0033143E" w:rsidP="0033143E">
            <w:pPr>
              <w:jc w:val="center"/>
              <w:rPr>
                <w:rFonts w:asciiTheme="minorHAnsi" w:hAnsiTheme="minorHAnsi"/>
                <w:sz w:val="20"/>
                <w:szCs w:val="20"/>
              </w:rPr>
            </w:pPr>
          </w:p>
        </w:tc>
      </w:tr>
      <w:tr w:rsidR="0033143E" w:rsidRPr="0076589C" w14:paraId="1ED26F81" w14:textId="77777777" w:rsidTr="00925E89">
        <w:trPr>
          <w:trHeight w:val="255"/>
        </w:trPr>
        <w:tc>
          <w:tcPr>
            <w:tcW w:w="1852" w:type="pct"/>
            <w:tcBorders>
              <w:top w:val="nil"/>
              <w:left w:val="single" w:sz="4" w:space="0" w:color="auto"/>
              <w:bottom w:val="nil"/>
              <w:right w:val="nil"/>
            </w:tcBorders>
            <w:tcMar>
              <w:top w:w="15" w:type="dxa"/>
              <w:left w:w="15" w:type="dxa"/>
              <w:right w:w="15" w:type="dxa"/>
            </w:tcMar>
            <w:vAlign w:val="center"/>
          </w:tcPr>
          <w:p w14:paraId="2BD13645" w14:textId="77777777" w:rsidR="0033143E" w:rsidRPr="0076589C" w:rsidRDefault="0033143E" w:rsidP="0033143E">
            <w:pPr>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629" w:type="pct"/>
            <w:tcBorders>
              <w:top w:val="nil"/>
              <w:left w:val="nil"/>
              <w:bottom w:val="nil"/>
              <w:right w:val="single" w:sz="4" w:space="0" w:color="auto"/>
            </w:tcBorders>
            <w:tcMar>
              <w:top w:w="15" w:type="dxa"/>
              <w:left w:w="15" w:type="dxa"/>
              <w:right w:w="15" w:type="dxa"/>
            </w:tcMar>
            <w:vAlign w:val="center"/>
          </w:tcPr>
          <w:p w14:paraId="141BB8A8"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 L                              -   </w:t>
            </w:r>
          </w:p>
        </w:tc>
        <w:tc>
          <w:tcPr>
            <w:tcW w:w="1519" w:type="pct"/>
            <w:tcBorders>
              <w:top w:val="nil"/>
              <w:left w:val="single" w:sz="4" w:space="0" w:color="auto"/>
              <w:bottom w:val="nil"/>
              <w:right w:val="nil"/>
            </w:tcBorders>
            <w:tcMar>
              <w:top w:w="15" w:type="dxa"/>
              <w:left w:w="15" w:type="dxa"/>
              <w:right w:w="15" w:type="dxa"/>
            </w:tcMar>
            <w:vAlign w:val="center"/>
          </w:tcPr>
          <w:p w14:paraId="0687B25E" w14:textId="77777777" w:rsidR="0033143E" w:rsidRPr="0076589C" w:rsidRDefault="0033143E" w:rsidP="0033143E">
            <w:pPr>
              <w:jc w:val="center"/>
              <w:rPr>
                <w:rFonts w:asciiTheme="minorHAnsi" w:hAnsiTheme="minorHAnsi"/>
                <w:sz w:val="20"/>
                <w:szCs w:val="20"/>
              </w:rPr>
            </w:pPr>
          </w:p>
        </w:tc>
      </w:tr>
      <w:tr w:rsidR="0033143E" w:rsidRPr="0076589C" w14:paraId="4E1BCF07" w14:textId="77777777" w:rsidTr="00925E89">
        <w:trPr>
          <w:trHeight w:val="255"/>
        </w:trPr>
        <w:tc>
          <w:tcPr>
            <w:tcW w:w="1852" w:type="pct"/>
            <w:tcBorders>
              <w:top w:val="nil"/>
              <w:left w:val="single" w:sz="4" w:space="0" w:color="auto"/>
              <w:bottom w:val="nil"/>
              <w:right w:val="nil"/>
            </w:tcBorders>
            <w:tcMar>
              <w:top w:w="15" w:type="dxa"/>
              <w:left w:w="15" w:type="dxa"/>
              <w:right w:w="15" w:type="dxa"/>
            </w:tcMar>
            <w:vAlign w:val="center"/>
          </w:tcPr>
          <w:p w14:paraId="0A0C79EA"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diciembre 2022</w:t>
            </w:r>
          </w:p>
        </w:tc>
        <w:tc>
          <w:tcPr>
            <w:tcW w:w="1629" w:type="pct"/>
            <w:tcBorders>
              <w:top w:val="nil"/>
              <w:left w:val="nil"/>
              <w:bottom w:val="nil"/>
              <w:right w:val="single" w:sz="4" w:space="0" w:color="auto"/>
            </w:tcBorders>
            <w:tcMar>
              <w:top w:w="15" w:type="dxa"/>
              <w:left w:w="15" w:type="dxa"/>
              <w:right w:w="15" w:type="dxa"/>
            </w:tcMar>
            <w:vAlign w:val="center"/>
          </w:tcPr>
          <w:p w14:paraId="1BADB584"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742,977.03 </w:t>
            </w:r>
          </w:p>
        </w:tc>
        <w:tc>
          <w:tcPr>
            <w:tcW w:w="1519" w:type="pct"/>
            <w:tcBorders>
              <w:top w:val="nil"/>
              <w:left w:val="single" w:sz="4" w:space="0" w:color="auto"/>
              <w:bottom w:val="nil"/>
              <w:right w:val="nil"/>
            </w:tcBorders>
            <w:tcMar>
              <w:top w:w="15" w:type="dxa"/>
              <w:left w:w="15" w:type="dxa"/>
              <w:right w:w="15" w:type="dxa"/>
            </w:tcMar>
            <w:vAlign w:val="center"/>
          </w:tcPr>
          <w:p w14:paraId="72194292" w14:textId="77777777" w:rsidR="0033143E" w:rsidRPr="0076589C" w:rsidRDefault="0033143E" w:rsidP="0033143E">
            <w:pPr>
              <w:jc w:val="center"/>
              <w:rPr>
                <w:rFonts w:asciiTheme="minorHAnsi" w:hAnsiTheme="minorHAnsi"/>
                <w:sz w:val="20"/>
                <w:szCs w:val="20"/>
              </w:rPr>
            </w:pPr>
          </w:p>
        </w:tc>
      </w:tr>
      <w:tr w:rsidR="0033143E" w:rsidRPr="0076589C" w14:paraId="389F1D2B" w14:textId="77777777" w:rsidTr="00925E89">
        <w:trPr>
          <w:trHeight w:val="255"/>
        </w:trPr>
        <w:tc>
          <w:tcPr>
            <w:tcW w:w="1852" w:type="pct"/>
            <w:tcBorders>
              <w:top w:val="nil"/>
              <w:left w:val="single" w:sz="4" w:space="0" w:color="auto"/>
              <w:bottom w:val="single" w:sz="4" w:space="0" w:color="auto"/>
              <w:right w:val="nil"/>
            </w:tcBorders>
            <w:tcMar>
              <w:top w:w="15" w:type="dxa"/>
              <w:left w:w="15" w:type="dxa"/>
              <w:right w:w="15" w:type="dxa"/>
            </w:tcMar>
            <w:vAlign w:val="center"/>
          </w:tcPr>
          <w:p w14:paraId="1BE22047"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629" w:type="pct"/>
            <w:tcBorders>
              <w:top w:val="nil"/>
              <w:left w:val="nil"/>
              <w:bottom w:val="single" w:sz="4" w:space="0" w:color="auto"/>
              <w:right w:val="single" w:sz="4" w:space="0" w:color="auto"/>
            </w:tcBorders>
            <w:tcMar>
              <w:top w:w="15" w:type="dxa"/>
              <w:left w:w="15" w:type="dxa"/>
              <w:right w:w="15" w:type="dxa"/>
            </w:tcMar>
            <w:vAlign w:val="center"/>
          </w:tcPr>
          <w:p w14:paraId="4CFD0A60"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157,176.06 </w:t>
            </w:r>
          </w:p>
        </w:tc>
        <w:tc>
          <w:tcPr>
            <w:tcW w:w="1519" w:type="pct"/>
            <w:tcBorders>
              <w:top w:val="nil"/>
              <w:left w:val="single" w:sz="4" w:space="0" w:color="auto"/>
              <w:bottom w:val="single" w:sz="4" w:space="0" w:color="auto"/>
              <w:right w:val="nil"/>
            </w:tcBorders>
            <w:tcMar>
              <w:top w:w="15" w:type="dxa"/>
              <w:left w:w="15" w:type="dxa"/>
              <w:right w:w="15" w:type="dxa"/>
            </w:tcMar>
            <w:vAlign w:val="center"/>
          </w:tcPr>
          <w:p w14:paraId="2283E2C3" w14:textId="77777777" w:rsidR="0033143E" w:rsidRPr="0076589C" w:rsidRDefault="0033143E" w:rsidP="0033143E">
            <w:pPr>
              <w:jc w:val="center"/>
              <w:rPr>
                <w:rFonts w:asciiTheme="minorHAnsi" w:hAnsiTheme="minorHAnsi"/>
                <w:sz w:val="20"/>
                <w:szCs w:val="20"/>
              </w:rPr>
            </w:pPr>
          </w:p>
        </w:tc>
      </w:tr>
      <w:tr w:rsidR="0033143E" w:rsidRPr="0076589C" w14:paraId="45F3A55F" w14:textId="77777777" w:rsidTr="00925E89">
        <w:trPr>
          <w:trHeight w:val="255"/>
        </w:trPr>
        <w:tc>
          <w:tcPr>
            <w:tcW w:w="1852"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4B2EDBA7" w14:textId="77777777" w:rsidR="0033143E" w:rsidRPr="0076589C" w:rsidRDefault="0033143E" w:rsidP="0033143E">
            <w:pPr>
              <w:jc w:val="center"/>
              <w:rPr>
                <w:rFonts w:asciiTheme="minorHAnsi" w:hAnsiTheme="minorHAnsi"/>
                <w:sz w:val="20"/>
                <w:szCs w:val="20"/>
              </w:rPr>
            </w:pPr>
          </w:p>
        </w:tc>
        <w:tc>
          <w:tcPr>
            <w:tcW w:w="1629"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5FAD781F" w14:textId="77777777" w:rsidR="0033143E" w:rsidRPr="0076589C" w:rsidRDefault="0033143E" w:rsidP="0033143E">
            <w:pPr>
              <w:spacing w:after="0"/>
              <w:jc w:val="center"/>
              <w:rPr>
                <w:rFonts w:asciiTheme="minorHAnsi" w:hAnsiTheme="minorHAnsi"/>
                <w:sz w:val="20"/>
                <w:szCs w:val="20"/>
              </w:rPr>
            </w:pPr>
            <w:r w:rsidRPr="0076589C">
              <w:rPr>
                <w:rFonts w:asciiTheme="minorHAnsi" w:eastAsia="Arial" w:hAnsiTheme="minorHAnsi"/>
                <w:b/>
                <w:bCs/>
                <w:color w:val="000000" w:themeColor="text1"/>
                <w:sz w:val="20"/>
                <w:szCs w:val="20"/>
              </w:rPr>
              <w:t xml:space="preserve"> L                 410,484.99 </w:t>
            </w:r>
          </w:p>
        </w:tc>
        <w:tc>
          <w:tcPr>
            <w:tcW w:w="1519"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1CE63107" w14:textId="77777777" w:rsidR="0033143E" w:rsidRPr="0076589C" w:rsidRDefault="0033143E" w:rsidP="0033143E">
            <w:pPr>
              <w:spacing w:after="0"/>
              <w:jc w:val="center"/>
              <w:rPr>
                <w:rFonts w:asciiTheme="minorHAnsi" w:hAnsiTheme="minorHAnsi"/>
                <w:b/>
                <w:bCs/>
                <w:sz w:val="20"/>
                <w:szCs w:val="20"/>
              </w:rPr>
            </w:pPr>
            <w:r w:rsidRPr="0076589C">
              <w:rPr>
                <w:rFonts w:asciiTheme="minorHAnsi" w:eastAsia="Arial" w:hAnsiTheme="minorHAnsi"/>
                <w:b/>
                <w:bCs/>
                <w:color w:val="000000" w:themeColor="text1"/>
                <w:sz w:val="20"/>
                <w:szCs w:val="20"/>
              </w:rPr>
              <w:t>Fuera del límite de crédito</w:t>
            </w:r>
          </w:p>
        </w:tc>
      </w:tr>
    </w:tbl>
    <w:p w14:paraId="3F4E316F" w14:textId="035C9C40" w:rsidR="0033143E" w:rsidRPr="0076589C" w:rsidRDefault="0033143E" w:rsidP="0033143E">
      <w:pPr>
        <w:pStyle w:val="ImagenyTabla"/>
        <w:rPr>
          <w:noProof w:val="0"/>
          <w:sz w:val="24"/>
        </w:rPr>
      </w:pPr>
      <w:r w:rsidRPr="0076589C">
        <w:rPr>
          <w:sz w:val="24"/>
        </w:rPr>
        <w:t>Anexo 4. Analisis del límite de crédito</w:t>
      </w:r>
      <w:r w:rsidR="00925E89" w:rsidRPr="0076589C">
        <w:rPr>
          <w:sz w:val="24"/>
        </w:rPr>
        <w:t xml:space="preserve"> del cliente</w:t>
      </w:r>
      <w:r w:rsidRPr="0076589C">
        <w:rPr>
          <w:sz w:val="24"/>
        </w:rPr>
        <w:t xml:space="preserve"> Inversiones LL</w:t>
      </w:r>
    </w:p>
    <w:p w14:paraId="26D29B33" w14:textId="3471D390" w:rsidR="0033143E" w:rsidRPr="0076589C" w:rsidRDefault="0033143E" w:rsidP="0033143E">
      <w:pPr>
        <w:pStyle w:val="Fuentes"/>
        <w:rPr>
          <w:lang w:val="es-HN"/>
        </w:rPr>
      </w:pPr>
      <w:r w:rsidRPr="0076589C">
        <w:rPr>
          <w:lang w:val="es-HN"/>
        </w:rPr>
        <w:lastRenderedPageBreak/>
        <w:t xml:space="preserve">Fuente: Elaboración </w:t>
      </w:r>
      <w:r w:rsidR="00925E89" w:rsidRPr="0076589C">
        <w:rPr>
          <w:lang w:val="es-HN"/>
        </w:rPr>
        <w:t>propia con datos de IPRA (2023)</w:t>
      </w:r>
    </w:p>
    <w:p w14:paraId="7D0A70D4" w14:textId="77777777" w:rsidR="0033143E" w:rsidRPr="0076589C" w:rsidRDefault="0033143E" w:rsidP="00925E89">
      <w:pPr>
        <w:pStyle w:val="ImagenyTabla"/>
        <w:ind w:left="0"/>
        <w:rPr>
          <w:rFonts w:asciiTheme="minorHAnsi" w:hAnsiTheme="minorHAnsi" w:cstheme="minorBidi"/>
          <w:sz w:val="18"/>
          <w:szCs w:val="18"/>
        </w:rPr>
      </w:pPr>
      <w:r w:rsidRPr="0076589C">
        <w:t>Cálculo del límite de crédito en base a historial de compra del cliente “Inversiones LL”</w:t>
      </w:r>
    </w:p>
    <w:tbl>
      <w:tblPr>
        <w:tblW w:w="5000" w:type="pct"/>
        <w:jc w:val="center"/>
        <w:tblLook w:val="06A0" w:firstRow="1" w:lastRow="0" w:firstColumn="1" w:lastColumn="0" w:noHBand="1" w:noVBand="1"/>
      </w:tblPr>
      <w:tblGrid>
        <w:gridCol w:w="4871"/>
        <w:gridCol w:w="4479"/>
      </w:tblGrid>
      <w:tr w:rsidR="0033143E" w:rsidRPr="0076589C" w14:paraId="1BDA406E" w14:textId="77777777" w:rsidTr="00FB3CE4">
        <w:trPr>
          <w:trHeight w:val="31"/>
          <w:jc w:val="center"/>
        </w:trPr>
        <w:tc>
          <w:tcPr>
            <w:tcW w:w="2605"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14977FC9" w14:textId="77777777" w:rsidR="0033143E" w:rsidRPr="0076589C" w:rsidRDefault="0033143E" w:rsidP="00FB3CE4">
            <w:pPr>
              <w:spacing w:after="0"/>
              <w:jc w:val="center"/>
              <w:rPr>
                <w:rFonts w:asciiTheme="minorHAnsi" w:hAnsiTheme="minorHAnsi"/>
                <w:sz w:val="18"/>
                <w:szCs w:val="18"/>
              </w:rPr>
            </w:pPr>
            <w:r w:rsidRPr="0076589C">
              <w:rPr>
                <w:rFonts w:asciiTheme="minorHAnsi" w:eastAsia="Arial" w:hAnsiTheme="minorHAnsi"/>
                <w:b/>
                <w:bCs/>
                <w:color w:val="000000" w:themeColor="text1"/>
                <w:sz w:val="18"/>
                <w:szCs w:val="18"/>
              </w:rPr>
              <w:t>Compras Históricas 2022</w:t>
            </w:r>
          </w:p>
        </w:tc>
        <w:tc>
          <w:tcPr>
            <w:tcW w:w="2395"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130E04C9" w14:textId="77777777" w:rsidR="0033143E" w:rsidRPr="0076589C" w:rsidRDefault="0033143E" w:rsidP="00FB3CE4">
            <w:pPr>
              <w:spacing w:after="0"/>
              <w:jc w:val="center"/>
              <w:rPr>
                <w:rFonts w:asciiTheme="minorHAnsi" w:hAnsiTheme="minorHAnsi"/>
                <w:sz w:val="18"/>
                <w:szCs w:val="18"/>
              </w:rPr>
            </w:pPr>
            <w:r w:rsidRPr="0076589C">
              <w:rPr>
                <w:rFonts w:asciiTheme="minorHAnsi" w:eastAsia="Arial" w:hAnsiTheme="minorHAnsi"/>
                <w:b/>
                <w:bCs/>
                <w:color w:val="000000" w:themeColor="text1"/>
                <w:sz w:val="18"/>
                <w:szCs w:val="18"/>
              </w:rPr>
              <w:t xml:space="preserve">  L3,436,208.35  </w:t>
            </w:r>
          </w:p>
        </w:tc>
      </w:tr>
      <w:tr w:rsidR="0033143E" w:rsidRPr="0076589C" w14:paraId="6C0B73A7" w14:textId="77777777" w:rsidTr="00FB3CE4">
        <w:trPr>
          <w:trHeight w:val="104"/>
          <w:jc w:val="center"/>
        </w:trPr>
        <w:tc>
          <w:tcPr>
            <w:tcW w:w="2605"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EE67249" w14:textId="77777777" w:rsidR="0033143E" w:rsidRPr="0076589C" w:rsidRDefault="0033143E" w:rsidP="00FB3CE4">
            <w:pPr>
              <w:spacing w:after="0"/>
              <w:jc w:val="center"/>
              <w:rPr>
                <w:rFonts w:asciiTheme="minorHAnsi" w:hAnsiTheme="minorHAnsi"/>
                <w:sz w:val="18"/>
                <w:szCs w:val="18"/>
              </w:rPr>
            </w:pPr>
            <w:r w:rsidRPr="0076589C">
              <w:rPr>
                <w:rFonts w:asciiTheme="minorHAnsi" w:eastAsia="Arial" w:hAnsiTheme="minorHAnsi"/>
                <w:color w:val="000000" w:themeColor="text1"/>
                <w:sz w:val="18"/>
                <w:szCs w:val="18"/>
              </w:rPr>
              <w:t>Días pactados con el cliente</w:t>
            </w:r>
          </w:p>
        </w:tc>
        <w:tc>
          <w:tcPr>
            <w:tcW w:w="2395"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9BB2873" w14:textId="77777777" w:rsidR="0033143E" w:rsidRPr="0076589C" w:rsidRDefault="0033143E" w:rsidP="00FB3CE4">
            <w:pPr>
              <w:spacing w:after="0"/>
              <w:jc w:val="center"/>
              <w:rPr>
                <w:rFonts w:asciiTheme="minorHAnsi" w:hAnsiTheme="minorHAnsi"/>
                <w:sz w:val="18"/>
                <w:szCs w:val="18"/>
              </w:rPr>
            </w:pPr>
            <w:r w:rsidRPr="0076589C">
              <w:rPr>
                <w:rFonts w:asciiTheme="minorHAnsi" w:eastAsia="Arial" w:hAnsiTheme="minorHAnsi"/>
                <w:color w:val="000000" w:themeColor="text1"/>
                <w:sz w:val="18"/>
                <w:szCs w:val="18"/>
              </w:rPr>
              <w:t>105</w:t>
            </w:r>
          </w:p>
        </w:tc>
      </w:tr>
      <w:tr w:rsidR="0033143E" w:rsidRPr="0076589C" w14:paraId="1FDB0DE1" w14:textId="77777777" w:rsidTr="00FB3CE4">
        <w:trPr>
          <w:trHeight w:val="31"/>
          <w:jc w:val="center"/>
        </w:trPr>
        <w:tc>
          <w:tcPr>
            <w:tcW w:w="2605" w:type="pc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0E60D07F" w14:textId="77777777" w:rsidR="0033143E" w:rsidRPr="0076589C" w:rsidRDefault="0033143E" w:rsidP="00FB3CE4">
            <w:pPr>
              <w:spacing w:after="0"/>
              <w:jc w:val="center"/>
              <w:rPr>
                <w:rFonts w:asciiTheme="minorHAnsi" w:hAnsiTheme="minorHAnsi"/>
                <w:sz w:val="18"/>
                <w:szCs w:val="18"/>
              </w:rPr>
            </w:pPr>
            <w:r w:rsidRPr="0076589C">
              <w:rPr>
                <w:rFonts w:asciiTheme="minorHAnsi" w:eastAsia="Arial" w:hAnsiTheme="minorHAnsi"/>
                <w:color w:val="000000" w:themeColor="text1"/>
                <w:sz w:val="18"/>
                <w:szCs w:val="18"/>
              </w:rPr>
              <w:t>Año Financiero</w:t>
            </w:r>
          </w:p>
        </w:tc>
        <w:tc>
          <w:tcPr>
            <w:tcW w:w="2395" w:type="pc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32B514F" w14:textId="77777777" w:rsidR="0033143E" w:rsidRPr="0076589C" w:rsidRDefault="0033143E" w:rsidP="00FB3CE4">
            <w:pPr>
              <w:spacing w:after="0"/>
              <w:jc w:val="center"/>
              <w:rPr>
                <w:rFonts w:asciiTheme="minorHAnsi" w:hAnsiTheme="minorHAnsi"/>
                <w:sz w:val="18"/>
                <w:szCs w:val="18"/>
              </w:rPr>
            </w:pPr>
            <w:r w:rsidRPr="0076589C">
              <w:rPr>
                <w:rFonts w:asciiTheme="minorHAnsi" w:eastAsia="Arial" w:hAnsiTheme="minorHAnsi"/>
                <w:color w:val="000000" w:themeColor="text1"/>
                <w:sz w:val="18"/>
                <w:szCs w:val="18"/>
              </w:rPr>
              <w:t>360</w:t>
            </w:r>
          </w:p>
        </w:tc>
      </w:tr>
      <w:tr w:rsidR="0033143E" w:rsidRPr="0076589C" w14:paraId="43F924EB" w14:textId="77777777" w:rsidTr="00FB3CE4">
        <w:trPr>
          <w:trHeight w:val="41"/>
          <w:jc w:val="center"/>
        </w:trPr>
        <w:tc>
          <w:tcPr>
            <w:tcW w:w="2605" w:type="pct"/>
            <w:tcBorders>
              <w:left w:val="single" w:sz="4" w:space="0" w:color="auto"/>
              <w:bottom w:val="single" w:sz="4" w:space="0" w:color="auto"/>
              <w:right w:val="single" w:sz="4" w:space="0" w:color="auto"/>
            </w:tcBorders>
            <w:tcMar>
              <w:top w:w="15" w:type="dxa"/>
              <w:left w:w="15" w:type="dxa"/>
              <w:right w:w="15" w:type="dxa"/>
            </w:tcMar>
            <w:vAlign w:val="center"/>
          </w:tcPr>
          <w:p w14:paraId="31B043D6" w14:textId="77777777" w:rsidR="0033143E" w:rsidRPr="0076589C" w:rsidRDefault="0033143E" w:rsidP="00FB3CE4">
            <w:pPr>
              <w:spacing w:after="0"/>
              <w:jc w:val="center"/>
              <w:rPr>
                <w:rFonts w:asciiTheme="minorHAnsi" w:hAnsiTheme="minorHAnsi"/>
                <w:sz w:val="18"/>
                <w:szCs w:val="18"/>
              </w:rPr>
            </w:pPr>
            <w:r w:rsidRPr="0076589C">
              <w:rPr>
                <w:rFonts w:asciiTheme="minorHAnsi" w:eastAsia="Arial" w:hAnsiTheme="minorHAnsi"/>
                <w:color w:val="000000" w:themeColor="text1"/>
                <w:sz w:val="18"/>
                <w:szCs w:val="18"/>
              </w:rPr>
              <w:t>Crédito Cliente</w:t>
            </w:r>
          </w:p>
        </w:tc>
        <w:tc>
          <w:tcPr>
            <w:tcW w:w="2395" w:type="pct"/>
            <w:tcBorders>
              <w:left w:val="single" w:sz="4" w:space="0" w:color="auto"/>
              <w:bottom w:val="single" w:sz="4" w:space="0" w:color="auto"/>
              <w:right w:val="single" w:sz="4" w:space="0" w:color="auto"/>
            </w:tcBorders>
            <w:tcMar>
              <w:top w:w="15" w:type="dxa"/>
              <w:left w:w="15" w:type="dxa"/>
              <w:right w:w="15" w:type="dxa"/>
            </w:tcMar>
            <w:vAlign w:val="center"/>
          </w:tcPr>
          <w:p w14:paraId="52272D13" w14:textId="77777777" w:rsidR="0033143E" w:rsidRPr="0076589C" w:rsidRDefault="0033143E" w:rsidP="00FB3CE4">
            <w:pPr>
              <w:spacing w:after="0"/>
              <w:jc w:val="center"/>
              <w:rPr>
                <w:rFonts w:asciiTheme="minorHAnsi" w:hAnsiTheme="minorHAnsi"/>
                <w:sz w:val="18"/>
                <w:szCs w:val="18"/>
              </w:rPr>
            </w:pPr>
            <w:r w:rsidRPr="0076589C">
              <w:rPr>
                <w:rFonts w:asciiTheme="minorHAnsi" w:eastAsia="Arial" w:hAnsiTheme="minorHAnsi"/>
                <w:color w:val="000000" w:themeColor="text1"/>
                <w:sz w:val="18"/>
                <w:szCs w:val="18"/>
              </w:rPr>
              <w:t xml:space="preserve"> L      1,002,227.44 </w:t>
            </w:r>
          </w:p>
        </w:tc>
      </w:tr>
      <w:tr w:rsidR="0033143E" w:rsidRPr="0076589C" w14:paraId="24FA2A71" w14:textId="77777777" w:rsidTr="00FB3CE4">
        <w:trPr>
          <w:trHeight w:val="31"/>
          <w:jc w:val="center"/>
        </w:trPr>
        <w:tc>
          <w:tcPr>
            <w:tcW w:w="2605"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480A1E3E" w14:textId="77777777" w:rsidR="0033143E" w:rsidRPr="0076589C" w:rsidRDefault="0033143E" w:rsidP="00FB3CE4">
            <w:pPr>
              <w:spacing w:after="0"/>
              <w:jc w:val="center"/>
              <w:rPr>
                <w:rFonts w:asciiTheme="minorHAnsi" w:hAnsiTheme="minorHAnsi"/>
                <w:b/>
                <w:bCs/>
                <w:sz w:val="18"/>
                <w:szCs w:val="18"/>
              </w:rPr>
            </w:pPr>
            <w:r w:rsidRPr="0076589C">
              <w:rPr>
                <w:rFonts w:asciiTheme="minorHAnsi" w:eastAsia="Arial" w:hAnsiTheme="minorHAnsi"/>
                <w:b/>
                <w:bCs/>
                <w:color w:val="000000" w:themeColor="text1"/>
                <w:sz w:val="18"/>
                <w:szCs w:val="18"/>
              </w:rPr>
              <w:t>Índice Correctivo de previsión de incremento de ventas</w:t>
            </w:r>
          </w:p>
        </w:tc>
        <w:tc>
          <w:tcPr>
            <w:tcW w:w="2395"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47370651" w14:textId="77777777" w:rsidR="0033143E" w:rsidRPr="0076589C" w:rsidRDefault="0033143E" w:rsidP="00FB3CE4">
            <w:pPr>
              <w:spacing w:after="0"/>
              <w:jc w:val="center"/>
              <w:rPr>
                <w:rFonts w:asciiTheme="minorHAnsi" w:hAnsiTheme="minorHAnsi"/>
                <w:sz w:val="18"/>
                <w:szCs w:val="18"/>
              </w:rPr>
            </w:pPr>
            <w:r w:rsidRPr="0076589C">
              <w:rPr>
                <w:rFonts w:asciiTheme="minorHAnsi" w:eastAsia="Arial" w:hAnsiTheme="minorHAnsi"/>
                <w:b/>
                <w:bCs/>
                <w:color w:val="000000" w:themeColor="text1"/>
                <w:sz w:val="18"/>
                <w:szCs w:val="18"/>
              </w:rPr>
              <w:t xml:space="preserve"> L     1,102,450.18</w:t>
            </w:r>
          </w:p>
        </w:tc>
      </w:tr>
    </w:tbl>
    <w:p w14:paraId="2C3B02CD" w14:textId="77777777" w:rsidR="0033143E" w:rsidRPr="0076589C" w:rsidRDefault="0033143E" w:rsidP="0033143E">
      <w:pPr>
        <w:pStyle w:val="Fuentes"/>
        <w:rPr>
          <w:lang w:val="es-HN"/>
        </w:rPr>
      </w:pPr>
      <w:r w:rsidRPr="0076589C">
        <w:rPr>
          <w:lang w:val="es-HN"/>
        </w:rPr>
        <w:t>Fuente: Elaboración propia con datos de IPRA (2023).</w:t>
      </w:r>
    </w:p>
    <w:p w14:paraId="0F984198" w14:textId="5F085631" w:rsidR="0033143E" w:rsidRPr="0076589C" w:rsidRDefault="0033143E" w:rsidP="0033143E">
      <w:pPr>
        <w:pStyle w:val="ImagenyTabla"/>
        <w:rPr>
          <w:noProof w:val="0"/>
          <w:sz w:val="24"/>
        </w:rPr>
      </w:pPr>
      <w:r w:rsidRPr="0076589C">
        <w:rPr>
          <w:sz w:val="24"/>
        </w:rPr>
        <w:t>Anexo 5. Analisis del límite de crédito</w:t>
      </w:r>
      <w:r w:rsidR="00925E89" w:rsidRPr="0076589C">
        <w:rPr>
          <w:sz w:val="24"/>
        </w:rPr>
        <w:t xml:space="preserve"> del cliente </w:t>
      </w:r>
      <w:r w:rsidRPr="0076589C">
        <w:rPr>
          <w:sz w:val="24"/>
        </w:rPr>
        <w:t xml:space="preserve"> Mercadito LC</w:t>
      </w:r>
    </w:p>
    <w:tbl>
      <w:tblPr>
        <w:tblW w:w="5000" w:type="pct"/>
        <w:jc w:val="center"/>
        <w:tblLook w:val="06A0" w:firstRow="1" w:lastRow="0" w:firstColumn="1" w:lastColumn="0" w:noHBand="1" w:noVBand="1"/>
      </w:tblPr>
      <w:tblGrid>
        <w:gridCol w:w="3853"/>
        <w:gridCol w:w="3231"/>
        <w:gridCol w:w="2271"/>
      </w:tblGrid>
      <w:tr w:rsidR="0033143E" w:rsidRPr="0076589C" w14:paraId="7DA2A87E" w14:textId="77777777" w:rsidTr="00FB3CE4">
        <w:trPr>
          <w:trHeight w:val="39"/>
          <w:jc w:val="center"/>
        </w:trPr>
        <w:tc>
          <w:tcPr>
            <w:tcW w:w="2059"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03C392A5" w14:textId="77777777" w:rsidR="0033143E" w:rsidRPr="0076589C" w:rsidRDefault="0033143E" w:rsidP="00FB3CE4">
            <w:pPr>
              <w:spacing w:after="0" w:line="240" w:lineRule="auto"/>
              <w:jc w:val="center"/>
              <w:rPr>
                <w:rFonts w:asciiTheme="minorHAnsi" w:hAnsiTheme="minorHAnsi"/>
              </w:rPr>
            </w:pPr>
            <w:r w:rsidRPr="0076589C">
              <w:rPr>
                <w:rFonts w:asciiTheme="minorHAnsi" w:eastAsia="Calibri" w:hAnsiTheme="minorHAnsi"/>
                <w:b/>
                <w:bCs/>
                <w:color w:val="000000" w:themeColor="text1"/>
                <w:sz w:val="20"/>
                <w:szCs w:val="20"/>
              </w:rPr>
              <w:t>Cliente</w:t>
            </w:r>
          </w:p>
        </w:tc>
        <w:tc>
          <w:tcPr>
            <w:tcW w:w="1727" w:type="pc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00DD74F3"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Mercadito LC</w:t>
            </w:r>
          </w:p>
        </w:tc>
        <w:tc>
          <w:tcPr>
            <w:tcW w:w="1214" w:type="pct"/>
            <w:tcBorders>
              <w:top w:val="nil"/>
              <w:left w:val="single" w:sz="4" w:space="0" w:color="auto"/>
              <w:bottom w:val="nil"/>
              <w:right w:val="nil"/>
            </w:tcBorders>
            <w:tcMar>
              <w:top w:w="15" w:type="dxa"/>
              <w:left w:w="15" w:type="dxa"/>
              <w:right w:w="15" w:type="dxa"/>
            </w:tcMar>
            <w:vAlign w:val="center"/>
          </w:tcPr>
          <w:p w14:paraId="4ADC39CF" w14:textId="77777777" w:rsidR="0033143E" w:rsidRPr="0076589C" w:rsidRDefault="0033143E" w:rsidP="00FB3CE4">
            <w:pPr>
              <w:spacing w:line="240" w:lineRule="auto"/>
              <w:jc w:val="center"/>
              <w:rPr>
                <w:rFonts w:asciiTheme="minorHAnsi" w:hAnsiTheme="minorHAnsi"/>
              </w:rPr>
            </w:pPr>
          </w:p>
        </w:tc>
      </w:tr>
      <w:tr w:rsidR="0033143E" w:rsidRPr="0076589C" w14:paraId="1C00CBA0" w14:textId="77777777" w:rsidTr="00FB3CE4">
        <w:trPr>
          <w:trHeight w:val="39"/>
          <w:jc w:val="center"/>
        </w:trPr>
        <w:tc>
          <w:tcPr>
            <w:tcW w:w="2059"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6426DD76" w14:textId="77777777" w:rsidR="0033143E" w:rsidRPr="0076589C" w:rsidRDefault="0033143E" w:rsidP="00FB3CE4">
            <w:pPr>
              <w:spacing w:after="0" w:line="240" w:lineRule="auto"/>
              <w:jc w:val="center"/>
              <w:rPr>
                <w:rFonts w:asciiTheme="minorHAnsi" w:hAnsiTheme="minorHAnsi"/>
              </w:rPr>
            </w:pPr>
            <w:r w:rsidRPr="0076589C">
              <w:rPr>
                <w:rFonts w:asciiTheme="minorHAnsi" w:eastAsia="Calibri" w:hAnsiTheme="minorHAnsi"/>
                <w:b/>
                <w:bCs/>
                <w:color w:val="000000" w:themeColor="text1"/>
                <w:sz w:val="20"/>
                <w:szCs w:val="20"/>
              </w:rPr>
              <w:t>Días de Crédito Otorgados</w:t>
            </w:r>
          </w:p>
        </w:tc>
        <w:tc>
          <w:tcPr>
            <w:tcW w:w="1727" w:type="pc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20AE317" w14:textId="77777777" w:rsidR="0033143E" w:rsidRPr="0076589C" w:rsidRDefault="0033143E" w:rsidP="00FB3CE4">
            <w:pPr>
              <w:spacing w:after="0" w:line="240" w:lineRule="auto"/>
              <w:ind w:left="0"/>
              <w:jc w:val="center"/>
              <w:rPr>
                <w:rFonts w:asciiTheme="minorHAnsi" w:hAnsiTheme="minorHAnsi"/>
              </w:rPr>
            </w:pPr>
            <w:r w:rsidRPr="0076589C">
              <w:rPr>
                <w:rFonts w:asciiTheme="minorHAnsi" w:eastAsia="Arial" w:hAnsiTheme="minorHAnsi"/>
                <w:color w:val="000000" w:themeColor="text1"/>
                <w:sz w:val="20"/>
                <w:szCs w:val="20"/>
              </w:rPr>
              <w:t>180</w:t>
            </w:r>
          </w:p>
        </w:tc>
        <w:tc>
          <w:tcPr>
            <w:tcW w:w="1214" w:type="pct"/>
            <w:tcBorders>
              <w:top w:val="nil"/>
              <w:left w:val="single" w:sz="4" w:space="0" w:color="auto"/>
              <w:bottom w:val="nil"/>
              <w:right w:val="nil"/>
            </w:tcBorders>
            <w:tcMar>
              <w:top w:w="15" w:type="dxa"/>
              <w:left w:w="15" w:type="dxa"/>
              <w:right w:w="15" w:type="dxa"/>
            </w:tcMar>
            <w:vAlign w:val="center"/>
          </w:tcPr>
          <w:p w14:paraId="36B6C06C" w14:textId="77777777" w:rsidR="0033143E" w:rsidRPr="0076589C" w:rsidRDefault="0033143E" w:rsidP="00FB3CE4">
            <w:pPr>
              <w:spacing w:line="240" w:lineRule="auto"/>
              <w:jc w:val="center"/>
              <w:rPr>
                <w:rFonts w:asciiTheme="minorHAnsi" w:hAnsiTheme="minorHAnsi"/>
              </w:rPr>
            </w:pPr>
          </w:p>
        </w:tc>
      </w:tr>
      <w:tr w:rsidR="0033143E" w:rsidRPr="0076589C" w14:paraId="231BB6E8" w14:textId="77777777" w:rsidTr="00FB3CE4">
        <w:trPr>
          <w:trHeight w:val="39"/>
          <w:jc w:val="center"/>
        </w:trPr>
        <w:tc>
          <w:tcPr>
            <w:tcW w:w="2059"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65906B2D" w14:textId="77777777" w:rsidR="0033143E" w:rsidRPr="0076589C" w:rsidRDefault="0033143E" w:rsidP="00FB3CE4">
            <w:pPr>
              <w:spacing w:after="0" w:line="240" w:lineRule="auto"/>
              <w:jc w:val="center"/>
              <w:rPr>
                <w:rFonts w:asciiTheme="minorHAnsi" w:hAnsiTheme="minorHAnsi"/>
              </w:rPr>
            </w:pPr>
            <w:r w:rsidRPr="0076589C">
              <w:rPr>
                <w:rFonts w:asciiTheme="minorHAnsi" w:eastAsia="Calibri" w:hAnsiTheme="minorHAnsi"/>
                <w:b/>
                <w:bCs/>
                <w:color w:val="000000" w:themeColor="text1"/>
                <w:sz w:val="20"/>
                <w:szCs w:val="20"/>
              </w:rPr>
              <w:t>Límite de Crédito Otorgado</w:t>
            </w:r>
          </w:p>
        </w:tc>
        <w:tc>
          <w:tcPr>
            <w:tcW w:w="1727" w:type="pc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06C8412" w14:textId="77777777" w:rsidR="0033143E" w:rsidRPr="0076589C" w:rsidRDefault="0033143E" w:rsidP="00FB3CE4">
            <w:pPr>
              <w:spacing w:after="0" w:line="240" w:lineRule="auto"/>
              <w:ind w:left="0"/>
              <w:jc w:val="center"/>
              <w:rPr>
                <w:rFonts w:asciiTheme="minorHAnsi" w:hAnsiTheme="minorHAnsi"/>
              </w:rPr>
            </w:pPr>
            <w:r w:rsidRPr="0076589C">
              <w:rPr>
                <w:rFonts w:asciiTheme="minorHAnsi" w:eastAsia="Arial" w:hAnsiTheme="minorHAnsi"/>
                <w:color w:val="000000" w:themeColor="text1"/>
                <w:sz w:val="20"/>
                <w:szCs w:val="20"/>
              </w:rPr>
              <w:t>L                  600,000.00</w:t>
            </w:r>
          </w:p>
        </w:tc>
        <w:tc>
          <w:tcPr>
            <w:tcW w:w="1214" w:type="pct"/>
            <w:tcBorders>
              <w:top w:val="nil"/>
              <w:left w:val="single" w:sz="4" w:space="0" w:color="auto"/>
              <w:bottom w:val="nil"/>
              <w:right w:val="nil"/>
            </w:tcBorders>
            <w:tcMar>
              <w:top w:w="15" w:type="dxa"/>
              <w:left w:w="15" w:type="dxa"/>
              <w:right w:w="15" w:type="dxa"/>
            </w:tcMar>
            <w:vAlign w:val="center"/>
          </w:tcPr>
          <w:p w14:paraId="0E13A7DE" w14:textId="77777777" w:rsidR="0033143E" w:rsidRPr="0076589C" w:rsidRDefault="0033143E" w:rsidP="00FB3CE4">
            <w:pPr>
              <w:spacing w:line="240" w:lineRule="auto"/>
              <w:jc w:val="center"/>
              <w:rPr>
                <w:rFonts w:asciiTheme="minorHAnsi" w:hAnsiTheme="minorHAnsi"/>
              </w:rPr>
            </w:pPr>
          </w:p>
        </w:tc>
      </w:tr>
      <w:tr w:rsidR="0033143E" w:rsidRPr="0076589C" w14:paraId="3267551C" w14:textId="77777777" w:rsidTr="00FB3CE4">
        <w:trPr>
          <w:trHeight w:val="255"/>
          <w:jc w:val="center"/>
        </w:trPr>
        <w:tc>
          <w:tcPr>
            <w:tcW w:w="2059" w:type="pct"/>
            <w:tcBorders>
              <w:top w:val="single" w:sz="4" w:space="0" w:color="auto"/>
              <w:left w:val="nil"/>
              <w:bottom w:val="single" w:sz="4" w:space="0" w:color="auto"/>
              <w:right w:val="nil"/>
            </w:tcBorders>
            <w:tcMar>
              <w:top w:w="15" w:type="dxa"/>
              <w:left w:w="15" w:type="dxa"/>
              <w:right w:w="15" w:type="dxa"/>
            </w:tcMar>
            <w:vAlign w:val="center"/>
          </w:tcPr>
          <w:p w14:paraId="7944B227" w14:textId="77777777" w:rsidR="0033143E" w:rsidRPr="0076589C" w:rsidRDefault="0033143E" w:rsidP="00925E89">
            <w:pPr>
              <w:spacing w:after="0" w:line="240" w:lineRule="auto"/>
              <w:jc w:val="center"/>
              <w:rPr>
                <w:rFonts w:asciiTheme="minorHAnsi" w:hAnsiTheme="minorHAnsi"/>
              </w:rPr>
            </w:pPr>
          </w:p>
        </w:tc>
        <w:tc>
          <w:tcPr>
            <w:tcW w:w="1727" w:type="pct"/>
            <w:tcBorders>
              <w:top w:val="single" w:sz="4" w:space="0" w:color="auto"/>
              <w:left w:val="nil"/>
              <w:bottom w:val="single" w:sz="4" w:space="0" w:color="auto"/>
              <w:right w:val="nil"/>
            </w:tcBorders>
            <w:tcMar>
              <w:top w:w="15" w:type="dxa"/>
              <w:left w:w="15" w:type="dxa"/>
              <w:right w:w="15" w:type="dxa"/>
            </w:tcMar>
            <w:vAlign w:val="center"/>
          </w:tcPr>
          <w:p w14:paraId="5B737422" w14:textId="77777777" w:rsidR="0033143E" w:rsidRPr="0076589C" w:rsidRDefault="0033143E" w:rsidP="00FB3CE4">
            <w:pPr>
              <w:spacing w:line="240" w:lineRule="auto"/>
              <w:jc w:val="center"/>
              <w:rPr>
                <w:rFonts w:asciiTheme="minorHAnsi" w:hAnsiTheme="minorHAnsi"/>
              </w:rPr>
            </w:pPr>
          </w:p>
        </w:tc>
        <w:tc>
          <w:tcPr>
            <w:tcW w:w="1214" w:type="pct"/>
            <w:tcBorders>
              <w:top w:val="nil"/>
              <w:left w:val="nil"/>
              <w:bottom w:val="nil"/>
              <w:right w:val="nil"/>
            </w:tcBorders>
            <w:tcMar>
              <w:top w:w="15" w:type="dxa"/>
              <w:left w:w="15" w:type="dxa"/>
              <w:right w:w="15" w:type="dxa"/>
            </w:tcMar>
            <w:vAlign w:val="center"/>
          </w:tcPr>
          <w:p w14:paraId="773B20D4" w14:textId="77777777" w:rsidR="0033143E" w:rsidRPr="0076589C" w:rsidRDefault="0033143E" w:rsidP="00FB3CE4">
            <w:pPr>
              <w:spacing w:line="240" w:lineRule="auto"/>
              <w:jc w:val="center"/>
              <w:rPr>
                <w:rFonts w:asciiTheme="minorHAnsi" w:hAnsiTheme="minorHAnsi"/>
              </w:rPr>
            </w:pPr>
          </w:p>
        </w:tc>
      </w:tr>
      <w:tr w:rsidR="0033143E" w:rsidRPr="0076589C" w14:paraId="52629915" w14:textId="77777777" w:rsidTr="00FB3CE4">
        <w:trPr>
          <w:trHeight w:val="255"/>
          <w:jc w:val="center"/>
        </w:trPr>
        <w:tc>
          <w:tcPr>
            <w:tcW w:w="2059"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4138E2D2"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b/>
                <w:bCs/>
                <w:color w:val="000000" w:themeColor="text1"/>
                <w:sz w:val="20"/>
                <w:szCs w:val="20"/>
              </w:rPr>
              <w:t xml:space="preserve">Límite de crédito otorgado </w:t>
            </w:r>
          </w:p>
        </w:tc>
        <w:tc>
          <w:tcPr>
            <w:tcW w:w="1727"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3E626F5A"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b/>
                <w:bCs/>
                <w:color w:val="000000" w:themeColor="text1"/>
                <w:sz w:val="20"/>
                <w:szCs w:val="20"/>
              </w:rPr>
              <w:t>-L                  600,000.00</w:t>
            </w:r>
            <w:r w:rsidRPr="0076589C">
              <w:rPr>
                <w:rFonts w:asciiTheme="minorHAnsi" w:eastAsia="Arial" w:hAnsiTheme="minorHAnsi"/>
                <w:color w:val="000000" w:themeColor="text1"/>
                <w:sz w:val="20"/>
                <w:szCs w:val="20"/>
              </w:rPr>
              <w:t xml:space="preserve"> </w:t>
            </w:r>
          </w:p>
        </w:tc>
        <w:tc>
          <w:tcPr>
            <w:tcW w:w="1214" w:type="pct"/>
            <w:tcBorders>
              <w:top w:val="nil"/>
              <w:left w:val="single" w:sz="4" w:space="0" w:color="auto"/>
              <w:bottom w:val="nil"/>
              <w:right w:val="nil"/>
            </w:tcBorders>
            <w:tcMar>
              <w:top w:w="15" w:type="dxa"/>
              <w:left w:w="15" w:type="dxa"/>
              <w:right w:w="15" w:type="dxa"/>
            </w:tcMar>
            <w:vAlign w:val="center"/>
          </w:tcPr>
          <w:p w14:paraId="61569A19" w14:textId="77777777" w:rsidR="0033143E" w:rsidRPr="0076589C" w:rsidRDefault="0033143E" w:rsidP="00FB3CE4">
            <w:pPr>
              <w:spacing w:line="240" w:lineRule="auto"/>
              <w:jc w:val="center"/>
              <w:rPr>
                <w:rFonts w:asciiTheme="minorHAnsi" w:hAnsiTheme="minorHAnsi"/>
              </w:rPr>
            </w:pPr>
          </w:p>
        </w:tc>
      </w:tr>
      <w:tr w:rsidR="0033143E" w:rsidRPr="0076589C" w14:paraId="60EBAE2F" w14:textId="77777777" w:rsidTr="00FB3CE4">
        <w:trPr>
          <w:trHeight w:val="255"/>
          <w:jc w:val="center"/>
        </w:trPr>
        <w:tc>
          <w:tcPr>
            <w:tcW w:w="2059" w:type="pct"/>
            <w:tcBorders>
              <w:top w:val="single" w:sz="4" w:space="0" w:color="auto"/>
              <w:left w:val="single" w:sz="4" w:space="0" w:color="auto"/>
              <w:bottom w:val="nil"/>
              <w:right w:val="nil"/>
            </w:tcBorders>
            <w:tcMar>
              <w:top w:w="15" w:type="dxa"/>
              <w:left w:w="15" w:type="dxa"/>
              <w:right w:w="15" w:type="dxa"/>
            </w:tcMar>
            <w:vAlign w:val="center"/>
          </w:tcPr>
          <w:p w14:paraId="2B9798F7"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Saldo pendiente de cobro dic 2021</w:t>
            </w:r>
          </w:p>
        </w:tc>
        <w:tc>
          <w:tcPr>
            <w:tcW w:w="1727" w:type="pct"/>
            <w:tcBorders>
              <w:top w:val="single" w:sz="4" w:space="0" w:color="auto"/>
              <w:left w:val="nil"/>
              <w:bottom w:val="nil"/>
              <w:right w:val="single" w:sz="4" w:space="0" w:color="auto"/>
            </w:tcBorders>
            <w:shd w:val="clear" w:color="auto" w:fill="FFFFFF" w:themeFill="background1"/>
            <w:tcMar>
              <w:top w:w="15" w:type="dxa"/>
              <w:left w:w="15" w:type="dxa"/>
              <w:right w:w="15" w:type="dxa"/>
            </w:tcMar>
            <w:vAlign w:val="center"/>
          </w:tcPr>
          <w:p w14:paraId="71D40981"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 xml:space="preserve"> L                  374,731.15 </w:t>
            </w:r>
          </w:p>
        </w:tc>
        <w:tc>
          <w:tcPr>
            <w:tcW w:w="1214" w:type="pct"/>
            <w:tcBorders>
              <w:top w:val="nil"/>
              <w:left w:val="single" w:sz="4" w:space="0" w:color="auto"/>
              <w:bottom w:val="nil"/>
              <w:right w:val="nil"/>
            </w:tcBorders>
            <w:tcMar>
              <w:top w:w="15" w:type="dxa"/>
              <w:left w:w="15" w:type="dxa"/>
              <w:right w:w="15" w:type="dxa"/>
            </w:tcMar>
            <w:vAlign w:val="center"/>
          </w:tcPr>
          <w:p w14:paraId="6E7D8888" w14:textId="77777777" w:rsidR="0033143E" w:rsidRPr="0076589C" w:rsidRDefault="0033143E" w:rsidP="00FB3CE4">
            <w:pPr>
              <w:spacing w:line="240" w:lineRule="auto"/>
              <w:jc w:val="center"/>
              <w:rPr>
                <w:rFonts w:asciiTheme="minorHAnsi" w:hAnsiTheme="minorHAnsi"/>
              </w:rPr>
            </w:pPr>
          </w:p>
        </w:tc>
      </w:tr>
      <w:tr w:rsidR="0033143E" w:rsidRPr="0076589C" w14:paraId="49CA1235" w14:textId="77777777" w:rsidTr="00FB3CE4">
        <w:trPr>
          <w:trHeight w:val="255"/>
          <w:jc w:val="center"/>
        </w:trPr>
        <w:tc>
          <w:tcPr>
            <w:tcW w:w="2059" w:type="pct"/>
            <w:tcBorders>
              <w:top w:val="nil"/>
              <w:left w:val="single" w:sz="4" w:space="0" w:color="auto"/>
              <w:bottom w:val="nil"/>
              <w:right w:val="nil"/>
            </w:tcBorders>
            <w:tcMar>
              <w:top w:w="15" w:type="dxa"/>
              <w:left w:w="15" w:type="dxa"/>
              <w:right w:w="15" w:type="dxa"/>
            </w:tcMar>
            <w:vAlign w:val="center"/>
          </w:tcPr>
          <w:p w14:paraId="4C8626C0"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Facturación enero 2022</w:t>
            </w:r>
          </w:p>
        </w:tc>
        <w:tc>
          <w:tcPr>
            <w:tcW w:w="1727"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5189803F"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 xml:space="preserve"> L                  112,097.07 </w:t>
            </w:r>
          </w:p>
        </w:tc>
        <w:tc>
          <w:tcPr>
            <w:tcW w:w="1214" w:type="pct"/>
            <w:tcBorders>
              <w:top w:val="nil"/>
              <w:left w:val="single" w:sz="4" w:space="0" w:color="auto"/>
              <w:bottom w:val="nil"/>
              <w:right w:val="nil"/>
            </w:tcBorders>
            <w:tcMar>
              <w:top w:w="15" w:type="dxa"/>
              <w:left w:w="15" w:type="dxa"/>
              <w:right w:w="15" w:type="dxa"/>
            </w:tcMar>
            <w:vAlign w:val="center"/>
          </w:tcPr>
          <w:p w14:paraId="2309CB54" w14:textId="77777777" w:rsidR="0033143E" w:rsidRPr="0076589C" w:rsidRDefault="0033143E" w:rsidP="00FB3CE4">
            <w:pPr>
              <w:spacing w:line="240" w:lineRule="auto"/>
              <w:jc w:val="center"/>
              <w:rPr>
                <w:rFonts w:asciiTheme="minorHAnsi" w:hAnsiTheme="minorHAnsi"/>
              </w:rPr>
            </w:pPr>
          </w:p>
        </w:tc>
      </w:tr>
      <w:tr w:rsidR="0033143E" w:rsidRPr="0076589C" w14:paraId="45EB5274" w14:textId="77777777" w:rsidTr="00FB3CE4">
        <w:trPr>
          <w:trHeight w:val="255"/>
          <w:jc w:val="center"/>
        </w:trPr>
        <w:tc>
          <w:tcPr>
            <w:tcW w:w="2059" w:type="pct"/>
            <w:tcBorders>
              <w:top w:val="nil"/>
              <w:left w:val="single" w:sz="4" w:space="0" w:color="auto"/>
              <w:bottom w:val="nil"/>
              <w:right w:val="nil"/>
            </w:tcBorders>
            <w:tcMar>
              <w:top w:w="15" w:type="dxa"/>
              <w:left w:w="15" w:type="dxa"/>
              <w:right w:w="15" w:type="dxa"/>
            </w:tcMar>
            <w:vAlign w:val="center"/>
          </w:tcPr>
          <w:p w14:paraId="68295A09"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Pago</w:t>
            </w:r>
          </w:p>
        </w:tc>
        <w:tc>
          <w:tcPr>
            <w:tcW w:w="1727"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157002DC"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 xml:space="preserve">-L                  222,808.78 </w:t>
            </w:r>
          </w:p>
        </w:tc>
        <w:tc>
          <w:tcPr>
            <w:tcW w:w="1214" w:type="pct"/>
            <w:tcBorders>
              <w:top w:val="nil"/>
              <w:left w:val="single" w:sz="4" w:space="0" w:color="auto"/>
              <w:bottom w:val="nil"/>
              <w:right w:val="nil"/>
            </w:tcBorders>
            <w:tcMar>
              <w:top w:w="15" w:type="dxa"/>
              <w:left w:w="15" w:type="dxa"/>
              <w:right w:w="15" w:type="dxa"/>
            </w:tcMar>
            <w:vAlign w:val="center"/>
          </w:tcPr>
          <w:p w14:paraId="052A6181" w14:textId="77777777" w:rsidR="0033143E" w:rsidRPr="0076589C" w:rsidRDefault="0033143E" w:rsidP="00FB3CE4">
            <w:pPr>
              <w:spacing w:line="240" w:lineRule="auto"/>
              <w:jc w:val="center"/>
              <w:rPr>
                <w:rFonts w:asciiTheme="minorHAnsi" w:hAnsiTheme="minorHAnsi"/>
              </w:rPr>
            </w:pPr>
          </w:p>
        </w:tc>
      </w:tr>
      <w:tr w:rsidR="0033143E" w:rsidRPr="0076589C" w14:paraId="64A1254C" w14:textId="77777777" w:rsidTr="00FB3CE4">
        <w:trPr>
          <w:trHeight w:val="255"/>
          <w:jc w:val="center"/>
        </w:trPr>
        <w:tc>
          <w:tcPr>
            <w:tcW w:w="2059" w:type="pct"/>
            <w:tcBorders>
              <w:top w:val="nil"/>
              <w:left w:val="single" w:sz="4" w:space="0" w:color="auto"/>
              <w:bottom w:val="nil"/>
              <w:right w:val="nil"/>
            </w:tcBorders>
            <w:tcMar>
              <w:top w:w="15" w:type="dxa"/>
              <w:left w:w="15" w:type="dxa"/>
              <w:right w:w="15" w:type="dxa"/>
            </w:tcMar>
            <w:vAlign w:val="center"/>
          </w:tcPr>
          <w:p w14:paraId="6FC6F5A5"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Facturación febrero 2022</w:t>
            </w:r>
          </w:p>
        </w:tc>
        <w:tc>
          <w:tcPr>
            <w:tcW w:w="1727"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3ECA9C0D"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 xml:space="preserve"> L                  228,277.04 </w:t>
            </w:r>
          </w:p>
        </w:tc>
        <w:tc>
          <w:tcPr>
            <w:tcW w:w="1214" w:type="pct"/>
            <w:tcBorders>
              <w:top w:val="nil"/>
              <w:left w:val="single" w:sz="4" w:space="0" w:color="auto"/>
              <w:bottom w:val="nil"/>
              <w:right w:val="nil"/>
            </w:tcBorders>
            <w:tcMar>
              <w:top w:w="15" w:type="dxa"/>
              <w:left w:w="15" w:type="dxa"/>
              <w:right w:w="15" w:type="dxa"/>
            </w:tcMar>
            <w:vAlign w:val="center"/>
          </w:tcPr>
          <w:p w14:paraId="7DD161C8" w14:textId="77777777" w:rsidR="0033143E" w:rsidRPr="0076589C" w:rsidRDefault="0033143E" w:rsidP="00FB3CE4">
            <w:pPr>
              <w:spacing w:line="240" w:lineRule="auto"/>
              <w:jc w:val="center"/>
              <w:rPr>
                <w:rFonts w:asciiTheme="minorHAnsi" w:hAnsiTheme="minorHAnsi"/>
              </w:rPr>
            </w:pPr>
          </w:p>
        </w:tc>
      </w:tr>
      <w:tr w:rsidR="0033143E" w:rsidRPr="0076589C" w14:paraId="3BDB7F2A" w14:textId="77777777" w:rsidTr="00FB3CE4">
        <w:trPr>
          <w:trHeight w:val="255"/>
          <w:jc w:val="center"/>
        </w:trPr>
        <w:tc>
          <w:tcPr>
            <w:tcW w:w="2059" w:type="pct"/>
            <w:tcBorders>
              <w:top w:val="nil"/>
              <w:left w:val="single" w:sz="4" w:space="0" w:color="auto"/>
              <w:bottom w:val="nil"/>
              <w:right w:val="nil"/>
            </w:tcBorders>
            <w:tcMar>
              <w:top w:w="15" w:type="dxa"/>
              <w:left w:w="15" w:type="dxa"/>
              <w:right w:w="15" w:type="dxa"/>
            </w:tcMar>
            <w:vAlign w:val="center"/>
          </w:tcPr>
          <w:p w14:paraId="1520C754"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Pago</w:t>
            </w:r>
          </w:p>
        </w:tc>
        <w:tc>
          <w:tcPr>
            <w:tcW w:w="1727"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258B9884"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 xml:space="preserve">-L                    57,874.55 </w:t>
            </w:r>
          </w:p>
        </w:tc>
        <w:tc>
          <w:tcPr>
            <w:tcW w:w="1214" w:type="pct"/>
            <w:tcBorders>
              <w:top w:val="nil"/>
              <w:left w:val="single" w:sz="4" w:space="0" w:color="auto"/>
              <w:bottom w:val="nil"/>
              <w:right w:val="nil"/>
            </w:tcBorders>
            <w:tcMar>
              <w:top w:w="15" w:type="dxa"/>
              <w:left w:w="15" w:type="dxa"/>
              <w:right w:w="15" w:type="dxa"/>
            </w:tcMar>
            <w:vAlign w:val="center"/>
          </w:tcPr>
          <w:p w14:paraId="7766BFDD" w14:textId="77777777" w:rsidR="0033143E" w:rsidRPr="0076589C" w:rsidRDefault="0033143E" w:rsidP="00FB3CE4">
            <w:pPr>
              <w:spacing w:line="240" w:lineRule="auto"/>
              <w:jc w:val="center"/>
              <w:rPr>
                <w:rFonts w:asciiTheme="minorHAnsi" w:hAnsiTheme="minorHAnsi"/>
              </w:rPr>
            </w:pPr>
          </w:p>
        </w:tc>
      </w:tr>
      <w:tr w:rsidR="0033143E" w:rsidRPr="0076589C" w14:paraId="284DFC0E" w14:textId="77777777" w:rsidTr="00FB3CE4">
        <w:trPr>
          <w:trHeight w:val="255"/>
          <w:jc w:val="center"/>
        </w:trPr>
        <w:tc>
          <w:tcPr>
            <w:tcW w:w="2059" w:type="pct"/>
            <w:tcBorders>
              <w:top w:val="nil"/>
              <w:left w:val="single" w:sz="4" w:space="0" w:color="auto"/>
              <w:bottom w:val="nil"/>
              <w:right w:val="nil"/>
            </w:tcBorders>
            <w:tcMar>
              <w:top w:w="15" w:type="dxa"/>
              <w:left w:w="15" w:type="dxa"/>
              <w:right w:w="15" w:type="dxa"/>
            </w:tcMar>
            <w:vAlign w:val="center"/>
          </w:tcPr>
          <w:p w14:paraId="6EAA4E17"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Facturación marzo 2022</w:t>
            </w:r>
          </w:p>
        </w:tc>
        <w:tc>
          <w:tcPr>
            <w:tcW w:w="1727"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1682AE69"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 xml:space="preserve"> L                  126,866.54 </w:t>
            </w:r>
          </w:p>
        </w:tc>
        <w:tc>
          <w:tcPr>
            <w:tcW w:w="1214" w:type="pct"/>
            <w:tcBorders>
              <w:top w:val="nil"/>
              <w:left w:val="single" w:sz="4" w:space="0" w:color="auto"/>
              <w:bottom w:val="nil"/>
              <w:right w:val="nil"/>
            </w:tcBorders>
            <w:tcMar>
              <w:top w:w="15" w:type="dxa"/>
              <w:left w:w="15" w:type="dxa"/>
              <w:right w:w="15" w:type="dxa"/>
            </w:tcMar>
            <w:vAlign w:val="center"/>
          </w:tcPr>
          <w:p w14:paraId="2E69B4E8" w14:textId="77777777" w:rsidR="0033143E" w:rsidRPr="0076589C" w:rsidRDefault="0033143E" w:rsidP="00FB3CE4">
            <w:pPr>
              <w:spacing w:line="240" w:lineRule="auto"/>
              <w:jc w:val="center"/>
              <w:rPr>
                <w:rFonts w:asciiTheme="minorHAnsi" w:hAnsiTheme="minorHAnsi"/>
              </w:rPr>
            </w:pPr>
          </w:p>
        </w:tc>
      </w:tr>
      <w:tr w:rsidR="0033143E" w:rsidRPr="0076589C" w14:paraId="0D5A5E1F" w14:textId="77777777" w:rsidTr="00FB3CE4">
        <w:trPr>
          <w:trHeight w:val="255"/>
          <w:jc w:val="center"/>
        </w:trPr>
        <w:tc>
          <w:tcPr>
            <w:tcW w:w="2059" w:type="pct"/>
            <w:tcBorders>
              <w:top w:val="nil"/>
              <w:left w:val="single" w:sz="4" w:space="0" w:color="auto"/>
              <w:bottom w:val="nil"/>
              <w:right w:val="nil"/>
            </w:tcBorders>
            <w:tcMar>
              <w:top w:w="15" w:type="dxa"/>
              <w:left w:w="15" w:type="dxa"/>
              <w:right w:w="15" w:type="dxa"/>
            </w:tcMar>
            <w:vAlign w:val="center"/>
          </w:tcPr>
          <w:p w14:paraId="52CB5B68"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Pago</w:t>
            </w:r>
          </w:p>
        </w:tc>
        <w:tc>
          <w:tcPr>
            <w:tcW w:w="1727"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5E7E9912"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 xml:space="preserve"> L                                -   </w:t>
            </w:r>
          </w:p>
        </w:tc>
        <w:tc>
          <w:tcPr>
            <w:tcW w:w="1214" w:type="pct"/>
            <w:tcBorders>
              <w:top w:val="nil"/>
              <w:left w:val="single" w:sz="4" w:space="0" w:color="auto"/>
              <w:bottom w:val="nil"/>
              <w:right w:val="nil"/>
            </w:tcBorders>
            <w:tcMar>
              <w:top w:w="15" w:type="dxa"/>
              <w:left w:w="15" w:type="dxa"/>
              <w:right w:w="15" w:type="dxa"/>
            </w:tcMar>
            <w:vAlign w:val="center"/>
          </w:tcPr>
          <w:p w14:paraId="39C31DC8" w14:textId="77777777" w:rsidR="0033143E" w:rsidRPr="0076589C" w:rsidRDefault="0033143E" w:rsidP="00FB3CE4">
            <w:pPr>
              <w:spacing w:line="240" w:lineRule="auto"/>
              <w:jc w:val="center"/>
              <w:rPr>
                <w:rFonts w:asciiTheme="minorHAnsi" w:hAnsiTheme="minorHAnsi"/>
              </w:rPr>
            </w:pPr>
          </w:p>
        </w:tc>
      </w:tr>
      <w:tr w:rsidR="0033143E" w:rsidRPr="0076589C" w14:paraId="61468C4B" w14:textId="77777777" w:rsidTr="00FB3CE4">
        <w:trPr>
          <w:trHeight w:val="255"/>
          <w:jc w:val="center"/>
        </w:trPr>
        <w:tc>
          <w:tcPr>
            <w:tcW w:w="2059" w:type="pct"/>
            <w:tcBorders>
              <w:top w:val="nil"/>
              <w:left w:val="single" w:sz="4" w:space="0" w:color="auto"/>
              <w:bottom w:val="nil"/>
              <w:right w:val="nil"/>
            </w:tcBorders>
            <w:tcMar>
              <w:top w:w="15" w:type="dxa"/>
              <w:left w:w="15" w:type="dxa"/>
              <w:right w:w="15" w:type="dxa"/>
            </w:tcMar>
            <w:vAlign w:val="center"/>
          </w:tcPr>
          <w:p w14:paraId="5ED98448"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Facturación abril 2022</w:t>
            </w:r>
          </w:p>
        </w:tc>
        <w:tc>
          <w:tcPr>
            <w:tcW w:w="1727"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59B4A0C3"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 xml:space="preserve"> L                    31,221.40 </w:t>
            </w:r>
          </w:p>
        </w:tc>
        <w:tc>
          <w:tcPr>
            <w:tcW w:w="1214" w:type="pct"/>
            <w:tcBorders>
              <w:top w:val="nil"/>
              <w:left w:val="single" w:sz="4" w:space="0" w:color="auto"/>
              <w:bottom w:val="nil"/>
              <w:right w:val="nil"/>
            </w:tcBorders>
            <w:tcMar>
              <w:top w:w="15" w:type="dxa"/>
              <w:left w:w="15" w:type="dxa"/>
              <w:right w:w="15" w:type="dxa"/>
            </w:tcMar>
            <w:vAlign w:val="center"/>
          </w:tcPr>
          <w:p w14:paraId="0188342E" w14:textId="77777777" w:rsidR="0033143E" w:rsidRPr="0076589C" w:rsidRDefault="0033143E" w:rsidP="00FB3CE4">
            <w:pPr>
              <w:spacing w:line="240" w:lineRule="auto"/>
              <w:jc w:val="center"/>
              <w:rPr>
                <w:rFonts w:asciiTheme="minorHAnsi" w:hAnsiTheme="minorHAnsi"/>
              </w:rPr>
            </w:pPr>
          </w:p>
        </w:tc>
      </w:tr>
      <w:tr w:rsidR="0033143E" w:rsidRPr="0076589C" w14:paraId="7E012B7D" w14:textId="77777777" w:rsidTr="00FB3CE4">
        <w:trPr>
          <w:trHeight w:val="255"/>
          <w:jc w:val="center"/>
        </w:trPr>
        <w:tc>
          <w:tcPr>
            <w:tcW w:w="2059" w:type="pct"/>
            <w:tcBorders>
              <w:top w:val="nil"/>
              <w:left w:val="single" w:sz="4" w:space="0" w:color="auto"/>
              <w:bottom w:val="nil"/>
              <w:right w:val="nil"/>
            </w:tcBorders>
            <w:tcMar>
              <w:top w:w="15" w:type="dxa"/>
              <w:left w:w="15" w:type="dxa"/>
              <w:right w:w="15" w:type="dxa"/>
            </w:tcMar>
            <w:vAlign w:val="center"/>
          </w:tcPr>
          <w:p w14:paraId="6A81134E"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Pago</w:t>
            </w:r>
          </w:p>
        </w:tc>
        <w:tc>
          <w:tcPr>
            <w:tcW w:w="1727"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74CE7884"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 xml:space="preserve">-L                  168,971.52 </w:t>
            </w:r>
          </w:p>
        </w:tc>
        <w:tc>
          <w:tcPr>
            <w:tcW w:w="1214" w:type="pct"/>
            <w:tcBorders>
              <w:top w:val="nil"/>
              <w:left w:val="single" w:sz="4" w:space="0" w:color="auto"/>
              <w:bottom w:val="nil"/>
              <w:right w:val="nil"/>
            </w:tcBorders>
            <w:tcMar>
              <w:top w:w="15" w:type="dxa"/>
              <w:left w:w="15" w:type="dxa"/>
              <w:right w:w="15" w:type="dxa"/>
            </w:tcMar>
            <w:vAlign w:val="center"/>
          </w:tcPr>
          <w:p w14:paraId="2FF25059" w14:textId="77777777" w:rsidR="0033143E" w:rsidRPr="0076589C" w:rsidRDefault="0033143E" w:rsidP="00FB3CE4">
            <w:pPr>
              <w:spacing w:line="240" w:lineRule="auto"/>
              <w:jc w:val="center"/>
              <w:rPr>
                <w:rFonts w:asciiTheme="minorHAnsi" w:hAnsiTheme="minorHAnsi"/>
              </w:rPr>
            </w:pPr>
          </w:p>
        </w:tc>
      </w:tr>
      <w:tr w:rsidR="0033143E" w:rsidRPr="0076589C" w14:paraId="72D0088E" w14:textId="77777777" w:rsidTr="00FB3CE4">
        <w:trPr>
          <w:trHeight w:val="255"/>
          <w:jc w:val="center"/>
        </w:trPr>
        <w:tc>
          <w:tcPr>
            <w:tcW w:w="2059" w:type="pct"/>
            <w:tcBorders>
              <w:top w:val="nil"/>
              <w:left w:val="single" w:sz="4" w:space="0" w:color="auto"/>
              <w:bottom w:val="nil"/>
              <w:right w:val="nil"/>
            </w:tcBorders>
            <w:tcMar>
              <w:top w:w="15" w:type="dxa"/>
              <w:left w:w="15" w:type="dxa"/>
              <w:right w:w="15" w:type="dxa"/>
            </w:tcMar>
            <w:vAlign w:val="center"/>
          </w:tcPr>
          <w:p w14:paraId="0DEE4D5B"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Facturación mayo 2022</w:t>
            </w:r>
          </w:p>
        </w:tc>
        <w:tc>
          <w:tcPr>
            <w:tcW w:w="1727"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0A1A41C0"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 xml:space="preserve"> L                  160,628.69 </w:t>
            </w:r>
          </w:p>
        </w:tc>
        <w:tc>
          <w:tcPr>
            <w:tcW w:w="1214" w:type="pct"/>
            <w:tcBorders>
              <w:top w:val="nil"/>
              <w:left w:val="single" w:sz="4" w:space="0" w:color="auto"/>
              <w:bottom w:val="nil"/>
              <w:right w:val="nil"/>
            </w:tcBorders>
            <w:tcMar>
              <w:top w:w="15" w:type="dxa"/>
              <w:left w:w="15" w:type="dxa"/>
              <w:right w:w="15" w:type="dxa"/>
            </w:tcMar>
            <w:vAlign w:val="center"/>
          </w:tcPr>
          <w:p w14:paraId="2C59243D" w14:textId="77777777" w:rsidR="0033143E" w:rsidRPr="0076589C" w:rsidRDefault="0033143E" w:rsidP="00FB3CE4">
            <w:pPr>
              <w:spacing w:line="240" w:lineRule="auto"/>
              <w:jc w:val="center"/>
              <w:rPr>
                <w:rFonts w:asciiTheme="minorHAnsi" w:hAnsiTheme="minorHAnsi"/>
              </w:rPr>
            </w:pPr>
          </w:p>
        </w:tc>
      </w:tr>
      <w:tr w:rsidR="0033143E" w:rsidRPr="0076589C" w14:paraId="10470035" w14:textId="77777777" w:rsidTr="00FB3CE4">
        <w:trPr>
          <w:trHeight w:val="255"/>
          <w:jc w:val="center"/>
        </w:trPr>
        <w:tc>
          <w:tcPr>
            <w:tcW w:w="2059" w:type="pct"/>
            <w:tcBorders>
              <w:top w:val="nil"/>
              <w:left w:val="single" w:sz="4" w:space="0" w:color="auto"/>
              <w:bottom w:val="nil"/>
              <w:right w:val="nil"/>
            </w:tcBorders>
            <w:tcMar>
              <w:top w:w="15" w:type="dxa"/>
              <w:left w:w="15" w:type="dxa"/>
              <w:right w:w="15" w:type="dxa"/>
            </w:tcMar>
            <w:vAlign w:val="center"/>
          </w:tcPr>
          <w:p w14:paraId="31E52BF8"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Pago</w:t>
            </w:r>
          </w:p>
        </w:tc>
        <w:tc>
          <w:tcPr>
            <w:tcW w:w="1727"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3FD490A7"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 xml:space="preserve">-L                  222,026.42 </w:t>
            </w:r>
          </w:p>
        </w:tc>
        <w:tc>
          <w:tcPr>
            <w:tcW w:w="1214" w:type="pct"/>
            <w:tcBorders>
              <w:top w:val="nil"/>
              <w:left w:val="single" w:sz="4" w:space="0" w:color="auto"/>
              <w:bottom w:val="nil"/>
              <w:right w:val="nil"/>
            </w:tcBorders>
            <w:tcMar>
              <w:top w:w="15" w:type="dxa"/>
              <w:left w:w="15" w:type="dxa"/>
              <w:right w:w="15" w:type="dxa"/>
            </w:tcMar>
            <w:vAlign w:val="center"/>
          </w:tcPr>
          <w:p w14:paraId="58BE1C0D" w14:textId="77777777" w:rsidR="0033143E" w:rsidRPr="0076589C" w:rsidRDefault="0033143E" w:rsidP="00FB3CE4">
            <w:pPr>
              <w:spacing w:line="240" w:lineRule="auto"/>
              <w:jc w:val="center"/>
              <w:rPr>
                <w:rFonts w:asciiTheme="minorHAnsi" w:hAnsiTheme="minorHAnsi"/>
              </w:rPr>
            </w:pPr>
          </w:p>
        </w:tc>
      </w:tr>
      <w:tr w:rsidR="0033143E" w:rsidRPr="0076589C" w14:paraId="765CFBE5" w14:textId="77777777" w:rsidTr="00FB3CE4">
        <w:trPr>
          <w:trHeight w:val="255"/>
          <w:jc w:val="center"/>
        </w:trPr>
        <w:tc>
          <w:tcPr>
            <w:tcW w:w="2059" w:type="pct"/>
            <w:tcBorders>
              <w:top w:val="nil"/>
              <w:left w:val="single" w:sz="4" w:space="0" w:color="auto"/>
              <w:bottom w:val="nil"/>
              <w:right w:val="nil"/>
            </w:tcBorders>
            <w:tcMar>
              <w:top w:w="15" w:type="dxa"/>
              <w:left w:w="15" w:type="dxa"/>
              <w:right w:w="15" w:type="dxa"/>
            </w:tcMar>
            <w:vAlign w:val="center"/>
          </w:tcPr>
          <w:p w14:paraId="0EDFB0CC"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Facturación junio 2022</w:t>
            </w:r>
          </w:p>
        </w:tc>
        <w:tc>
          <w:tcPr>
            <w:tcW w:w="1727"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368E36C9"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 xml:space="preserve"> L                    71,575.93 </w:t>
            </w:r>
          </w:p>
        </w:tc>
        <w:tc>
          <w:tcPr>
            <w:tcW w:w="1214" w:type="pct"/>
            <w:tcBorders>
              <w:top w:val="nil"/>
              <w:left w:val="single" w:sz="4" w:space="0" w:color="auto"/>
              <w:bottom w:val="nil"/>
              <w:right w:val="nil"/>
            </w:tcBorders>
            <w:tcMar>
              <w:top w:w="15" w:type="dxa"/>
              <w:left w:w="15" w:type="dxa"/>
              <w:right w:w="15" w:type="dxa"/>
            </w:tcMar>
            <w:vAlign w:val="center"/>
          </w:tcPr>
          <w:p w14:paraId="08D88B19" w14:textId="77777777" w:rsidR="0033143E" w:rsidRPr="0076589C" w:rsidRDefault="0033143E" w:rsidP="00FB3CE4">
            <w:pPr>
              <w:spacing w:line="240" w:lineRule="auto"/>
              <w:jc w:val="center"/>
              <w:rPr>
                <w:rFonts w:asciiTheme="minorHAnsi" w:hAnsiTheme="minorHAnsi"/>
              </w:rPr>
            </w:pPr>
          </w:p>
        </w:tc>
      </w:tr>
      <w:tr w:rsidR="0033143E" w:rsidRPr="0076589C" w14:paraId="1B7A265E" w14:textId="77777777" w:rsidTr="00FB3CE4">
        <w:trPr>
          <w:trHeight w:val="255"/>
          <w:jc w:val="center"/>
        </w:trPr>
        <w:tc>
          <w:tcPr>
            <w:tcW w:w="2059" w:type="pct"/>
            <w:tcBorders>
              <w:top w:val="nil"/>
              <w:left w:val="single" w:sz="4" w:space="0" w:color="auto"/>
              <w:bottom w:val="single" w:sz="4" w:space="0" w:color="auto"/>
              <w:right w:val="nil"/>
            </w:tcBorders>
            <w:tcMar>
              <w:top w:w="15" w:type="dxa"/>
              <w:left w:w="15" w:type="dxa"/>
              <w:right w:w="15" w:type="dxa"/>
            </w:tcMar>
            <w:vAlign w:val="center"/>
          </w:tcPr>
          <w:p w14:paraId="68387AC6"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Pago</w:t>
            </w:r>
          </w:p>
        </w:tc>
        <w:tc>
          <w:tcPr>
            <w:tcW w:w="1727" w:type="pct"/>
            <w:tcBorders>
              <w:top w:val="nil"/>
              <w:left w:val="nil"/>
              <w:bottom w:val="single" w:sz="4" w:space="0" w:color="auto"/>
              <w:right w:val="single" w:sz="4" w:space="0" w:color="auto"/>
            </w:tcBorders>
            <w:shd w:val="clear" w:color="auto" w:fill="FFFFFF" w:themeFill="background1"/>
            <w:tcMar>
              <w:top w:w="15" w:type="dxa"/>
              <w:left w:w="15" w:type="dxa"/>
              <w:right w:w="15" w:type="dxa"/>
            </w:tcMar>
            <w:vAlign w:val="center"/>
          </w:tcPr>
          <w:p w14:paraId="59CADE10"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 xml:space="preserve">-L                  106,077.55 </w:t>
            </w:r>
          </w:p>
        </w:tc>
        <w:tc>
          <w:tcPr>
            <w:tcW w:w="1214" w:type="pct"/>
            <w:tcBorders>
              <w:top w:val="nil"/>
              <w:left w:val="single" w:sz="4" w:space="0" w:color="auto"/>
              <w:bottom w:val="single" w:sz="4" w:space="0" w:color="auto"/>
              <w:right w:val="nil"/>
            </w:tcBorders>
            <w:tcMar>
              <w:top w:w="15" w:type="dxa"/>
              <w:left w:w="15" w:type="dxa"/>
              <w:right w:w="15" w:type="dxa"/>
            </w:tcMar>
            <w:vAlign w:val="center"/>
          </w:tcPr>
          <w:p w14:paraId="56B5E760" w14:textId="77777777" w:rsidR="0033143E" w:rsidRPr="0076589C" w:rsidRDefault="0033143E" w:rsidP="00FB3CE4">
            <w:pPr>
              <w:spacing w:line="240" w:lineRule="auto"/>
              <w:jc w:val="center"/>
              <w:rPr>
                <w:rFonts w:asciiTheme="minorHAnsi" w:hAnsiTheme="minorHAnsi"/>
              </w:rPr>
            </w:pPr>
          </w:p>
        </w:tc>
      </w:tr>
      <w:tr w:rsidR="0033143E" w:rsidRPr="0076589C" w14:paraId="381A3776" w14:textId="77777777" w:rsidTr="00FB3CE4">
        <w:trPr>
          <w:trHeight w:val="255"/>
          <w:jc w:val="center"/>
        </w:trPr>
        <w:tc>
          <w:tcPr>
            <w:tcW w:w="2059"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381EAB7B" w14:textId="77777777" w:rsidR="0033143E" w:rsidRPr="0076589C" w:rsidRDefault="0033143E" w:rsidP="00FB3CE4">
            <w:pPr>
              <w:spacing w:line="240" w:lineRule="auto"/>
              <w:jc w:val="center"/>
              <w:rPr>
                <w:rFonts w:asciiTheme="minorHAnsi" w:hAnsiTheme="minorHAnsi"/>
              </w:rPr>
            </w:pPr>
          </w:p>
        </w:tc>
        <w:tc>
          <w:tcPr>
            <w:tcW w:w="1727"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0BA56487"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b/>
                <w:bCs/>
                <w:color w:val="000000" w:themeColor="text1"/>
                <w:sz w:val="20"/>
                <w:szCs w:val="20"/>
              </w:rPr>
              <w:t xml:space="preserve">-L                  272,361.00 </w:t>
            </w:r>
          </w:p>
        </w:tc>
        <w:tc>
          <w:tcPr>
            <w:tcW w:w="121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630E5686" w14:textId="77777777" w:rsidR="0033143E" w:rsidRPr="0076589C" w:rsidRDefault="0033143E" w:rsidP="00FB3CE4">
            <w:pPr>
              <w:spacing w:after="0" w:line="240" w:lineRule="auto"/>
              <w:ind w:left="0"/>
              <w:jc w:val="center"/>
              <w:rPr>
                <w:rFonts w:asciiTheme="minorHAnsi" w:eastAsia="Arial" w:hAnsiTheme="minorHAnsi"/>
                <w:b/>
                <w:bCs/>
                <w:color w:val="000000" w:themeColor="text1"/>
                <w:sz w:val="20"/>
                <w:szCs w:val="20"/>
              </w:rPr>
            </w:pPr>
            <w:r w:rsidRPr="0076589C">
              <w:rPr>
                <w:rFonts w:asciiTheme="minorHAnsi" w:eastAsia="Arial" w:hAnsiTheme="minorHAnsi"/>
                <w:b/>
                <w:bCs/>
                <w:color w:val="000000" w:themeColor="text1"/>
                <w:sz w:val="20"/>
                <w:szCs w:val="20"/>
              </w:rPr>
              <w:t>Límite Disponible</w:t>
            </w:r>
          </w:p>
        </w:tc>
      </w:tr>
      <w:tr w:rsidR="0033143E" w:rsidRPr="0076589C" w14:paraId="0876FE28" w14:textId="77777777" w:rsidTr="00FB3CE4">
        <w:trPr>
          <w:trHeight w:val="255"/>
          <w:jc w:val="center"/>
        </w:trPr>
        <w:tc>
          <w:tcPr>
            <w:tcW w:w="2059" w:type="pct"/>
            <w:tcBorders>
              <w:top w:val="single" w:sz="4" w:space="0" w:color="auto"/>
              <w:left w:val="single" w:sz="4" w:space="0" w:color="auto"/>
              <w:bottom w:val="nil"/>
              <w:right w:val="nil"/>
            </w:tcBorders>
            <w:tcMar>
              <w:top w:w="15" w:type="dxa"/>
              <w:left w:w="15" w:type="dxa"/>
              <w:right w:w="15" w:type="dxa"/>
            </w:tcMar>
            <w:vAlign w:val="center"/>
          </w:tcPr>
          <w:p w14:paraId="60CE691B"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Facturación julio 2022</w:t>
            </w:r>
          </w:p>
        </w:tc>
        <w:tc>
          <w:tcPr>
            <w:tcW w:w="1727" w:type="pct"/>
            <w:tcBorders>
              <w:top w:val="single" w:sz="4" w:space="0" w:color="auto"/>
              <w:left w:val="nil"/>
              <w:bottom w:val="nil"/>
              <w:right w:val="single" w:sz="4" w:space="0" w:color="auto"/>
            </w:tcBorders>
            <w:tcMar>
              <w:top w:w="15" w:type="dxa"/>
              <w:left w:w="15" w:type="dxa"/>
              <w:right w:w="15" w:type="dxa"/>
            </w:tcMar>
            <w:vAlign w:val="center"/>
          </w:tcPr>
          <w:p w14:paraId="69A31656"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 xml:space="preserve"> L                    39,599.25 </w:t>
            </w:r>
          </w:p>
        </w:tc>
        <w:tc>
          <w:tcPr>
            <w:tcW w:w="1214" w:type="pct"/>
            <w:tcBorders>
              <w:top w:val="nil"/>
              <w:left w:val="single" w:sz="4" w:space="0" w:color="auto"/>
              <w:bottom w:val="nil"/>
              <w:right w:val="nil"/>
            </w:tcBorders>
            <w:tcMar>
              <w:top w:w="15" w:type="dxa"/>
              <w:left w:w="15" w:type="dxa"/>
              <w:right w:w="15" w:type="dxa"/>
            </w:tcMar>
            <w:vAlign w:val="center"/>
          </w:tcPr>
          <w:p w14:paraId="309CBFCE" w14:textId="77777777" w:rsidR="0033143E" w:rsidRPr="0076589C" w:rsidRDefault="0033143E" w:rsidP="00FB3CE4">
            <w:pPr>
              <w:spacing w:line="240" w:lineRule="auto"/>
              <w:jc w:val="center"/>
              <w:rPr>
                <w:rFonts w:asciiTheme="minorHAnsi" w:hAnsiTheme="minorHAnsi"/>
              </w:rPr>
            </w:pPr>
          </w:p>
        </w:tc>
      </w:tr>
      <w:tr w:rsidR="0033143E" w:rsidRPr="0076589C" w14:paraId="46490A8D" w14:textId="77777777" w:rsidTr="00FB3CE4">
        <w:trPr>
          <w:trHeight w:val="255"/>
          <w:jc w:val="center"/>
        </w:trPr>
        <w:tc>
          <w:tcPr>
            <w:tcW w:w="2059" w:type="pct"/>
            <w:tcBorders>
              <w:top w:val="nil"/>
              <w:left w:val="single" w:sz="4" w:space="0" w:color="auto"/>
              <w:bottom w:val="nil"/>
              <w:right w:val="nil"/>
            </w:tcBorders>
            <w:tcMar>
              <w:top w:w="15" w:type="dxa"/>
              <w:left w:w="15" w:type="dxa"/>
              <w:right w:w="15" w:type="dxa"/>
            </w:tcMar>
            <w:vAlign w:val="center"/>
          </w:tcPr>
          <w:p w14:paraId="58010079"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Pago</w:t>
            </w:r>
          </w:p>
        </w:tc>
        <w:tc>
          <w:tcPr>
            <w:tcW w:w="1727" w:type="pct"/>
            <w:tcBorders>
              <w:top w:val="nil"/>
              <w:left w:val="nil"/>
              <w:bottom w:val="nil"/>
              <w:right w:val="single" w:sz="4" w:space="0" w:color="auto"/>
            </w:tcBorders>
            <w:tcMar>
              <w:top w:w="15" w:type="dxa"/>
              <w:left w:w="15" w:type="dxa"/>
              <w:right w:w="15" w:type="dxa"/>
            </w:tcMar>
            <w:vAlign w:val="center"/>
          </w:tcPr>
          <w:p w14:paraId="397C07C9"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 xml:space="preserve">-L                    35,415.47 </w:t>
            </w:r>
          </w:p>
        </w:tc>
        <w:tc>
          <w:tcPr>
            <w:tcW w:w="1214" w:type="pct"/>
            <w:tcBorders>
              <w:top w:val="nil"/>
              <w:left w:val="single" w:sz="4" w:space="0" w:color="auto"/>
              <w:bottom w:val="nil"/>
              <w:right w:val="nil"/>
            </w:tcBorders>
            <w:tcMar>
              <w:top w:w="15" w:type="dxa"/>
              <w:left w:w="15" w:type="dxa"/>
              <w:right w:w="15" w:type="dxa"/>
            </w:tcMar>
            <w:vAlign w:val="center"/>
          </w:tcPr>
          <w:p w14:paraId="66437E16" w14:textId="77777777" w:rsidR="0033143E" w:rsidRPr="0076589C" w:rsidRDefault="0033143E" w:rsidP="00FB3CE4">
            <w:pPr>
              <w:spacing w:line="240" w:lineRule="auto"/>
              <w:jc w:val="center"/>
              <w:rPr>
                <w:rFonts w:asciiTheme="minorHAnsi" w:hAnsiTheme="minorHAnsi"/>
              </w:rPr>
            </w:pPr>
          </w:p>
        </w:tc>
      </w:tr>
      <w:tr w:rsidR="0033143E" w:rsidRPr="0076589C" w14:paraId="537B57C0" w14:textId="77777777" w:rsidTr="00FB3CE4">
        <w:trPr>
          <w:trHeight w:val="255"/>
          <w:jc w:val="center"/>
        </w:trPr>
        <w:tc>
          <w:tcPr>
            <w:tcW w:w="2059" w:type="pct"/>
            <w:tcBorders>
              <w:top w:val="nil"/>
              <w:left w:val="single" w:sz="4" w:space="0" w:color="auto"/>
              <w:bottom w:val="nil"/>
              <w:right w:val="nil"/>
            </w:tcBorders>
            <w:tcMar>
              <w:top w:w="15" w:type="dxa"/>
              <w:left w:w="15" w:type="dxa"/>
              <w:right w:w="15" w:type="dxa"/>
            </w:tcMar>
            <w:vAlign w:val="center"/>
          </w:tcPr>
          <w:p w14:paraId="7B26A706"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Facturación agosto 2022</w:t>
            </w:r>
          </w:p>
        </w:tc>
        <w:tc>
          <w:tcPr>
            <w:tcW w:w="1727" w:type="pct"/>
            <w:tcBorders>
              <w:top w:val="nil"/>
              <w:left w:val="nil"/>
              <w:bottom w:val="nil"/>
              <w:right w:val="single" w:sz="4" w:space="0" w:color="auto"/>
            </w:tcBorders>
            <w:tcMar>
              <w:top w:w="15" w:type="dxa"/>
              <w:left w:w="15" w:type="dxa"/>
              <w:right w:w="15" w:type="dxa"/>
            </w:tcMar>
            <w:vAlign w:val="center"/>
          </w:tcPr>
          <w:p w14:paraId="14E28F49"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 xml:space="preserve"> L                  239,513.03 </w:t>
            </w:r>
          </w:p>
        </w:tc>
        <w:tc>
          <w:tcPr>
            <w:tcW w:w="1214" w:type="pct"/>
            <w:tcBorders>
              <w:top w:val="nil"/>
              <w:left w:val="single" w:sz="4" w:space="0" w:color="auto"/>
              <w:bottom w:val="nil"/>
              <w:right w:val="nil"/>
            </w:tcBorders>
            <w:tcMar>
              <w:top w:w="15" w:type="dxa"/>
              <w:left w:w="15" w:type="dxa"/>
              <w:right w:w="15" w:type="dxa"/>
            </w:tcMar>
            <w:vAlign w:val="center"/>
          </w:tcPr>
          <w:p w14:paraId="529FB1F8" w14:textId="77777777" w:rsidR="0033143E" w:rsidRPr="0076589C" w:rsidRDefault="0033143E" w:rsidP="00FB3CE4">
            <w:pPr>
              <w:spacing w:line="240" w:lineRule="auto"/>
              <w:jc w:val="center"/>
              <w:rPr>
                <w:rFonts w:asciiTheme="minorHAnsi" w:hAnsiTheme="minorHAnsi"/>
              </w:rPr>
            </w:pPr>
          </w:p>
        </w:tc>
      </w:tr>
      <w:tr w:rsidR="0033143E" w:rsidRPr="0076589C" w14:paraId="3E1E1966" w14:textId="77777777" w:rsidTr="00925E89">
        <w:trPr>
          <w:trHeight w:val="255"/>
          <w:jc w:val="center"/>
        </w:trPr>
        <w:tc>
          <w:tcPr>
            <w:tcW w:w="2059" w:type="pct"/>
            <w:tcBorders>
              <w:top w:val="nil"/>
              <w:left w:val="single" w:sz="4" w:space="0" w:color="auto"/>
              <w:right w:val="nil"/>
            </w:tcBorders>
            <w:tcMar>
              <w:top w:w="15" w:type="dxa"/>
              <w:left w:w="15" w:type="dxa"/>
              <w:right w:w="15" w:type="dxa"/>
            </w:tcMar>
            <w:vAlign w:val="center"/>
          </w:tcPr>
          <w:p w14:paraId="3DE246BA"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Pago</w:t>
            </w:r>
          </w:p>
        </w:tc>
        <w:tc>
          <w:tcPr>
            <w:tcW w:w="1727" w:type="pct"/>
            <w:tcBorders>
              <w:top w:val="nil"/>
              <w:left w:val="nil"/>
              <w:right w:val="single" w:sz="4" w:space="0" w:color="auto"/>
            </w:tcBorders>
            <w:tcMar>
              <w:top w:w="15" w:type="dxa"/>
              <w:left w:w="15" w:type="dxa"/>
              <w:right w:w="15" w:type="dxa"/>
            </w:tcMar>
            <w:vAlign w:val="center"/>
          </w:tcPr>
          <w:p w14:paraId="2CC02F94"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 xml:space="preserve">-L                  216,335.78 </w:t>
            </w:r>
          </w:p>
        </w:tc>
        <w:tc>
          <w:tcPr>
            <w:tcW w:w="1214" w:type="pct"/>
            <w:tcBorders>
              <w:top w:val="nil"/>
              <w:left w:val="single" w:sz="4" w:space="0" w:color="auto"/>
              <w:bottom w:val="nil"/>
              <w:right w:val="nil"/>
            </w:tcBorders>
            <w:tcMar>
              <w:top w:w="15" w:type="dxa"/>
              <w:left w:w="15" w:type="dxa"/>
              <w:right w:w="15" w:type="dxa"/>
            </w:tcMar>
            <w:vAlign w:val="center"/>
          </w:tcPr>
          <w:p w14:paraId="63EE0AB8" w14:textId="77777777" w:rsidR="0033143E" w:rsidRPr="0076589C" w:rsidRDefault="0033143E" w:rsidP="00FB3CE4">
            <w:pPr>
              <w:spacing w:line="240" w:lineRule="auto"/>
              <w:jc w:val="center"/>
              <w:rPr>
                <w:rFonts w:asciiTheme="minorHAnsi" w:hAnsiTheme="minorHAnsi"/>
              </w:rPr>
            </w:pPr>
          </w:p>
        </w:tc>
      </w:tr>
      <w:tr w:rsidR="0033143E" w:rsidRPr="0076589C" w14:paraId="37FF0256" w14:textId="77777777" w:rsidTr="00925E89">
        <w:trPr>
          <w:trHeight w:val="255"/>
          <w:jc w:val="center"/>
        </w:trPr>
        <w:tc>
          <w:tcPr>
            <w:tcW w:w="2059" w:type="pct"/>
            <w:tcBorders>
              <w:top w:val="nil"/>
              <w:left w:val="single" w:sz="4" w:space="0" w:color="auto"/>
              <w:bottom w:val="single" w:sz="4" w:space="0" w:color="auto"/>
              <w:right w:val="nil"/>
            </w:tcBorders>
            <w:tcMar>
              <w:top w:w="15" w:type="dxa"/>
              <w:left w:w="15" w:type="dxa"/>
              <w:right w:w="15" w:type="dxa"/>
            </w:tcMar>
            <w:vAlign w:val="center"/>
          </w:tcPr>
          <w:p w14:paraId="23C12EC1"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Facturación septiembre 2022</w:t>
            </w:r>
          </w:p>
        </w:tc>
        <w:tc>
          <w:tcPr>
            <w:tcW w:w="1727" w:type="pct"/>
            <w:tcBorders>
              <w:top w:val="nil"/>
              <w:left w:val="nil"/>
              <w:bottom w:val="single" w:sz="4" w:space="0" w:color="auto"/>
              <w:right w:val="single" w:sz="4" w:space="0" w:color="auto"/>
            </w:tcBorders>
            <w:tcMar>
              <w:top w:w="15" w:type="dxa"/>
              <w:left w:w="15" w:type="dxa"/>
              <w:right w:w="15" w:type="dxa"/>
            </w:tcMar>
            <w:vAlign w:val="center"/>
          </w:tcPr>
          <w:p w14:paraId="452B6DA4"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 xml:space="preserve"> L                    92,804.00 </w:t>
            </w:r>
          </w:p>
        </w:tc>
        <w:tc>
          <w:tcPr>
            <w:tcW w:w="1214" w:type="pct"/>
            <w:tcBorders>
              <w:top w:val="nil"/>
              <w:left w:val="single" w:sz="4" w:space="0" w:color="auto"/>
              <w:bottom w:val="nil"/>
              <w:right w:val="nil"/>
            </w:tcBorders>
            <w:tcMar>
              <w:top w:w="15" w:type="dxa"/>
              <w:left w:w="15" w:type="dxa"/>
              <w:right w:w="15" w:type="dxa"/>
            </w:tcMar>
            <w:vAlign w:val="center"/>
          </w:tcPr>
          <w:p w14:paraId="2E1A0A04" w14:textId="77777777" w:rsidR="0033143E" w:rsidRPr="0076589C" w:rsidRDefault="0033143E" w:rsidP="00FB3CE4">
            <w:pPr>
              <w:spacing w:line="240" w:lineRule="auto"/>
              <w:jc w:val="center"/>
              <w:rPr>
                <w:rFonts w:asciiTheme="minorHAnsi" w:hAnsiTheme="minorHAnsi"/>
              </w:rPr>
            </w:pPr>
          </w:p>
        </w:tc>
      </w:tr>
      <w:tr w:rsidR="0033143E" w:rsidRPr="0076589C" w14:paraId="431105A6" w14:textId="77777777" w:rsidTr="00925E89">
        <w:trPr>
          <w:trHeight w:val="255"/>
          <w:jc w:val="center"/>
        </w:trPr>
        <w:tc>
          <w:tcPr>
            <w:tcW w:w="2059" w:type="pct"/>
            <w:tcBorders>
              <w:top w:val="single" w:sz="4" w:space="0" w:color="auto"/>
              <w:left w:val="single" w:sz="4" w:space="0" w:color="auto"/>
              <w:bottom w:val="nil"/>
              <w:right w:val="nil"/>
            </w:tcBorders>
            <w:tcMar>
              <w:top w:w="15" w:type="dxa"/>
              <w:left w:w="15" w:type="dxa"/>
              <w:right w:w="15" w:type="dxa"/>
            </w:tcMar>
            <w:vAlign w:val="center"/>
          </w:tcPr>
          <w:p w14:paraId="4D0970A3"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lastRenderedPageBreak/>
              <w:t>Pago</w:t>
            </w:r>
          </w:p>
        </w:tc>
        <w:tc>
          <w:tcPr>
            <w:tcW w:w="1727" w:type="pct"/>
            <w:tcBorders>
              <w:top w:val="single" w:sz="4" w:space="0" w:color="auto"/>
              <w:left w:val="nil"/>
              <w:bottom w:val="nil"/>
              <w:right w:val="single" w:sz="4" w:space="0" w:color="auto"/>
            </w:tcBorders>
            <w:tcMar>
              <w:top w:w="15" w:type="dxa"/>
              <w:left w:w="15" w:type="dxa"/>
              <w:right w:w="15" w:type="dxa"/>
            </w:tcMar>
            <w:vAlign w:val="center"/>
          </w:tcPr>
          <w:p w14:paraId="7E32FD6B"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 xml:space="preserve">-L                    37,934.48 </w:t>
            </w:r>
          </w:p>
        </w:tc>
        <w:tc>
          <w:tcPr>
            <w:tcW w:w="1214" w:type="pct"/>
            <w:tcBorders>
              <w:top w:val="nil"/>
              <w:left w:val="single" w:sz="4" w:space="0" w:color="auto"/>
              <w:bottom w:val="nil"/>
              <w:right w:val="nil"/>
            </w:tcBorders>
            <w:tcMar>
              <w:top w:w="15" w:type="dxa"/>
              <w:left w:w="15" w:type="dxa"/>
              <w:right w:w="15" w:type="dxa"/>
            </w:tcMar>
            <w:vAlign w:val="center"/>
          </w:tcPr>
          <w:p w14:paraId="0530FAC5" w14:textId="77777777" w:rsidR="0033143E" w:rsidRPr="0076589C" w:rsidRDefault="0033143E" w:rsidP="00FB3CE4">
            <w:pPr>
              <w:spacing w:line="240" w:lineRule="auto"/>
              <w:jc w:val="center"/>
              <w:rPr>
                <w:rFonts w:asciiTheme="minorHAnsi" w:hAnsiTheme="minorHAnsi"/>
              </w:rPr>
            </w:pPr>
          </w:p>
        </w:tc>
      </w:tr>
      <w:tr w:rsidR="0033143E" w:rsidRPr="0076589C" w14:paraId="4E560CFB" w14:textId="77777777" w:rsidTr="00FB3CE4">
        <w:trPr>
          <w:trHeight w:val="255"/>
          <w:jc w:val="center"/>
        </w:trPr>
        <w:tc>
          <w:tcPr>
            <w:tcW w:w="2059" w:type="pct"/>
            <w:tcBorders>
              <w:top w:val="nil"/>
              <w:left w:val="single" w:sz="4" w:space="0" w:color="auto"/>
              <w:bottom w:val="nil"/>
              <w:right w:val="nil"/>
            </w:tcBorders>
            <w:tcMar>
              <w:top w:w="15" w:type="dxa"/>
              <w:left w:w="15" w:type="dxa"/>
              <w:right w:w="15" w:type="dxa"/>
            </w:tcMar>
            <w:vAlign w:val="center"/>
          </w:tcPr>
          <w:p w14:paraId="7F127FFA"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Facturación octubre 2022</w:t>
            </w:r>
          </w:p>
        </w:tc>
        <w:tc>
          <w:tcPr>
            <w:tcW w:w="1727" w:type="pct"/>
            <w:tcBorders>
              <w:top w:val="nil"/>
              <w:left w:val="nil"/>
              <w:bottom w:val="nil"/>
              <w:right w:val="single" w:sz="4" w:space="0" w:color="auto"/>
            </w:tcBorders>
            <w:tcMar>
              <w:top w:w="15" w:type="dxa"/>
              <w:left w:w="15" w:type="dxa"/>
              <w:right w:w="15" w:type="dxa"/>
            </w:tcMar>
            <w:vAlign w:val="center"/>
          </w:tcPr>
          <w:p w14:paraId="03C48F63"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 xml:space="preserve"> L                    84,379.52 </w:t>
            </w:r>
          </w:p>
        </w:tc>
        <w:tc>
          <w:tcPr>
            <w:tcW w:w="1214" w:type="pct"/>
            <w:tcBorders>
              <w:top w:val="nil"/>
              <w:left w:val="single" w:sz="4" w:space="0" w:color="auto"/>
              <w:bottom w:val="nil"/>
              <w:right w:val="nil"/>
            </w:tcBorders>
            <w:tcMar>
              <w:top w:w="15" w:type="dxa"/>
              <w:left w:w="15" w:type="dxa"/>
              <w:right w:w="15" w:type="dxa"/>
            </w:tcMar>
            <w:vAlign w:val="center"/>
          </w:tcPr>
          <w:p w14:paraId="26BD7C4B" w14:textId="77777777" w:rsidR="0033143E" w:rsidRPr="0076589C" w:rsidRDefault="0033143E" w:rsidP="00FB3CE4">
            <w:pPr>
              <w:spacing w:line="240" w:lineRule="auto"/>
              <w:jc w:val="center"/>
              <w:rPr>
                <w:rFonts w:asciiTheme="minorHAnsi" w:hAnsiTheme="minorHAnsi"/>
              </w:rPr>
            </w:pPr>
          </w:p>
        </w:tc>
      </w:tr>
      <w:tr w:rsidR="0033143E" w:rsidRPr="0076589C" w14:paraId="172C9FE2" w14:textId="77777777" w:rsidTr="00FB3CE4">
        <w:trPr>
          <w:trHeight w:val="255"/>
          <w:jc w:val="center"/>
        </w:trPr>
        <w:tc>
          <w:tcPr>
            <w:tcW w:w="2059" w:type="pct"/>
            <w:tcBorders>
              <w:top w:val="nil"/>
              <w:left w:val="single" w:sz="4" w:space="0" w:color="auto"/>
              <w:bottom w:val="nil"/>
              <w:right w:val="nil"/>
            </w:tcBorders>
            <w:tcMar>
              <w:top w:w="15" w:type="dxa"/>
              <w:left w:w="15" w:type="dxa"/>
              <w:right w:w="15" w:type="dxa"/>
            </w:tcMar>
            <w:vAlign w:val="center"/>
          </w:tcPr>
          <w:p w14:paraId="563CDAD0"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Pago</w:t>
            </w:r>
          </w:p>
        </w:tc>
        <w:tc>
          <w:tcPr>
            <w:tcW w:w="1727" w:type="pct"/>
            <w:tcBorders>
              <w:top w:val="nil"/>
              <w:left w:val="nil"/>
              <w:bottom w:val="nil"/>
              <w:right w:val="single" w:sz="4" w:space="0" w:color="auto"/>
            </w:tcBorders>
            <w:tcMar>
              <w:top w:w="15" w:type="dxa"/>
              <w:left w:w="15" w:type="dxa"/>
              <w:right w:w="15" w:type="dxa"/>
            </w:tcMar>
            <w:vAlign w:val="center"/>
          </w:tcPr>
          <w:p w14:paraId="77A35166"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 xml:space="preserve">-L                    21,344.72 </w:t>
            </w:r>
          </w:p>
        </w:tc>
        <w:tc>
          <w:tcPr>
            <w:tcW w:w="1214" w:type="pct"/>
            <w:tcBorders>
              <w:top w:val="nil"/>
              <w:left w:val="single" w:sz="4" w:space="0" w:color="auto"/>
              <w:bottom w:val="nil"/>
              <w:right w:val="nil"/>
            </w:tcBorders>
            <w:tcMar>
              <w:top w:w="15" w:type="dxa"/>
              <w:left w:w="15" w:type="dxa"/>
              <w:right w:w="15" w:type="dxa"/>
            </w:tcMar>
            <w:vAlign w:val="center"/>
          </w:tcPr>
          <w:p w14:paraId="4F76AF37" w14:textId="77777777" w:rsidR="0033143E" w:rsidRPr="0076589C" w:rsidRDefault="0033143E" w:rsidP="00FB3CE4">
            <w:pPr>
              <w:spacing w:line="240" w:lineRule="auto"/>
              <w:jc w:val="center"/>
              <w:rPr>
                <w:rFonts w:asciiTheme="minorHAnsi" w:hAnsiTheme="minorHAnsi"/>
              </w:rPr>
            </w:pPr>
          </w:p>
        </w:tc>
      </w:tr>
      <w:tr w:rsidR="0033143E" w:rsidRPr="0076589C" w14:paraId="300B6E45" w14:textId="77777777" w:rsidTr="00FB3CE4">
        <w:trPr>
          <w:trHeight w:val="255"/>
          <w:jc w:val="center"/>
        </w:trPr>
        <w:tc>
          <w:tcPr>
            <w:tcW w:w="2059" w:type="pct"/>
            <w:tcBorders>
              <w:top w:val="nil"/>
              <w:left w:val="single" w:sz="4" w:space="0" w:color="auto"/>
              <w:bottom w:val="nil"/>
              <w:right w:val="nil"/>
            </w:tcBorders>
            <w:tcMar>
              <w:top w:w="15" w:type="dxa"/>
              <w:left w:w="15" w:type="dxa"/>
              <w:right w:w="15" w:type="dxa"/>
            </w:tcMar>
            <w:vAlign w:val="center"/>
          </w:tcPr>
          <w:p w14:paraId="25FE5ED8"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Facturación noviembre 2022</w:t>
            </w:r>
          </w:p>
        </w:tc>
        <w:tc>
          <w:tcPr>
            <w:tcW w:w="1727" w:type="pct"/>
            <w:tcBorders>
              <w:top w:val="nil"/>
              <w:left w:val="nil"/>
              <w:bottom w:val="nil"/>
              <w:right w:val="single" w:sz="4" w:space="0" w:color="auto"/>
            </w:tcBorders>
            <w:tcMar>
              <w:top w:w="15" w:type="dxa"/>
              <w:left w:w="15" w:type="dxa"/>
              <w:right w:w="15" w:type="dxa"/>
            </w:tcMar>
            <w:vAlign w:val="center"/>
          </w:tcPr>
          <w:p w14:paraId="2A8951B9"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 xml:space="preserve"> L                  134,296.67 </w:t>
            </w:r>
          </w:p>
        </w:tc>
        <w:tc>
          <w:tcPr>
            <w:tcW w:w="1214" w:type="pct"/>
            <w:tcBorders>
              <w:top w:val="nil"/>
              <w:left w:val="single" w:sz="4" w:space="0" w:color="auto"/>
              <w:bottom w:val="nil"/>
              <w:right w:val="nil"/>
            </w:tcBorders>
            <w:tcMar>
              <w:top w:w="15" w:type="dxa"/>
              <w:left w:w="15" w:type="dxa"/>
              <w:right w:w="15" w:type="dxa"/>
            </w:tcMar>
            <w:vAlign w:val="center"/>
          </w:tcPr>
          <w:p w14:paraId="7110E418" w14:textId="77777777" w:rsidR="0033143E" w:rsidRPr="0076589C" w:rsidRDefault="0033143E" w:rsidP="00FB3CE4">
            <w:pPr>
              <w:spacing w:line="240" w:lineRule="auto"/>
              <w:jc w:val="center"/>
              <w:rPr>
                <w:rFonts w:asciiTheme="minorHAnsi" w:hAnsiTheme="minorHAnsi"/>
              </w:rPr>
            </w:pPr>
          </w:p>
        </w:tc>
      </w:tr>
      <w:tr w:rsidR="0033143E" w:rsidRPr="0076589C" w14:paraId="2096A437" w14:textId="77777777" w:rsidTr="00FB3CE4">
        <w:trPr>
          <w:trHeight w:val="255"/>
          <w:jc w:val="center"/>
        </w:trPr>
        <w:tc>
          <w:tcPr>
            <w:tcW w:w="2059" w:type="pct"/>
            <w:tcBorders>
              <w:top w:val="nil"/>
              <w:left w:val="single" w:sz="4" w:space="0" w:color="auto"/>
              <w:bottom w:val="nil"/>
              <w:right w:val="nil"/>
            </w:tcBorders>
            <w:tcMar>
              <w:top w:w="15" w:type="dxa"/>
              <w:left w:w="15" w:type="dxa"/>
              <w:right w:w="15" w:type="dxa"/>
            </w:tcMar>
            <w:vAlign w:val="center"/>
          </w:tcPr>
          <w:p w14:paraId="41922927"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Pago</w:t>
            </w:r>
          </w:p>
        </w:tc>
        <w:tc>
          <w:tcPr>
            <w:tcW w:w="1727" w:type="pct"/>
            <w:tcBorders>
              <w:top w:val="nil"/>
              <w:left w:val="nil"/>
              <w:bottom w:val="nil"/>
              <w:right w:val="single" w:sz="4" w:space="0" w:color="auto"/>
            </w:tcBorders>
            <w:tcMar>
              <w:top w:w="15" w:type="dxa"/>
              <w:left w:w="15" w:type="dxa"/>
              <w:right w:w="15" w:type="dxa"/>
            </w:tcMar>
            <w:vAlign w:val="center"/>
          </w:tcPr>
          <w:p w14:paraId="1F41A013"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 xml:space="preserve">-L                  205,556.68 </w:t>
            </w:r>
          </w:p>
        </w:tc>
        <w:tc>
          <w:tcPr>
            <w:tcW w:w="1214" w:type="pct"/>
            <w:tcBorders>
              <w:top w:val="nil"/>
              <w:left w:val="single" w:sz="4" w:space="0" w:color="auto"/>
              <w:bottom w:val="nil"/>
              <w:right w:val="nil"/>
            </w:tcBorders>
            <w:tcMar>
              <w:top w:w="15" w:type="dxa"/>
              <w:left w:w="15" w:type="dxa"/>
              <w:right w:w="15" w:type="dxa"/>
            </w:tcMar>
            <w:vAlign w:val="center"/>
          </w:tcPr>
          <w:p w14:paraId="33A6C9C0" w14:textId="77777777" w:rsidR="0033143E" w:rsidRPr="0076589C" w:rsidRDefault="0033143E" w:rsidP="00FB3CE4">
            <w:pPr>
              <w:spacing w:line="240" w:lineRule="auto"/>
              <w:jc w:val="center"/>
              <w:rPr>
                <w:rFonts w:asciiTheme="minorHAnsi" w:hAnsiTheme="minorHAnsi"/>
              </w:rPr>
            </w:pPr>
          </w:p>
        </w:tc>
      </w:tr>
      <w:tr w:rsidR="0033143E" w:rsidRPr="0076589C" w14:paraId="3CC53A21" w14:textId="77777777" w:rsidTr="00FB3CE4">
        <w:trPr>
          <w:trHeight w:val="255"/>
          <w:jc w:val="center"/>
        </w:trPr>
        <w:tc>
          <w:tcPr>
            <w:tcW w:w="2059" w:type="pct"/>
            <w:tcBorders>
              <w:top w:val="nil"/>
              <w:left w:val="single" w:sz="4" w:space="0" w:color="auto"/>
              <w:bottom w:val="nil"/>
              <w:right w:val="nil"/>
            </w:tcBorders>
            <w:tcMar>
              <w:top w:w="15" w:type="dxa"/>
              <w:left w:w="15" w:type="dxa"/>
              <w:right w:w="15" w:type="dxa"/>
            </w:tcMar>
            <w:vAlign w:val="center"/>
          </w:tcPr>
          <w:p w14:paraId="4E26A72C"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Facturación diciembre 2022</w:t>
            </w:r>
          </w:p>
        </w:tc>
        <w:tc>
          <w:tcPr>
            <w:tcW w:w="1727" w:type="pct"/>
            <w:tcBorders>
              <w:top w:val="nil"/>
              <w:left w:val="nil"/>
              <w:bottom w:val="nil"/>
              <w:right w:val="single" w:sz="4" w:space="0" w:color="auto"/>
            </w:tcBorders>
            <w:tcMar>
              <w:top w:w="15" w:type="dxa"/>
              <w:left w:w="15" w:type="dxa"/>
              <w:right w:w="15" w:type="dxa"/>
            </w:tcMar>
            <w:vAlign w:val="center"/>
          </w:tcPr>
          <w:p w14:paraId="3BE830FB"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000000" w:themeColor="text1"/>
                <w:sz w:val="20"/>
                <w:szCs w:val="20"/>
              </w:rPr>
              <w:t xml:space="preserve"> L                    20,412.75 </w:t>
            </w:r>
          </w:p>
        </w:tc>
        <w:tc>
          <w:tcPr>
            <w:tcW w:w="1214" w:type="pct"/>
            <w:tcBorders>
              <w:top w:val="nil"/>
              <w:left w:val="single" w:sz="4" w:space="0" w:color="auto"/>
              <w:bottom w:val="nil"/>
              <w:right w:val="nil"/>
            </w:tcBorders>
            <w:tcMar>
              <w:top w:w="15" w:type="dxa"/>
              <w:left w:w="15" w:type="dxa"/>
              <w:right w:w="15" w:type="dxa"/>
            </w:tcMar>
            <w:vAlign w:val="center"/>
          </w:tcPr>
          <w:p w14:paraId="55ABD989" w14:textId="77777777" w:rsidR="0033143E" w:rsidRPr="0076589C" w:rsidRDefault="0033143E" w:rsidP="00FB3CE4">
            <w:pPr>
              <w:spacing w:line="240" w:lineRule="auto"/>
              <w:jc w:val="center"/>
              <w:rPr>
                <w:rFonts w:asciiTheme="minorHAnsi" w:hAnsiTheme="minorHAnsi"/>
              </w:rPr>
            </w:pPr>
          </w:p>
        </w:tc>
      </w:tr>
      <w:tr w:rsidR="0033143E" w:rsidRPr="0076589C" w14:paraId="0F563267" w14:textId="77777777" w:rsidTr="00FB3CE4">
        <w:trPr>
          <w:trHeight w:val="255"/>
          <w:jc w:val="center"/>
        </w:trPr>
        <w:tc>
          <w:tcPr>
            <w:tcW w:w="2059" w:type="pct"/>
            <w:tcBorders>
              <w:top w:val="nil"/>
              <w:left w:val="single" w:sz="4" w:space="0" w:color="auto"/>
              <w:bottom w:val="single" w:sz="4" w:space="0" w:color="auto"/>
              <w:right w:val="nil"/>
            </w:tcBorders>
            <w:tcMar>
              <w:top w:w="15" w:type="dxa"/>
              <w:left w:w="15" w:type="dxa"/>
              <w:right w:w="15" w:type="dxa"/>
            </w:tcMar>
            <w:vAlign w:val="center"/>
          </w:tcPr>
          <w:p w14:paraId="7553EA43"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Pago</w:t>
            </w:r>
          </w:p>
        </w:tc>
        <w:tc>
          <w:tcPr>
            <w:tcW w:w="1727" w:type="pct"/>
            <w:tcBorders>
              <w:top w:val="nil"/>
              <w:left w:val="nil"/>
              <w:bottom w:val="single" w:sz="4" w:space="0" w:color="auto"/>
              <w:right w:val="single" w:sz="4" w:space="0" w:color="auto"/>
            </w:tcBorders>
            <w:tcMar>
              <w:top w:w="15" w:type="dxa"/>
              <w:left w:w="15" w:type="dxa"/>
              <w:right w:w="15" w:type="dxa"/>
            </w:tcMar>
            <w:vAlign w:val="center"/>
          </w:tcPr>
          <w:p w14:paraId="2F4F0A39"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color w:val="FF0000"/>
                <w:sz w:val="20"/>
                <w:szCs w:val="20"/>
              </w:rPr>
              <w:t xml:space="preserve">-L                    91,589.34 </w:t>
            </w:r>
          </w:p>
        </w:tc>
        <w:tc>
          <w:tcPr>
            <w:tcW w:w="1214" w:type="pct"/>
            <w:tcBorders>
              <w:top w:val="nil"/>
              <w:left w:val="single" w:sz="4" w:space="0" w:color="auto"/>
              <w:bottom w:val="single" w:sz="4" w:space="0" w:color="auto"/>
              <w:right w:val="nil"/>
            </w:tcBorders>
            <w:tcMar>
              <w:top w:w="15" w:type="dxa"/>
              <w:left w:w="15" w:type="dxa"/>
              <w:right w:w="15" w:type="dxa"/>
            </w:tcMar>
            <w:vAlign w:val="center"/>
          </w:tcPr>
          <w:p w14:paraId="0647E62E" w14:textId="77777777" w:rsidR="0033143E" w:rsidRPr="0076589C" w:rsidRDefault="0033143E" w:rsidP="00FB3CE4">
            <w:pPr>
              <w:spacing w:line="240" w:lineRule="auto"/>
              <w:jc w:val="center"/>
              <w:rPr>
                <w:rFonts w:asciiTheme="minorHAnsi" w:hAnsiTheme="minorHAnsi"/>
              </w:rPr>
            </w:pPr>
          </w:p>
        </w:tc>
      </w:tr>
      <w:tr w:rsidR="0033143E" w:rsidRPr="0076589C" w14:paraId="656FED08" w14:textId="77777777" w:rsidTr="00FB3CE4">
        <w:trPr>
          <w:trHeight w:val="29"/>
          <w:jc w:val="center"/>
        </w:trPr>
        <w:tc>
          <w:tcPr>
            <w:tcW w:w="2059"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78D85C07" w14:textId="77777777" w:rsidR="0033143E" w:rsidRPr="0076589C" w:rsidRDefault="0033143E" w:rsidP="00FB3CE4">
            <w:pPr>
              <w:spacing w:line="240" w:lineRule="auto"/>
              <w:jc w:val="center"/>
              <w:rPr>
                <w:rFonts w:asciiTheme="minorHAnsi" w:hAnsiTheme="minorHAnsi"/>
              </w:rPr>
            </w:pPr>
          </w:p>
        </w:tc>
        <w:tc>
          <w:tcPr>
            <w:tcW w:w="1727"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1F4F64BE" w14:textId="77777777" w:rsidR="0033143E" w:rsidRPr="0076589C" w:rsidRDefault="0033143E" w:rsidP="00FB3CE4">
            <w:pPr>
              <w:spacing w:after="0" w:line="240" w:lineRule="auto"/>
              <w:jc w:val="center"/>
              <w:rPr>
                <w:rFonts w:asciiTheme="minorHAnsi" w:hAnsiTheme="minorHAnsi"/>
              </w:rPr>
            </w:pPr>
            <w:r w:rsidRPr="0076589C">
              <w:rPr>
                <w:rFonts w:asciiTheme="minorHAnsi" w:eastAsia="Arial" w:hAnsiTheme="minorHAnsi"/>
                <w:b/>
                <w:bCs/>
                <w:color w:val="000000" w:themeColor="text1"/>
                <w:sz w:val="20"/>
                <w:szCs w:val="20"/>
              </w:rPr>
              <w:t xml:space="preserve">-L                  269,532.25 </w:t>
            </w:r>
          </w:p>
        </w:tc>
        <w:tc>
          <w:tcPr>
            <w:tcW w:w="121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43D88B97" w14:textId="77777777" w:rsidR="0033143E" w:rsidRPr="0076589C" w:rsidRDefault="0033143E" w:rsidP="00FB3CE4">
            <w:pPr>
              <w:spacing w:after="0" w:line="240" w:lineRule="auto"/>
              <w:ind w:left="0"/>
              <w:jc w:val="center"/>
              <w:rPr>
                <w:rFonts w:asciiTheme="minorHAnsi" w:hAnsiTheme="minorHAnsi"/>
                <w:b/>
                <w:bCs/>
              </w:rPr>
            </w:pPr>
            <w:r w:rsidRPr="0076589C">
              <w:rPr>
                <w:rFonts w:asciiTheme="minorHAnsi" w:eastAsia="Arial" w:hAnsiTheme="minorHAnsi"/>
                <w:b/>
                <w:bCs/>
                <w:color w:val="000000" w:themeColor="text1"/>
                <w:sz w:val="20"/>
                <w:szCs w:val="20"/>
              </w:rPr>
              <w:t>Límite Disponible</w:t>
            </w:r>
          </w:p>
        </w:tc>
      </w:tr>
    </w:tbl>
    <w:p w14:paraId="56406F14" w14:textId="77777777" w:rsidR="0033143E" w:rsidRPr="0076589C" w:rsidRDefault="0033143E" w:rsidP="0033143E">
      <w:pPr>
        <w:pStyle w:val="Fuentes"/>
        <w:rPr>
          <w:lang w:val="es-HN"/>
        </w:rPr>
      </w:pPr>
      <w:r w:rsidRPr="0076589C">
        <w:rPr>
          <w:lang w:val="es-HN"/>
        </w:rPr>
        <w:t>Fuente: Elaboración propia con datos de IPRA (2023).</w:t>
      </w:r>
    </w:p>
    <w:p w14:paraId="00F22810" w14:textId="57C87796" w:rsidR="0033143E" w:rsidRPr="0076589C" w:rsidRDefault="0033143E" w:rsidP="0033143E">
      <w:pPr>
        <w:pStyle w:val="ImagenyTabla"/>
        <w:ind w:left="0"/>
        <w:rPr>
          <w:rFonts w:asciiTheme="minorHAnsi" w:hAnsiTheme="minorHAnsi" w:cstheme="minorBidi"/>
          <w:sz w:val="18"/>
          <w:szCs w:val="18"/>
        </w:rPr>
      </w:pPr>
      <w:r w:rsidRPr="0076589C">
        <w:t xml:space="preserve">Cálculo del límite de crédito en base a historial de compra del “Mercadito LC” </w:t>
      </w:r>
    </w:p>
    <w:tbl>
      <w:tblPr>
        <w:tblW w:w="5000" w:type="pct"/>
        <w:jc w:val="center"/>
        <w:tblLook w:val="06A0" w:firstRow="1" w:lastRow="0" w:firstColumn="1" w:lastColumn="0" w:noHBand="1" w:noVBand="1"/>
      </w:tblPr>
      <w:tblGrid>
        <w:gridCol w:w="4471"/>
        <w:gridCol w:w="4879"/>
      </w:tblGrid>
      <w:tr w:rsidR="0033143E" w:rsidRPr="0076589C" w14:paraId="798550A4" w14:textId="77777777" w:rsidTr="00FB3CE4">
        <w:trPr>
          <w:trHeight w:val="39"/>
          <w:jc w:val="center"/>
        </w:trPr>
        <w:tc>
          <w:tcPr>
            <w:tcW w:w="2391"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64F7A076" w14:textId="77777777" w:rsidR="0033143E" w:rsidRPr="0076589C" w:rsidRDefault="0033143E" w:rsidP="00FB3CE4">
            <w:pPr>
              <w:spacing w:after="0"/>
              <w:jc w:val="center"/>
              <w:rPr>
                <w:rFonts w:asciiTheme="minorHAnsi" w:hAnsiTheme="minorHAnsi"/>
                <w:sz w:val="18"/>
                <w:szCs w:val="18"/>
              </w:rPr>
            </w:pPr>
            <w:r w:rsidRPr="0076589C">
              <w:rPr>
                <w:rFonts w:asciiTheme="minorHAnsi" w:eastAsia="Arial" w:hAnsiTheme="minorHAnsi"/>
                <w:b/>
                <w:bCs/>
                <w:color w:val="000000" w:themeColor="text1"/>
                <w:sz w:val="18"/>
                <w:szCs w:val="18"/>
              </w:rPr>
              <w:t>Compras Históricas 2022</w:t>
            </w:r>
          </w:p>
        </w:tc>
        <w:tc>
          <w:tcPr>
            <w:tcW w:w="2609" w:type="pct"/>
            <w:tcBorders>
              <w:top w:val="single" w:sz="4" w:space="0" w:color="auto"/>
              <w:left w:val="single" w:sz="4" w:space="0" w:color="4472C4" w:themeColor="accent1"/>
              <w:bottom w:val="single" w:sz="4" w:space="0" w:color="auto"/>
              <w:right w:val="single" w:sz="4" w:space="0" w:color="auto"/>
            </w:tcBorders>
            <w:shd w:val="clear" w:color="auto" w:fill="C9E1EF"/>
            <w:tcMar>
              <w:top w:w="15" w:type="dxa"/>
              <w:left w:w="15" w:type="dxa"/>
              <w:right w:w="15" w:type="dxa"/>
            </w:tcMar>
            <w:vAlign w:val="center"/>
          </w:tcPr>
          <w:p w14:paraId="0AD3C6FB" w14:textId="77777777" w:rsidR="0033143E" w:rsidRPr="0076589C" w:rsidRDefault="0033143E" w:rsidP="00FB3CE4">
            <w:pPr>
              <w:spacing w:after="0"/>
              <w:jc w:val="center"/>
              <w:rPr>
                <w:rFonts w:asciiTheme="minorHAnsi" w:hAnsiTheme="minorHAnsi"/>
                <w:sz w:val="18"/>
                <w:szCs w:val="18"/>
              </w:rPr>
            </w:pPr>
            <w:r w:rsidRPr="0076589C">
              <w:rPr>
                <w:rFonts w:asciiTheme="minorHAnsi" w:eastAsia="Arial" w:hAnsiTheme="minorHAnsi"/>
                <w:b/>
                <w:bCs/>
                <w:color w:val="000000" w:themeColor="text1"/>
                <w:sz w:val="18"/>
                <w:szCs w:val="18"/>
              </w:rPr>
              <w:t xml:space="preserve">  L1,341,671.89  </w:t>
            </w:r>
          </w:p>
        </w:tc>
      </w:tr>
      <w:tr w:rsidR="0033143E" w:rsidRPr="0076589C" w14:paraId="77976D4E" w14:textId="77777777" w:rsidTr="00FB3CE4">
        <w:trPr>
          <w:trHeight w:val="39"/>
          <w:jc w:val="center"/>
        </w:trPr>
        <w:tc>
          <w:tcPr>
            <w:tcW w:w="2391"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A738C08" w14:textId="77777777" w:rsidR="0033143E" w:rsidRPr="0076589C" w:rsidRDefault="0033143E" w:rsidP="00FB3CE4">
            <w:pPr>
              <w:spacing w:after="0"/>
              <w:jc w:val="center"/>
              <w:rPr>
                <w:rFonts w:asciiTheme="minorHAnsi" w:hAnsiTheme="minorHAnsi"/>
                <w:sz w:val="18"/>
                <w:szCs w:val="18"/>
              </w:rPr>
            </w:pPr>
            <w:r w:rsidRPr="0076589C">
              <w:rPr>
                <w:rFonts w:asciiTheme="minorHAnsi" w:eastAsia="Arial" w:hAnsiTheme="minorHAnsi"/>
                <w:color w:val="000000" w:themeColor="text1"/>
                <w:sz w:val="18"/>
                <w:szCs w:val="18"/>
              </w:rPr>
              <w:t>Días pactados con el cliente</w:t>
            </w:r>
          </w:p>
        </w:tc>
        <w:tc>
          <w:tcPr>
            <w:tcW w:w="2609"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DCFCA7A" w14:textId="77777777" w:rsidR="0033143E" w:rsidRPr="0076589C" w:rsidRDefault="0033143E" w:rsidP="00FB3CE4">
            <w:pPr>
              <w:spacing w:after="0"/>
              <w:jc w:val="center"/>
              <w:rPr>
                <w:rFonts w:asciiTheme="minorHAnsi" w:hAnsiTheme="minorHAnsi"/>
                <w:sz w:val="18"/>
                <w:szCs w:val="18"/>
              </w:rPr>
            </w:pPr>
            <w:r w:rsidRPr="0076589C">
              <w:rPr>
                <w:rFonts w:asciiTheme="minorHAnsi" w:eastAsia="Arial" w:hAnsiTheme="minorHAnsi"/>
                <w:color w:val="000000" w:themeColor="text1"/>
                <w:sz w:val="18"/>
                <w:szCs w:val="18"/>
              </w:rPr>
              <w:t>375</w:t>
            </w:r>
          </w:p>
        </w:tc>
      </w:tr>
      <w:tr w:rsidR="0033143E" w:rsidRPr="0076589C" w14:paraId="77452A6D" w14:textId="77777777" w:rsidTr="00FB3CE4">
        <w:trPr>
          <w:trHeight w:val="255"/>
          <w:jc w:val="center"/>
        </w:trPr>
        <w:tc>
          <w:tcPr>
            <w:tcW w:w="2391"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7493204" w14:textId="77777777" w:rsidR="0033143E" w:rsidRPr="0076589C" w:rsidRDefault="0033143E" w:rsidP="00FB3CE4">
            <w:pPr>
              <w:spacing w:after="0"/>
              <w:jc w:val="center"/>
              <w:rPr>
                <w:rFonts w:asciiTheme="minorHAnsi" w:hAnsiTheme="minorHAnsi"/>
                <w:sz w:val="18"/>
                <w:szCs w:val="18"/>
              </w:rPr>
            </w:pPr>
            <w:r w:rsidRPr="0076589C">
              <w:rPr>
                <w:rFonts w:asciiTheme="minorHAnsi" w:eastAsia="Arial" w:hAnsiTheme="minorHAnsi"/>
                <w:color w:val="000000" w:themeColor="text1"/>
                <w:sz w:val="18"/>
                <w:szCs w:val="18"/>
              </w:rPr>
              <w:t>Año Financiero</w:t>
            </w:r>
          </w:p>
        </w:tc>
        <w:tc>
          <w:tcPr>
            <w:tcW w:w="2609"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E106D7E" w14:textId="77777777" w:rsidR="0033143E" w:rsidRPr="0076589C" w:rsidRDefault="0033143E" w:rsidP="00FB3CE4">
            <w:pPr>
              <w:spacing w:after="0"/>
              <w:jc w:val="center"/>
              <w:rPr>
                <w:rFonts w:asciiTheme="minorHAnsi" w:hAnsiTheme="minorHAnsi"/>
                <w:sz w:val="18"/>
                <w:szCs w:val="18"/>
              </w:rPr>
            </w:pPr>
            <w:r w:rsidRPr="0076589C">
              <w:rPr>
                <w:rFonts w:asciiTheme="minorHAnsi" w:eastAsia="Arial" w:hAnsiTheme="minorHAnsi"/>
                <w:color w:val="000000" w:themeColor="text1"/>
                <w:sz w:val="18"/>
                <w:szCs w:val="18"/>
              </w:rPr>
              <w:t>360</w:t>
            </w:r>
          </w:p>
        </w:tc>
      </w:tr>
      <w:tr w:rsidR="0033143E" w:rsidRPr="0076589C" w14:paraId="2D380862" w14:textId="77777777" w:rsidTr="00FB3CE4">
        <w:trPr>
          <w:trHeight w:val="234"/>
          <w:jc w:val="center"/>
        </w:trPr>
        <w:tc>
          <w:tcPr>
            <w:tcW w:w="2391"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33798585" w14:textId="77777777" w:rsidR="0033143E" w:rsidRPr="0076589C" w:rsidRDefault="0033143E" w:rsidP="00FB3CE4">
            <w:pPr>
              <w:spacing w:after="0"/>
              <w:jc w:val="center"/>
              <w:rPr>
                <w:rFonts w:asciiTheme="minorHAnsi" w:hAnsiTheme="minorHAnsi"/>
                <w:sz w:val="18"/>
                <w:szCs w:val="18"/>
              </w:rPr>
            </w:pPr>
            <w:r w:rsidRPr="0076589C">
              <w:rPr>
                <w:rFonts w:asciiTheme="minorHAnsi" w:eastAsia="Arial" w:hAnsiTheme="minorHAnsi"/>
                <w:color w:val="000000" w:themeColor="text1"/>
                <w:sz w:val="18"/>
                <w:szCs w:val="18"/>
              </w:rPr>
              <w:t>Crédito Cliente</w:t>
            </w:r>
          </w:p>
        </w:tc>
        <w:tc>
          <w:tcPr>
            <w:tcW w:w="2609"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80404C6" w14:textId="77777777" w:rsidR="0033143E" w:rsidRPr="0076589C" w:rsidRDefault="0033143E" w:rsidP="00FB3CE4">
            <w:pPr>
              <w:spacing w:after="0"/>
              <w:jc w:val="center"/>
              <w:rPr>
                <w:rFonts w:asciiTheme="minorHAnsi" w:hAnsiTheme="minorHAnsi"/>
                <w:sz w:val="18"/>
                <w:szCs w:val="18"/>
              </w:rPr>
            </w:pPr>
            <w:r w:rsidRPr="0076589C">
              <w:rPr>
                <w:rFonts w:asciiTheme="minorHAnsi" w:eastAsia="Arial" w:hAnsiTheme="minorHAnsi"/>
                <w:color w:val="000000" w:themeColor="text1"/>
                <w:sz w:val="18"/>
                <w:szCs w:val="18"/>
              </w:rPr>
              <w:t xml:space="preserve"> L                1,397,574.89 </w:t>
            </w:r>
          </w:p>
        </w:tc>
      </w:tr>
      <w:tr w:rsidR="0033143E" w:rsidRPr="0076589C" w14:paraId="0FE71BFE" w14:textId="77777777" w:rsidTr="00FB3CE4">
        <w:trPr>
          <w:trHeight w:val="39"/>
          <w:jc w:val="center"/>
        </w:trPr>
        <w:tc>
          <w:tcPr>
            <w:tcW w:w="2391"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59A65305" w14:textId="77777777" w:rsidR="0033143E" w:rsidRPr="0076589C" w:rsidRDefault="0033143E" w:rsidP="00FB3CE4">
            <w:pPr>
              <w:spacing w:after="0"/>
              <w:jc w:val="center"/>
              <w:rPr>
                <w:rFonts w:asciiTheme="minorHAnsi" w:hAnsiTheme="minorHAnsi"/>
                <w:b/>
                <w:bCs/>
                <w:sz w:val="18"/>
                <w:szCs w:val="18"/>
              </w:rPr>
            </w:pPr>
            <w:r w:rsidRPr="0076589C">
              <w:rPr>
                <w:rFonts w:asciiTheme="minorHAnsi" w:eastAsia="Arial" w:hAnsiTheme="minorHAnsi"/>
                <w:b/>
                <w:bCs/>
                <w:sz w:val="18"/>
                <w:szCs w:val="18"/>
              </w:rPr>
              <w:t>Índice Correctivo de previsión de incremento de ventas</w:t>
            </w:r>
          </w:p>
        </w:tc>
        <w:tc>
          <w:tcPr>
            <w:tcW w:w="2609"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5CCBC23A" w14:textId="77777777" w:rsidR="0033143E" w:rsidRPr="0076589C" w:rsidRDefault="0033143E" w:rsidP="00FB3CE4">
            <w:pPr>
              <w:spacing w:after="0"/>
              <w:jc w:val="center"/>
              <w:rPr>
                <w:rFonts w:asciiTheme="minorHAnsi" w:hAnsiTheme="minorHAnsi"/>
                <w:b/>
                <w:bCs/>
                <w:sz w:val="18"/>
                <w:szCs w:val="18"/>
              </w:rPr>
            </w:pPr>
            <w:r w:rsidRPr="0076589C">
              <w:rPr>
                <w:rFonts w:asciiTheme="minorHAnsi" w:eastAsia="Arial" w:hAnsiTheme="minorHAnsi"/>
                <w:b/>
                <w:bCs/>
                <w:sz w:val="18"/>
                <w:szCs w:val="18"/>
              </w:rPr>
              <w:t xml:space="preserve"> L                1,537,332.37</w:t>
            </w:r>
          </w:p>
        </w:tc>
      </w:tr>
    </w:tbl>
    <w:p w14:paraId="3029887C" w14:textId="77777777" w:rsidR="0033143E" w:rsidRPr="0076589C" w:rsidRDefault="0033143E" w:rsidP="0033143E">
      <w:pPr>
        <w:pStyle w:val="Fuentes"/>
        <w:rPr>
          <w:lang w:val="es-HN"/>
        </w:rPr>
      </w:pPr>
      <w:r w:rsidRPr="0076589C">
        <w:rPr>
          <w:lang w:val="es-HN"/>
        </w:rPr>
        <w:t>Fuente: Elaboración propia con datos de IPRA (2023).</w:t>
      </w:r>
    </w:p>
    <w:p w14:paraId="66C02946" w14:textId="50F66FBB" w:rsidR="0033143E" w:rsidRPr="0076589C" w:rsidRDefault="0033143E" w:rsidP="0033143E">
      <w:pPr>
        <w:ind w:left="0"/>
        <w:rPr>
          <w:b/>
          <w:bCs/>
        </w:rPr>
      </w:pPr>
      <w:r w:rsidRPr="0076589C">
        <w:rPr>
          <w:b/>
        </w:rPr>
        <w:t xml:space="preserve">Anexo 6. Análisis del límite de crédito </w:t>
      </w:r>
      <w:r w:rsidR="00925E89" w:rsidRPr="0076589C">
        <w:rPr>
          <w:b/>
        </w:rPr>
        <w:t xml:space="preserve">del cliente </w:t>
      </w:r>
      <w:r w:rsidRPr="0076589C">
        <w:rPr>
          <w:b/>
        </w:rPr>
        <w:t>Farmacia Q</w:t>
      </w:r>
      <w:r w:rsidRPr="0076589C">
        <w:rPr>
          <w:b/>
          <w:bCs/>
        </w:rPr>
        <w:t xml:space="preserve"> </w:t>
      </w:r>
    </w:p>
    <w:tbl>
      <w:tblPr>
        <w:tblW w:w="5000" w:type="pct"/>
        <w:jc w:val="center"/>
        <w:tblLook w:val="06A0" w:firstRow="1" w:lastRow="0" w:firstColumn="1" w:lastColumn="0" w:noHBand="1" w:noVBand="1"/>
      </w:tblPr>
      <w:tblGrid>
        <w:gridCol w:w="3752"/>
        <w:gridCol w:w="3332"/>
        <w:gridCol w:w="2271"/>
      </w:tblGrid>
      <w:tr w:rsidR="0033143E" w:rsidRPr="0076589C" w14:paraId="0FC7A528" w14:textId="77777777" w:rsidTr="00FB3CE4">
        <w:trPr>
          <w:trHeight w:val="39"/>
          <w:jc w:val="center"/>
        </w:trPr>
        <w:tc>
          <w:tcPr>
            <w:tcW w:w="2005"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040A0CCB"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Calibri" w:hAnsiTheme="minorHAnsi"/>
                <w:b/>
                <w:bCs/>
                <w:color w:val="000000" w:themeColor="text1"/>
                <w:sz w:val="20"/>
                <w:szCs w:val="20"/>
              </w:rPr>
              <w:t>Cliente</w:t>
            </w:r>
          </w:p>
        </w:tc>
        <w:tc>
          <w:tcPr>
            <w:tcW w:w="1781" w:type="pc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0997096" w14:textId="77777777" w:rsidR="0033143E" w:rsidRPr="0076589C" w:rsidRDefault="0033143E" w:rsidP="00FB3CE4">
            <w:pPr>
              <w:spacing w:after="0"/>
              <w:ind w:left="0"/>
              <w:jc w:val="center"/>
              <w:rPr>
                <w:rFonts w:asciiTheme="minorHAnsi" w:eastAsia="Arial" w:hAnsiTheme="minorHAnsi"/>
                <w:color w:val="000000" w:themeColor="text1"/>
                <w:sz w:val="20"/>
                <w:szCs w:val="20"/>
              </w:rPr>
            </w:pPr>
            <w:r w:rsidRPr="0076589C">
              <w:rPr>
                <w:rFonts w:asciiTheme="minorHAnsi" w:eastAsia="Arial" w:hAnsiTheme="minorHAnsi"/>
                <w:color w:val="000000" w:themeColor="text1"/>
                <w:sz w:val="20"/>
                <w:szCs w:val="20"/>
              </w:rPr>
              <w:t>Farmacia Q</w:t>
            </w:r>
          </w:p>
        </w:tc>
        <w:tc>
          <w:tcPr>
            <w:tcW w:w="1214" w:type="pct"/>
            <w:tcBorders>
              <w:top w:val="nil"/>
              <w:left w:val="single" w:sz="4" w:space="0" w:color="auto"/>
              <w:bottom w:val="nil"/>
              <w:right w:val="nil"/>
            </w:tcBorders>
            <w:tcMar>
              <w:top w:w="15" w:type="dxa"/>
              <w:left w:w="15" w:type="dxa"/>
              <w:right w:w="15" w:type="dxa"/>
            </w:tcMar>
            <w:vAlign w:val="center"/>
          </w:tcPr>
          <w:p w14:paraId="6980DDBE" w14:textId="77777777" w:rsidR="0033143E" w:rsidRPr="0076589C" w:rsidRDefault="0033143E" w:rsidP="00FB3CE4">
            <w:pPr>
              <w:jc w:val="center"/>
              <w:rPr>
                <w:rFonts w:asciiTheme="minorHAnsi" w:hAnsiTheme="minorHAnsi"/>
                <w:sz w:val="20"/>
                <w:szCs w:val="20"/>
              </w:rPr>
            </w:pPr>
          </w:p>
        </w:tc>
      </w:tr>
      <w:tr w:rsidR="0033143E" w:rsidRPr="0076589C" w14:paraId="2A0BAAC0" w14:textId="77777777" w:rsidTr="00FB3CE4">
        <w:trPr>
          <w:trHeight w:val="39"/>
          <w:jc w:val="center"/>
        </w:trPr>
        <w:tc>
          <w:tcPr>
            <w:tcW w:w="2005"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7917AEEB"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Calibri" w:hAnsiTheme="minorHAnsi"/>
                <w:b/>
                <w:bCs/>
                <w:color w:val="000000" w:themeColor="text1"/>
                <w:sz w:val="20"/>
                <w:szCs w:val="20"/>
              </w:rPr>
              <w:t>Días de Crédito Otorgados</w:t>
            </w:r>
          </w:p>
        </w:tc>
        <w:tc>
          <w:tcPr>
            <w:tcW w:w="1781" w:type="pc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C9E60D7"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30</w:t>
            </w:r>
          </w:p>
        </w:tc>
        <w:tc>
          <w:tcPr>
            <w:tcW w:w="1214" w:type="pct"/>
            <w:tcBorders>
              <w:top w:val="nil"/>
              <w:left w:val="single" w:sz="4" w:space="0" w:color="auto"/>
              <w:bottom w:val="nil"/>
              <w:right w:val="nil"/>
            </w:tcBorders>
            <w:tcMar>
              <w:top w:w="15" w:type="dxa"/>
              <w:left w:w="15" w:type="dxa"/>
              <w:right w:w="15" w:type="dxa"/>
            </w:tcMar>
            <w:vAlign w:val="center"/>
          </w:tcPr>
          <w:p w14:paraId="02F5C823" w14:textId="77777777" w:rsidR="0033143E" w:rsidRPr="0076589C" w:rsidRDefault="0033143E" w:rsidP="00FB3CE4">
            <w:pPr>
              <w:jc w:val="center"/>
              <w:rPr>
                <w:rFonts w:asciiTheme="minorHAnsi" w:hAnsiTheme="minorHAnsi"/>
                <w:sz w:val="20"/>
                <w:szCs w:val="20"/>
              </w:rPr>
            </w:pPr>
          </w:p>
        </w:tc>
      </w:tr>
      <w:tr w:rsidR="0033143E" w:rsidRPr="0076589C" w14:paraId="0CC1D0B0" w14:textId="77777777" w:rsidTr="00FB3CE4">
        <w:trPr>
          <w:trHeight w:val="39"/>
          <w:jc w:val="center"/>
        </w:trPr>
        <w:tc>
          <w:tcPr>
            <w:tcW w:w="2005"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1CA25EE5"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Calibri" w:hAnsiTheme="minorHAnsi"/>
                <w:b/>
                <w:bCs/>
                <w:color w:val="000000" w:themeColor="text1"/>
                <w:sz w:val="20"/>
                <w:szCs w:val="20"/>
              </w:rPr>
              <w:t>Límite de Crédito Otorgado</w:t>
            </w:r>
          </w:p>
        </w:tc>
        <w:tc>
          <w:tcPr>
            <w:tcW w:w="1781" w:type="pc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C1F4B30"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230,000.00 </w:t>
            </w:r>
          </w:p>
        </w:tc>
        <w:tc>
          <w:tcPr>
            <w:tcW w:w="1214" w:type="pct"/>
            <w:tcBorders>
              <w:top w:val="nil"/>
              <w:left w:val="single" w:sz="4" w:space="0" w:color="auto"/>
              <w:bottom w:val="nil"/>
              <w:right w:val="nil"/>
            </w:tcBorders>
            <w:tcMar>
              <w:top w:w="15" w:type="dxa"/>
              <w:left w:w="15" w:type="dxa"/>
              <w:right w:w="15" w:type="dxa"/>
            </w:tcMar>
            <w:vAlign w:val="center"/>
          </w:tcPr>
          <w:p w14:paraId="77943BAA" w14:textId="77777777" w:rsidR="0033143E" w:rsidRPr="0076589C" w:rsidRDefault="0033143E" w:rsidP="00FB3CE4">
            <w:pPr>
              <w:jc w:val="center"/>
              <w:rPr>
                <w:rFonts w:asciiTheme="minorHAnsi" w:hAnsiTheme="minorHAnsi"/>
                <w:sz w:val="20"/>
                <w:szCs w:val="20"/>
              </w:rPr>
            </w:pPr>
          </w:p>
        </w:tc>
      </w:tr>
      <w:tr w:rsidR="0033143E" w:rsidRPr="0076589C" w14:paraId="58DA4D2F" w14:textId="77777777" w:rsidTr="00FB3CE4">
        <w:trPr>
          <w:trHeight w:val="255"/>
          <w:jc w:val="center"/>
        </w:trPr>
        <w:tc>
          <w:tcPr>
            <w:tcW w:w="2005" w:type="pct"/>
            <w:tcBorders>
              <w:top w:val="single" w:sz="4" w:space="0" w:color="auto"/>
              <w:left w:val="nil"/>
              <w:bottom w:val="single" w:sz="4" w:space="0" w:color="auto"/>
              <w:right w:val="nil"/>
            </w:tcBorders>
            <w:tcMar>
              <w:top w:w="15" w:type="dxa"/>
              <w:left w:w="15" w:type="dxa"/>
              <w:right w:w="15" w:type="dxa"/>
            </w:tcMar>
            <w:vAlign w:val="center"/>
          </w:tcPr>
          <w:p w14:paraId="026FA105" w14:textId="77777777" w:rsidR="0033143E" w:rsidRPr="0076589C" w:rsidRDefault="0033143E" w:rsidP="00925E89">
            <w:pPr>
              <w:spacing w:after="0"/>
              <w:jc w:val="center"/>
              <w:rPr>
                <w:rFonts w:asciiTheme="minorHAnsi" w:hAnsiTheme="minorHAnsi"/>
                <w:sz w:val="20"/>
                <w:szCs w:val="20"/>
              </w:rPr>
            </w:pPr>
          </w:p>
        </w:tc>
        <w:tc>
          <w:tcPr>
            <w:tcW w:w="1781" w:type="pct"/>
            <w:tcBorders>
              <w:top w:val="single" w:sz="4" w:space="0" w:color="auto"/>
              <w:left w:val="nil"/>
              <w:bottom w:val="single" w:sz="4" w:space="0" w:color="auto"/>
              <w:right w:val="nil"/>
            </w:tcBorders>
            <w:tcMar>
              <w:top w:w="15" w:type="dxa"/>
              <w:left w:w="15" w:type="dxa"/>
              <w:right w:w="15" w:type="dxa"/>
            </w:tcMar>
            <w:vAlign w:val="center"/>
          </w:tcPr>
          <w:p w14:paraId="0F80EF52" w14:textId="77777777" w:rsidR="0033143E" w:rsidRPr="0076589C" w:rsidRDefault="0033143E" w:rsidP="00FB3CE4">
            <w:pPr>
              <w:jc w:val="center"/>
              <w:rPr>
                <w:rFonts w:asciiTheme="minorHAnsi" w:hAnsiTheme="minorHAnsi"/>
                <w:sz w:val="20"/>
                <w:szCs w:val="20"/>
              </w:rPr>
            </w:pPr>
          </w:p>
        </w:tc>
        <w:tc>
          <w:tcPr>
            <w:tcW w:w="1214" w:type="pct"/>
            <w:tcBorders>
              <w:top w:val="nil"/>
              <w:left w:val="nil"/>
              <w:bottom w:val="nil"/>
              <w:right w:val="nil"/>
            </w:tcBorders>
            <w:tcMar>
              <w:top w:w="15" w:type="dxa"/>
              <w:left w:w="15" w:type="dxa"/>
              <w:right w:w="15" w:type="dxa"/>
            </w:tcMar>
            <w:vAlign w:val="center"/>
          </w:tcPr>
          <w:p w14:paraId="6069E09A" w14:textId="77777777" w:rsidR="0033143E" w:rsidRPr="0076589C" w:rsidRDefault="0033143E" w:rsidP="00FB3CE4">
            <w:pPr>
              <w:jc w:val="center"/>
              <w:rPr>
                <w:rFonts w:asciiTheme="minorHAnsi" w:hAnsiTheme="minorHAnsi"/>
                <w:sz w:val="20"/>
                <w:szCs w:val="20"/>
              </w:rPr>
            </w:pPr>
          </w:p>
        </w:tc>
      </w:tr>
      <w:tr w:rsidR="0033143E" w:rsidRPr="0076589C" w14:paraId="4072F3D8" w14:textId="77777777" w:rsidTr="00FB3CE4">
        <w:trPr>
          <w:trHeight w:val="255"/>
          <w:jc w:val="center"/>
        </w:trPr>
        <w:tc>
          <w:tcPr>
            <w:tcW w:w="2005"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49CFEABA"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b/>
                <w:bCs/>
                <w:color w:val="000000" w:themeColor="text1"/>
                <w:sz w:val="20"/>
                <w:szCs w:val="20"/>
              </w:rPr>
              <w:t xml:space="preserve">Límite de crédito otorgado </w:t>
            </w:r>
          </w:p>
        </w:tc>
        <w:tc>
          <w:tcPr>
            <w:tcW w:w="1781"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486CB591"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b/>
                <w:bCs/>
                <w:color w:val="000000" w:themeColor="text1"/>
                <w:sz w:val="20"/>
                <w:szCs w:val="20"/>
              </w:rPr>
              <w:t>-L              230,000.00</w:t>
            </w:r>
            <w:r w:rsidRPr="0076589C">
              <w:rPr>
                <w:rFonts w:asciiTheme="minorHAnsi" w:eastAsia="Arial" w:hAnsiTheme="minorHAnsi"/>
                <w:color w:val="000000" w:themeColor="text1"/>
                <w:sz w:val="20"/>
                <w:szCs w:val="20"/>
              </w:rPr>
              <w:t xml:space="preserve"> </w:t>
            </w:r>
          </w:p>
        </w:tc>
        <w:tc>
          <w:tcPr>
            <w:tcW w:w="1214" w:type="pct"/>
            <w:tcBorders>
              <w:top w:val="nil"/>
              <w:left w:val="single" w:sz="4" w:space="0" w:color="auto"/>
              <w:bottom w:val="nil"/>
              <w:right w:val="nil"/>
            </w:tcBorders>
            <w:tcMar>
              <w:top w:w="15" w:type="dxa"/>
              <w:left w:w="15" w:type="dxa"/>
              <w:right w:w="15" w:type="dxa"/>
            </w:tcMar>
            <w:vAlign w:val="center"/>
          </w:tcPr>
          <w:p w14:paraId="0D7E46E8" w14:textId="77777777" w:rsidR="0033143E" w:rsidRPr="0076589C" w:rsidRDefault="0033143E" w:rsidP="00FB3CE4">
            <w:pPr>
              <w:jc w:val="center"/>
              <w:rPr>
                <w:rFonts w:asciiTheme="minorHAnsi" w:hAnsiTheme="minorHAnsi"/>
                <w:sz w:val="20"/>
                <w:szCs w:val="20"/>
              </w:rPr>
            </w:pPr>
          </w:p>
        </w:tc>
      </w:tr>
      <w:tr w:rsidR="0033143E" w:rsidRPr="0076589C" w14:paraId="1FF11974" w14:textId="77777777" w:rsidTr="00FB3CE4">
        <w:trPr>
          <w:trHeight w:val="255"/>
          <w:jc w:val="center"/>
        </w:trPr>
        <w:tc>
          <w:tcPr>
            <w:tcW w:w="2005" w:type="pct"/>
            <w:tcBorders>
              <w:top w:val="single" w:sz="4" w:space="0" w:color="auto"/>
              <w:left w:val="single" w:sz="4" w:space="0" w:color="auto"/>
              <w:bottom w:val="nil"/>
              <w:right w:val="nil"/>
            </w:tcBorders>
            <w:tcMar>
              <w:top w:w="15" w:type="dxa"/>
              <w:left w:w="15" w:type="dxa"/>
              <w:right w:w="15" w:type="dxa"/>
            </w:tcMar>
            <w:vAlign w:val="center"/>
          </w:tcPr>
          <w:p w14:paraId="15017CD7"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Saldo pendiente de cobro dic 2021</w:t>
            </w:r>
          </w:p>
        </w:tc>
        <w:tc>
          <w:tcPr>
            <w:tcW w:w="1781" w:type="pct"/>
            <w:tcBorders>
              <w:top w:val="single" w:sz="4" w:space="0" w:color="auto"/>
              <w:left w:val="nil"/>
              <w:bottom w:val="nil"/>
              <w:right w:val="single" w:sz="4" w:space="0" w:color="auto"/>
            </w:tcBorders>
            <w:shd w:val="clear" w:color="auto" w:fill="FFFFFF" w:themeFill="background1"/>
            <w:tcMar>
              <w:top w:w="15" w:type="dxa"/>
              <w:left w:w="15" w:type="dxa"/>
              <w:right w:w="15" w:type="dxa"/>
            </w:tcMar>
            <w:vAlign w:val="center"/>
          </w:tcPr>
          <w:p w14:paraId="751EEFA3"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251,359.06 </w:t>
            </w:r>
          </w:p>
        </w:tc>
        <w:tc>
          <w:tcPr>
            <w:tcW w:w="1214" w:type="pct"/>
            <w:tcBorders>
              <w:top w:val="nil"/>
              <w:left w:val="single" w:sz="4" w:space="0" w:color="auto"/>
              <w:bottom w:val="nil"/>
              <w:right w:val="nil"/>
            </w:tcBorders>
            <w:shd w:val="clear" w:color="auto" w:fill="FFFFFF" w:themeFill="background1"/>
            <w:tcMar>
              <w:top w:w="15" w:type="dxa"/>
              <w:left w:w="15" w:type="dxa"/>
              <w:right w:w="15" w:type="dxa"/>
            </w:tcMar>
            <w:vAlign w:val="center"/>
          </w:tcPr>
          <w:p w14:paraId="3EDC2E82"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w:t>
            </w:r>
          </w:p>
        </w:tc>
      </w:tr>
      <w:tr w:rsidR="0033143E" w:rsidRPr="0076589C" w14:paraId="2AD6954C" w14:textId="77777777" w:rsidTr="00FB3CE4">
        <w:trPr>
          <w:trHeight w:val="255"/>
          <w:jc w:val="center"/>
        </w:trPr>
        <w:tc>
          <w:tcPr>
            <w:tcW w:w="2005" w:type="pct"/>
            <w:tcBorders>
              <w:top w:val="nil"/>
              <w:left w:val="single" w:sz="4" w:space="0" w:color="auto"/>
              <w:bottom w:val="nil"/>
              <w:right w:val="nil"/>
            </w:tcBorders>
            <w:tcMar>
              <w:top w:w="15" w:type="dxa"/>
              <w:left w:w="15" w:type="dxa"/>
              <w:right w:w="15" w:type="dxa"/>
            </w:tcMar>
            <w:vAlign w:val="center"/>
          </w:tcPr>
          <w:p w14:paraId="7F6A4403"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enero 2022</w:t>
            </w:r>
          </w:p>
        </w:tc>
        <w:tc>
          <w:tcPr>
            <w:tcW w:w="1781"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2AC0353B"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298,474.76 </w:t>
            </w:r>
          </w:p>
        </w:tc>
        <w:tc>
          <w:tcPr>
            <w:tcW w:w="1214" w:type="pct"/>
            <w:tcBorders>
              <w:top w:val="nil"/>
              <w:left w:val="single" w:sz="4" w:space="0" w:color="auto"/>
              <w:bottom w:val="nil"/>
              <w:right w:val="nil"/>
            </w:tcBorders>
            <w:shd w:val="clear" w:color="auto" w:fill="FFFFFF" w:themeFill="background1"/>
            <w:tcMar>
              <w:top w:w="15" w:type="dxa"/>
              <w:left w:w="15" w:type="dxa"/>
              <w:right w:w="15" w:type="dxa"/>
            </w:tcMar>
            <w:vAlign w:val="center"/>
          </w:tcPr>
          <w:p w14:paraId="2AC6E1F1"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w:t>
            </w:r>
          </w:p>
        </w:tc>
      </w:tr>
      <w:tr w:rsidR="0033143E" w:rsidRPr="0076589C" w14:paraId="5BF4AE34" w14:textId="77777777" w:rsidTr="00FB3CE4">
        <w:trPr>
          <w:trHeight w:val="255"/>
          <w:jc w:val="center"/>
        </w:trPr>
        <w:tc>
          <w:tcPr>
            <w:tcW w:w="2005" w:type="pct"/>
            <w:tcBorders>
              <w:top w:val="nil"/>
              <w:left w:val="single" w:sz="4" w:space="0" w:color="auto"/>
              <w:bottom w:val="single" w:sz="4" w:space="0" w:color="auto"/>
              <w:right w:val="nil"/>
            </w:tcBorders>
            <w:tcMar>
              <w:top w:w="15" w:type="dxa"/>
              <w:left w:w="15" w:type="dxa"/>
              <w:right w:w="15" w:type="dxa"/>
            </w:tcMar>
            <w:vAlign w:val="center"/>
          </w:tcPr>
          <w:p w14:paraId="052A47AD"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81" w:type="pct"/>
            <w:tcBorders>
              <w:top w:val="nil"/>
              <w:left w:val="nil"/>
              <w:bottom w:val="single" w:sz="4" w:space="0" w:color="auto"/>
              <w:right w:val="single" w:sz="4" w:space="0" w:color="auto"/>
            </w:tcBorders>
            <w:tcMar>
              <w:top w:w="15" w:type="dxa"/>
              <w:left w:w="15" w:type="dxa"/>
              <w:right w:w="15" w:type="dxa"/>
            </w:tcMar>
            <w:vAlign w:val="center"/>
          </w:tcPr>
          <w:p w14:paraId="420C5AC4"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114,970.95 </w:t>
            </w:r>
          </w:p>
        </w:tc>
        <w:tc>
          <w:tcPr>
            <w:tcW w:w="1214" w:type="pct"/>
            <w:tcBorders>
              <w:top w:val="nil"/>
              <w:left w:val="single" w:sz="4" w:space="0" w:color="auto"/>
              <w:bottom w:val="single" w:sz="4" w:space="0" w:color="auto"/>
              <w:right w:val="nil"/>
            </w:tcBorders>
            <w:tcMar>
              <w:top w:w="15" w:type="dxa"/>
              <w:left w:w="15" w:type="dxa"/>
              <w:right w:w="15" w:type="dxa"/>
            </w:tcMar>
            <w:vAlign w:val="center"/>
          </w:tcPr>
          <w:p w14:paraId="6F02DD67" w14:textId="77777777" w:rsidR="0033143E" w:rsidRPr="0076589C" w:rsidRDefault="0033143E" w:rsidP="00FB3CE4">
            <w:pPr>
              <w:jc w:val="center"/>
              <w:rPr>
                <w:rFonts w:asciiTheme="minorHAnsi" w:hAnsiTheme="minorHAnsi"/>
                <w:sz w:val="20"/>
                <w:szCs w:val="20"/>
              </w:rPr>
            </w:pPr>
          </w:p>
        </w:tc>
      </w:tr>
      <w:tr w:rsidR="0033143E" w:rsidRPr="0076589C" w14:paraId="5B721137" w14:textId="77777777" w:rsidTr="00FB3CE4">
        <w:trPr>
          <w:trHeight w:val="255"/>
          <w:jc w:val="center"/>
        </w:trPr>
        <w:tc>
          <w:tcPr>
            <w:tcW w:w="2005"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54CBEF69" w14:textId="77777777" w:rsidR="0033143E" w:rsidRPr="0076589C" w:rsidRDefault="0033143E" w:rsidP="00FB3CE4">
            <w:pPr>
              <w:jc w:val="center"/>
              <w:rPr>
                <w:rFonts w:asciiTheme="minorHAnsi" w:hAnsiTheme="minorHAnsi"/>
                <w:sz w:val="20"/>
                <w:szCs w:val="20"/>
              </w:rPr>
            </w:pPr>
          </w:p>
        </w:tc>
        <w:tc>
          <w:tcPr>
            <w:tcW w:w="1781"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2EAC65EA"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b/>
                <w:bCs/>
                <w:sz w:val="20"/>
                <w:szCs w:val="20"/>
              </w:rPr>
              <w:t xml:space="preserve"> L              204,862.87 </w:t>
            </w:r>
          </w:p>
        </w:tc>
        <w:tc>
          <w:tcPr>
            <w:tcW w:w="121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26CE8286" w14:textId="77777777" w:rsidR="0033143E" w:rsidRPr="0076589C" w:rsidRDefault="0033143E" w:rsidP="00FB3CE4">
            <w:pPr>
              <w:spacing w:after="0"/>
              <w:ind w:left="0"/>
              <w:rPr>
                <w:rFonts w:asciiTheme="minorHAnsi" w:hAnsiTheme="minorHAnsi"/>
                <w:b/>
                <w:bCs/>
                <w:sz w:val="20"/>
                <w:szCs w:val="20"/>
              </w:rPr>
            </w:pPr>
            <w:r w:rsidRPr="0076589C">
              <w:rPr>
                <w:rFonts w:asciiTheme="minorHAnsi" w:eastAsia="Arial" w:hAnsiTheme="minorHAnsi"/>
                <w:b/>
                <w:bCs/>
                <w:color w:val="000000" w:themeColor="text1"/>
                <w:sz w:val="20"/>
                <w:szCs w:val="20"/>
              </w:rPr>
              <w:t>Fuera del límite de crédito</w:t>
            </w:r>
          </w:p>
        </w:tc>
      </w:tr>
      <w:tr w:rsidR="0033143E" w:rsidRPr="0076589C" w14:paraId="748F4285" w14:textId="77777777" w:rsidTr="00FB3CE4">
        <w:trPr>
          <w:trHeight w:val="255"/>
          <w:jc w:val="center"/>
        </w:trPr>
        <w:tc>
          <w:tcPr>
            <w:tcW w:w="2005" w:type="pct"/>
            <w:tcBorders>
              <w:top w:val="nil"/>
              <w:left w:val="single" w:sz="4" w:space="0" w:color="auto"/>
              <w:bottom w:val="nil"/>
              <w:right w:val="nil"/>
            </w:tcBorders>
            <w:tcMar>
              <w:top w:w="15" w:type="dxa"/>
              <w:left w:w="15" w:type="dxa"/>
              <w:right w:w="15" w:type="dxa"/>
            </w:tcMar>
            <w:vAlign w:val="center"/>
          </w:tcPr>
          <w:p w14:paraId="420B5035"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febrero 2022</w:t>
            </w:r>
          </w:p>
        </w:tc>
        <w:tc>
          <w:tcPr>
            <w:tcW w:w="1781" w:type="pct"/>
            <w:tcBorders>
              <w:top w:val="nil"/>
              <w:left w:val="nil"/>
              <w:bottom w:val="nil"/>
              <w:right w:val="single" w:sz="4" w:space="0" w:color="auto"/>
            </w:tcBorders>
            <w:tcMar>
              <w:top w:w="15" w:type="dxa"/>
              <w:left w:w="15" w:type="dxa"/>
              <w:right w:w="15" w:type="dxa"/>
            </w:tcMar>
            <w:vAlign w:val="center"/>
          </w:tcPr>
          <w:p w14:paraId="4710EA4E"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273,705.07 </w:t>
            </w:r>
          </w:p>
        </w:tc>
        <w:tc>
          <w:tcPr>
            <w:tcW w:w="1214" w:type="pct"/>
            <w:tcBorders>
              <w:top w:val="nil"/>
              <w:left w:val="single" w:sz="4" w:space="0" w:color="auto"/>
              <w:bottom w:val="nil"/>
              <w:right w:val="nil"/>
            </w:tcBorders>
            <w:tcMar>
              <w:top w:w="15" w:type="dxa"/>
              <w:left w:w="15" w:type="dxa"/>
              <w:right w:w="15" w:type="dxa"/>
            </w:tcMar>
            <w:vAlign w:val="center"/>
          </w:tcPr>
          <w:p w14:paraId="6EF97F23" w14:textId="77777777" w:rsidR="0033143E" w:rsidRPr="0076589C" w:rsidRDefault="0033143E" w:rsidP="00FB3CE4">
            <w:pPr>
              <w:jc w:val="center"/>
              <w:rPr>
                <w:rFonts w:asciiTheme="minorHAnsi" w:hAnsiTheme="minorHAnsi"/>
                <w:sz w:val="20"/>
                <w:szCs w:val="20"/>
              </w:rPr>
            </w:pPr>
          </w:p>
        </w:tc>
      </w:tr>
      <w:tr w:rsidR="0033143E" w:rsidRPr="0076589C" w14:paraId="49AEB6D6" w14:textId="77777777" w:rsidTr="00FB3CE4">
        <w:trPr>
          <w:trHeight w:val="255"/>
          <w:jc w:val="center"/>
        </w:trPr>
        <w:tc>
          <w:tcPr>
            <w:tcW w:w="2005" w:type="pct"/>
            <w:tcBorders>
              <w:top w:val="nil"/>
              <w:left w:val="single" w:sz="4" w:space="0" w:color="auto"/>
              <w:bottom w:val="single" w:sz="4" w:space="0" w:color="auto"/>
              <w:right w:val="nil"/>
            </w:tcBorders>
            <w:tcMar>
              <w:top w:w="15" w:type="dxa"/>
              <w:left w:w="15" w:type="dxa"/>
              <w:right w:w="15" w:type="dxa"/>
            </w:tcMar>
            <w:vAlign w:val="center"/>
          </w:tcPr>
          <w:p w14:paraId="36F7DC3B"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81" w:type="pct"/>
            <w:tcBorders>
              <w:top w:val="nil"/>
              <w:left w:val="nil"/>
              <w:bottom w:val="single" w:sz="4" w:space="0" w:color="auto"/>
              <w:right w:val="single" w:sz="4" w:space="0" w:color="auto"/>
            </w:tcBorders>
            <w:tcMar>
              <w:top w:w="15" w:type="dxa"/>
              <w:left w:w="15" w:type="dxa"/>
              <w:right w:w="15" w:type="dxa"/>
            </w:tcMar>
            <w:vAlign w:val="center"/>
          </w:tcPr>
          <w:p w14:paraId="5DC89D45"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136,388.12 </w:t>
            </w:r>
          </w:p>
        </w:tc>
        <w:tc>
          <w:tcPr>
            <w:tcW w:w="1214" w:type="pct"/>
            <w:tcBorders>
              <w:top w:val="nil"/>
              <w:left w:val="single" w:sz="4" w:space="0" w:color="auto"/>
              <w:bottom w:val="single" w:sz="4" w:space="0" w:color="auto"/>
              <w:right w:val="nil"/>
            </w:tcBorders>
            <w:tcMar>
              <w:top w:w="15" w:type="dxa"/>
              <w:left w:w="15" w:type="dxa"/>
              <w:right w:w="15" w:type="dxa"/>
            </w:tcMar>
            <w:vAlign w:val="center"/>
          </w:tcPr>
          <w:p w14:paraId="74465819" w14:textId="77777777" w:rsidR="0033143E" w:rsidRPr="0076589C" w:rsidRDefault="0033143E" w:rsidP="00FB3CE4">
            <w:pPr>
              <w:jc w:val="center"/>
              <w:rPr>
                <w:rFonts w:asciiTheme="minorHAnsi" w:hAnsiTheme="minorHAnsi"/>
                <w:sz w:val="20"/>
                <w:szCs w:val="20"/>
              </w:rPr>
            </w:pPr>
          </w:p>
        </w:tc>
      </w:tr>
      <w:tr w:rsidR="0033143E" w:rsidRPr="0076589C" w14:paraId="54DD9449" w14:textId="77777777" w:rsidTr="00FB3CE4">
        <w:trPr>
          <w:trHeight w:val="255"/>
          <w:jc w:val="center"/>
        </w:trPr>
        <w:tc>
          <w:tcPr>
            <w:tcW w:w="2005"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4EA8FE0B" w14:textId="77777777" w:rsidR="0033143E" w:rsidRPr="0076589C" w:rsidRDefault="0033143E" w:rsidP="00FB3CE4">
            <w:pPr>
              <w:jc w:val="center"/>
              <w:rPr>
                <w:rFonts w:asciiTheme="minorHAnsi" w:hAnsiTheme="minorHAnsi"/>
                <w:sz w:val="20"/>
                <w:szCs w:val="20"/>
              </w:rPr>
            </w:pPr>
          </w:p>
        </w:tc>
        <w:tc>
          <w:tcPr>
            <w:tcW w:w="1781"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4426BEB8"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b/>
                <w:bCs/>
                <w:sz w:val="20"/>
                <w:szCs w:val="20"/>
              </w:rPr>
              <w:t xml:space="preserve"> L              342,179.82 </w:t>
            </w:r>
          </w:p>
        </w:tc>
        <w:tc>
          <w:tcPr>
            <w:tcW w:w="121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1D6F60B4" w14:textId="77777777" w:rsidR="0033143E" w:rsidRPr="0076589C" w:rsidRDefault="0033143E" w:rsidP="00FB3CE4">
            <w:pPr>
              <w:spacing w:after="0"/>
              <w:ind w:left="0"/>
              <w:jc w:val="center"/>
              <w:rPr>
                <w:rFonts w:asciiTheme="minorHAnsi" w:hAnsiTheme="minorHAnsi"/>
                <w:b/>
                <w:bCs/>
                <w:sz w:val="20"/>
                <w:szCs w:val="20"/>
              </w:rPr>
            </w:pPr>
            <w:r w:rsidRPr="0076589C">
              <w:rPr>
                <w:rFonts w:asciiTheme="minorHAnsi" w:eastAsia="Arial" w:hAnsiTheme="minorHAnsi"/>
                <w:b/>
                <w:bCs/>
                <w:color w:val="000000" w:themeColor="text1"/>
                <w:sz w:val="20"/>
                <w:szCs w:val="20"/>
              </w:rPr>
              <w:t>Fuera del límite de crédito</w:t>
            </w:r>
          </w:p>
        </w:tc>
      </w:tr>
      <w:tr w:rsidR="0033143E" w:rsidRPr="0076589C" w14:paraId="77D4EB78" w14:textId="77777777" w:rsidTr="00FB3CE4">
        <w:trPr>
          <w:trHeight w:val="255"/>
          <w:jc w:val="center"/>
        </w:trPr>
        <w:tc>
          <w:tcPr>
            <w:tcW w:w="2005" w:type="pct"/>
            <w:tcBorders>
              <w:top w:val="nil"/>
              <w:left w:val="single" w:sz="4" w:space="0" w:color="auto"/>
              <w:bottom w:val="nil"/>
              <w:right w:val="nil"/>
            </w:tcBorders>
            <w:tcMar>
              <w:top w:w="15" w:type="dxa"/>
              <w:left w:w="15" w:type="dxa"/>
              <w:right w:w="15" w:type="dxa"/>
            </w:tcMar>
            <w:vAlign w:val="center"/>
          </w:tcPr>
          <w:p w14:paraId="538E8584"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marzo 2022</w:t>
            </w:r>
          </w:p>
        </w:tc>
        <w:tc>
          <w:tcPr>
            <w:tcW w:w="1781" w:type="pct"/>
            <w:tcBorders>
              <w:top w:val="nil"/>
              <w:left w:val="nil"/>
              <w:bottom w:val="nil"/>
              <w:right w:val="single" w:sz="4" w:space="0" w:color="auto"/>
            </w:tcBorders>
            <w:tcMar>
              <w:top w:w="15" w:type="dxa"/>
              <w:left w:w="15" w:type="dxa"/>
              <w:right w:w="15" w:type="dxa"/>
            </w:tcMar>
            <w:vAlign w:val="center"/>
          </w:tcPr>
          <w:p w14:paraId="1DA5005B"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35,338.68 </w:t>
            </w:r>
          </w:p>
        </w:tc>
        <w:tc>
          <w:tcPr>
            <w:tcW w:w="1214" w:type="pct"/>
            <w:tcBorders>
              <w:top w:val="nil"/>
              <w:left w:val="single" w:sz="4" w:space="0" w:color="auto"/>
              <w:bottom w:val="nil"/>
              <w:right w:val="nil"/>
            </w:tcBorders>
            <w:tcMar>
              <w:top w:w="15" w:type="dxa"/>
              <w:left w:w="15" w:type="dxa"/>
              <w:right w:w="15" w:type="dxa"/>
            </w:tcMar>
            <w:vAlign w:val="center"/>
          </w:tcPr>
          <w:p w14:paraId="5E0B7002" w14:textId="77777777" w:rsidR="0033143E" w:rsidRPr="0076589C" w:rsidRDefault="0033143E" w:rsidP="00FB3CE4">
            <w:pPr>
              <w:jc w:val="center"/>
              <w:rPr>
                <w:rFonts w:asciiTheme="minorHAnsi" w:hAnsiTheme="minorHAnsi"/>
                <w:sz w:val="20"/>
                <w:szCs w:val="20"/>
              </w:rPr>
            </w:pPr>
          </w:p>
        </w:tc>
      </w:tr>
      <w:tr w:rsidR="0033143E" w:rsidRPr="0076589C" w14:paraId="719CF3EA" w14:textId="77777777" w:rsidTr="00FB3CE4">
        <w:trPr>
          <w:trHeight w:val="255"/>
          <w:jc w:val="center"/>
        </w:trPr>
        <w:tc>
          <w:tcPr>
            <w:tcW w:w="2005" w:type="pct"/>
            <w:tcBorders>
              <w:top w:val="nil"/>
              <w:left w:val="single" w:sz="4" w:space="0" w:color="auto"/>
              <w:bottom w:val="single" w:sz="4" w:space="0" w:color="auto"/>
              <w:right w:val="nil"/>
            </w:tcBorders>
            <w:tcMar>
              <w:top w:w="15" w:type="dxa"/>
              <w:left w:w="15" w:type="dxa"/>
              <w:right w:w="15" w:type="dxa"/>
            </w:tcMar>
            <w:vAlign w:val="center"/>
          </w:tcPr>
          <w:p w14:paraId="3E5A4644"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81" w:type="pct"/>
            <w:tcBorders>
              <w:top w:val="nil"/>
              <w:left w:val="nil"/>
              <w:bottom w:val="single" w:sz="4" w:space="0" w:color="auto"/>
              <w:right w:val="single" w:sz="4" w:space="0" w:color="auto"/>
            </w:tcBorders>
            <w:tcMar>
              <w:top w:w="15" w:type="dxa"/>
              <w:left w:w="15" w:type="dxa"/>
              <w:right w:w="15" w:type="dxa"/>
            </w:tcMar>
            <w:vAlign w:val="center"/>
          </w:tcPr>
          <w:p w14:paraId="2846794B"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299,687.71 </w:t>
            </w:r>
          </w:p>
        </w:tc>
        <w:tc>
          <w:tcPr>
            <w:tcW w:w="1214" w:type="pct"/>
            <w:tcBorders>
              <w:top w:val="nil"/>
              <w:left w:val="single" w:sz="4" w:space="0" w:color="auto"/>
              <w:bottom w:val="single" w:sz="4" w:space="0" w:color="auto"/>
              <w:right w:val="nil"/>
            </w:tcBorders>
            <w:tcMar>
              <w:top w:w="15" w:type="dxa"/>
              <w:left w:w="15" w:type="dxa"/>
              <w:right w:w="15" w:type="dxa"/>
            </w:tcMar>
            <w:vAlign w:val="center"/>
          </w:tcPr>
          <w:p w14:paraId="32A7FCE0" w14:textId="77777777" w:rsidR="0033143E" w:rsidRPr="0076589C" w:rsidRDefault="0033143E" w:rsidP="00FB3CE4">
            <w:pPr>
              <w:jc w:val="center"/>
              <w:rPr>
                <w:rFonts w:asciiTheme="minorHAnsi" w:hAnsiTheme="minorHAnsi"/>
                <w:sz w:val="20"/>
                <w:szCs w:val="20"/>
              </w:rPr>
            </w:pPr>
          </w:p>
        </w:tc>
      </w:tr>
      <w:tr w:rsidR="0033143E" w:rsidRPr="0076589C" w14:paraId="6C39134B" w14:textId="77777777" w:rsidTr="00FB3CE4">
        <w:trPr>
          <w:trHeight w:val="255"/>
          <w:jc w:val="center"/>
        </w:trPr>
        <w:tc>
          <w:tcPr>
            <w:tcW w:w="2005"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2D465058" w14:textId="77777777" w:rsidR="0033143E" w:rsidRPr="0076589C" w:rsidRDefault="0033143E" w:rsidP="00FB3CE4">
            <w:pPr>
              <w:jc w:val="center"/>
              <w:rPr>
                <w:rFonts w:asciiTheme="minorHAnsi" w:hAnsiTheme="minorHAnsi"/>
                <w:sz w:val="20"/>
                <w:szCs w:val="20"/>
              </w:rPr>
            </w:pPr>
          </w:p>
        </w:tc>
        <w:tc>
          <w:tcPr>
            <w:tcW w:w="1781"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7D850F04"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b/>
                <w:bCs/>
                <w:sz w:val="20"/>
                <w:szCs w:val="20"/>
              </w:rPr>
              <w:t xml:space="preserve"> L                77,830.79 </w:t>
            </w:r>
          </w:p>
        </w:tc>
        <w:tc>
          <w:tcPr>
            <w:tcW w:w="121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749DFE7E" w14:textId="77777777" w:rsidR="0033143E" w:rsidRPr="0076589C" w:rsidRDefault="0033143E" w:rsidP="00FB3CE4">
            <w:pPr>
              <w:spacing w:after="0"/>
              <w:ind w:left="0"/>
              <w:jc w:val="center"/>
              <w:rPr>
                <w:rFonts w:asciiTheme="minorHAnsi" w:hAnsiTheme="minorHAnsi"/>
                <w:b/>
                <w:bCs/>
                <w:sz w:val="20"/>
                <w:szCs w:val="20"/>
              </w:rPr>
            </w:pPr>
            <w:r w:rsidRPr="0076589C">
              <w:rPr>
                <w:rFonts w:asciiTheme="minorHAnsi" w:eastAsia="Arial" w:hAnsiTheme="minorHAnsi"/>
                <w:b/>
                <w:bCs/>
                <w:color w:val="000000" w:themeColor="text1"/>
                <w:sz w:val="20"/>
                <w:szCs w:val="20"/>
              </w:rPr>
              <w:t>Fuera del límite de crédito</w:t>
            </w:r>
          </w:p>
        </w:tc>
      </w:tr>
      <w:tr w:rsidR="0033143E" w:rsidRPr="0076589C" w14:paraId="327E100D" w14:textId="77777777" w:rsidTr="00FB3CE4">
        <w:trPr>
          <w:trHeight w:val="255"/>
          <w:jc w:val="center"/>
        </w:trPr>
        <w:tc>
          <w:tcPr>
            <w:tcW w:w="2005" w:type="pct"/>
            <w:tcBorders>
              <w:top w:val="nil"/>
              <w:left w:val="single" w:sz="4" w:space="0" w:color="auto"/>
              <w:bottom w:val="nil"/>
              <w:right w:val="nil"/>
            </w:tcBorders>
            <w:tcMar>
              <w:top w:w="15" w:type="dxa"/>
              <w:left w:w="15" w:type="dxa"/>
              <w:right w:w="15" w:type="dxa"/>
            </w:tcMar>
            <w:vAlign w:val="center"/>
          </w:tcPr>
          <w:p w14:paraId="64A61742"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abril 2022</w:t>
            </w:r>
          </w:p>
        </w:tc>
        <w:tc>
          <w:tcPr>
            <w:tcW w:w="1781"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52D73849"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170,356.86 </w:t>
            </w:r>
          </w:p>
        </w:tc>
        <w:tc>
          <w:tcPr>
            <w:tcW w:w="1214" w:type="pct"/>
            <w:tcBorders>
              <w:top w:val="nil"/>
              <w:left w:val="single" w:sz="4" w:space="0" w:color="auto"/>
              <w:bottom w:val="nil"/>
              <w:right w:val="nil"/>
            </w:tcBorders>
            <w:tcMar>
              <w:top w:w="15" w:type="dxa"/>
              <w:left w:w="15" w:type="dxa"/>
              <w:right w:w="15" w:type="dxa"/>
            </w:tcMar>
            <w:vAlign w:val="center"/>
          </w:tcPr>
          <w:p w14:paraId="25972548" w14:textId="77777777" w:rsidR="0033143E" w:rsidRPr="0076589C" w:rsidRDefault="0033143E" w:rsidP="00FB3CE4">
            <w:pPr>
              <w:jc w:val="center"/>
              <w:rPr>
                <w:rFonts w:asciiTheme="minorHAnsi" w:hAnsiTheme="minorHAnsi"/>
                <w:sz w:val="20"/>
                <w:szCs w:val="20"/>
              </w:rPr>
            </w:pPr>
          </w:p>
        </w:tc>
      </w:tr>
      <w:tr w:rsidR="0033143E" w:rsidRPr="0076589C" w14:paraId="659E8587" w14:textId="77777777" w:rsidTr="00FB3CE4">
        <w:trPr>
          <w:trHeight w:val="255"/>
          <w:jc w:val="center"/>
        </w:trPr>
        <w:tc>
          <w:tcPr>
            <w:tcW w:w="2005" w:type="pct"/>
            <w:tcBorders>
              <w:top w:val="nil"/>
              <w:left w:val="single" w:sz="4" w:space="0" w:color="auto"/>
              <w:bottom w:val="single" w:sz="4" w:space="0" w:color="auto"/>
              <w:right w:val="nil"/>
            </w:tcBorders>
            <w:tcMar>
              <w:top w:w="15" w:type="dxa"/>
              <w:left w:w="15" w:type="dxa"/>
              <w:right w:w="15" w:type="dxa"/>
            </w:tcMar>
            <w:vAlign w:val="center"/>
          </w:tcPr>
          <w:p w14:paraId="293A94D9"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81" w:type="pct"/>
            <w:tcBorders>
              <w:top w:val="nil"/>
              <w:left w:val="nil"/>
              <w:bottom w:val="single" w:sz="4" w:space="0" w:color="auto"/>
              <w:right w:val="single" w:sz="4" w:space="0" w:color="auto"/>
            </w:tcBorders>
            <w:tcMar>
              <w:top w:w="15" w:type="dxa"/>
              <w:left w:w="15" w:type="dxa"/>
              <w:right w:w="15" w:type="dxa"/>
            </w:tcMar>
            <w:vAlign w:val="center"/>
          </w:tcPr>
          <w:p w14:paraId="476CFF4E"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272,492.13 </w:t>
            </w:r>
          </w:p>
        </w:tc>
        <w:tc>
          <w:tcPr>
            <w:tcW w:w="1214" w:type="pct"/>
            <w:tcBorders>
              <w:top w:val="nil"/>
              <w:left w:val="single" w:sz="4" w:space="0" w:color="auto"/>
              <w:bottom w:val="single" w:sz="4" w:space="0" w:color="auto"/>
              <w:right w:val="nil"/>
            </w:tcBorders>
            <w:tcMar>
              <w:top w:w="15" w:type="dxa"/>
              <w:left w:w="15" w:type="dxa"/>
              <w:right w:w="15" w:type="dxa"/>
            </w:tcMar>
            <w:vAlign w:val="center"/>
          </w:tcPr>
          <w:p w14:paraId="3B8B2F33" w14:textId="77777777" w:rsidR="0033143E" w:rsidRPr="0076589C" w:rsidRDefault="0033143E" w:rsidP="00FB3CE4">
            <w:pPr>
              <w:jc w:val="center"/>
              <w:rPr>
                <w:rFonts w:asciiTheme="minorHAnsi" w:hAnsiTheme="minorHAnsi"/>
                <w:sz w:val="20"/>
                <w:szCs w:val="20"/>
              </w:rPr>
            </w:pPr>
          </w:p>
        </w:tc>
      </w:tr>
      <w:tr w:rsidR="0033143E" w:rsidRPr="0076589C" w14:paraId="76C0E249" w14:textId="77777777" w:rsidTr="00925E89">
        <w:trPr>
          <w:trHeight w:val="255"/>
          <w:jc w:val="center"/>
        </w:trPr>
        <w:tc>
          <w:tcPr>
            <w:tcW w:w="2005"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0D756942" w14:textId="77777777" w:rsidR="0033143E" w:rsidRPr="0076589C" w:rsidRDefault="0033143E" w:rsidP="00FB3CE4">
            <w:pPr>
              <w:jc w:val="center"/>
              <w:rPr>
                <w:rFonts w:asciiTheme="minorHAnsi" w:hAnsiTheme="minorHAnsi"/>
                <w:sz w:val="20"/>
                <w:szCs w:val="20"/>
              </w:rPr>
            </w:pPr>
          </w:p>
        </w:tc>
        <w:tc>
          <w:tcPr>
            <w:tcW w:w="1781"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6C53BAF4"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b/>
                <w:bCs/>
                <w:sz w:val="20"/>
                <w:szCs w:val="20"/>
              </w:rPr>
              <w:t xml:space="preserve">-L                24,304.48 </w:t>
            </w:r>
          </w:p>
        </w:tc>
        <w:tc>
          <w:tcPr>
            <w:tcW w:w="121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63380266" w14:textId="77777777" w:rsidR="0033143E" w:rsidRPr="0076589C" w:rsidRDefault="0033143E" w:rsidP="00FB3CE4">
            <w:pPr>
              <w:spacing w:after="0"/>
              <w:ind w:left="0"/>
              <w:jc w:val="center"/>
              <w:rPr>
                <w:rFonts w:asciiTheme="minorHAnsi" w:hAnsiTheme="minorHAnsi"/>
                <w:b/>
                <w:bCs/>
                <w:sz w:val="20"/>
                <w:szCs w:val="20"/>
              </w:rPr>
            </w:pPr>
            <w:r w:rsidRPr="0076589C">
              <w:rPr>
                <w:rFonts w:asciiTheme="minorHAnsi" w:eastAsia="Arial" w:hAnsiTheme="minorHAnsi"/>
                <w:b/>
                <w:bCs/>
                <w:sz w:val="20"/>
                <w:szCs w:val="20"/>
              </w:rPr>
              <w:t>Límite Disponible</w:t>
            </w:r>
          </w:p>
        </w:tc>
      </w:tr>
      <w:tr w:rsidR="0033143E" w:rsidRPr="0076589C" w14:paraId="6D922F00" w14:textId="77777777" w:rsidTr="00925E89">
        <w:trPr>
          <w:trHeight w:val="255"/>
          <w:jc w:val="center"/>
        </w:trPr>
        <w:tc>
          <w:tcPr>
            <w:tcW w:w="2005" w:type="pct"/>
            <w:tcBorders>
              <w:top w:val="single" w:sz="4" w:space="0" w:color="auto"/>
              <w:left w:val="single" w:sz="4" w:space="0" w:color="auto"/>
              <w:bottom w:val="nil"/>
              <w:right w:val="nil"/>
            </w:tcBorders>
            <w:tcMar>
              <w:top w:w="15" w:type="dxa"/>
              <w:left w:w="15" w:type="dxa"/>
              <w:right w:w="15" w:type="dxa"/>
            </w:tcMar>
            <w:vAlign w:val="center"/>
          </w:tcPr>
          <w:p w14:paraId="60B6058D"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lastRenderedPageBreak/>
              <w:t>Facturación mayo 2022</w:t>
            </w:r>
          </w:p>
        </w:tc>
        <w:tc>
          <w:tcPr>
            <w:tcW w:w="1781" w:type="pct"/>
            <w:tcBorders>
              <w:top w:val="single" w:sz="4" w:space="0" w:color="auto"/>
              <w:left w:val="nil"/>
              <w:bottom w:val="nil"/>
              <w:right w:val="single" w:sz="4" w:space="0" w:color="auto"/>
            </w:tcBorders>
            <w:shd w:val="clear" w:color="auto" w:fill="FFFFFF" w:themeFill="background1"/>
            <w:tcMar>
              <w:top w:w="15" w:type="dxa"/>
              <w:left w:w="15" w:type="dxa"/>
              <w:right w:w="15" w:type="dxa"/>
            </w:tcMar>
            <w:vAlign w:val="center"/>
          </w:tcPr>
          <w:p w14:paraId="41FFD5F4"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705,959.31 </w:t>
            </w:r>
          </w:p>
        </w:tc>
        <w:tc>
          <w:tcPr>
            <w:tcW w:w="1214" w:type="pct"/>
            <w:tcBorders>
              <w:top w:val="nil"/>
              <w:left w:val="single" w:sz="4" w:space="0" w:color="auto"/>
              <w:bottom w:val="nil"/>
              <w:right w:val="nil"/>
            </w:tcBorders>
            <w:tcMar>
              <w:top w:w="15" w:type="dxa"/>
              <w:left w:w="15" w:type="dxa"/>
              <w:right w:w="15" w:type="dxa"/>
            </w:tcMar>
            <w:vAlign w:val="center"/>
          </w:tcPr>
          <w:p w14:paraId="0EBFC26B" w14:textId="77777777" w:rsidR="0033143E" w:rsidRPr="0076589C" w:rsidRDefault="0033143E" w:rsidP="00FB3CE4">
            <w:pPr>
              <w:jc w:val="center"/>
              <w:rPr>
                <w:rFonts w:asciiTheme="minorHAnsi" w:hAnsiTheme="minorHAnsi"/>
                <w:sz w:val="20"/>
                <w:szCs w:val="20"/>
              </w:rPr>
            </w:pPr>
          </w:p>
        </w:tc>
      </w:tr>
      <w:tr w:rsidR="0033143E" w:rsidRPr="0076589C" w14:paraId="2E9E0A33" w14:textId="77777777" w:rsidTr="00FB3CE4">
        <w:trPr>
          <w:trHeight w:val="255"/>
          <w:jc w:val="center"/>
        </w:trPr>
        <w:tc>
          <w:tcPr>
            <w:tcW w:w="2005" w:type="pct"/>
            <w:tcBorders>
              <w:top w:val="nil"/>
              <w:left w:val="single" w:sz="4" w:space="0" w:color="auto"/>
              <w:bottom w:val="single" w:sz="4" w:space="0" w:color="auto"/>
              <w:right w:val="nil"/>
            </w:tcBorders>
            <w:tcMar>
              <w:top w:w="15" w:type="dxa"/>
              <w:left w:w="15" w:type="dxa"/>
              <w:right w:w="15" w:type="dxa"/>
            </w:tcMar>
            <w:vAlign w:val="center"/>
          </w:tcPr>
          <w:p w14:paraId="1C2212AE"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81" w:type="pct"/>
            <w:tcBorders>
              <w:top w:val="nil"/>
              <w:left w:val="nil"/>
              <w:bottom w:val="single" w:sz="4" w:space="0" w:color="auto"/>
              <w:right w:val="single" w:sz="4" w:space="0" w:color="auto"/>
            </w:tcBorders>
            <w:tcMar>
              <w:top w:w="15" w:type="dxa"/>
              <w:left w:w="15" w:type="dxa"/>
              <w:right w:w="15" w:type="dxa"/>
            </w:tcMar>
            <w:vAlign w:val="center"/>
          </w:tcPr>
          <w:p w14:paraId="62336477"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205,695.55 </w:t>
            </w:r>
          </w:p>
        </w:tc>
        <w:tc>
          <w:tcPr>
            <w:tcW w:w="1214" w:type="pct"/>
            <w:tcBorders>
              <w:top w:val="nil"/>
              <w:left w:val="single" w:sz="4" w:space="0" w:color="auto"/>
              <w:bottom w:val="single" w:sz="4" w:space="0" w:color="auto"/>
              <w:right w:val="nil"/>
            </w:tcBorders>
            <w:tcMar>
              <w:top w:w="15" w:type="dxa"/>
              <w:left w:w="15" w:type="dxa"/>
              <w:right w:w="15" w:type="dxa"/>
            </w:tcMar>
            <w:vAlign w:val="center"/>
          </w:tcPr>
          <w:p w14:paraId="68A21F77" w14:textId="77777777" w:rsidR="0033143E" w:rsidRPr="0076589C" w:rsidRDefault="0033143E" w:rsidP="00FB3CE4">
            <w:pPr>
              <w:jc w:val="center"/>
              <w:rPr>
                <w:rFonts w:asciiTheme="minorHAnsi" w:hAnsiTheme="minorHAnsi"/>
                <w:sz w:val="20"/>
                <w:szCs w:val="20"/>
              </w:rPr>
            </w:pPr>
          </w:p>
        </w:tc>
      </w:tr>
      <w:tr w:rsidR="0033143E" w:rsidRPr="0076589C" w14:paraId="0D3DF215" w14:textId="77777777" w:rsidTr="00FB3CE4">
        <w:trPr>
          <w:trHeight w:val="255"/>
          <w:jc w:val="center"/>
        </w:trPr>
        <w:tc>
          <w:tcPr>
            <w:tcW w:w="2005"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7FFA0490" w14:textId="77777777" w:rsidR="0033143E" w:rsidRPr="0076589C" w:rsidRDefault="0033143E" w:rsidP="00FB3CE4">
            <w:pPr>
              <w:jc w:val="center"/>
              <w:rPr>
                <w:rFonts w:asciiTheme="minorHAnsi" w:hAnsiTheme="minorHAnsi"/>
                <w:sz w:val="20"/>
                <w:szCs w:val="20"/>
              </w:rPr>
            </w:pPr>
          </w:p>
        </w:tc>
        <w:tc>
          <w:tcPr>
            <w:tcW w:w="1781"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358E17CD"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b/>
                <w:bCs/>
                <w:sz w:val="20"/>
                <w:szCs w:val="20"/>
              </w:rPr>
              <w:t xml:space="preserve"> L              475,959.28 </w:t>
            </w:r>
          </w:p>
        </w:tc>
        <w:tc>
          <w:tcPr>
            <w:tcW w:w="121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2733E752" w14:textId="77777777" w:rsidR="0033143E" w:rsidRPr="0076589C" w:rsidRDefault="0033143E" w:rsidP="00FB3CE4">
            <w:pPr>
              <w:spacing w:after="0"/>
              <w:ind w:left="0"/>
              <w:jc w:val="center"/>
              <w:rPr>
                <w:rFonts w:asciiTheme="minorHAnsi" w:hAnsiTheme="minorHAnsi"/>
                <w:b/>
                <w:bCs/>
                <w:sz w:val="20"/>
                <w:szCs w:val="20"/>
              </w:rPr>
            </w:pPr>
            <w:r w:rsidRPr="0076589C">
              <w:rPr>
                <w:rFonts w:asciiTheme="minorHAnsi" w:eastAsia="Arial" w:hAnsiTheme="minorHAnsi"/>
                <w:b/>
                <w:bCs/>
                <w:color w:val="000000" w:themeColor="text1"/>
                <w:sz w:val="20"/>
                <w:szCs w:val="20"/>
              </w:rPr>
              <w:t>Fuera del límite de crédito</w:t>
            </w:r>
          </w:p>
        </w:tc>
      </w:tr>
      <w:tr w:rsidR="0033143E" w:rsidRPr="0076589C" w14:paraId="47207FA0" w14:textId="77777777" w:rsidTr="00FB3CE4">
        <w:trPr>
          <w:trHeight w:val="255"/>
          <w:jc w:val="center"/>
        </w:trPr>
        <w:tc>
          <w:tcPr>
            <w:tcW w:w="2005" w:type="pct"/>
            <w:tcBorders>
              <w:top w:val="nil"/>
              <w:left w:val="single" w:sz="4" w:space="0" w:color="auto"/>
              <w:bottom w:val="nil"/>
              <w:right w:val="nil"/>
            </w:tcBorders>
            <w:tcMar>
              <w:top w:w="15" w:type="dxa"/>
              <w:left w:w="15" w:type="dxa"/>
              <w:right w:w="15" w:type="dxa"/>
            </w:tcMar>
            <w:vAlign w:val="center"/>
          </w:tcPr>
          <w:p w14:paraId="1C7CD970"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junio 2022</w:t>
            </w:r>
          </w:p>
        </w:tc>
        <w:tc>
          <w:tcPr>
            <w:tcW w:w="1781"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7CAE4DF0"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135,264.54 </w:t>
            </w:r>
          </w:p>
        </w:tc>
        <w:tc>
          <w:tcPr>
            <w:tcW w:w="1214" w:type="pct"/>
            <w:tcBorders>
              <w:top w:val="nil"/>
              <w:left w:val="single" w:sz="4" w:space="0" w:color="auto"/>
              <w:bottom w:val="nil"/>
              <w:right w:val="nil"/>
            </w:tcBorders>
            <w:tcMar>
              <w:top w:w="15" w:type="dxa"/>
              <w:left w:w="15" w:type="dxa"/>
              <w:right w:w="15" w:type="dxa"/>
            </w:tcMar>
            <w:vAlign w:val="center"/>
          </w:tcPr>
          <w:p w14:paraId="45F0EF7E" w14:textId="77777777" w:rsidR="0033143E" w:rsidRPr="0076589C" w:rsidRDefault="0033143E" w:rsidP="00FB3CE4">
            <w:pPr>
              <w:jc w:val="center"/>
              <w:rPr>
                <w:rFonts w:asciiTheme="minorHAnsi" w:hAnsiTheme="minorHAnsi"/>
                <w:sz w:val="20"/>
                <w:szCs w:val="20"/>
              </w:rPr>
            </w:pPr>
          </w:p>
        </w:tc>
      </w:tr>
      <w:tr w:rsidR="0033143E" w:rsidRPr="0076589C" w14:paraId="77C1A612" w14:textId="77777777" w:rsidTr="00FB3CE4">
        <w:trPr>
          <w:trHeight w:val="255"/>
          <w:jc w:val="center"/>
        </w:trPr>
        <w:tc>
          <w:tcPr>
            <w:tcW w:w="2005" w:type="pct"/>
            <w:tcBorders>
              <w:top w:val="nil"/>
              <w:left w:val="single" w:sz="4" w:space="0" w:color="auto"/>
              <w:bottom w:val="single" w:sz="4" w:space="0" w:color="auto"/>
              <w:right w:val="nil"/>
            </w:tcBorders>
            <w:tcMar>
              <w:top w:w="15" w:type="dxa"/>
              <w:left w:w="15" w:type="dxa"/>
              <w:right w:w="15" w:type="dxa"/>
            </w:tcMar>
            <w:vAlign w:val="center"/>
          </w:tcPr>
          <w:p w14:paraId="44CD0892"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81" w:type="pct"/>
            <w:tcBorders>
              <w:top w:val="nil"/>
              <w:left w:val="nil"/>
              <w:bottom w:val="single" w:sz="4" w:space="0" w:color="auto"/>
              <w:right w:val="single" w:sz="4" w:space="0" w:color="auto"/>
            </w:tcBorders>
            <w:tcMar>
              <w:top w:w="15" w:type="dxa"/>
              <w:left w:w="15" w:type="dxa"/>
              <w:right w:w="15" w:type="dxa"/>
            </w:tcMar>
            <w:vAlign w:val="center"/>
          </w:tcPr>
          <w:p w14:paraId="08CEB504"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705,959.35 </w:t>
            </w:r>
          </w:p>
        </w:tc>
        <w:tc>
          <w:tcPr>
            <w:tcW w:w="1214" w:type="pct"/>
            <w:tcBorders>
              <w:top w:val="nil"/>
              <w:left w:val="single" w:sz="4" w:space="0" w:color="auto"/>
              <w:bottom w:val="single" w:sz="4" w:space="0" w:color="auto"/>
              <w:right w:val="nil"/>
            </w:tcBorders>
            <w:tcMar>
              <w:top w:w="15" w:type="dxa"/>
              <w:left w:w="15" w:type="dxa"/>
              <w:right w:w="15" w:type="dxa"/>
            </w:tcMar>
            <w:vAlign w:val="center"/>
          </w:tcPr>
          <w:p w14:paraId="7D03041C" w14:textId="77777777" w:rsidR="0033143E" w:rsidRPr="0076589C" w:rsidRDefault="0033143E" w:rsidP="00FB3CE4">
            <w:pPr>
              <w:jc w:val="center"/>
              <w:rPr>
                <w:rFonts w:asciiTheme="minorHAnsi" w:hAnsiTheme="minorHAnsi"/>
                <w:sz w:val="20"/>
                <w:szCs w:val="20"/>
              </w:rPr>
            </w:pPr>
          </w:p>
        </w:tc>
      </w:tr>
      <w:tr w:rsidR="0033143E" w:rsidRPr="0076589C" w14:paraId="226D1FB1" w14:textId="77777777" w:rsidTr="00FB3CE4">
        <w:trPr>
          <w:trHeight w:val="255"/>
          <w:jc w:val="center"/>
        </w:trPr>
        <w:tc>
          <w:tcPr>
            <w:tcW w:w="2005"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5B0D0323" w14:textId="77777777" w:rsidR="0033143E" w:rsidRPr="0076589C" w:rsidRDefault="0033143E" w:rsidP="00FB3CE4">
            <w:pPr>
              <w:jc w:val="center"/>
              <w:rPr>
                <w:rFonts w:asciiTheme="minorHAnsi" w:hAnsiTheme="minorHAnsi"/>
                <w:sz w:val="20"/>
                <w:szCs w:val="20"/>
              </w:rPr>
            </w:pPr>
          </w:p>
        </w:tc>
        <w:tc>
          <w:tcPr>
            <w:tcW w:w="1781"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1D3E46A2"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b/>
                <w:bCs/>
                <w:color w:val="000000" w:themeColor="text1"/>
                <w:sz w:val="20"/>
                <w:szCs w:val="20"/>
              </w:rPr>
              <w:t xml:space="preserve">-L                94,735.53 </w:t>
            </w:r>
          </w:p>
        </w:tc>
        <w:tc>
          <w:tcPr>
            <w:tcW w:w="121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7928846C" w14:textId="77777777" w:rsidR="0033143E" w:rsidRPr="0076589C" w:rsidRDefault="0033143E" w:rsidP="00FB3CE4">
            <w:pPr>
              <w:spacing w:after="0"/>
              <w:ind w:left="0"/>
              <w:jc w:val="center"/>
              <w:rPr>
                <w:rFonts w:asciiTheme="minorHAnsi" w:hAnsiTheme="minorHAnsi"/>
                <w:b/>
                <w:bCs/>
                <w:sz w:val="20"/>
                <w:szCs w:val="20"/>
              </w:rPr>
            </w:pPr>
            <w:r w:rsidRPr="0076589C">
              <w:rPr>
                <w:rFonts w:asciiTheme="minorHAnsi" w:eastAsia="Arial" w:hAnsiTheme="minorHAnsi"/>
                <w:b/>
                <w:bCs/>
                <w:sz w:val="20"/>
                <w:szCs w:val="20"/>
              </w:rPr>
              <w:t>Límite Disponible</w:t>
            </w:r>
          </w:p>
        </w:tc>
      </w:tr>
      <w:tr w:rsidR="0033143E" w:rsidRPr="0076589C" w14:paraId="02928CE4" w14:textId="77777777" w:rsidTr="00FB3CE4">
        <w:trPr>
          <w:trHeight w:val="255"/>
          <w:jc w:val="center"/>
        </w:trPr>
        <w:tc>
          <w:tcPr>
            <w:tcW w:w="2005" w:type="pct"/>
            <w:tcBorders>
              <w:top w:val="nil"/>
              <w:left w:val="single" w:sz="4" w:space="0" w:color="auto"/>
              <w:bottom w:val="nil"/>
              <w:right w:val="nil"/>
            </w:tcBorders>
            <w:tcMar>
              <w:top w:w="15" w:type="dxa"/>
              <w:left w:w="15" w:type="dxa"/>
              <w:right w:w="15" w:type="dxa"/>
            </w:tcMar>
            <w:vAlign w:val="center"/>
          </w:tcPr>
          <w:p w14:paraId="4F6597E6"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Julio 2022</w:t>
            </w:r>
          </w:p>
        </w:tc>
        <w:tc>
          <w:tcPr>
            <w:tcW w:w="1781" w:type="pct"/>
            <w:tcBorders>
              <w:top w:val="nil"/>
              <w:left w:val="nil"/>
              <w:bottom w:val="nil"/>
              <w:right w:val="single" w:sz="4" w:space="0" w:color="auto"/>
            </w:tcBorders>
            <w:tcMar>
              <w:top w:w="15" w:type="dxa"/>
              <w:left w:w="15" w:type="dxa"/>
              <w:right w:w="15" w:type="dxa"/>
            </w:tcMar>
            <w:vAlign w:val="center"/>
          </w:tcPr>
          <w:p w14:paraId="07814127"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83,506.57 </w:t>
            </w:r>
          </w:p>
        </w:tc>
        <w:tc>
          <w:tcPr>
            <w:tcW w:w="1214" w:type="pct"/>
            <w:tcBorders>
              <w:top w:val="nil"/>
              <w:left w:val="single" w:sz="4" w:space="0" w:color="auto"/>
              <w:bottom w:val="nil"/>
              <w:right w:val="nil"/>
            </w:tcBorders>
            <w:tcMar>
              <w:top w:w="15" w:type="dxa"/>
              <w:left w:w="15" w:type="dxa"/>
              <w:right w:w="15" w:type="dxa"/>
            </w:tcMar>
            <w:vAlign w:val="center"/>
          </w:tcPr>
          <w:p w14:paraId="04AD2C8B" w14:textId="77777777" w:rsidR="0033143E" w:rsidRPr="0076589C" w:rsidRDefault="0033143E" w:rsidP="00FB3CE4">
            <w:pPr>
              <w:jc w:val="center"/>
              <w:rPr>
                <w:rFonts w:asciiTheme="minorHAnsi" w:hAnsiTheme="minorHAnsi"/>
                <w:sz w:val="20"/>
                <w:szCs w:val="20"/>
              </w:rPr>
            </w:pPr>
          </w:p>
        </w:tc>
      </w:tr>
      <w:tr w:rsidR="0033143E" w:rsidRPr="0076589C" w14:paraId="18E1D131" w14:textId="77777777" w:rsidTr="00FB3CE4">
        <w:trPr>
          <w:trHeight w:val="255"/>
          <w:jc w:val="center"/>
        </w:trPr>
        <w:tc>
          <w:tcPr>
            <w:tcW w:w="2005" w:type="pct"/>
            <w:tcBorders>
              <w:top w:val="nil"/>
              <w:left w:val="single" w:sz="4" w:space="0" w:color="auto"/>
              <w:bottom w:val="single" w:sz="4" w:space="0" w:color="auto"/>
              <w:right w:val="nil"/>
            </w:tcBorders>
            <w:tcMar>
              <w:top w:w="15" w:type="dxa"/>
              <w:left w:w="15" w:type="dxa"/>
              <w:right w:w="15" w:type="dxa"/>
            </w:tcMar>
            <w:vAlign w:val="center"/>
          </w:tcPr>
          <w:p w14:paraId="4B33C9BD"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81" w:type="pct"/>
            <w:tcBorders>
              <w:top w:val="nil"/>
              <w:left w:val="nil"/>
              <w:bottom w:val="single" w:sz="4" w:space="0" w:color="auto"/>
              <w:right w:val="single" w:sz="4" w:space="0" w:color="auto"/>
            </w:tcBorders>
            <w:tcMar>
              <w:top w:w="15" w:type="dxa"/>
              <w:left w:w="15" w:type="dxa"/>
              <w:right w:w="15" w:type="dxa"/>
            </w:tcMar>
            <w:vAlign w:val="center"/>
          </w:tcPr>
          <w:p w14:paraId="1CCF395F"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135,264.55 </w:t>
            </w:r>
          </w:p>
        </w:tc>
        <w:tc>
          <w:tcPr>
            <w:tcW w:w="1214" w:type="pct"/>
            <w:tcBorders>
              <w:top w:val="nil"/>
              <w:left w:val="single" w:sz="4" w:space="0" w:color="auto"/>
              <w:bottom w:val="single" w:sz="4" w:space="0" w:color="auto"/>
              <w:right w:val="nil"/>
            </w:tcBorders>
            <w:tcMar>
              <w:top w:w="15" w:type="dxa"/>
              <w:left w:w="15" w:type="dxa"/>
              <w:right w:w="15" w:type="dxa"/>
            </w:tcMar>
            <w:vAlign w:val="center"/>
          </w:tcPr>
          <w:p w14:paraId="54D8B698" w14:textId="77777777" w:rsidR="0033143E" w:rsidRPr="0076589C" w:rsidRDefault="0033143E" w:rsidP="00FB3CE4">
            <w:pPr>
              <w:jc w:val="center"/>
              <w:rPr>
                <w:rFonts w:asciiTheme="minorHAnsi" w:hAnsiTheme="minorHAnsi"/>
                <w:sz w:val="20"/>
                <w:szCs w:val="20"/>
              </w:rPr>
            </w:pPr>
          </w:p>
        </w:tc>
      </w:tr>
      <w:tr w:rsidR="0033143E" w:rsidRPr="0076589C" w14:paraId="59EBEA3D" w14:textId="77777777" w:rsidTr="00FB3CE4">
        <w:trPr>
          <w:trHeight w:val="255"/>
          <w:jc w:val="center"/>
        </w:trPr>
        <w:tc>
          <w:tcPr>
            <w:tcW w:w="2005"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2A2314D3" w14:textId="77777777" w:rsidR="0033143E" w:rsidRPr="0076589C" w:rsidRDefault="0033143E" w:rsidP="00FB3CE4">
            <w:pPr>
              <w:jc w:val="center"/>
              <w:rPr>
                <w:rFonts w:asciiTheme="minorHAnsi" w:hAnsiTheme="minorHAnsi"/>
                <w:sz w:val="20"/>
                <w:szCs w:val="20"/>
              </w:rPr>
            </w:pPr>
          </w:p>
        </w:tc>
        <w:tc>
          <w:tcPr>
            <w:tcW w:w="1781"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1EE2BC32"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b/>
                <w:bCs/>
                <w:sz w:val="20"/>
                <w:szCs w:val="20"/>
              </w:rPr>
              <w:t xml:space="preserve">-L              146,493.51 </w:t>
            </w:r>
          </w:p>
        </w:tc>
        <w:tc>
          <w:tcPr>
            <w:tcW w:w="121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7B5A7FF6" w14:textId="77777777" w:rsidR="0033143E" w:rsidRPr="0076589C" w:rsidRDefault="0033143E" w:rsidP="00FB3CE4">
            <w:pPr>
              <w:spacing w:after="0"/>
              <w:ind w:left="0"/>
              <w:jc w:val="center"/>
              <w:rPr>
                <w:rFonts w:asciiTheme="minorHAnsi" w:hAnsiTheme="minorHAnsi"/>
                <w:b/>
                <w:bCs/>
                <w:sz w:val="20"/>
                <w:szCs w:val="20"/>
              </w:rPr>
            </w:pPr>
            <w:r w:rsidRPr="0076589C">
              <w:rPr>
                <w:rFonts w:asciiTheme="minorHAnsi" w:eastAsia="Arial" w:hAnsiTheme="minorHAnsi"/>
                <w:b/>
                <w:bCs/>
                <w:sz w:val="20"/>
                <w:szCs w:val="20"/>
              </w:rPr>
              <w:t>Límite Disponible</w:t>
            </w:r>
          </w:p>
        </w:tc>
      </w:tr>
      <w:tr w:rsidR="0033143E" w:rsidRPr="0076589C" w14:paraId="558D2022" w14:textId="77777777" w:rsidTr="00FB3CE4">
        <w:trPr>
          <w:trHeight w:val="255"/>
          <w:jc w:val="center"/>
        </w:trPr>
        <w:tc>
          <w:tcPr>
            <w:tcW w:w="2005" w:type="pct"/>
            <w:tcBorders>
              <w:top w:val="single" w:sz="4" w:space="0" w:color="auto"/>
              <w:left w:val="single" w:sz="4" w:space="0" w:color="auto"/>
              <w:bottom w:val="nil"/>
              <w:right w:val="nil"/>
            </w:tcBorders>
            <w:tcMar>
              <w:top w:w="15" w:type="dxa"/>
              <w:left w:w="15" w:type="dxa"/>
              <w:right w:w="15" w:type="dxa"/>
            </w:tcMar>
            <w:vAlign w:val="center"/>
          </w:tcPr>
          <w:p w14:paraId="4A861953"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agosto 2022</w:t>
            </w:r>
          </w:p>
        </w:tc>
        <w:tc>
          <w:tcPr>
            <w:tcW w:w="1781" w:type="pct"/>
            <w:tcBorders>
              <w:top w:val="single" w:sz="4" w:space="0" w:color="auto"/>
              <w:left w:val="nil"/>
              <w:bottom w:val="nil"/>
              <w:right w:val="single" w:sz="4" w:space="0" w:color="auto"/>
            </w:tcBorders>
            <w:tcMar>
              <w:top w:w="15" w:type="dxa"/>
              <w:left w:w="15" w:type="dxa"/>
              <w:right w:w="15" w:type="dxa"/>
            </w:tcMar>
            <w:vAlign w:val="center"/>
          </w:tcPr>
          <w:p w14:paraId="158665F6"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816,491.10 </w:t>
            </w:r>
          </w:p>
        </w:tc>
        <w:tc>
          <w:tcPr>
            <w:tcW w:w="1214" w:type="pct"/>
            <w:tcBorders>
              <w:top w:val="nil"/>
              <w:left w:val="single" w:sz="4" w:space="0" w:color="auto"/>
              <w:right w:val="nil"/>
            </w:tcBorders>
            <w:tcMar>
              <w:top w:w="15" w:type="dxa"/>
              <w:left w:w="15" w:type="dxa"/>
              <w:right w:w="15" w:type="dxa"/>
            </w:tcMar>
            <w:vAlign w:val="center"/>
          </w:tcPr>
          <w:p w14:paraId="60025BEB" w14:textId="77777777" w:rsidR="0033143E" w:rsidRPr="0076589C" w:rsidRDefault="0033143E" w:rsidP="00FB3CE4">
            <w:pPr>
              <w:jc w:val="center"/>
              <w:rPr>
                <w:rFonts w:asciiTheme="minorHAnsi" w:hAnsiTheme="minorHAnsi"/>
                <w:sz w:val="20"/>
                <w:szCs w:val="20"/>
              </w:rPr>
            </w:pPr>
          </w:p>
        </w:tc>
      </w:tr>
      <w:tr w:rsidR="0033143E" w:rsidRPr="0076589C" w14:paraId="6BA07D6A" w14:textId="77777777" w:rsidTr="00FB3CE4">
        <w:trPr>
          <w:trHeight w:val="255"/>
          <w:jc w:val="center"/>
        </w:trPr>
        <w:tc>
          <w:tcPr>
            <w:tcW w:w="2005" w:type="pct"/>
            <w:tcBorders>
              <w:top w:val="nil"/>
              <w:left w:val="single" w:sz="4" w:space="0" w:color="auto"/>
              <w:bottom w:val="single" w:sz="4" w:space="0" w:color="auto"/>
              <w:right w:val="nil"/>
            </w:tcBorders>
            <w:tcMar>
              <w:top w:w="15" w:type="dxa"/>
              <w:left w:w="15" w:type="dxa"/>
              <w:right w:w="15" w:type="dxa"/>
            </w:tcMar>
            <w:vAlign w:val="center"/>
          </w:tcPr>
          <w:p w14:paraId="2216A96C"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81" w:type="pct"/>
            <w:tcBorders>
              <w:top w:val="nil"/>
              <w:left w:val="nil"/>
              <w:bottom w:val="single" w:sz="4" w:space="0" w:color="auto"/>
              <w:right w:val="single" w:sz="4" w:space="0" w:color="auto"/>
            </w:tcBorders>
            <w:tcMar>
              <w:top w:w="15" w:type="dxa"/>
              <w:left w:w="15" w:type="dxa"/>
              <w:right w:w="15" w:type="dxa"/>
            </w:tcMar>
            <w:vAlign w:val="center"/>
          </w:tcPr>
          <w:p w14:paraId="5A6E4B61"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83,506.59 </w:t>
            </w:r>
          </w:p>
        </w:tc>
        <w:tc>
          <w:tcPr>
            <w:tcW w:w="1214" w:type="pct"/>
            <w:tcBorders>
              <w:top w:val="nil"/>
              <w:left w:val="single" w:sz="4" w:space="0" w:color="auto"/>
              <w:right w:val="nil"/>
            </w:tcBorders>
            <w:tcMar>
              <w:top w:w="15" w:type="dxa"/>
              <w:left w:w="15" w:type="dxa"/>
              <w:right w:w="15" w:type="dxa"/>
            </w:tcMar>
            <w:vAlign w:val="center"/>
          </w:tcPr>
          <w:p w14:paraId="544EBC73" w14:textId="77777777" w:rsidR="0033143E" w:rsidRPr="0076589C" w:rsidRDefault="0033143E" w:rsidP="00FB3CE4">
            <w:pPr>
              <w:jc w:val="center"/>
              <w:rPr>
                <w:rFonts w:asciiTheme="minorHAnsi" w:hAnsiTheme="minorHAnsi"/>
                <w:sz w:val="20"/>
                <w:szCs w:val="20"/>
              </w:rPr>
            </w:pPr>
          </w:p>
        </w:tc>
      </w:tr>
      <w:tr w:rsidR="0033143E" w:rsidRPr="0076589C" w14:paraId="61A91A7A" w14:textId="77777777" w:rsidTr="00FB3CE4">
        <w:trPr>
          <w:trHeight w:val="255"/>
          <w:jc w:val="center"/>
        </w:trPr>
        <w:tc>
          <w:tcPr>
            <w:tcW w:w="2005"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06F82C18" w14:textId="77777777" w:rsidR="0033143E" w:rsidRPr="0076589C" w:rsidRDefault="0033143E" w:rsidP="00FB3CE4">
            <w:pPr>
              <w:jc w:val="center"/>
              <w:rPr>
                <w:rFonts w:asciiTheme="minorHAnsi" w:hAnsiTheme="minorHAnsi"/>
                <w:sz w:val="20"/>
                <w:szCs w:val="20"/>
              </w:rPr>
            </w:pPr>
          </w:p>
        </w:tc>
        <w:tc>
          <w:tcPr>
            <w:tcW w:w="1781"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79C04D70"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b/>
                <w:bCs/>
                <w:sz w:val="20"/>
                <w:szCs w:val="20"/>
              </w:rPr>
              <w:t xml:space="preserve"> L              586,491.00 </w:t>
            </w:r>
          </w:p>
        </w:tc>
        <w:tc>
          <w:tcPr>
            <w:tcW w:w="1214" w:type="pct"/>
            <w:tcBorders>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6167AEC8" w14:textId="77777777" w:rsidR="0033143E" w:rsidRPr="0076589C" w:rsidRDefault="0033143E" w:rsidP="00FB3CE4">
            <w:pPr>
              <w:spacing w:after="0"/>
              <w:ind w:left="0"/>
              <w:jc w:val="center"/>
              <w:rPr>
                <w:rFonts w:asciiTheme="minorHAnsi" w:hAnsiTheme="minorHAnsi"/>
                <w:b/>
                <w:bCs/>
                <w:sz w:val="20"/>
                <w:szCs w:val="20"/>
              </w:rPr>
            </w:pPr>
            <w:r w:rsidRPr="0076589C">
              <w:rPr>
                <w:rFonts w:asciiTheme="minorHAnsi" w:eastAsia="Arial" w:hAnsiTheme="minorHAnsi"/>
                <w:b/>
                <w:bCs/>
                <w:color w:val="000000" w:themeColor="text1"/>
                <w:sz w:val="20"/>
                <w:szCs w:val="20"/>
              </w:rPr>
              <w:t>Fuera del límite de crédito</w:t>
            </w:r>
          </w:p>
        </w:tc>
      </w:tr>
      <w:tr w:rsidR="0033143E" w:rsidRPr="0076589C" w14:paraId="4BE93FF1" w14:textId="77777777" w:rsidTr="00FB3CE4">
        <w:trPr>
          <w:trHeight w:val="255"/>
          <w:jc w:val="center"/>
        </w:trPr>
        <w:tc>
          <w:tcPr>
            <w:tcW w:w="2005" w:type="pct"/>
            <w:tcBorders>
              <w:top w:val="nil"/>
              <w:left w:val="single" w:sz="4" w:space="0" w:color="auto"/>
              <w:bottom w:val="nil"/>
              <w:right w:val="nil"/>
            </w:tcBorders>
            <w:tcMar>
              <w:top w:w="15" w:type="dxa"/>
              <w:left w:w="15" w:type="dxa"/>
              <w:right w:w="15" w:type="dxa"/>
            </w:tcMar>
            <w:vAlign w:val="center"/>
          </w:tcPr>
          <w:p w14:paraId="2F69A2C6"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septiembre 2022</w:t>
            </w:r>
          </w:p>
        </w:tc>
        <w:tc>
          <w:tcPr>
            <w:tcW w:w="1781" w:type="pct"/>
            <w:tcBorders>
              <w:top w:val="nil"/>
              <w:left w:val="nil"/>
              <w:bottom w:val="nil"/>
              <w:right w:val="single" w:sz="4" w:space="0" w:color="auto"/>
            </w:tcBorders>
            <w:tcMar>
              <w:top w:w="15" w:type="dxa"/>
              <w:left w:w="15" w:type="dxa"/>
              <w:right w:w="15" w:type="dxa"/>
            </w:tcMar>
            <w:vAlign w:val="center"/>
          </w:tcPr>
          <w:p w14:paraId="0296415A"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264,608.67 </w:t>
            </w:r>
          </w:p>
        </w:tc>
        <w:tc>
          <w:tcPr>
            <w:tcW w:w="1214" w:type="pct"/>
            <w:tcBorders>
              <w:top w:val="nil"/>
              <w:left w:val="single" w:sz="4" w:space="0" w:color="auto"/>
              <w:bottom w:val="nil"/>
              <w:right w:val="nil"/>
            </w:tcBorders>
            <w:tcMar>
              <w:top w:w="15" w:type="dxa"/>
              <w:left w:w="15" w:type="dxa"/>
              <w:right w:w="15" w:type="dxa"/>
            </w:tcMar>
            <w:vAlign w:val="center"/>
          </w:tcPr>
          <w:p w14:paraId="5955CEBE" w14:textId="77777777" w:rsidR="0033143E" w:rsidRPr="0076589C" w:rsidRDefault="0033143E" w:rsidP="00FB3CE4">
            <w:pPr>
              <w:jc w:val="center"/>
              <w:rPr>
                <w:rFonts w:asciiTheme="minorHAnsi" w:hAnsiTheme="minorHAnsi"/>
                <w:sz w:val="20"/>
                <w:szCs w:val="20"/>
              </w:rPr>
            </w:pPr>
          </w:p>
        </w:tc>
      </w:tr>
      <w:tr w:rsidR="0033143E" w:rsidRPr="0076589C" w14:paraId="1946E207" w14:textId="77777777" w:rsidTr="00FB3CE4">
        <w:trPr>
          <w:trHeight w:val="255"/>
          <w:jc w:val="center"/>
        </w:trPr>
        <w:tc>
          <w:tcPr>
            <w:tcW w:w="2005" w:type="pct"/>
            <w:tcBorders>
              <w:top w:val="nil"/>
              <w:left w:val="single" w:sz="4" w:space="0" w:color="auto"/>
              <w:bottom w:val="single" w:sz="4" w:space="0" w:color="auto"/>
              <w:right w:val="nil"/>
            </w:tcBorders>
            <w:tcMar>
              <w:top w:w="15" w:type="dxa"/>
              <w:left w:w="15" w:type="dxa"/>
              <w:right w:w="15" w:type="dxa"/>
            </w:tcMar>
            <w:vAlign w:val="center"/>
          </w:tcPr>
          <w:p w14:paraId="4E46E721"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81" w:type="pct"/>
            <w:tcBorders>
              <w:top w:val="nil"/>
              <w:left w:val="nil"/>
              <w:bottom w:val="single" w:sz="4" w:space="0" w:color="auto"/>
              <w:right w:val="single" w:sz="4" w:space="0" w:color="auto"/>
            </w:tcBorders>
            <w:tcMar>
              <w:top w:w="15" w:type="dxa"/>
              <w:left w:w="15" w:type="dxa"/>
              <w:right w:w="15" w:type="dxa"/>
            </w:tcMar>
            <w:vAlign w:val="center"/>
          </w:tcPr>
          <w:p w14:paraId="111DAA05"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816,491.09 </w:t>
            </w:r>
          </w:p>
        </w:tc>
        <w:tc>
          <w:tcPr>
            <w:tcW w:w="1214" w:type="pct"/>
            <w:tcBorders>
              <w:top w:val="nil"/>
              <w:left w:val="single" w:sz="4" w:space="0" w:color="auto"/>
              <w:bottom w:val="single" w:sz="4" w:space="0" w:color="auto"/>
              <w:right w:val="nil"/>
            </w:tcBorders>
            <w:tcMar>
              <w:top w:w="15" w:type="dxa"/>
              <w:left w:w="15" w:type="dxa"/>
              <w:right w:w="15" w:type="dxa"/>
            </w:tcMar>
            <w:vAlign w:val="center"/>
          </w:tcPr>
          <w:p w14:paraId="3A102ACE" w14:textId="77777777" w:rsidR="0033143E" w:rsidRPr="0076589C" w:rsidRDefault="0033143E" w:rsidP="00FB3CE4">
            <w:pPr>
              <w:jc w:val="center"/>
              <w:rPr>
                <w:rFonts w:asciiTheme="minorHAnsi" w:hAnsiTheme="minorHAnsi"/>
                <w:sz w:val="20"/>
                <w:szCs w:val="20"/>
              </w:rPr>
            </w:pPr>
          </w:p>
        </w:tc>
      </w:tr>
      <w:tr w:rsidR="0033143E" w:rsidRPr="0076589C" w14:paraId="318DC88A" w14:textId="77777777" w:rsidTr="00FB3CE4">
        <w:trPr>
          <w:trHeight w:val="255"/>
          <w:jc w:val="center"/>
        </w:trPr>
        <w:tc>
          <w:tcPr>
            <w:tcW w:w="2005"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4F59DB11" w14:textId="77777777" w:rsidR="0033143E" w:rsidRPr="0076589C" w:rsidRDefault="0033143E" w:rsidP="00FB3CE4">
            <w:pPr>
              <w:jc w:val="center"/>
              <w:rPr>
                <w:rFonts w:asciiTheme="minorHAnsi" w:hAnsiTheme="minorHAnsi"/>
                <w:sz w:val="20"/>
                <w:szCs w:val="20"/>
              </w:rPr>
            </w:pPr>
          </w:p>
        </w:tc>
        <w:tc>
          <w:tcPr>
            <w:tcW w:w="1781"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453601AD"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b/>
                <w:bCs/>
                <w:sz w:val="20"/>
                <w:szCs w:val="20"/>
              </w:rPr>
              <w:t xml:space="preserve"> L                34,608.58 </w:t>
            </w:r>
          </w:p>
        </w:tc>
        <w:tc>
          <w:tcPr>
            <w:tcW w:w="121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43EB3645" w14:textId="77777777" w:rsidR="0033143E" w:rsidRPr="0076589C" w:rsidRDefault="0033143E" w:rsidP="00FB3CE4">
            <w:pPr>
              <w:spacing w:after="0"/>
              <w:ind w:left="0"/>
              <w:jc w:val="center"/>
              <w:rPr>
                <w:rFonts w:asciiTheme="minorHAnsi" w:hAnsiTheme="minorHAnsi"/>
                <w:b/>
                <w:bCs/>
                <w:sz w:val="20"/>
                <w:szCs w:val="20"/>
              </w:rPr>
            </w:pPr>
            <w:r w:rsidRPr="0076589C">
              <w:rPr>
                <w:rFonts w:asciiTheme="minorHAnsi" w:eastAsia="Arial" w:hAnsiTheme="minorHAnsi"/>
                <w:b/>
                <w:bCs/>
                <w:color w:val="000000" w:themeColor="text1"/>
                <w:sz w:val="20"/>
                <w:szCs w:val="20"/>
              </w:rPr>
              <w:t>Fuera del límite de crédito</w:t>
            </w:r>
          </w:p>
        </w:tc>
      </w:tr>
      <w:tr w:rsidR="0033143E" w:rsidRPr="0076589C" w14:paraId="00F20FBE" w14:textId="77777777" w:rsidTr="00FB3CE4">
        <w:trPr>
          <w:trHeight w:val="255"/>
          <w:jc w:val="center"/>
        </w:trPr>
        <w:tc>
          <w:tcPr>
            <w:tcW w:w="2005" w:type="pct"/>
            <w:tcBorders>
              <w:top w:val="nil"/>
              <w:left w:val="single" w:sz="4" w:space="0" w:color="auto"/>
              <w:bottom w:val="nil"/>
              <w:right w:val="nil"/>
            </w:tcBorders>
            <w:tcMar>
              <w:top w:w="15" w:type="dxa"/>
              <w:left w:w="15" w:type="dxa"/>
              <w:right w:w="15" w:type="dxa"/>
            </w:tcMar>
            <w:vAlign w:val="center"/>
          </w:tcPr>
          <w:p w14:paraId="275316F3"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octubre 2022</w:t>
            </w:r>
          </w:p>
        </w:tc>
        <w:tc>
          <w:tcPr>
            <w:tcW w:w="1781" w:type="pct"/>
            <w:tcBorders>
              <w:top w:val="nil"/>
              <w:left w:val="nil"/>
              <w:bottom w:val="nil"/>
              <w:right w:val="single" w:sz="4" w:space="0" w:color="auto"/>
            </w:tcBorders>
            <w:tcMar>
              <w:top w:w="15" w:type="dxa"/>
              <w:left w:w="15" w:type="dxa"/>
              <w:right w:w="15" w:type="dxa"/>
            </w:tcMar>
            <w:vAlign w:val="center"/>
          </w:tcPr>
          <w:p w14:paraId="39A42053"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   </w:t>
            </w:r>
          </w:p>
        </w:tc>
        <w:tc>
          <w:tcPr>
            <w:tcW w:w="1214" w:type="pct"/>
            <w:tcBorders>
              <w:top w:val="nil"/>
              <w:left w:val="single" w:sz="4" w:space="0" w:color="auto"/>
              <w:bottom w:val="nil"/>
              <w:right w:val="nil"/>
            </w:tcBorders>
            <w:tcMar>
              <w:top w:w="15" w:type="dxa"/>
              <w:left w:w="15" w:type="dxa"/>
              <w:right w:w="15" w:type="dxa"/>
            </w:tcMar>
            <w:vAlign w:val="center"/>
          </w:tcPr>
          <w:p w14:paraId="6878E4E5" w14:textId="77777777" w:rsidR="0033143E" w:rsidRPr="0076589C" w:rsidRDefault="0033143E" w:rsidP="00FB3CE4">
            <w:pPr>
              <w:jc w:val="center"/>
              <w:rPr>
                <w:rFonts w:asciiTheme="minorHAnsi" w:hAnsiTheme="minorHAnsi"/>
                <w:sz w:val="20"/>
                <w:szCs w:val="20"/>
              </w:rPr>
            </w:pPr>
          </w:p>
        </w:tc>
      </w:tr>
      <w:tr w:rsidR="0033143E" w:rsidRPr="0076589C" w14:paraId="305523BB" w14:textId="77777777" w:rsidTr="00FB3CE4">
        <w:trPr>
          <w:trHeight w:val="255"/>
          <w:jc w:val="center"/>
        </w:trPr>
        <w:tc>
          <w:tcPr>
            <w:tcW w:w="2005" w:type="pct"/>
            <w:tcBorders>
              <w:top w:val="nil"/>
              <w:left w:val="single" w:sz="4" w:space="0" w:color="auto"/>
              <w:bottom w:val="single" w:sz="4" w:space="0" w:color="auto"/>
              <w:right w:val="nil"/>
            </w:tcBorders>
            <w:tcMar>
              <w:top w:w="15" w:type="dxa"/>
              <w:left w:w="15" w:type="dxa"/>
              <w:right w:w="15" w:type="dxa"/>
            </w:tcMar>
            <w:vAlign w:val="center"/>
          </w:tcPr>
          <w:p w14:paraId="6152AABD"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81" w:type="pct"/>
            <w:tcBorders>
              <w:top w:val="nil"/>
              <w:left w:val="nil"/>
              <w:bottom w:val="single" w:sz="4" w:space="0" w:color="auto"/>
              <w:right w:val="single" w:sz="4" w:space="0" w:color="auto"/>
            </w:tcBorders>
            <w:tcMar>
              <w:top w:w="15" w:type="dxa"/>
              <w:left w:w="15" w:type="dxa"/>
              <w:right w:w="15" w:type="dxa"/>
            </w:tcMar>
            <w:vAlign w:val="center"/>
          </w:tcPr>
          <w:p w14:paraId="3B6CEFC6"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264,608.67 </w:t>
            </w:r>
          </w:p>
        </w:tc>
        <w:tc>
          <w:tcPr>
            <w:tcW w:w="1214" w:type="pct"/>
            <w:tcBorders>
              <w:top w:val="nil"/>
              <w:left w:val="single" w:sz="4" w:space="0" w:color="auto"/>
              <w:bottom w:val="single" w:sz="4" w:space="0" w:color="auto"/>
              <w:right w:val="nil"/>
            </w:tcBorders>
            <w:tcMar>
              <w:top w:w="15" w:type="dxa"/>
              <w:left w:w="15" w:type="dxa"/>
              <w:right w:w="15" w:type="dxa"/>
            </w:tcMar>
            <w:vAlign w:val="center"/>
          </w:tcPr>
          <w:p w14:paraId="5D375F70" w14:textId="77777777" w:rsidR="0033143E" w:rsidRPr="0076589C" w:rsidRDefault="0033143E" w:rsidP="00FB3CE4">
            <w:pPr>
              <w:jc w:val="center"/>
              <w:rPr>
                <w:rFonts w:asciiTheme="minorHAnsi" w:hAnsiTheme="minorHAnsi"/>
                <w:sz w:val="20"/>
                <w:szCs w:val="20"/>
              </w:rPr>
            </w:pPr>
          </w:p>
        </w:tc>
      </w:tr>
      <w:tr w:rsidR="0033143E" w:rsidRPr="0076589C" w14:paraId="553D120E" w14:textId="77777777" w:rsidTr="00FB3CE4">
        <w:trPr>
          <w:trHeight w:val="255"/>
          <w:jc w:val="center"/>
        </w:trPr>
        <w:tc>
          <w:tcPr>
            <w:tcW w:w="2005"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4D4880D1" w14:textId="77777777" w:rsidR="0033143E" w:rsidRPr="0076589C" w:rsidRDefault="0033143E" w:rsidP="00FB3CE4">
            <w:pPr>
              <w:jc w:val="center"/>
              <w:rPr>
                <w:rFonts w:asciiTheme="minorHAnsi" w:hAnsiTheme="minorHAnsi"/>
                <w:sz w:val="20"/>
                <w:szCs w:val="20"/>
              </w:rPr>
            </w:pPr>
          </w:p>
        </w:tc>
        <w:tc>
          <w:tcPr>
            <w:tcW w:w="1781"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7182C17E"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b/>
                <w:bCs/>
                <w:sz w:val="20"/>
                <w:szCs w:val="20"/>
              </w:rPr>
              <w:t xml:space="preserve">-L              230,000.09 </w:t>
            </w:r>
          </w:p>
        </w:tc>
        <w:tc>
          <w:tcPr>
            <w:tcW w:w="121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4045EA5F" w14:textId="77777777" w:rsidR="0033143E" w:rsidRPr="0076589C" w:rsidRDefault="0033143E" w:rsidP="00FB3CE4">
            <w:pPr>
              <w:spacing w:after="0"/>
              <w:ind w:left="0"/>
              <w:jc w:val="center"/>
              <w:rPr>
                <w:rFonts w:asciiTheme="minorHAnsi" w:hAnsiTheme="minorHAnsi"/>
                <w:b/>
                <w:bCs/>
                <w:sz w:val="20"/>
                <w:szCs w:val="20"/>
              </w:rPr>
            </w:pPr>
            <w:r w:rsidRPr="0076589C">
              <w:rPr>
                <w:rFonts w:asciiTheme="minorHAnsi" w:eastAsia="Arial" w:hAnsiTheme="minorHAnsi"/>
                <w:b/>
                <w:bCs/>
                <w:sz w:val="20"/>
                <w:szCs w:val="20"/>
              </w:rPr>
              <w:t>Límite Disponible</w:t>
            </w:r>
          </w:p>
        </w:tc>
      </w:tr>
      <w:tr w:rsidR="0033143E" w:rsidRPr="0076589C" w14:paraId="477ABB2E" w14:textId="77777777" w:rsidTr="00FB3CE4">
        <w:trPr>
          <w:trHeight w:val="255"/>
          <w:jc w:val="center"/>
        </w:trPr>
        <w:tc>
          <w:tcPr>
            <w:tcW w:w="2005" w:type="pct"/>
            <w:tcBorders>
              <w:top w:val="nil"/>
              <w:left w:val="single" w:sz="4" w:space="0" w:color="auto"/>
              <w:bottom w:val="nil"/>
              <w:right w:val="nil"/>
            </w:tcBorders>
            <w:tcMar>
              <w:top w:w="15" w:type="dxa"/>
              <w:left w:w="15" w:type="dxa"/>
              <w:right w:w="15" w:type="dxa"/>
            </w:tcMar>
            <w:vAlign w:val="center"/>
          </w:tcPr>
          <w:p w14:paraId="22EA913C"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noviembre 2022</w:t>
            </w:r>
          </w:p>
        </w:tc>
        <w:tc>
          <w:tcPr>
            <w:tcW w:w="1781"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1BD25EBA"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152,020.85 </w:t>
            </w:r>
          </w:p>
        </w:tc>
        <w:tc>
          <w:tcPr>
            <w:tcW w:w="1214" w:type="pct"/>
            <w:tcBorders>
              <w:top w:val="nil"/>
              <w:left w:val="single" w:sz="4" w:space="0" w:color="auto"/>
              <w:bottom w:val="nil"/>
              <w:right w:val="nil"/>
            </w:tcBorders>
            <w:tcMar>
              <w:top w:w="15" w:type="dxa"/>
              <w:left w:w="15" w:type="dxa"/>
              <w:right w:w="15" w:type="dxa"/>
            </w:tcMar>
            <w:vAlign w:val="center"/>
          </w:tcPr>
          <w:p w14:paraId="7088B453" w14:textId="77777777" w:rsidR="0033143E" w:rsidRPr="0076589C" w:rsidRDefault="0033143E" w:rsidP="00FB3CE4">
            <w:pPr>
              <w:jc w:val="center"/>
              <w:rPr>
                <w:rFonts w:asciiTheme="minorHAnsi" w:hAnsiTheme="minorHAnsi"/>
                <w:sz w:val="20"/>
                <w:szCs w:val="20"/>
              </w:rPr>
            </w:pPr>
          </w:p>
        </w:tc>
      </w:tr>
      <w:tr w:rsidR="0033143E" w:rsidRPr="0076589C" w14:paraId="781DEE35" w14:textId="77777777" w:rsidTr="00FB3CE4">
        <w:trPr>
          <w:trHeight w:val="255"/>
          <w:jc w:val="center"/>
        </w:trPr>
        <w:tc>
          <w:tcPr>
            <w:tcW w:w="2005" w:type="pct"/>
            <w:tcBorders>
              <w:top w:val="nil"/>
              <w:left w:val="single" w:sz="4" w:space="0" w:color="auto"/>
              <w:bottom w:val="single" w:sz="4" w:space="0" w:color="auto"/>
              <w:right w:val="nil"/>
            </w:tcBorders>
            <w:tcMar>
              <w:top w:w="15" w:type="dxa"/>
              <w:left w:w="15" w:type="dxa"/>
              <w:right w:w="15" w:type="dxa"/>
            </w:tcMar>
            <w:vAlign w:val="center"/>
          </w:tcPr>
          <w:p w14:paraId="4A6BA442"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81" w:type="pct"/>
            <w:tcBorders>
              <w:top w:val="nil"/>
              <w:left w:val="nil"/>
              <w:bottom w:val="single" w:sz="4" w:space="0" w:color="auto"/>
              <w:right w:val="single" w:sz="4" w:space="0" w:color="auto"/>
            </w:tcBorders>
            <w:tcMar>
              <w:top w:w="15" w:type="dxa"/>
              <w:left w:w="15" w:type="dxa"/>
              <w:right w:w="15" w:type="dxa"/>
            </w:tcMar>
            <w:vAlign w:val="center"/>
          </w:tcPr>
          <w:p w14:paraId="1E895BEF"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271,823.02 </w:t>
            </w:r>
          </w:p>
        </w:tc>
        <w:tc>
          <w:tcPr>
            <w:tcW w:w="1214" w:type="pct"/>
            <w:tcBorders>
              <w:top w:val="nil"/>
              <w:left w:val="single" w:sz="4" w:space="0" w:color="auto"/>
              <w:bottom w:val="single" w:sz="4" w:space="0" w:color="auto"/>
              <w:right w:val="nil"/>
            </w:tcBorders>
            <w:tcMar>
              <w:top w:w="15" w:type="dxa"/>
              <w:left w:w="15" w:type="dxa"/>
              <w:right w:w="15" w:type="dxa"/>
            </w:tcMar>
            <w:vAlign w:val="center"/>
          </w:tcPr>
          <w:p w14:paraId="16989F24" w14:textId="77777777" w:rsidR="0033143E" w:rsidRPr="0076589C" w:rsidRDefault="0033143E" w:rsidP="00FB3CE4">
            <w:pPr>
              <w:jc w:val="center"/>
              <w:rPr>
                <w:rFonts w:asciiTheme="minorHAnsi" w:hAnsiTheme="minorHAnsi"/>
                <w:sz w:val="20"/>
                <w:szCs w:val="20"/>
              </w:rPr>
            </w:pPr>
          </w:p>
        </w:tc>
      </w:tr>
      <w:tr w:rsidR="0033143E" w:rsidRPr="0076589C" w14:paraId="1D829467" w14:textId="77777777" w:rsidTr="00FB3CE4">
        <w:trPr>
          <w:trHeight w:val="255"/>
          <w:jc w:val="center"/>
        </w:trPr>
        <w:tc>
          <w:tcPr>
            <w:tcW w:w="2005"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2F48680F" w14:textId="77777777" w:rsidR="0033143E" w:rsidRPr="0076589C" w:rsidRDefault="0033143E" w:rsidP="00FB3CE4">
            <w:pPr>
              <w:jc w:val="center"/>
              <w:rPr>
                <w:rFonts w:asciiTheme="minorHAnsi" w:hAnsiTheme="minorHAnsi"/>
                <w:sz w:val="20"/>
                <w:szCs w:val="20"/>
              </w:rPr>
            </w:pPr>
          </w:p>
        </w:tc>
        <w:tc>
          <w:tcPr>
            <w:tcW w:w="1781"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07CCC438"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b/>
                <w:bCs/>
                <w:sz w:val="20"/>
                <w:szCs w:val="20"/>
              </w:rPr>
              <w:t xml:space="preserve">-L              349,802.26 </w:t>
            </w:r>
          </w:p>
        </w:tc>
        <w:tc>
          <w:tcPr>
            <w:tcW w:w="121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559057BB" w14:textId="77777777" w:rsidR="0033143E" w:rsidRPr="0076589C" w:rsidRDefault="0033143E" w:rsidP="00FB3CE4">
            <w:pPr>
              <w:spacing w:after="0"/>
              <w:ind w:left="0"/>
              <w:jc w:val="center"/>
              <w:rPr>
                <w:rFonts w:asciiTheme="minorHAnsi" w:hAnsiTheme="minorHAnsi"/>
                <w:b/>
                <w:bCs/>
                <w:sz w:val="20"/>
                <w:szCs w:val="20"/>
              </w:rPr>
            </w:pPr>
            <w:r w:rsidRPr="0076589C">
              <w:rPr>
                <w:rFonts w:asciiTheme="minorHAnsi" w:eastAsia="Arial" w:hAnsiTheme="minorHAnsi"/>
                <w:b/>
                <w:bCs/>
                <w:sz w:val="20"/>
                <w:szCs w:val="20"/>
              </w:rPr>
              <w:t>Límite Disponible</w:t>
            </w:r>
          </w:p>
        </w:tc>
      </w:tr>
      <w:tr w:rsidR="0033143E" w:rsidRPr="0076589C" w14:paraId="5DDFEC8B" w14:textId="77777777" w:rsidTr="00FB3CE4">
        <w:trPr>
          <w:trHeight w:val="255"/>
          <w:jc w:val="center"/>
        </w:trPr>
        <w:tc>
          <w:tcPr>
            <w:tcW w:w="2005" w:type="pct"/>
            <w:tcBorders>
              <w:top w:val="nil"/>
              <w:left w:val="single" w:sz="4" w:space="0" w:color="auto"/>
              <w:bottom w:val="nil"/>
              <w:right w:val="nil"/>
            </w:tcBorders>
            <w:tcMar>
              <w:top w:w="15" w:type="dxa"/>
              <w:left w:w="15" w:type="dxa"/>
              <w:right w:w="15" w:type="dxa"/>
            </w:tcMar>
            <w:vAlign w:val="center"/>
          </w:tcPr>
          <w:p w14:paraId="3583E35F"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diciembre 2022</w:t>
            </w:r>
          </w:p>
        </w:tc>
        <w:tc>
          <w:tcPr>
            <w:tcW w:w="1781"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1FB696F2"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81,071.80 </w:t>
            </w:r>
          </w:p>
        </w:tc>
        <w:tc>
          <w:tcPr>
            <w:tcW w:w="1214" w:type="pct"/>
            <w:tcBorders>
              <w:top w:val="nil"/>
              <w:left w:val="single" w:sz="4" w:space="0" w:color="auto"/>
              <w:bottom w:val="nil"/>
              <w:right w:val="nil"/>
            </w:tcBorders>
            <w:tcMar>
              <w:top w:w="15" w:type="dxa"/>
              <w:left w:w="15" w:type="dxa"/>
              <w:right w:w="15" w:type="dxa"/>
            </w:tcMar>
            <w:vAlign w:val="center"/>
          </w:tcPr>
          <w:p w14:paraId="3AC976D0" w14:textId="77777777" w:rsidR="0033143E" w:rsidRPr="0076589C" w:rsidRDefault="0033143E" w:rsidP="00FB3CE4">
            <w:pPr>
              <w:jc w:val="center"/>
              <w:rPr>
                <w:rFonts w:asciiTheme="minorHAnsi" w:hAnsiTheme="minorHAnsi"/>
                <w:sz w:val="20"/>
                <w:szCs w:val="20"/>
              </w:rPr>
            </w:pPr>
          </w:p>
        </w:tc>
      </w:tr>
      <w:tr w:rsidR="0033143E" w:rsidRPr="0076589C" w14:paraId="49A4E9AD" w14:textId="77777777" w:rsidTr="00FB3CE4">
        <w:trPr>
          <w:trHeight w:val="255"/>
          <w:jc w:val="center"/>
        </w:trPr>
        <w:tc>
          <w:tcPr>
            <w:tcW w:w="2005" w:type="pct"/>
            <w:tcBorders>
              <w:top w:val="nil"/>
              <w:left w:val="single" w:sz="4" w:space="0" w:color="auto"/>
              <w:bottom w:val="single" w:sz="4" w:space="0" w:color="auto"/>
              <w:right w:val="nil"/>
            </w:tcBorders>
            <w:tcMar>
              <w:top w:w="15" w:type="dxa"/>
              <w:left w:w="15" w:type="dxa"/>
              <w:right w:w="15" w:type="dxa"/>
            </w:tcMar>
            <w:vAlign w:val="center"/>
          </w:tcPr>
          <w:p w14:paraId="7282684F" w14:textId="77777777" w:rsidR="0033143E" w:rsidRPr="0076589C" w:rsidRDefault="0033143E" w:rsidP="00FB3CE4">
            <w:pPr>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81" w:type="pct"/>
            <w:tcBorders>
              <w:top w:val="nil"/>
              <w:left w:val="nil"/>
              <w:bottom w:val="single" w:sz="4" w:space="0" w:color="auto"/>
              <w:right w:val="single" w:sz="4" w:space="0" w:color="auto"/>
            </w:tcBorders>
            <w:tcMar>
              <w:top w:w="15" w:type="dxa"/>
              <w:left w:w="15" w:type="dxa"/>
              <w:right w:w="15" w:type="dxa"/>
            </w:tcMar>
            <w:vAlign w:val="center"/>
          </w:tcPr>
          <w:p w14:paraId="0FE89A69"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 L                            -   </w:t>
            </w:r>
          </w:p>
        </w:tc>
        <w:tc>
          <w:tcPr>
            <w:tcW w:w="1214" w:type="pct"/>
            <w:tcBorders>
              <w:top w:val="nil"/>
              <w:left w:val="single" w:sz="4" w:space="0" w:color="auto"/>
              <w:bottom w:val="single" w:sz="4" w:space="0" w:color="auto"/>
              <w:right w:val="nil"/>
            </w:tcBorders>
            <w:tcMar>
              <w:top w:w="15" w:type="dxa"/>
              <w:left w:w="15" w:type="dxa"/>
              <w:right w:w="15" w:type="dxa"/>
            </w:tcMar>
            <w:vAlign w:val="center"/>
          </w:tcPr>
          <w:p w14:paraId="69785D6C" w14:textId="77777777" w:rsidR="0033143E" w:rsidRPr="0076589C" w:rsidRDefault="0033143E" w:rsidP="00FB3CE4">
            <w:pPr>
              <w:jc w:val="center"/>
              <w:rPr>
                <w:rFonts w:asciiTheme="minorHAnsi" w:hAnsiTheme="minorHAnsi"/>
                <w:sz w:val="20"/>
                <w:szCs w:val="20"/>
              </w:rPr>
            </w:pPr>
          </w:p>
        </w:tc>
      </w:tr>
      <w:tr w:rsidR="0033143E" w:rsidRPr="0076589C" w14:paraId="4C327671" w14:textId="77777777" w:rsidTr="00FB3CE4">
        <w:trPr>
          <w:trHeight w:val="255"/>
          <w:jc w:val="center"/>
        </w:trPr>
        <w:tc>
          <w:tcPr>
            <w:tcW w:w="2005"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56A56BD6" w14:textId="77777777" w:rsidR="0033143E" w:rsidRPr="0076589C" w:rsidRDefault="0033143E" w:rsidP="00FB3CE4">
            <w:pPr>
              <w:jc w:val="center"/>
              <w:rPr>
                <w:rFonts w:asciiTheme="minorHAnsi" w:hAnsiTheme="minorHAnsi"/>
                <w:sz w:val="20"/>
                <w:szCs w:val="20"/>
              </w:rPr>
            </w:pPr>
          </w:p>
        </w:tc>
        <w:tc>
          <w:tcPr>
            <w:tcW w:w="1781"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2326D05A" w14:textId="77777777" w:rsidR="0033143E" w:rsidRPr="0076589C" w:rsidRDefault="0033143E" w:rsidP="00FB3CE4">
            <w:pPr>
              <w:spacing w:after="0"/>
              <w:jc w:val="center"/>
              <w:rPr>
                <w:rFonts w:asciiTheme="minorHAnsi" w:hAnsiTheme="minorHAnsi"/>
                <w:sz w:val="20"/>
                <w:szCs w:val="20"/>
              </w:rPr>
            </w:pPr>
            <w:r w:rsidRPr="0076589C">
              <w:rPr>
                <w:rFonts w:asciiTheme="minorHAnsi" w:eastAsia="Arial" w:hAnsiTheme="minorHAnsi"/>
                <w:b/>
                <w:bCs/>
                <w:color w:val="000000" w:themeColor="text1"/>
                <w:sz w:val="20"/>
                <w:szCs w:val="20"/>
              </w:rPr>
              <w:t xml:space="preserve">-L              268,730.46 </w:t>
            </w:r>
          </w:p>
        </w:tc>
        <w:tc>
          <w:tcPr>
            <w:tcW w:w="121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2313DDD8" w14:textId="77777777" w:rsidR="0033143E" w:rsidRPr="0076589C" w:rsidRDefault="0033143E" w:rsidP="00FB3CE4">
            <w:pPr>
              <w:spacing w:after="0"/>
              <w:ind w:left="0"/>
              <w:jc w:val="center"/>
              <w:rPr>
                <w:rFonts w:asciiTheme="minorHAnsi" w:hAnsiTheme="minorHAnsi"/>
                <w:b/>
                <w:bCs/>
                <w:sz w:val="20"/>
                <w:szCs w:val="20"/>
              </w:rPr>
            </w:pPr>
            <w:r w:rsidRPr="0076589C">
              <w:rPr>
                <w:rFonts w:asciiTheme="minorHAnsi" w:eastAsia="Arial" w:hAnsiTheme="minorHAnsi"/>
                <w:b/>
                <w:bCs/>
                <w:sz w:val="20"/>
                <w:szCs w:val="20"/>
              </w:rPr>
              <w:t>Límite Disponible</w:t>
            </w:r>
          </w:p>
        </w:tc>
      </w:tr>
    </w:tbl>
    <w:p w14:paraId="680BEAA2" w14:textId="51F81178" w:rsidR="00925E89" w:rsidRPr="0076589C" w:rsidRDefault="0033143E" w:rsidP="00925E89">
      <w:pPr>
        <w:pStyle w:val="Fuentes"/>
        <w:rPr>
          <w:lang w:val="es-HN"/>
        </w:rPr>
      </w:pPr>
      <w:r w:rsidRPr="0076589C">
        <w:rPr>
          <w:b/>
          <w:bCs/>
          <w:lang w:val="es-HN"/>
        </w:rPr>
        <w:t xml:space="preserve"> </w:t>
      </w:r>
      <w:r w:rsidRPr="0076589C">
        <w:rPr>
          <w:lang w:val="es-HN"/>
        </w:rPr>
        <w:t xml:space="preserve">Fuente: Elaboración </w:t>
      </w:r>
      <w:r w:rsidR="00925E89" w:rsidRPr="0076589C">
        <w:rPr>
          <w:lang w:val="es-HN"/>
        </w:rPr>
        <w:t>propia con datos de IPRA (2023)</w:t>
      </w:r>
    </w:p>
    <w:p w14:paraId="40C8EE3B" w14:textId="1CFEBEEC" w:rsidR="0033143E" w:rsidRPr="0076589C" w:rsidRDefault="0033143E" w:rsidP="00925E89">
      <w:pPr>
        <w:pStyle w:val="ImagenyTabla"/>
        <w:ind w:left="0"/>
      </w:pPr>
      <w:r w:rsidRPr="0076589C">
        <w:t xml:space="preserve">Cálculo del límite de crédito en base a historial de compra del “Farmacia Q”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4602"/>
        <w:gridCol w:w="4748"/>
      </w:tblGrid>
      <w:tr w:rsidR="0033143E" w:rsidRPr="0076589C" w14:paraId="600CD594" w14:textId="77777777" w:rsidTr="00FB3CE4">
        <w:trPr>
          <w:trHeight w:val="270"/>
          <w:jc w:val="center"/>
        </w:trPr>
        <w:tc>
          <w:tcPr>
            <w:tcW w:w="2461" w:type="pct"/>
            <w:shd w:val="clear" w:color="auto" w:fill="C9E1EF"/>
            <w:tcMar>
              <w:top w:w="15" w:type="dxa"/>
              <w:left w:w="15" w:type="dxa"/>
              <w:right w:w="15" w:type="dxa"/>
            </w:tcMar>
            <w:vAlign w:val="center"/>
          </w:tcPr>
          <w:p w14:paraId="776822B3" w14:textId="77777777" w:rsidR="0033143E" w:rsidRPr="0076589C" w:rsidRDefault="0033143E" w:rsidP="00FB3CE4">
            <w:pPr>
              <w:spacing w:after="0"/>
              <w:jc w:val="center"/>
              <w:rPr>
                <w:rFonts w:asciiTheme="minorHAnsi" w:eastAsia="Arial" w:hAnsiTheme="minorHAnsi"/>
                <w:b/>
                <w:bCs/>
                <w:color w:val="000000" w:themeColor="text1"/>
                <w:sz w:val="20"/>
                <w:szCs w:val="20"/>
              </w:rPr>
            </w:pPr>
            <w:r w:rsidRPr="0076589C">
              <w:rPr>
                <w:rFonts w:asciiTheme="minorHAnsi" w:eastAsia="Arial" w:hAnsiTheme="minorHAnsi"/>
                <w:b/>
                <w:bCs/>
                <w:color w:val="000000" w:themeColor="text1"/>
                <w:sz w:val="20"/>
                <w:szCs w:val="20"/>
              </w:rPr>
              <w:t>Compras Históricas</w:t>
            </w:r>
          </w:p>
        </w:tc>
        <w:tc>
          <w:tcPr>
            <w:tcW w:w="2539" w:type="pct"/>
            <w:shd w:val="clear" w:color="auto" w:fill="C9E1EF"/>
            <w:tcMar>
              <w:top w:w="15" w:type="dxa"/>
              <w:left w:w="15" w:type="dxa"/>
              <w:right w:w="15" w:type="dxa"/>
            </w:tcMar>
            <w:vAlign w:val="center"/>
          </w:tcPr>
          <w:p w14:paraId="710821FD" w14:textId="77777777" w:rsidR="0033143E" w:rsidRPr="0076589C" w:rsidRDefault="0033143E" w:rsidP="00FB3CE4">
            <w:pPr>
              <w:spacing w:after="0"/>
              <w:jc w:val="center"/>
              <w:rPr>
                <w:rFonts w:asciiTheme="minorHAnsi" w:hAnsiTheme="minorHAnsi"/>
              </w:rPr>
            </w:pPr>
            <w:r w:rsidRPr="0076589C">
              <w:rPr>
                <w:rFonts w:asciiTheme="minorHAnsi" w:eastAsia="Arial" w:hAnsiTheme="minorHAnsi"/>
                <w:b/>
                <w:bCs/>
                <w:color w:val="000000" w:themeColor="text1"/>
                <w:sz w:val="20"/>
                <w:szCs w:val="20"/>
              </w:rPr>
              <w:t xml:space="preserve"> L             3,016,798.21 </w:t>
            </w:r>
          </w:p>
        </w:tc>
      </w:tr>
      <w:tr w:rsidR="0033143E" w:rsidRPr="0076589C" w14:paraId="0E68819D" w14:textId="77777777" w:rsidTr="00FB3CE4">
        <w:trPr>
          <w:trHeight w:val="255"/>
          <w:jc w:val="center"/>
        </w:trPr>
        <w:tc>
          <w:tcPr>
            <w:tcW w:w="2461" w:type="pct"/>
            <w:shd w:val="clear" w:color="auto" w:fill="auto"/>
            <w:tcMar>
              <w:top w:w="15" w:type="dxa"/>
              <w:left w:w="15" w:type="dxa"/>
              <w:right w:w="15" w:type="dxa"/>
            </w:tcMar>
            <w:vAlign w:val="center"/>
          </w:tcPr>
          <w:p w14:paraId="676A738B" w14:textId="77777777" w:rsidR="0033143E" w:rsidRPr="0076589C" w:rsidRDefault="0033143E" w:rsidP="00FB3CE4">
            <w:pPr>
              <w:spacing w:after="0"/>
              <w:jc w:val="center"/>
              <w:rPr>
                <w:rFonts w:asciiTheme="minorHAnsi" w:hAnsiTheme="minorHAnsi"/>
              </w:rPr>
            </w:pPr>
            <w:r w:rsidRPr="0076589C">
              <w:rPr>
                <w:rFonts w:asciiTheme="minorHAnsi" w:eastAsia="Arial" w:hAnsiTheme="minorHAnsi"/>
                <w:color w:val="000000" w:themeColor="text1"/>
                <w:sz w:val="20"/>
                <w:szCs w:val="20"/>
              </w:rPr>
              <w:t>Días pactados con el cliente</w:t>
            </w:r>
          </w:p>
        </w:tc>
        <w:tc>
          <w:tcPr>
            <w:tcW w:w="2539" w:type="pct"/>
            <w:shd w:val="clear" w:color="auto" w:fill="auto"/>
            <w:tcMar>
              <w:top w:w="15" w:type="dxa"/>
              <w:left w:w="15" w:type="dxa"/>
              <w:right w:w="15" w:type="dxa"/>
            </w:tcMar>
            <w:vAlign w:val="center"/>
          </w:tcPr>
          <w:p w14:paraId="79DF8118" w14:textId="77777777" w:rsidR="0033143E" w:rsidRPr="0076589C" w:rsidRDefault="0033143E" w:rsidP="00FB3CE4">
            <w:pPr>
              <w:spacing w:after="0"/>
              <w:jc w:val="center"/>
              <w:rPr>
                <w:rFonts w:asciiTheme="minorHAnsi" w:hAnsiTheme="minorHAnsi"/>
              </w:rPr>
            </w:pPr>
            <w:r w:rsidRPr="0076589C">
              <w:rPr>
                <w:rFonts w:asciiTheme="minorHAnsi" w:eastAsia="Arial" w:hAnsiTheme="minorHAnsi"/>
                <w:color w:val="000000" w:themeColor="text1"/>
                <w:sz w:val="20"/>
                <w:szCs w:val="20"/>
              </w:rPr>
              <w:t>45</w:t>
            </w:r>
          </w:p>
        </w:tc>
      </w:tr>
      <w:tr w:rsidR="0033143E" w:rsidRPr="0076589C" w14:paraId="6CA332BB" w14:textId="77777777" w:rsidTr="00FB3CE4">
        <w:trPr>
          <w:trHeight w:val="255"/>
          <w:jc w:val="center"/>
        </w:trPr>
        <w:tc>
          <w:tcPr>
            <w:tcW w:w="2461" w:type="pct"/>
            <w:shd w:val="clear" w:color="auto" w:fill="auto"/>
            <w:tcMar>
              <w:top w:w="15" w:type="dxa"/>
              <w:left w:w="15" w:type="dxa"/>
              <w:right w:w="15" w:type="dxa"/>
            </w:tcMar>
            <w:vAlign w:val="center"/>
          </w:tcPr>
          <w:p w14:paraId="5A411C4E" w14:textId="77777777" w:rsidR="0033143E" w:rsidRPr="0076589C" w:rsidRDefault="0033143E" w:rsidP="00FB3CE4">
            <w:pPr>
              <w:spacing w:after="0"/>
              <w:jc w:val="center"/>
              <w:rPr>
                <w:rFonts w:asciiTheme="minorHAnsi" w:hAnsiTheme="minorHAnsi"/>
              </w:rPr>
            </w:pPr>
            <w:r w:rsidRPr="0076589C">
              <w:rPr>
                <w:rFonts w:asciiTheme="minorHAnsi" w:eastAsia="Arial" w:hAnsiTheme="minorHAnsi"/>
                <w:color w:val="000000" w:themeColor="text1"/>
                <w:sz w:val="20"/>
                <w:szCs w:val="20"/>
              </w:rPr>
              <w:t>Año Financiero</w:t>
            </w:r>
          </w:p>
        </w:tc>
        <w:tc>
          <w:tcPr>
            <w:tcW w:w="2539" w:type="pct"/>
            <w:shd w:val="clear" w:color="auto" w:fill="auto"/>
            <w:tcMar>
              <w:top w:w="15" w:type="dxa"/>
              <w:left w:w="15" w:type="dxa"/>
              <w:right w:w="15" w:type="dxa"/>
            </w:tcMar>
            <w:vAlign w:val="center"/>
          </w:tcPr>
          <w:p w14:paraId="0EE7C5FD" w14:textId="77777777" w:rsidR="0033143E" w:rsidRPr="0076589C" w:rsidRDefault="0033143E" w:rsidP="00FB3CE4">
            <w:pPr>
              <w:spacing w:after="0"/>
              <w:jc w:val="center"/>
              <w:rPr>
                <w:rFonts w:asciiTheme="minorHAnsi" w:hAnsiTheme="minorHAnsi"/>
              </w:rPr>
            </w:pPr>
            <w:r w:rsidRPr="0076589C">
              <w:rPr>
                <w:rFonts w:asciiTheme="minorHAnsi" w:eastAsia="Arial" w:hAnsiTheme="minorHAnsi"/>
                <w:color w:val="000000" w:themeColor="text1"/>
                <w:sz w:val="20"/>
                <w:szCs w:val="20"/>
              </w:rPr>
              <w:t>360</w:t>
            </w:r>
          </w:p>
        </w:tc>
      </w:tr>
      <w:tr w:rsidR="0033143E" w:rsidRPr="0076589C" w14:paraId="107DA74C" w14:textId="77777777" w:rsidTr="00FB3CE4">
        <w:trPr>
          <w:trHeight w:val="39"/>
          <w:jc w:val="center"/>
        </w:trPr>
        <w:tc>
          <w:tcPr>
            <w:tcW w:w="2461" w:type="pct"/>
            <w:shd w:val="clear" w:color="auto" w:fill="auto"/>
            <w:tcMar>
              <w:top w:w="15" w:type="dxa"/>
              <w:left w:w="15" w:type="dxa"/>
              <w:right w:w="15" w:type="dxa"/>
            </w:tcMar>
            <w:vAlign w:val="center"/>
          </w:tcPr>
          <w:p w14:paraId="4BDE1623" w14:textId="77777777" w:rsidR="0033143E" w:rsidRPr="0076589C" w:rsidRDefault="0033143E" w:rsidP="00FB3CE4">
            <w:pPr>
              <w:spacing w:after="0"/>
              <w:jc w:val="center"/>
              <w:rPr>
                <w:rFonts w:asciiTheme="minorHAnsi" w:hAnsiTheme="minorHAnsi"/>
              </w:rPr>
            </w:pPr>
            <w:r w:rsidRPr="0076589C">
              <w:rPr>
                <w:rFonts w:asciiTheme="minorHAnsi" w:eastAsia="Arial" w:hAnsiTheme="minorHAnsi"/>
                <w:color w:val="000000" w:themeColor="text1"/>
                <w:sz w:val="20"/>
                <w:szCs w:val="20"/>
              </w:rPr>
              <w:t>Crédito Cliente</w:t>
            </w:r>
          </w:p>
        </w:tc>
        <w:tc>
          <w:tcPr>
            <w:tcW w:w="2539" w:type="pct"/>
            <w:shd w:val="clear" w:color="auto" w:fill="auto"/>
            <w:tcMar>
              <w:top w:w="15" w:type="dxa"/>
              <w:left w:w="15" w:type="dxa"/>
              <w:right w:w="15" w:type="dxa"/>
            </w:tcMar>
            <w:vAlign w:val="center"/>
          </w:tcPr>
          <w:p w14:paraId="22040D44" w14:textId="77777777" w:rsidR="0033143E" w:rsidRPr="0076589C" w:rsidRDefault="0033143E" w:rsidP="00FB3CE4">
            <w:pPr>
              <w:spacing w:after="0"/>
              <w:jc w:val="center"/>
              <w:rPr>
                <w:rFonts w:asciiTheme="minorHAnsi" w:hAnsiTheme="minorHAnsi"/>
              </w:rPr>
            </w:pPr>
            <w:r w:rsidRPr="0076589C">
              <w:rPr>
                <w:rFonts w:asciiTheme="minorHAnsi" w:eastAsia="Arial" w:hAnsiTheme="minorHAnsi"/>
                <w:color w:val="000000" w:themeColor="text1"/>
                <w:sz w:val="20"/>
                <w:szCs w:val="20"/>
              </w:rPr>
              <w:t xml:space="preserve"> L                377,099.78 </w:t>
            </w:r>
          </w:p>
        </w:tc>
      </w:tr>
      <w:tr w:rsidR="0033143E" w:rsidRPr="0076589C" w14:paraId="3D9588DF" w14:textId="77777777" w:rsidTr="00FB3CE4">
        <w:trPr>
          <w:trHeight w:val="39"/>
          <w:jc w:val="center"/>
        </w:trPr>
        <w:tc>
          <w:tcPr>
            <w:tcW w:w="2461" w:type="pct"/>
            <w:shd w:val="clear" w:color="auto" w:fill="C9E1EF"/>
            <w:tcMar>
              <w:top w:w="15" w:type="dxa"/>
              <w:left w:w="15" w:type="dxa"/>
              <w:right w:w="15" w:type="dxa"/>
            </w:tcMar>
            <w:vAlign w:val="center"/>
          </w:tcPr>
          <w:p w14:paraId="3F87CDED" w14:textId="77777777" w:rsidR="0033143E" w:rsidRPr="0076589C" w:rsidRDefault="0033143E" w:rsidP="00FB3CE4">
            <w:pPr>
              <w:spacing w:after="0"/>
              <w:jc w:val="center"/>
              <w:rPr>
                <w:rFonts w:asciiTheme="minorHAnsi" w:hAnsiTheme="minorHAnsi"/>
                <w:b/>
                <w:bCs/>
              </w:rPr>
            </w:pPr>
            <w:r w:rsidRPr="0076589C">
              <w:rPr>
                <w:rFonts w:asciiTheme="minorHAnsi" w:eastAsia="Arial" w:hAnsiTheme="minorHAnsi"/>
                <w:b/>
                <w:bCs/>
                <w:color w:val="000000" w:themeColor="text1"/>
                <w:sz w:val="20"/>
                <w:szCs w:val="20"/>
              </w:rPr>
              <w:t>Índice Correctivo de previsión de incremento de ventas</w:t>
            </w:r>
          </w:p>
        </w:tc>
        <w:tc>
          <w:tcPr>
            <w:tcW w:w="2539" w:type="pct"/>
            <w:shd w:val="clear" w:color="auto" w:fill="C9E1EF"/>
            <w:tcMar>
              <w:top w:w="15" w:type="dxa"/>
              <w:left w:w="15" w:type="dxa"/>
              <w:right w:w="15" w:type="dxa"/>
            </w:tcMar>
            <w:vAlign w:val="center"/>
          </w:tcPr>
          <w:p w14:paraId="57F3C33B" w14:textId="77777777" w:rsidR="0033143E" w:rsidRPr="0076589C" w:rsidRDefault="0033143E" w:rsidP="00FB3CE4">
            <w:pPr>
              <w:spacing w:after="0"/>
              <w:jc w:val="center"/>
              <w:rPr>
                <w:rFonts w:asciiTheme="minorHAnsi" w:hAnsiTheme="minorHAnsi"/>
                <w:b/>
                <w:bCs/>
              </w:rPr>
            </w:pPr>
            <w:r w:rsidRPr="0076589C">
              <w:rPr>
                <w:rFonts w:asciiTheme="minorHAnsi" w:eastAsia="Arial" w:hAnsiTheme="minorHAnsi"/>
                <w:b/>
                <w:bCs/>
                <w:color w:val="000000" w:themeColor="text1"/>
                <w:sz w:val="20"/>
                <w:szCs w:val="20"/>
              </w:rPr>
              <w:t xml:space="preserve"> L                414,809.75</w:t>
            </w:r>
          </w:p>
        </w:tc>
      </w:tr>
    </w:tbl>
    <w:p w14:paraId="2CB0B612" w14:textId="4C6E5304" w:rsidR="0033143E" w:rsidRPr="0076589C" w:rsidRDefault="0033143E" w:rsidP="0033143E">
      <w:pPr>
        <w:pStyle w:val="Fuentes"/>
        <w:rPr>
          <w:lang w:val="es-HN"/>
        </w:rPr>
      </w:pPr>
      <w:r w:rsidRPr="0076589C">
        <w:rPr>
          <w:lang w:val="es-HN"/>
        </w:rPr>
        <w:t xml:space="preserve">Fuente: Elaboración </w:t>
      </w:r>
      <w:r w:rsidR="00925E89" w:rsidRPr="0076589C">
        <w:rPr>
          <w:lang w:val="es-HN"/>
        </w:rPr>
        <w:t>propia con datos de IPRA (2023)</w:t>
      </w:r>
    </w:p>
    <w:p w14:paraId="3FE80D21" w14:textId="58454BC8" w:rsidR="0033143E" w:rsidRPr="0076589C" w:rsidRDefault="0033143E" w:rsidP="00925E89">
      <w:pPr>
        <w:spacing w:after="0"/>
        <w:ind w:left="0"/>
        <w:rPr>
          <w:b/>
        </w:rPr>
      </w:pPr>
      <w:r w:rsidRPr="0076589C">
        <w:rPr>
          <w:b/>
          <w:bCs/>
        </w:rPr>
        <w:br w:type="page"/>
      </w:r>
      <w:r w:rsidR="006000E2" w:rsidRPr="0076589C">
        <w:rPr>
          <w:b/>
        </w:rPr>
        <w:lastRenderedPageBreak/>
        <w:t xml:space="preserve">Anexo 7. Análisis del límite de crédito </w:t>
      </w:r>
      <w:r w:rsidR="00113876" w:rsidRPr="0076589C">
        <w:rPr>
          <w:b/>
        </w:rPr>
        <w:t xml:space="preserve">del cliente </w:t>
      </w:r>
      <w:r w:rsidR="006000E2" w:rsidRPr="0076589C">
        <w:rPr>
          <w:b/>
        </w:rPr>
        <w:t xml:space="preserve">Corporativa K </w:t>
      </w:r>
    </w:p>
    <w:p w14:paraId="2244ACE6" w14:textId="77777777" w:rsidR="006000E2" w:rsidRPr="0076589C" w:rsidRDefault="006000E2" w:rsidP="00925E89">
      <w:pPr>
        <w:pStyle w:val="ImagenyTabla"/>
        <w:spacing w:after="0"/>
      </w:pPr>
      <w:bookmarkStart w:id="351" w:name="_Hlk150711695"/>
    </w:p>
    <w:tbl>
      <w:tblPr>
        <w:tblW w:w="5000" w:type="pct"/>
        <w:jc w:val="center"/>
        <w:tblLook w:val="06A0" w:firstRow="1" w:lastRow="0" w:firstColumn="1" w:lastColumn="0" w:noHBand="1" w:noVBand="1"/>
      </w:tblPr>
      <w:tblGrid>
        <w:gridCol w:w="3497"/>
        <w:gridCol w:w="3325"/>
        <w:gridCol w:w="2533"/>
      </w:tblGrid>
      <w:tr w:rsidR="006000E2" w:rsidRPr="0076589C" w14:paraId="7FB3AC1E" w14:textId="77777777" w:rsidTr="00FB3CE4">
        <w:trPr>
          <w:trHeight w:val="270"/>
          <w:jc w:val="center"/>
        </w:trPr>
        <w:tc>
          <w:tcPr>
            <w:tcW w:w="1869"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bookmarkEnd w:id="351"/>
          <w:p w14:paraId="3FA9A60F"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Calibri" w:hAnsiTheme="minorHAnsi"/>
                <w:b/>
                <w:bCs/>
                <w:color w:val="000000" w:themeColor="text1"/>
                <w:sz w:val="20"/>
                <w:szCs w:val="20"/>
              </w:rPr>
              <w:t>Cliente</w:t>
            </w:r>
          </w:p>
        </w:tc>
        <w:tc>
          <w:tcPr>
            <w:tcW w:w="1777" w:type="pc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A545142"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Corporativa K</w:t>
            </w:r>
          </w:p>
        </w:tc>
        <w:tc>
          <w:tcPr>
            <w:tcW w:w="1354" w:type="pct"/>
            <w:tcBorders>
              <w:top w:val="nil"/>
              <w:left w:val="single" w:sz="4" w:space="0" w:color="auto"/>
              <w:bottom w:val="nil"/>
              <w:right w:val="nil"/>
            </w:tcBorders>
            <w:tcMar>
              <w:top w:w="15" w:type="dxa"/>
              <w:left w:w="15" w:type="dxa"/>
              <w:right w:w="15" w:type="dxa"/>
            </w:tcMar>
            <w:vAlign w:val="center"/>
          </w:tcPr>
          <w:p w14:paraId="3FBE3994" w14:textId="77777777" w:rsidR="006000E2" w:rsidRPr="0076589C" w:rsidRDefault="006000E2" w:rsidP="00FB3CE4">
            <w:pPr>
              <w:jc w:val="center"/>
              <w:rPr>
                <w:rFonts w:asciiTheme="minorHAnsi" w:hAnsiTheme="minorHAnsi"/>
                <w:sz w:val="20"/>
                <w:szCs w:val="20"/>
              </w:rPr>
            </w:pPr>
          </w:p>
        </w:tc>
      </w:tr>
      <w:tr w:rsidR="006000E2" w:rsidRPr="0076589C" w14:paraId="462764D8" w14:textId="77777777" w:rsidTr="00FB3CE4">
        <w:trPr>
          <w:trHeight w:val="345"/>
          <w:jc w:val="center"/>
        </w:trPr>
        <w:tc>
          <w:tcPr>
            <w:tcW w:w="1869"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2ADEF46F"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Calibri" w:hAnsiTheme="minorHAnsi"/>
                <w:b/>
                <w:bCs/>
                <w:color w:val="000000" w:themeColor="text1"/>
                <w:sz w:val="20"/>
                <w:szCs w:val="20"/>
              </w:rPr>
              <w:t>Días de Crédito Otorgados</w:t>
            </w:r>
          </w:p>
        </w:tc>
        <w:tc>
          <w:tcPr>
            <w:tcW w:w="1777" w:type="pc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65411C7"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30</w:t>
            </w:r>
          </w:p>
        </w:tc>
        <w:tc>
          <w:tcPr>
            <w:tcW w:w="1354" w:type="pct"/>
            <w:tcBorders>
              <w:top w:val="nil"/>
              <w:left w:val="single" w:sz="4" w:space="0" w:color="auto"/>
              <w:bottom w:val="nil"/>
              <w:right w:val="nil"/>
            </w:tcBorders>
            <w:tcMar>
              <w:top w:w="15" w:type="dxa"/>
              <w:left w:w="15" w:type="dxa"/>
              <w:right w:w="15" w:type="dxa"/>
            </w:tcMar>
            <w:vAlign w:val="center"/>
          </w:tcPr>
          <w:p w14:paraId="223AD5C3" w14:textId="77777777" w:rsidR="006000E2" w:rsidRPr="0076589C" w:rsidRDefault="006000E2" w:rsidP="00FB3CE4">
            <w:pPr>
              <w:jc w:val="center"/>
              <w:rPr>
                <w:rFonts w:asciiTheme="minorHAnsi" w:hAnsiTheme="minorHAnsi"/>
                <w:sz w:val="20"/>
                <w:szCs w:val="20"/>
              </w:rPr>
            </w:pPr>
          </w:p>
        </w:tc>
      </w:tr>
      <w:tr w:rsidR="006000E2" w:rsidRPr="0076589C" w14:paraId="42710EA3" w14:textId="77777777" w:rsidTr="00FB3CE4">
        <w:trPr>
          <w:trHeight w:val="270"/>
          <w:jc w:val="center"/>
        </w:trPr>
        <w:tc>
          <w:tcPr>
            <w:tcW w:w="1869"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7054857D"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Calibri" w:hAnsiTheme="minorHAnsi"/>
                <w:b/>
                <w:bCs/>
                <w:color w:val="000000" w:themeColor="text1"/>
                <w:sz w:val="20"/>
                <w:szCs w:val="20"/>
              </w:rPr>
              <w:t>Límite de Crédito Otorgado</w:t>
            </w:r>
          </w:p>
        </w:tc>
        <w:tc>
          <w:tcPr>
            <w:tcW w:w="1777" w:type="pc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591F023"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42,000.00 </w:t>
            </w:r>
          </w:p>
        </w:tc>
        <w:tc>
          <w:tcPr>
            <w:tcW w:w="1354" w:type="pct"/>
            <w:tcBorders>
              <w:top w:val="nil"/>
              <w:left w:val="single" w:sz="4" w:space="0" w:color="auto"/>
              <w:bottom w:val="nil"/>
              <w:right w:val="nil"/>
            </w:tcBorders>
            <w:tcMar>
              <w:top w:w="15" w:type="dxa"/>
              <w:left w:w="15" w:type="dxa"/>
              <w:right w:w="15" w:type="dxa"/>
            </w:tcMar>
            <w:vAlign w:val="center"/>
          </w:tcPr>
          <w:p w14:paraId="7AB665EC" w14:textId="77777777" w:rsidR="006000E2" w:rsidRPr="0076589C" w:rsidRDefault="006000E2" w:rsidP="00FB3CE4">
            <w:pPr>
              <w:jc w:val="center"/>
              <w:rPr>
                <w:rFonts w:asciiTheme="minorHAnsi" w:hAnsiTheme="minorHAnsi"/>
                <w:sz w:val="20"/>
                <w:szCs w:val="20"/>
              </w:rPr>
            </w:pPr>
          </w:p>
        </w:tc>
      </w:tr>
      <w:tr w:rsidR="006000E2" w:rsidRPr="0076589C" w14:paraId="1A6D035D" w14:textId="77777777" w:rsidTr="00FB3CE4">
        <w:trPr>
          <w:trHeight w:val="255"/>
          <w:jc w:val="center"/>
        </w:trPr>
        <w:tc>
          <w:tcPr>
            <w:tcW w:w="1869" w:type="pct"/>
            <w:tcBorders>
              <w:top w:val="single" w:sz="4" w:space="0" w:color="auto"/>
              <w:left w:val="nil"/>
              <w:bottom w:val="single" w:sz="4" w:space="0" w:color="auto"/>
              <w:right w:val="nil"/>
            </w:tcBorders>
            <w:tcMar>
              <w:top w:w="15" w:type="dxa"/>
              <w:left w:w="15" w:type="dxa"/>
              <w:right w:w="15" w:type="dxa"/>
            </w:tcMar>
            <w:vAlign w:val="center"/>
          </w:tcPr>
          <w:p w14:paraId="064B5F75" w14:textId="77777777" w:rsidR="006000E2" w:rsidRPr="0076589C" w:rsidRDefault="006000E2" w:rsidP="00925E89">
            <w:pPr>
              <w:spacing w:after="0"/>
              <w:jc w:val="center"/>
              <w:rPr>
                <w:rFonts w:asciiTheme="minorHAnsi" w:hAnsiTheme="minorHAnsi"/>
                <w:sz w:val="20"/>
                <w:szCs w:val="20"/>
              </w:rPr>
            </w:pPr>
          </w:p>
        </w:tc>
        <w:tc>
          <w:tcPr>
            <w:tcW w:w="1777" w:type="pct"/>
            <w:tcBorders>
              <w:top w:val="single" w:sz="4" w:space="0" w:color="auto"/>
              <w:left w:val="nil"/>
              <w:bottom w:val="single" w:sz="4" w:space="0" w:color="auto"/>
              <w:right w:val="nil"/>
            </w:tcBorders>
            <w:tcMar>
              <w:top w:w="15" w:type="dxa"/>
              <w:left w:w="15" w:type="dxa"/>
              <w:right w:w="15" w:type="dxa"/>
            </w:tcMar>
            <w:vAlign w:val="center"/>
          </w:tcPr>
          <w:p w14:paraId="1499AF9F" w14:textId="77777777" w:rsidR="006000E2" w:rsidRPr="0076589C" w:rsidRDefault="006000E2" w:rsidP="00FB3CE4">
            <w:pPr>
              <w:jc w:val="center"/>
              <w:rPr>
                <w:rFonts w:asciiTheme="minorHAnsi" w:hAnsiTheme="minorHAnsi"/>
                <w:sz w:val="20"/>
                <w:szCs w:val="20"/>
              </w:rPr>
            </w:pPr>
          </w:p>
        </w:tc>
        <w:tc>
          <w:tcPr>
            <w:tcW w:w="1354" w:type="pct"/>
            <w:tcBorders>
              <w:top w:val="nil"/>
              <w:left w:val="nil"/>
              <w:bottom w:val="nil"/>
              <w:right w:val="nil"/>
            </w:tcBorders>
            <w:tcMar>
              <w:top w:w="15" w:type="dxa"/>
              <w:left w:w="15" w:type="dxa"/>
              <w:right w:w="15" w:type="dxa"/>
            </w:tcMar>
            <w:vAlign w:val="center"/>
          </w:tcPr>
          <w:p w14:paraId="66F32F5D" w14:textId="77777777" w:rsidR="006000E2" w:rsidRPr="0076589C" w:rsidRDefault="006000E2" w:rsidP="00FB3CE4">
            <w:pPr>
              <w:jc w:val="center"/>
              <w:rPr>
                <w:rFonts w:asciiTheme="minorHAnsi" w:hAnsiTheme="minorHAnsi"/>
                <w:sz w:val="20"/>
                <w:szCs w:val="20"/>
              </w:rPr>
            </w:pPr>
          </w:p>
        </w:tc>
      </w:tr>
      <w:tr w:rsidR="006000E2" w:rsidRPr="0076589C" w14:paraId="46CBBF18" w14:textId="77777777" w:rsidTr="00FB3CE4">
        <w:trPr>
          <w:trHeight w:val="255"/>
          <w:jc w:val="center"/>
        </w:trPr>
        <w:tc>
          <w:tcPr>
            <w:tcW w:w="1869"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6326D4EF"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b/>
                <w:bCs/>
                <w:color w:val="000000" w:themeColor="text1"/>
                <w:sz w:val="20"/>
                <w:szCs w:val="20"/>
              </w:rPr>
              <w:t xml:space="preserve">Límite de crédito otorgado </w:t>
            </w:r>
          </w:p>
        </w:tc>
        <w:tc>
          <w:tcPr>
            <w:tcW w:w="1777" w:type="pct"/>
            <w:tcBorders>
              <w:top w:val="single" w:sz="4" w:space="0" w:color="auto"/>
              <w:left w:val="nil"/>
              <w:bottom w:val="single" w:sz="4" w:space="0" w:color="auto"/>
              <w:right w:val="single" w:sz="4" w:space="0" w:color="auto"/>
            </w:tcBorders>
            <w:shd w:val="clear" w:color="auto" w:fill="FFFFFF" w:themeFill="background1"/>
            <w:tcMar>
              <w:top w:w="15" w:type="dxa"/>
              <w:left w:w="15" w:type="dxa"/>
              <w:right w:w="15" w:type="dxa"/>
            </w:tcMar>
            <w:vAlign w:val="center"/>
          </w:tcPr>
          <w:p w14:paraId="63C3BFF8"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b/>
                <w:bCs/>
                <w:color w:val="000000" w:themeColor="text1"/>
                <w:sz w:val="20"/>
                <w:szCs w:val="20"/>
              </w:rPr>
              <w:t xml:space="preserve">-L               42,000.00 </w:t>
            </w:r>
          </w:p>
        </w:tc>
        <w:tc>
          <w:tcPr>
            <w:tcW w:w="1354" w:type="pct"/>
            <w:tcBorders>
              <w:top w:val="nil"/>
              <w:left w:val="single" w:sz="4" w:space="0" w:color="auto"/>
              <w:bottom w:val="nil"/>
              <w:right w:val="nil"/>
            </w:tcBorders>
            <w:shd w:val="clear" w:color="auto" w:fill="FFFFFF" w:themeFill="background1"/>
            <w:tcMar>
              <w:top w:w="15" w:type="dxa"/>
              <w:left w:w="15" w:type="dxa"/>
              <w:right w:w="15" w:type="dxa"/>
            </w:tcMar>
            <w:vAlign w:val="center"/>
          </w:tcPr>
          <w:p w14:paraId="67A8838E"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w:t>
            </w:r>
          </w:p>
        </w:tc>
      </w:tr>
      <w:tr w:rsidR="006000E2" w:rsidRPr="0076589C" w14:paraId="2DE49A87" w14:textId="77777777" w:rsidTr="00FB3CE4">
        <w:trPr>
          <w:trHeight w:val="255"/>
          <w:jc w:val="center"/>
        </w:trPr>
        <w:tc>
          <w:tcPr>
            <w:tcW w:w="1869" w:type="pct"/>
            <w:tcBorders>
              <w:top w:val="single" w:sz="4" w:space="0" w:color="auto"/>
              <w:left w:val="single" w:sz="4" w:space="0" w:color="auto"/>
              <w:bottom w:val="nil"/>
              <w:right w:val="nil"/>
            </w:tcBorders>
            <w:tcMar>
              <w:top w:w="15" w:type="dxa"/>
              <w:left w:w="15" w:type="dxa"/>
              <w:right w:w="15" w:type="dxa"/>
            </w:tcMar>
            <w:vAlign w:val="center"/>
          </w:tcPr>
          <w:p w14:paraId="116ED3C3"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Saldo pendiente de cobro dic 2021</w:t>
            </w:r>
          </w:p>
        </w:tc>
        <w:tc>
          <w:tcPr>
            <w:tcW w:w="1777" w:type="pct"/>
            <w:tcBorders>
              <w:top w:val="single" w:sz="4" w:space="0" w:color="auto"/>
              <w:left w:val="nil"/>
              <w:bottom w:val="nil"/>
              <w:right w:val="single" w:sz="4" w:space="0" w:color="auto"/>
            </w:tcBorders>
            <w:shd w:val="clear" w:color="auto" w:fill="FFFFFF" w:themeFill="background1"/>
            <w:tcMar>
              <w:top w:w="15" w:type="dxa"/>
              <w:left w:w="15" w:type="dxa"/>
              <w:right w:w="15" w:type="dxa"/>
            </w:tcMar>
            <w:vAlign w:val="center"/>
          </w:tcPr>
          <w:p w14:paraId="63BEA3B9"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   </w:t>
            </w:r>
          </w:p>
        </w:tc>
        <w:tc>
          <w:tcPr>
            <w:tcW w:w="1354" w:type="pct"/>
            <w:tcBorders>
              <w:top w:val="nil"/>
              <w:left w:val="single" w:sz="4" w:space="0" w:color="auto"/>
              <w:bottom w:val="nil"/>
              <w:right w:val="nil"/>
            </w:tcBorders>
            <w:shd w:val="clear" w:color="auto" w:fill="FFFFFF" w:themeFill="background1"/>
            <w:tcMar>
              <w:top w:w="15" w:type="dxa"/>
              <w:left w:w="15" w:type="dxa"/>
              <w:right w:w="15" w:type="dxa"/>
            </w:tcMar>
            <w:vAlign w:val="center"/>
          </w:tcPr>
          <w:p w14:paraId="239BDFC7"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w:t>
            </w:r>
          </w:p>
        </w:tc>
      </w:tr>
      <w:tr w:rsidR="006000E2" w:rsidRPr="0076589C" w14:paraId="20F69CFC" w14:textId="77777777" w:rsidTr="00FB3CE4">
        <w:trPr>
          <w:trHeight w:val="255"/>
          <w:jc w:val="center"/>
        </w:trPr>
        <w:tc>
          <w:tcPr>
            <w:tcW w:w="1869" w:type="pct"/>
            <w:tcBorders>
              <w:top w:val="nil"/>
              <w:left w:val="single" w:sz="4" w:space="0" w:color="auto"/>
              <w:bottom w:val="nil"/>
              <w:right w:val="nil"/>
            </w:tcBorders>
            <w:tcMar>
              <w:top w:w="15" w:type="dxa"/>
              <w:left w:w="15" w:type="dxa"/>
              <w:right w:w="15" w:type="dxa"/>
            </w:tcMar>
            <w:vAlign w:val="center"/>
          </w:tcPr>
          <w:p w14:paraId="36090097"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enero 2022</w:t>
            </w:r>
          </w:p>
        </w:tc>
        <w:tc>
          <w:tcPr>
            <w:tcW w:w="1777"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126868A4"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   </w:t>
            </w:r>
          </w:p>
        </w:tc>
        <w:tc>
          <w:tcPr>
            <w:tcW w:w="1354" w:type="pct"/>
            <w:tcBorders>
              <w:top w:val="nil"/>
              <w:left w:val="single" w:sz="4" w:space="0" w:color="auto"/>
              <w:bottom w:val="nil"/>
              <w:right w:val="nil"/>
            </w:tcBorders>
            <w:tcMar>
              <w:top w:w="15" w:type="dxa"/>
              <w:left w:w="15" w:type="dxa"/>
              <w:right w:w="15" w:type="dxa"/>
            </w:tcMar>
            <w:vAlign w:val="center"/>
          </w:tcPr>
          <w:p w14:paraId="4A830F81" w14:textId="77777777" w:rsidR="006000E2" w:rsidRPr="0076589C" w:rsidRDefault="006000E2" w:rsidP="00FB3CE4">
            <w:pPr>
              <w:jc w:val="center"/>
              <w:rPr>
                <w:rFonts w:asciiTheme="minorHAnsi" w:hAnsiTheme="minorHAnsi"/>
                <w:sz w:val="20"/>
                <w:szCs w:val="20"/>
              </w:rPr>
            </w:pPr>
          </w:p>
        </w:tc>
      </w:tr>
      <w:tr w:rsidR="006000E2" w:rsidRPr="0076589C" w14:paraId="13A8BE68" w14:textId="77777777" w:rsidTr="00FB3CE4">
        <w:trPr>
          <w:trHeight w:val="255"/>
          <w:jc w:val="center"/>
        </w:trPr>
        <w:tc>
          <w:tcPr>
            <w:tcW w:w="1869" w:type="pct"/>
            <w:tcBorders>
              <w:top w:val="nil"/>
              <w:left w:val="single" w:sz="4" w:space="0" w:color="auto"/>
              <w:bottom w:val="single" w:sz="4" w:space="0" w:color="auto"/>
              <w:right w:val="nil"/>
            </w:tcBorders>
            <w:tcMar>
              <w:top w:w="15" w:type="dxa"/>
              <w:left w:w="15" w:type="dxa"/>
              <w:right w:w="15" w:type="dxa"/>
            </w:tcMar>
            <w:vAlign w:val="center"/>
          </w:tcPr>
          <w:p w14:paraId="2FF13036"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77" w:type="pct"/>
            <w:tcBorders>
              <w:top w:val="nil"/>
              <w:left w:val="nil"/>
              <w:bottom w:val="single" w:sz="4" w:space="0" w:color="auto"/>
              <w:right w:val="single" w:sz="4" w:space="0" w:color="auto"/>
            </w:tcBorders>
            <w:tcMar>
              <w:top w:w="15" w:type="dxa"/>
              <w:left w:w="15" w:type="dxa"/>
              <w:right w:w="15" w:type="dxa"/>
            </w:tcMar>
            <w:vAlign w:val="center"/>
          </w:tcPr>
          <w:p w14:paraId="52D35817"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 L                           -   </w:t>
            </w:r>
          </w:p>
        </w:tc>
        <w:tc>
          <w:tcPr>
            <w:tcW w:w="1354" w:type="pct"/>
            <w:tcBorders>
              <w:top w:val="nil"/>
              <w:left w:val="single" w:sz="4" w:space="0" w:color="auto"/>
              <w:bottom w:val="single" w:sz="4" w:space="0" w:color="auto"/>
              <w:right w:val="nil"/>
            </w:tcBorders>
            <w:tcMar>
              <w:top w:w="15" w:type="dxa"/>
              <w:left w:w="15" w:type="dxa"/>
              <w:right w:w="15" w:type="dxa"/>
            </w:tcMar>
            <w:vAlign w:val="center"/>
          </w:tcPr>
          <w:p w14:paraId="10E74758" w14:textId="77777777" w:rsidR="006000E2" w:rsidRPr="0076589C" w:rsidRDefault="006000E2" w:rsidP="00FB3CE4">
            <w:pPr>
              <w:jc w:val="center"/>
              <w:rPr>
                <w:rFonts w:asciiTheme="minorHAnsi" w:hAnsiTheme="minorHAnsi"/>
                <w:sz w:val="20"/>
                <w:szCs w:val="20"/>
              </w:rPr>
            </w:pPr>
          </w:p>
        </w:tc>
      </w:tr>
      <w:tr w:rsidR="006000E2" w:rsidRPr="0076589C" w14:paraId="464DC970" w14:textId="77777777" w:rsidTr="00FB3CE4">
        <w:trPr>
          <w:trHeight w:val="255"/>
          <w:jc w:val="center"/>
        </w:trPr>
        <w:tc>
          <w:tcPr>
            <w:tcW w:w="1869"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4B9D618A" w14:textId="77777777" w:rsidR="006000E2" w:rsidRPr="0076589C" w:rsidRDefault="006000E2" w:rsidP="00FB3CE4">
            <w:pPr>
              <w:jc w:val="center"/>
              <w:rPr>
                <w:rFonts w:asciiTheme="minorHAnsi" w:hAnsiTheme="minorHAnsi"/>
                <w:sz w:val="20"/>
                <w:szCs w:val="20"/>
              </w:rPr>
            </w:pPr>
          </w:p>
        </w:tc>
        <w:tc>
          <w:tcPr>
            <w:tcW w:w="1777"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6FB3C917"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b/>
                <w:bCs/>
                <w:sz w:val="20"/>
                <w:szCs w:val="20"/>
              </w:rPr>
              <w:t xml:space="preserve">-L               42,000.00 </w:t>
            </w:r>
          </w:p>
        </w:tc>
        <w:tc>
          <w:tcPr>
            <w:tcW w:w="135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5F366F04" w14:textId="77777777" w:rsidR="006000E2" w:rsidRPr="0076589C" w:rsidRDefault="006000E2" w:rsidP="00FB3CE4">
            <w:pPr>
              <w:spacing w:after="0"/>
              <w:ind w:left="0"/>
              <w:jc w:val="center"/>
              <w:rPr>
                <w:rFonts w:asciiTheme="minorHAnsi" w:hAnsiTheme="minorHAnsi"/>
                <w:b/>
                <w:bCs/>
                <w:sz w:val="20"/>
                <w:szCs w:val="20"/>
              </w:rPr>
            </w:pPr>
            <w:r w:rsidRPr="0076589C">
              <w:rPr>
                <w:rFonts w:asciiTheme="minorHAnsi" w:eastAsia="Arial" w:hAnsiTheme="minorHAnsi"/>
                <w:b/>
                <w:bCs/>
                <w:sz w:val="20"/>
                <w:szCs w:val="20"/>
              </w:rPr>
              <w:t>Límite Disponible</w:t>
            </w:r>
          </w:p>
        </w:tc>
      </w:tr>
      <w:tr w:rsidR="006000E2" w:rsidRPr="0076589C" w14:paraId="5DDEB493" w14:textId="77777777" w:rsidTr="00FB3CE4">
        <w:trPr>
          <w:trHeight w:val="255"/>
          <w:jc w:val="center"/>
        </w:trPr>
        <w:tc>
          <w:tcPr>
            <w:tcW w:w="1869" w:type="pct"/>
            <w:tcBorders>
              <w:top w:val="nil"/>
              <w:left w:val="single" w:sz="4" w:space="0" w:color="auto"/>
              <w:bottom w:val="nil"/>
              <w:right w:val="nil"/>
            </w:tcBorders>
            <w:tcMar>
              <w:top w:w="15" w:type="dxa"/>
              <w:left w:w="15" w:type="dxa"/>
              <w:right w:w="15" w:type="dxa"/>
            </w:tcMar>
            <w:vAlign w:val="center"/>
          </w:tcPr>
          <w:p w14:paraId="3135B77D"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febrero 2022</w:t>
            </w:r>
          </w:p>
        </w:tc>
        <w:tc>
          <w:tcPr>
            <w:tcW w:w="1777" w:type="pct"/>
            <w:tcBorders>
              <w:top w:val="nil"/>
              <w:left w:val="nil"/>
              <w:bottom w:val="nil"/>
              <w:right w:val="single" w:sz="4" w:space="0" w:color="auto"/>
            </w:tcBorders>
            <w:tcMar>
              <w:top w:w="15" w:type="dxa"/>
              <w:left w:w="15" w:type="dxa"/>
              <w:right w:w="15" w:type="dxa"/>
            </w:tcMar>
            <w:vAlign w:val="center"/>
          </w:tcPr>
          <w:p w14:paraId="74CCFC2A"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198,805.06 </w:t>
            </w:r>
          </w:p>
        </w:tc>
        <w:tc>
          <w:tcPr>
            <w:tcW w:w="1354" w:type="pct"/>
            <w:tcBorders>
              <w:top w:val="nil"/>
              <w:left w:val="single" w:sz="4" w:space="0" w:color="auto"/>
              <w:bottom w:val="nil"/>
              <w:right w:val="nil"/>
            </w:tcBorders>
            <w:tcMar>
              <w:top w:w="15" w:type="dxa"/>
              <w:left w:w="15" w:type="dxa"/>
              <w:right w:w="15" w:type="dxa"/>
            </w:tcMar>
            <w:vAlign w:val="center"/>
          </w:tcPr>
          <w:p w14:paraId="76F2DB94" w14:textId="77777777" w:rsidR="006000E2" w:rsidRPr="0076589C" w:rsidRDefault="006000E2" w:rsidP="00FB3CE4">
            <w:pPr>
              <w:jc w:val="center"/>
              <w:rPr>
                <w:rFonts w:asciiTheme="minorHAnsi" w:hAnsiTheme="minorHAnsi"/>
                <w:sz w:val="20"/>
                <w:szCs w:val="20"/>
              </w:rPr>
            </w:pPr>
          </w:p>
        </w:tc>
      </w:tr>
      <w:tr w:rsidR="006000E2" w:rsidRPr="0076589C" w14:paraId="5922740A" w14:textId="77777777" w:rsidTr="00FB3CE4">
        <w:trPr>
          <w:trHeight w:val="255"/>
          <w:jc w:val="center"/>
        </w:trPr>
        <w:tc>
          <w:tcPr>
            <w:tcW w:w="1869" w:type="pct"/>
            <w:tcBorders>
              <w:top w:val="nil"/>
              <w:left w:val="single" w:sz="4" w:space="0" w:color="auto"/>
              <w:bottom w:val="single" w:sz="4" w:space="0" w:color="auto"/>
              <w:right w:val="nil"/>
            </w:tcBorders>
            <w:tcMar>
              <w:top w:w="15" w:type="dxa"/>
              <w:left w:w="15" w:type="dxa"/>
              <w:right w:w="15" w:type="dxa"/>
            </w:tcMar>
            <w:vAlign w:val="center"/>
          </w:tcPr>
          <w:p w14:paraId="43C25653"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77" w:type="pct"/>
            <w:tcBorders>
              <w:top w:val="nil"/>
              <w:left w:val="nil"/>
              <w:bottom w:val="single" w:sz="4" w:space="0" w:color="auto"/>
              <w:right w:val="single" w:sz="4" w:space="0" w:color="auto"/>
            </w:tcBorders>
            <w:tcMar>
              <w:top w:w="15" w:type="dxa"/>
              <w:left w:w="15" w:type="dxa"/>
              <w:right w:w="15" w:type="dxa"/>
            </w:tcMar>
            <w:vAlign w:val="center"/>
          </w:tcPr>
          <w:p w14:paraId="11768FB6"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 L                           -   </w:t>
            </w:r>
          </w:p>
        </w:tc>
        <w:tc>
          <w:tcPr>
            <w:tcW w:w="1354" w:type="pct"/>
            <w:tcBorders>
              <w:top w:val="nil"/>
              <w:left w:val="single" w:sz="4" w:space="0" w:color="auto"/>
              <w:bottom w:val="single" w:sz="4" w:space="0" w:color="auto"/>
              <w:right w:val="nil"/>
            </w:tcBorders>
            <w:tcMar>
              <w:top w:w="15" w:type="dxa"/>
              <w:left w:w="15" w:type="dxa"/>
              <w:right w:w="15" w:type="dxa"/>
            </w:tcMar>
            <w:vAlign w:val="center"/>
          </w:tcPr>
          <w:p w14:paraId="0C73FFA1" w14:textId="77777777" w:rsidR="006000E2" w:rsidRPr="0076589C" w:rsidRDefault="006000E2" w:rsidP="00FB3CE4">
            <w:pPr>
              <w:jc w:val="center"/>
              <w:rPr>
                <w:rFonts w:asciiTheme="minorHAnsi" w:hAnsiTheme="minorHAnsi"/>
                <w:sz w:val="20"/>
                <w:szCs w:val="20"/>
              </w:rPr>
            </w:pPr>
          </w:p>
        </w:tc>
      </w:tr>
      <w:tr w:rsidR="006000E2" w:rsidRPr="0076589C" w14:paraId="4333FFF6" w14:textId="77777777" w:rsidTr="00FB3CE4">
        <w:trPr>
          <w:trHeight w:val="255"/>
          <w:jc w:val="center"/>
        </w:trPr>
        <w:tc>
          <w:tcPr>
            <w:tcW w:w="1869"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19CA9873" w14:textId="77777777" w:rsidR="006000E2" w:rsidRPr="0076589C" w:rsidRDefault="006000E2" w:rsidP="00FB3CE4">
            <w:pPr>
              <w:jc w:val="center"/>
              <w:rPr>
                <w:rFonts w:asciiTheme="minorHAnsi" w:hAnsiTheme="minorHAnsi"/>
                <w:sz w:val="20"/>
                <w:szCs w:val="20"/>
              </w:rPr>
            </w:pPr>
          </w:p>
        </w:tc>
        <w:tc>
          <w:tcPr>
            <w:tcW w:w="1777"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0C472E13"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b/>
                <w:bCs/>
                <w:sz w:val="20"/>
                <w:szCs w:val="20"/>
              </w:rPr>
              <w:t xml:space="preserve"> L              156,805.06 </w:t>
            </w:r>
          </w:p>
        </w:tc>
        <w:tc>
          <w:tcPr>
            <w:tcW w:w="135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21BF4E85" w14:textId="77777777" w:rsidR="006000E2" w:rsidRPr="0076589C" w:rsidRDefault="006000E2" w:rsidP="00FB3CE4">
            <w:pPr>
              <w:spacing w:after="0"/>
              <w:ind w:left="0"/>
              <w:jc w:val="center"/>
              <w:rPr>
                <w:rFonts w:asciiTheme="minorHAnsi" w:hAnsiTheme="minorHAnsi"/>
                <w:b/>
                <w:bCs/>
                <w:sz w:val="20"/>
                <w:szCs w:val="20"/>
              </w:rPr>
            </w:pPr>
            <w:r w:rsidRPr="0076589C">
              <w:rPr>
                <w:rFonts w:asciiTheme="minorHAnsi" w:eastAsia="Arial" w:hAnsiTheme="minorHAnsi"/>
                <w:b/>
                <w:bCs/>
                <w:color w:val="000000" w:themeColor="text1"/>
                <w:sz w:val="20"/>
                <w:szCs w:val="20"/>
              </w:rPr>
              <w:t>Fuera del límite de crédito</w:t>
            </w:r>
          </w:p>
        </w:tc>
      </w:tr>
      <w:tr w:rsidR="006000E2" w:rsidRPr="0076589C" w14:paraId="1FCFFBA7" w14:textId="77777777" w:rsidTr="00FB3CE4">
        <w:trPr>
          <w:trHeight w:val="255"/>
          <w:jc w:val="center"/>
        </w:trPr>
        <w:tc>
          <w:tcPr>
            <w:tcW w:w="1869" w:type="pct"/>
            <w:tcBorders>
              <w:top w:val="nil"/>
              <w:left w:val="single" w:sz="4" w:space="0" w:color="auto"/>
              <w:bottom w:val="nil"/>
              <w:right w:val="nil"/>
            </w:tcBorders>
            <w:tcMar>
              <w:top w:w="15" w:type="dxa"/>
              <w:left w:w="15" w:type="dxa"/>
              <w:right w:w="15" w:type="dxa"/>
            </w:tcMar>
            <w:vAlign w:val="center"/>
          </w:tcPr>
          <w:p w14:paraId="3CEF4A52"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marzo 2022</w:t>
            </w:r>
          </w:p>
        </w:tc>
        <w:tc>
          <w:tcPr>
            <w:tcW w:w="1777" w:type="pct"/>
            <w:tcBorders>
              <w:top w:val="nil"/>
              <w:left w:val="nil"/>
              <w:bottom w:val="nil"/>
              <w:right w:val="single" w:sz="4" w:space="0" w:color="auto"/>
            </w:tcBorders>
            <w:tcMar>
              <w:top w:w="15" w:type="dxa"/>
              <w:left w:w="15" w:type="dxa"/>
              <w:right w:w="15" w:type="dxa"/>
            </w:tcMar>
            <w:vAlign w:val="center"/>
          </w:tcPr>
          <w:p w14:paraId="43031058"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135,799.59 </w:t>
            </w:r>
          </w:p>
        </w:tc>
        <w:tc>
          <w:tcPr>
            <w:tcW w:w="1354" w:type="pct"/>
            <w:tcBorders>
              <w:top w:val="nil"/>
              <w:left w:val="single" w:sz="4" w:space="0" w:color="auto"/>
              <w:bottom w:val="nil"/>
              <w:right w:val="nil"/>
            </w:tcBorders>
            <w:tcMar>
              <w:top w:w="15" w:type="dxa"/>
              <w:left w:w="15" w:type="dxa"/>
              <w:right w:w="15" w:type="dxa"/>
            </w:tcMar>
            <w:vAlign w:val="center"/>
          </w:tcPr>
          <w:p w14:paraId="6796D0AA" w14:textId="77777777" w:rsidR="006000E2" w:rsidRPr="0076589C" w:rsidRDefault="006000E2" w:rsidP="00FB3CE4">
            <w:pPr>
              <w:jc w:val="center"/>
              <w:rPr>
                <w:rFonts w:asciiTheme="minorHAnsi" w:hAnsiTheme="minorHAnsi"/>
                <w:sz w:val="20"/>
                <w:szCs w:val="20"/>
              </w:rPr>
            </w:pPr>
          </w:p>
        </w:tc>
      </w:tr>
      <w:tr w:rsidR="006000E2" w:rsidRPr="0076589C" w14:paraId="24EDBB0F" w14:textId="77777777" w:rsidTr="00FB3CE4">
        <w:trPr>
          <w:trHeight w:val="255"/>
          <w:jc w:val="center"/>
        </w:trPr>
        <w:tc>
          <w:tcPr>
            <w:tcW w:w="1869" w:type="pct"/>
            <w:tcBorders>
              <w:top w:val="nil"/>
              <w:left w:val="single" w:sz="4" w:space="0" w:color="auto"/>
              <w:bottom w:val="single" w:sz="4" w:space="0" w:color="auto"/>
              <w:right w:val="nil"/>
            </w:tcBorders>
            <w:tcMar>
              <w:top w:w="15" w:type="dxa"/>
              <w:left w:w="15" w:type="dxa"/>
              <w:right w:w="15" w:type="dxa"/>
            </w:tcMar>
            <w:vAlign w:val="center"/>
          </w:tcPr>
          <w:p w14:paraId="08F5ECBE"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77" w:type="pct"/>
            <w:tcBorders>
              <w:top w:val="nil"/>
              <w:left w:val="nil"/>
              <w:bottom w:val="single" w:sz="4" w:space="0" w:color="auto"/>
              <w:right w:val="single" w:sz="4" w:space="0" w:color="auto"/>
            </w:tcBorders>
            <w:tcMar>
              <w:top w:w="15" w:type="dxa"/>
              <w:left w:w="15" w:type="dxa"/>
              <w:right w:w="15" w:type="dxa"/>
            </w:tcMar>
            <w:vAlign w:val="center"/>
          </w:tcPr>
          <w:p w14:paraId="5D87FBE7"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198,805.06 </w:t>
            </w:r>
          </w:p>
        </w:tc>
        <w:tc>
          <w:tcPr>
            <w:tcW w:w="1354" w:type="pct"/>
            <w:tcBorders>
              <w:top w:val="nil"/>
              <w:left w:val="single" w:sz="4" w:space="0" w:color="auto"/>
              <w:bottom w:val="single" w:sz="4" w:space="0" w:color="auto"/>
              <w:right w:val="nil"/>
            </w:tcBorders>
            <w:tcMar>
              <w:top w:w="15" w:type="dxa"/>
              <w:left w:w="15" w:type="dxa"/>
              <w:right w:w="15" w:type="dxa"/>
            </w:tcMar>
            <w:vAlign w:val="center"/>
          </w:tcPr>
          <w:p w14:paraId="44D7C6AD" w14:textId="77777777" w:rsidR="006000E2" w:rsidRPr="0076589C" w:rsidRDefault="006000E2" w:rsidP="00FB3CE4">
            <w:pPr>
              <w:jc w:val="center"/>
              <w:rPr>
                <w:rFonts w:asciiTheme="minorHAnsi" w:hAnsiTheme="minorHAnsi"/>
                <w:sz w:val="20"/>
                <w:szCs w:val="20"/>
              </w:rPr>
            </w:pPr>
          </w:p>
        </w:tc>
      </w:tr>
      <w:tr w:rsidR="006000E2" w:rsidRPr="0076589C" w14:paraId="0B7F24C1" w14:textId="77777777" w:rsidTr="00FB3CE4">
        <w:trPr>
          <w:trHeight w:val="255"/>
          <w:jc w:val="center"/>
        </w:trPr>
        <w:tc>
          <w:tcPr>
            <w:tcW w:w="1869"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4F2DEA9E" w14:textId="77777777" w:rsidR="006000E2" w:rsidRPr="0076589C" w:rsidRDefault="006000E2" w:rsidP="00FB3CE4">
            <w:pPr>
              <w:jc w:val="center"/>
              <w:rPr>
                <w:rFonts w:asciiTheme="minorHAnsi" w:hAnsiTheme="minorHAnsi"/>
                <w:sz w:val="20"/>
                <w:szCs w:val="20"/>
              </w:rPr>
            </w:pPr>
          </w:p>
        </w:tc>
        <w:tc>
          <w:tcPr>
            <w:tcW w:w="1777"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2F8E83C5"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b/>
                <w:bCs/>
                <w:sz w:val="20"/>
                <w:szCs w:val="20"/>
              </w:rPr>
              <w:t xml:space="preserve"> L               93,799.59 </w:t>
            </w:r>
          </w:p>
        </w:tc>
        <w:tc>
          <w:tcPr>
            <w:tcW w:w="135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0961E447" w14:textId="77777777" w:rsidR="006000E2" w:rsidRPr="0076589C" w:rsidRDefault="006000E2" w:rsidP="00FB3CE4">
            <w:pPr>
              <w:spacing w:after="0"/>
              <w:ind w:left="0"/>
              <w:jc w:val="center"/>
              <w:rPr>
                <w:rFonts w:asciiTheme="minorHAnsi" w:hAnsiTheme="minorHAnsi"/>
                <w:b/>
                <w:bCs/>
                <w:sz w:val="20"/>
                <w:szCs w:val="20"/>
              </w:rPr>
            </w:pPr>
            <w:r w:rsidRPr="0076589C">
              <w:rPr>
                <w:rFonts w:asciiTheme="minorHAnsi" w:eastAsia="Arial" w:hAnsiTheme="minorHAnsi"/>
                <w:b/>
                <w:bCs/>
                <w:color w:val="000000" w:themeColor="text1"/>
                <w:sz w:val="20"/>
                <w:szCs w:val="20"/>
              </w:rPr>
              <w:t>Fuera del límite de crédito</w:t>
            </w:r>
          </w:p>
        </w:tc>
      </w:tr>
      <w:tr w:rsidR="006000E2" w:rsidRPr="0076589C" w14:paraId="700633ED" w14:textId="77777777" w:rsidTr="00FB3CE4">
        <w:trPr>
          <w:trHeight w:val="255"/>
          <w:jc w:val="center"/>
        </w:trPr>
        <w:tc>
          <w:tcPr>
            <w:tcW w:w="1869" w:type="pct"/>
            <w:tcBorders>
              <w:top w:val="nil"/>
              <w:left w:val="single" w:sz="4" w:space="0" w:color="auto"/>
              <w:bottom w:val="nil"/>
              <w:right w:val="nil"/>
            </w:tcBorders>
            <w:tcMar>
              <w:top w:w="15" w:type="dxa"/>
              <w:left w:w="15" w:type="dxa"/>
              <w:right w:w="15" w:type="dxa"/>
            </w:tcMar>
            <w:vAlign w:val="center"/>
          </w:tcPr>
          <w:p w14:paraId="27B1B2FE"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abril 2022</w:t>
            </w:r>
          </w:p>
        </w:tc>
        <w:tc>
          <w:tcPr>
            <w:tcW w:w="1777"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672C7A8F"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   </w:t>
            </w:r>
          </w:p>
        </w:tc>
        <w:tc>
          <w:tcPr>
            <w:tcW w:w="1354" w:type="pct"/>
            <w:tcBorders>
              <w:top w:val="nil"/>
              <w:left w:val="single" w:sz="4" w:space="0" w:color="auto"/>
              <w:bottom w:val="nil"/>
              <w:right w:val="nil"/>
            </w:tcBorders>
            <w:tcMar>
              <w:top w:w="15" w:type="dxa"/>
              <w:left w:w="15" w:type="dxa"/>
              <w:right w:w="15" w:type="dxa"/>
            </w:tcMar>
            <w:vAlign w:val="center"/>
          </w:tcPr>
          <w:p w14:paraId="3066BA4F" w14:textId="77777777" w:rsidR="006000E2" w:rsidRPr="0076589C" w:rsidRDefault="006000E2" w:rsidP="00FB3CE4">
            <w:pPr>
              <w:jc w:val="center"/>
              <w:rPr>
                <w:rFonts w:asciiTheme="minorHAnsi" w:hAnsiTheme="minorHAnsi"/>
                <w:sz w:val="20"/>
                <w:szCs w:val="20"/>
              </w:rPr>
            </w:pPr>
          </w:p>
        </w:tc>
      </w:tr>
      <w:tr w:rsidR="006000E2" w:rsidRPr="0076589C" w14:paraId="0238844D" w14:textId="77777777" w:rsidTr="00FB3CE4">
        <w:trPr>
          <w:trHeight w:val="255"/>
          <w:jc w:val="center"/>
        </w:trPr>
        <w:tc>
          <w:tcPr>
            <w:tcW w:w="1869" w:type="pct"/>
            <w:tcBorders>
              <w:top w:val="nil"/>
              <w:left w:val="single" w:sz="4" w:space="0" w:color="auto"/>
              <w:bottom w:val="single" w:sz="4" w:space="0" w:color="auto"/>
              <w:right w:val="nil"/>
            </w:tcBorders>
            <w:tcMar>
              <w:top w:w="15" w:type="dxa"/>
              <w:left w:w="15" w:type="dxa"/>
              <w:right w:w="15" w:type="dxa"/>
            </w:tcMar>
            <w:vAlign w:val="center"/>
          </w:tcPr>
          <w:p w14:paraId="3902F306"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77" w:type="pct"/>
            <w:tcBorders>
              <w:top w:val="nil"/>
              <w:left w:val="nil"/>
              <w:bottom w:val="single" w:sz="4" w:space="0" w:color="auto"/>
              <w:right w:val="single" w:sz="4" w:space="0" w:color="auto"/>
            </w:tcBorders>
            <w:tcMar>
              <w:top w:w="15" w:type="dxa"/>
              <w:left w:w="15" w:type="dxa"/>
              <w:right w:w="15" w:type="dxa"/>
            </w:tcMar>
            <w:vAlign w:val="center"/>
          </w:tcPr>
          <w:p w14:paraId="4132049F"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8,092.72 </w:t>
            </w:r>
          </w:p>
        </w:tc>
        <w:tc>
          <w:tcPr>
            <w:tcW w:w="1354" w:type="pct"/>
            <w:tcBorders>
              <w:top w:val="nil"/>
              <w:left w:val="single" w:sz="4" w:space="0" w:color="auto"/>
              <w:bottom w:val="single" w:sz="4" w:space="0" w:color="auto"/>
              <w:right w:val="nil"/>
            </w:tcBorders>
            <w:tcMar>
              <w:top w:w="15" w:type="dxa"/>
              <w:left w:w="15" w:type="dxa"/>
              <w:right w:w="15" w:type="dxa"/>
            </w:tcMar>
            <w:vAlign w:val="center"/>
          </w:tcPr>
          <w:p w14:paraId="36E820A1" w14:textId="77777777" w:rsidR="006000E2" w:rsidRPr="0076589C" w:rsidRDefault="006000E2" w:rsidP="00FB3CE4">
            <w:pPr>
              <w:jc w:val="center"/>
              <w:rPr>
                <w:rFonts w:asciiTheme="minorHAnsi" w:hAnsiTheme="minorHAnsi"/>
                <w:sz w:val="20"/>
                <w:szCs w:val="20"/>
              </w:rPr>
            </w:pPr>
          </w:p>
        </w:tc>
      </w:tr>
      <w:tr w:rsidR="006000E2" w:rsidRPr="0076589C" w14:paraId="71DD3B16" w14:textId="77777777" w:rsidTr="00FB3CE4">
        <w:trPr>
          <w:trHeight w:val="255"/>
          <w:jc w:val="center"/>
        </w:trPr>
        <w:tc>
          <w:tcPr>
            <w:tcW w:w="1869"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4D384035" w14:textId="77777777" w:rsidR="006000E2" w:rsidRPr="0076589C" w:rsidRDefault="006000E2" w:rsidP="00FB3CE4">
            <w:pPr>
              <w:jc w:val="center"/>
              <w:rPr>
                <w:rFonts w:asciiTheme="minorHAnsi" w:hAnsiTheme="minorHAnsi"/>
                <w:sz w:val="20"/>
                <w:szCs w:val="20"/>
              </w:rPr>
            </w:pPr>
          </w:p>
        </w:tc>
        <w:tc>
          <w:tcPr>
            <w:tcW w:w="1777"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020420FA"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b/>
                <w:bCs/>
                <w:sz w:val="20"/>
                <w:szCs w:val="20"/>
              </w:rPr>
              <w:t xml:space="preserve"> L               85,706.87 </w:t>
            </w:r>
          </w:p>
        </w:tc>
        <w:tc>
          <w:tcPr>
            <w:tcW w:w="135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7371DAA1" w14:textId="77777777" w:rsidR="006000E2" w:rsidRPr="0076589C" w:rsidRDefault="006000E2" w:rsidP="00FB3CE4">
            <w:pPr>
              <w:spacing w:after="0"/>
              <w:ind w:left="0"/>
              <w:jc w:val="center"/>
              <w:rPr>
                <w:rFonts w:asciiTheme="minorHAnsi" w:hAnsiTheme="minorHAnsi"/>
                <w:b/>
                <w:bCs/>
                <w:sz w:val="20"/>
                <w:szCs w:val="20"/>
              </w:rPr>
            </w:pPr>
            <w:r w:rsidRPr="0076589C">
              <w:rPr>
                <w:rFonts w:asciiTheme="minorHAnsi" w:eastAsia="Arial" w:hAnsiTheme="minorHAnsi"/>
                <w:b/>
                <w:bCs/>
                <w:color w:val="000000" w:themeColor="text1"/>
                <w:sz w:val="20"/>
                <w:szCs w:val="20"/>
              </w:rPr>
              <w:t>Fuera del límite de crédito</w:t>
            </w:r>
          </w:p>
        </w:tc>
      </w:tr>
      <w:tr w:rsidR="006000E2" w:rsidRPr="0076589C" w14:paraId="2717EF50" w14:textId="77777777" w:rsidTr="00FB3CE4">
        <w:trPr>
          <w:trHeight w:val="255"/>
          <w:jc w:val="center"/>
        </w:trPr>
        <w:tc>
          <w:tcPr>
            <w:tcW w:w="1869" w:type="pct"/>
            <w:tcBorders>
              <w:top w:val="nil"/>
              <w:left w:val="single" w:sz="4" w:space="0" w:color="auto"/>
              <w:bottom w:val="nil"/>
              <w:right w:val="nil"/>
            </w:tcBorders>
            <w:tcMar>
              <w:top w:w="15" w:type="dxa"/>
              <w:left w:w="15" w:type="dxa"/>
              <w:right w:w="15" w:type="dxa"/>
            </w:tcMar>
            <w:vAlign w:val="center"/>
          </w:tcPr>
          <w:p w14:paraId="4F30C1CA"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mayo 2022</w:t>
            </w:r>
          </w:p>
        </w:tc>
        <w:tc>
          <w:tcPr>
            <w:tcW w:w="1777"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1C873388"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58,382.45 </w:t>
            </w:r>
          </w:p>
        </w:tc>
        <w:tc>
          <w:tcPr>
            <w:tcW w:w="1354" w:type="pct"/>
            <w:tcBorders>
              <w:top w:val="nil"/>
              <w:left w:val="single" w:sz="4" w:space="0" w:color="auto"/>
              <w:bottom w:val="nil"/>
              <w:right w:val="nil"/>
            </w:tcBorders>
            <w:tcMar>
              <w:top w:w="15" w:type="dxa"/>
              <w:left w:w="15" w:type="dxa"/>
              <w:right w:w="15" w:type="dxa"/>
            </w:tcMar>
            <w:vAlign w:val="center"/>
          </w:tcPr>
          <w:p w14:paraId="09D0B762" w14:textId="77777777" w:rsidR="006000E2" w:rsidRPr="0076589C" w:rsidRDefault="006000E2" w:rsidP="00FB3CE4">
            <w:pPr>
              <w:jc w:val="center"/>
              <w:rPr>
                <w:rFonts w:asciiTheme="minorHAnsi" w:hAnsiTheme="minorHAnsi"/>
                <w:sz w:val="20"/>
                <w:szCs w:val="20"/>
              </w:rPr>
            </w:pPr>
          </w:p>
        </w:tc>
      </w:tr>
      <w:tr w:rsidR="006000E2" w:rsidRPr="0076589C" w14:paraId="462C27E5" w14:textId="77777777" w:rsidTr="00FB3CE4">
        <w:trPr>
          <w:trHeight w:val="255"/>
          <w:jc w:val="center"/>
        </w:trPr>
        <w:tc>
          <w:tcPr>
            <w:tcW w:w="1869" w:type="pct"/>
            <w:tcBorders>
              <w:top w:val="nil"/>
              <w:left w:val="single" w:sz="4" w:space="0" w:color="auto"/>
              <w:bottom w:val="single" w:sz="4" w:space="0" w:color="auto"/>
              <w:right w:val="nil"/>
            </w:tcBorders>
            <w:tcMar>
              <w:top w:w="15" w:type="dxa"/>
              <w:left w:w="15" w:type="dxa"/>
              <w:right w:w="15" w:type="dxa"/>
            </w:tcMar>
            <w:vAlign w:val="center"/>
          </w:tcPr>
          <w:p w14:paraId="5C449931"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77" w:type="pct"/>
            <w:tcBorders>
              <w:top w:val="nil"/>
              <w:left w:val="nil"/>
              <w:bottom w:val="single" w:sz="4" w:space="0" w:color="auto"/>
              <w:right w:val="single" w:sz="4" w:space="0" w:color="auto"/>
            </w:tcBorders>
            <w:tcMar>
              <w:top w:w="15" w:type="dxa"/>
              <w:left w:w="15" w:type="dxa"/>
              <w:right w:w="15" w:type="dxa"/>
            </w:tcMar>
            <w:vAlign w:val="center"/>
          </w:tcPr>
          <w:p w14:paraId="4EB5D16E"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138,800.95 </w:t>
            </w:r>
          </w:p>
        </w:tc>
        <w:tc>
          <w:tcPr>
            <w:tcW w:w="1354" w:type="pct"/>
            <w:tcBorders>
              <w:top w:val="nil"/>
              <w:left w:val="single" w:sz="4" w:space="0" w:color="auto"/>
              <w:bottom w:val="single" w:sz="4" w:space="0" w:color="auto"/>
              <w:right w:val="nil"/>
            </w:tcBorders>
            <w:tcMar>
              <w:top w:w="15" w:type="dxa"/>
              <w:left w:w="15" w:type="dxa"/>
              <w:right w:w="15" w:type="dxa"/>
            </w:tcMar>
            <w:vAlign w:val="center"/>
          </w:tcPr>
          <w:p w14:paraId="303040A1" w14:textId="77777777" w:rsidR="006000E2" w:rsidRPr="0076589C" w:rsidRDefault="006000E2" w:rsidP="00FB3CE4">
            <w:pPr>
              <w:jc w:val="center"/>
              <w:rPr>
                <w:rFonts w:asciiTheme="minorHAnsi" w:hAnsiTheme="minorHAnsi"/>
                <w:sz w:val="20"/>
                <w:szCs w:val="20"/>
              </w:rPr>
            </w:pPr>
          </w:p>
        </w:tc>
      </w:tr>
      <w:tr w:rsidR="006000E2" w:rsidRPr="0076589C" w14:paraId="2BD8C481" w14:textId="77777777" w:rsidTr="00FB3CE4">
        <w:trPr>
          <w:trHeight w:val="255"/>
          <w:jc w:val="center"/>
        </w:trPr>
        <w:tc>
          <w:tcPr>
            <w:tcW w:w="1869"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27035A01" w14:textId="77777777" w:rsidR="006000E2" w:rsidRPr="0076589C" w:rsidRDefault="006000E2" w:rsidP="00FB3CE4">
            <w:pPr>
              <w:jc w:val="center"/>
              <w:rPr>
                <w:rFonts w:asciiTheme="minorHAnsi" w:hAnsiTheme="minorHAnsi"/>
                <w:sz w:val="20"/>
                <w:szCs w:val="20"/>
              </w:rPr>
            </w:pPr>
          </w:p>
        </w:tc>
        <w:tc>
          <w:tcPr>
            <w:tcW w:w="1777"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46A09BB9"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b/>
                <w:bCs/>
                <w:sz w:val="20"/>
                <w:szCs w:val="20"/>
              </w:rPr>
              <w:t xml:space="preserve"> L                 5,288.37 </w:t>
            </w:r>
          </w:p>
        </w:tc>
        <w:tc>
          <w:tcPr>
            <w:tcW w:w="135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1A82ED5D" w14:textId="77777777" w:rsidR="006000E2" w:rsidRPr="0076589C" w:rsidRDefault="006000E2" w:rsidP="00FB3CE4">
            <w:pPr>
              <w:spacing w:after="0"/>
              <w:ind w:left="0"/>
              <w:jc w:val="center"/>
              <w:rPr>
                <w:rFonts w:asciiTheme="minorHAnsi" w:hAnsiTheme="minorHAnsi"/>
                <w:b/>
                <w:bCs/>
                <w:sz w:val="20"/>
                <w:szCs w:val="20"/>
              </w:rPr>
            </w:pPr>
            <w:r w:rsidRPr="0076589C">
              <w:rPr>
                <w:rFonts w:asciiTheme="minorHAnsi" w:eastAsia="Arial" w:hAnsiTheme="minorHAnsi"/>
                <w:b/>
                <w:bCs/>
                <w:color w:val="000000" w:themeColor="text1"/>
                <w:sz w:val="20"/>
                <w:szCs w:val="20"/>
              </w:rPr>
              <w:t>Fuera del límite de crédito</w:t>
            </w:r>
          </w:p>
        </w:tc>
      </w:tr>
      <w:tr w:rsidR="006000E2" w:rsidRPr="0076589C" w14:paraId="6B018122" w14:textId="77777777" w:rsidTr="00FB3CE4">
        <w:trPr>
          <w:trHeight w:val="255"/>
          <w:jc w:val="center"/>
        </w:trPr>
        <w:tc>
          <w:tcPr>
            <w:tcW w:w="1869" w:type="pct"/>
            <w:tcBorders>
              <w:top w:val="nil"/>
              <w:left w:val="single" w:sz="4" w:space="0" w:color="auto"/>
              <w:bottom w:val="nil"/>
              <w:right w:val="nil"/>
            </w:tcBorders>
            <w:tcMar>
              <w:top w:w="15" w:type="dxa"/>
              <w:left w:w="15" w:type="dxa"/>
              <w:right w:w="15" w:type="dxa"/>
            </w:tcMar>
            <w:vAlign w:val="center"/>
          </w:tcPr>
          <w:p w14:paraId="35F759C9"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junio 2022</w:t>
            </w:r>
          </w:p>
        </w:tc>
        <w:tc>
          <w:tcPr>
            <w:tcW w:w="1777"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6D3C5473"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324,301.43 </w:t>
            </w:r>
          </w:p>
        </w:tc>
        <w:tc>
          <w:tcPr>
            <w:tcW w:w="1354" w:type="pct"/>
            <w:tcBorders>
              <w:top w:val="nil"/>
              <w:left w:val="single" w:sz="4" w:space="0" w:color="auto"/>
              <w:bottom w:val="nil"/>
              <w:right w:val="nil"/>
            </w:tcBorders>
            <w:tcMar>
              <w:top w:w="15" w:type="dxa"/>
              <w:left w:w="15" w:type="dxa"/>
              <w:right w:w="15" w:type="dxa"/>
            </w:tcMar>
            <w:vAlign w:val="center"/>
          </w:tcPr>
          <w:p w14:paraId="3E80B737" w14:textId="77777777" w:rsidR="006000E2" w:rsidRPr="0076589C" w:rsidRDefault="006000E2" w:rsidP="00FB3CE4">
            <w:pPr>
              <w:jc w:val="center"/>
              <w:rPr>
                <w:rFonts w:asciiTheme="minorHAnsi" w:hAnsiTheme="minorHAnsi"/>
                <w:sz w:val="20"/>
                <w:szCs w:val="20"/>
              </w:rPr>
            </w:pPr>
          </w:p>
        </w:tc>
      </w:tr>
      <w:tr w:rsidR="006000E2" w:rsidRPr="0076589C" w14:paraId="5235F2FE" w14:textId="77777777" w:rsidTr="00FB3CE4">
        <w:trPr>
          <w:trHeight w:val="270"/>
          <w:jc w:val="center"/>
        </w:trPr>
        <w:tc>
          <w:tcPr>
            <w:tcW w:w="1869" w:type="pct"/>
            <w:tcBorders>
              <w:top w:val="nil"/>
              <w:left w:val="single" w:sz="4" w:space="0" w:color="auto"/>
              <w:bottom w:val="single" w:sz="4" w:space="0" w:color="auto"/>
              <w:right w:val="nil"/>
            </w:tcBorders>
            <w:tcMar>
              <w:top w:w="15" w:type="dxa"/>
              <w:left w:w="15" w:type="dxa"/>
              <w:right w:w="15" w:type="dxa"/>
            </w:tcMar>
            <w:vAlign w:val="center"/>
          </w:tcPr>
          <w:p w14:paraId="33C3F27C"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77" w:type="pct"/>
            <w:tcBorders>
              <w:top w:val="nil"/>
              <w:left w:val="nil"/>
              <w:bottom w:val="single" w:sz="4" w:space="0" w:color="auto"/>
              <w:right w:val="single" w:sz="4" w:space="0" w:color="auto"/>
            </w:tcBorders>
            <w:tcMar>
              <w:top w:w="15" w:type="dxa"/>
              <w:left w:w="15" w:type="dxa"/>
              <w:right w:w="15" w:type="dxa"/>
            </w:tcMar>
            <w:vAlign w:val="center"/>
          </w:tcPr>
          <w:p w14:paraId="7F3A3FB5"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58,382.45 </w:t>
            </w:r>
          </w:p>
        </w:tc>
        <w:tc>
          <w:tcPr>
            <w:tcW w:w="1354" w:type="pct"/>
            <w:tcBorders>
              <w:top w:val="nil"/>
              <w:left w:val="single" w:sz="4" w:space="0" w:color="auto"/>
              <w:bottom w:val="single" w:sz="4" w:space="0" w:color="auto"/>
              <w:right w:val="nil"/>
            </w:tcBorders>
            <w:tcMar>
              <w:top w:w="15" w:type="dxa"/>
              <w:left w:w="15" w:type="dxa"/>
              <w:right w:w="15" w:type="dxa"/>
            </w:tcMar>
            <w:vAlign w:val="center"/>
          </w:tcPr>
          <w:p w14:paraId="78AAF996" w14:textId="77777777" w:rsidR="006000E2" w:rsidRPr="0076589C" w:rsidRDefault="006000E2" w:rsidP="00FB3CE4">
            <w:pPr>
              <w:jc w:val="center"/>
              <w:rPr>
                <w:rFonts w:asciiTheme="minorHAnsi" w:hAnsiTheme="minorHAnsi"/>
                <w:sz w:val="20"/>
                <w:szCs w:val="20"/>
              </w:rPr>
            </w:pPr>
          </w:p>
        </w:tc>
      </w:tr>
      <w:tr w:rsidR="006000E2" w:rsidRPr="0076589C" w14:paraId="1804B147" w14:textId="77777777" w:rsidTr="00FB3CE4">
        <w:trPr>
          <w:trHeight w:val="255"/>
          <w:jc w:val="center"/>
        </w:trPr>
        <w:tc>
          <w:tcPr>
            <w:tcW w:w="1869"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7AB7CBB8" w14:textId="77777777" w:rsidR="006000E2" w:rsidRPr="0076589C" w:rsidRDefault="006000E2" w:rsidP="00FB3CE4">
            <w:pPr>
              <w:jc w:val="center"/>
              <w:rPr>
                <w:rFonts w:asciiTheme="minorHAnsi" w:hAnsiTheme="minorHAnsi"/>
                <w:sz w:val="20"/>
                <w:szCs w:val="20"/>
              </w:rPr>
            </w:pPr>
          </w:p>
        </w:tc>
        <w:tc>
          <w:tcPr>
            <w:tcW w:w="1777"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780F3CB0"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b/>
                <w:bCs/>
                <w:color w:val="000000" w:themeColor="text1"/>
                <w:sz w:val="20"/>
                <w:szCs w:val="20"/>
              </w:rPr>
              <w:t xml:space="preserve"> L              271,207.35 </w:t>
            </w:r>
          </w:p>
        </w:tc>
        <w:tc>
          <w:tcPr>
            <w:tcW w:w="135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7B982D09" w14:textId="77777777" w:rsidR="006000E2" w:rsidRPr="0076589C" w:rsidRDefault="006000E2" w:rsidP="00FB3CE4">
            <w:pPr>
              <w:spacing w:after="0"/>
              <w:ind w:left="0"/>
              <w:jc w:val="center"/>
              <w:rPr>
                <w:rFonts w:asciiTheme="minorHAnsi" w:hAnsiTheme="minorHAnsi"/>
                <w:b/>
                <w:bCs/>
                <w:sz w:val="20"/>
                <w:szCs w:val="20"/>
              </w:rPr>
            </w:pPr>
            <w:r w:rsidRPr="0076589C">
              <w:rPr>
                <w:rFonts w:asciiTheme="minorHAnsi" w:eastAsia="Arial" w:hAnsiTheme="minorHAnsi"/>
                <w:b/>
                <w:bCs/>
                <w:color w:val="000000" w:themeColor="text1"/>
                <w:sz w:val="20"/>
                <w:szCs w:val="20"/>
              </w:rPr>
              <w:t>Fuera del límite de crédito</w:t>
            </w:r>
          </w:p>
        </w:tc>
      </w:tr>
      <w:tr w:rsidR="006000E2" w:rsidRPr="0076589C" w14:paraId="1CD78CC9" w14:textId="77777777" w:rsidTr="00FB3CE4">
        <w:trPr>
          <w:trHeight w:val="255"/>
          <w:jc w:val="center"/>
        </w:trPr>
        <w:tc>
          <w:tcPr>
            <w:tcW w:w="1869" w:type="pct"/>
            <w:tcBorders>
              <w:top w:val="single" w:sz="4" w:space="0" w:color="auto"/>
              <w:left w:val="single" w:sz="4" w:space="0" w:color="auto"/>
              <w:bottom w:val="nil"/>
              <w:right w:val="nil"/>
            </w:tcBorders>
            <w:tcMar>
              <w:top w:w="15" w:type="dxa"/>
              <w:left w:w="15" w:type="dxa"/>
              <w:right w:w="15" w:type="dxa"/>
            </w:tcMar>
            <w:vAlign w:val="center"/>
          </w:tcPr>
          <w:p w14:paraId="07119FC7"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Julio 2022</w:t>
            </w:r>
          </w:p>
        </w:tc>
        <w:tc>
          <w:tcPr>
            <w:tcW w:w="1777" w:type="pct"/>
            <w:tcBorders>
              <w:top w:val="single" w:sz="4" w:space="0" w:color="auto"/>
              <w:left w:val="nil"/>
              <w:bottom w:val="nil"/>
              <w:right w:val="single" w:sz="4" w:space="0" w:color="auto"/>
            </w:tcBorders>
            <w:tcMar>
              <w:top w:w="15" w:type="dxa"/>
              <w:left w:w="15" w:type="dxa"/>
              <w:right w:w="15" w:type="dxa"/>
            </w:tcMar>
            <w:vAlign w:val="center"/>
          </w:tcPr>
          <w:p w14:paraId="4A2B447F"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52,668.66 </w:t>
            </w:r>
          </w:p>
        </w:tc>
        <w:tc>
          <w:tcPr>
            <w:tcW w:w="1354" w:type="pct"/>
            <w:tcBorders>
              <w:top w:val="nil"/>
              <w:left w:val="single" w:sz="4" w:space="0" w:color="auto"/>
              <w:bottom w:val="nil"/>
              <w:right w:val="nil"/>
            </w:tcBorders>
            <w:tcMar>
              <w:top w:w="15" w:type="dxa"/>
              <w:left w:w="15" w:type="dxa"/>
              <w:right w:w="15" w:type="dxa"/>
            </w:tcMar>
            <w:vAlign w:val="center"/>
          </w:tcPr>
          <w:p w14:paraId="78EFA69B" w14:textId="77777777" w:rsidR="006000E2" w:rsidRPr="0076589C" w:rsidRDefault="006000E2" w:rsidP="00FB3CE4">
            <w:pPr>
              <w:jc w:val="center"/>
              <w:rPr>
                <w:rFonts w:asciiTheme="minorHAnsi" w:hAnsiTheme="minorHAnsi"/>
                <w:sz w:val="20"/>
                <w:szCs w:val="20"/>
              </w:rPr>
            </w:pPr>
          </w:p>
        </w:tc>
      </w:tr>
      <w:tr w:rsidR="006000E2" w:rsidRPr="0076589C" w14:paraId="77E76AAD" w14:textId="77777777" w:rsidTr="00FB3CE4">
        <w:trPr>
          <w:trHeight w:val="255"/>
          <w:jc w:val="center"/>
        </w:trPr>
        <w:tc>
          <w:tcPr>
            <w:tcW w:w="1869" w:type="pct"/>
            <w:tcBorders>
              <w:top w:val="nil"/>
              <w:left w:val="single" w:sz="4" w:space="0" w:color="auto"/>
              <w:bottom w:val="single" w:sz="4" w:space="0" w:color="auto"/>
              <w:right w:val="nil"/>
            </w:tcBorders>
            <w:tcMar>
              <w:top w:w="15" w:type="dxa"/>
              <w:left w:w="15" w:type="dxa"/>
              <w:right w:w="15" w:type="dxa"/>
            </w:tcMar>
            <w:vAlign w:val="center"/>
          </w:tcPr>
          <w:p w14:paraId="1440B3E5"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77" w:type="pct"/>
            <w:tcBorders>
              <w:top w:val="nil"/>
              <w:left w:val="nil"/>
              <w:bottom w:val="single" w:sz="4" w:space="0" w:color="auto"/>
              <w:right w:val="single" w:sz="4" w:space="0" w:color="auto"/>
            </w:tcBorders>
            <w:tcMar>
              <w:top w:w="15" w:type="dxa"/>
              <w:left w:w="15" w:type="dxa"/>
              <w:right w:w="15" w:type="dxa"/>
            </w:tcMar>
            <w:vAlign w:val="center"/>
          </w:tcPr>
          <w:p w14:paraId="11420680"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320,044.45 </w:t>
            </w:r>
          </w:p>
        </w:tc>
        <w:tc>
          <w:tcPr>
            <w:tcW w:w="1354" w:type="pct"/>
            <w:tcBorders>
              <w:top w:val="nil"/>
              <w:left w:val="single" w:sz="4" w:space="0" w:color="auto"/>
              <w:bottom w:val="single" w:sz="4" w:space="0" w:color="auto"/>
              <w:right w:val="nil"/>
            </w:tcBorders>
            <w:tcMar>
              <w:top w:w="15" w:type="dxa"/>
              <w:left w:w="15" w:type="dxa"/>
              <w:right w:w="15" w:type="dxa"/>
            </w:tcMar>
            <w:vAlign w:val="center"/>
          </w:tcPr>
          <w:p w14:paraId="2D0019B8" w14:textId="77777777" w:rsidR="006000E2" w:rsidRPr="0076589C" w:rsidRDefault="006000E2" w:rsidP="00FB3CE4">
            <w:pPr>
              <w:jc w:val="center"/>
              <w:rPr>
                <w:rFonts w:asciiTheme="minorHAnsi" w:hAnsiTheme="minorHAnsi"/>
                <w:sz w:val="20"/>
                <w:szCs w:val="20"/>
              </w:rPr>
            </w:pPr>
          </w:p>
        </w:tc>
      </w:tr>
      <w:tr w:rsidR="006000E2" w:rsidRPr="0076589C" w14:paraId="1A46BB2E" w14:textId="77777777" w:rsidTr="00FB3CE4">
        <w:trPr>
          <w:trHeight w:val="255"/>
          <w:jc w:val="center"/>
        </w:trPr>
        <w:tc>
          <w:tcPr>
            <w:tcW w:w="1869"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03F46FF4" w14:textId="77777777" w:rsidR="006000E2" w:rsidRPr="0076589C" w:rsidRDefault="006000E2" w:rsidP="00FB3CE4">
            <w:pPr>
              <w:jc w:val="center"/>
              <w:rPr>
                <w:rFonts w:asciiTheme="minorHAnsi" w:hAnsiTheme="minorHAnsi"/>
                <w:sz w:val="20"/>
                <w:szCs w:val="20"/>
              </w:rPr>
            </w:pPr>
          </w:p>
        </w:tc>
        <w:tc>
          <w:tcPr>
            <w:tcW w:w="1777"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537795EB"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b/>
                <w:bCs/>
                <w:sz w:val="20"/>
                <w:szCs w:val="20"/>
              </w:rPr>
              <w:t xml:space="preserve"> L                 3,831.56 </w:t>
            </w:r>
          </w:p>
        </w:tc>
        <w:tc>
          <w:tcPr>
            <w:tcW w:w="135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2DBF2DA4" w14:textId="77777777" w:rsidR="006000E2" w:rsidRPr="0076589C" w:rsidRDefault="006000E2" w:rsidP="00FB3CE4">
            <w:pPr>
              <w:spacing w:after="0"/>
              <w:ind w:left="0"/>
              <w:jc w:val="center"/>
              <w:rPr>
                <w:rFonts w:asciiTheme="minorHAnsi" w:hAnsiTheme="minorHAnsi"/>
                <w:b/>
                <w:bCs/>
                <w:sz w:val="20"/>
                <w:szCs w:val="20"/>
              </w:rPr>
            </w:pPr>
            <w:r w:rsidRPr="0076589C">
              <w:rPr>
                <w:rFonts w:asciiTheme="minorHAnsi" w:eastAsia="Arial" w:hAnsiTheme="minorHAnsi"/>
                <w:b/>
                <w:bCs/>
                <w:color w:val="000000" w:themeColor="text1"/>
                <w:sz w:val="20"/>
                <w:szCs w:val="20"/>
              </w:rPr>
              <w:t>Fuera del límite de crédito</w:t>
            </w:r>
          </w:p>
        </w:tc>
      </w:tr>
      <w:tr w:rsidR="006000E2" w:rsidRPr="0076589C" w14:paraId="369327B4" w14:textId="77777777" w:rsidTr="00FB3CE4">
        <w:trPr>
          <w:trHeight w:val="255"/>
          <w:jc w:val="center"/>
        </w:trPr>
        <w:tc>
          <w:tcPr>
            <w:tcW w:w="1869" w:type="pct"/>
            <w:tcBorders>
              <w:top w:val="single" w:sz="4" w:space="0" w:color="auto"/>
              <w:left w:val="single" w:sz="4" w:space="0" w:color="auto"/>
              <w:bottom w:val="nil"/>
              <w:right w:val="nil"/>
            </w:tcBorders>
            <w:tcMar>
              <w:top w:w="15" w:type="dxa"/>
              <w:left w:w="15" w:type="dxa"/>
              <w:right w:w="15" w:type="dxa"/>
            </w:tcMar>
            <w:vAlign w:val="center"/>
          </w:tcPr>
          <w:p w14:paraId="26879BF2"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agosto 2022</w:t>
            </w:r>
          </w:p>
        </w:tc>
        <w:tc>
          <w:tcPr>
            <w:tcW w:w="1777" w:type="pct"/>
            <w:tcBorders>
              <w:top w:val="single" w:sz="4" w:space="0" w:color="auto"/>
              <w:left w:val="nil"/>
              <w:bottom w:val="nil"/>
              <w:right w:val="single" w:sz="4" w:space="0" w:color="auto"/>
            </w:tcBorders>
            <w:tcMar>
              <w:top w:w="15" w:type="dxa"/>
              <w:left w:w="15" w:type="dxa"/>
              <w:right w:w="15" w:type="dxa"/>
            </w:tcMar>
            <w:vAlign w:val="center"/>
          </w:tcPr>
          <w:p w14:paraId="3B764A49"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   </w:t>
            </w:r>
          </w:p>
        </w:tc>
        <w:tc>
          <w:tcPr>
            <w:tcW w:w="1354" w:type="pct"/>
            <w:tcBorders>
              <w:top w:val="single" w:sz="4" w:space="0" w:color="auto"/>
              <w:left w:val="single" w:sz="4" w:space="0" w:color="auto"/>
              <w:bottom w:val="nil"/>
              <w:right w:val="nil"/>
            </w:tcBorders>
            <w:tcMar>
              <w:top w:w="15" w:type="dxa"/>
              <w:left w:w="15" w:type="dxa"/>
              <w:right w:w="15" w:type="dxa"/>
            </w:tcMar>
            <w:vAlign w:val="center"/>
          </w:tcPr>
          <w:p w14:paraId="440CB546" w14:textId="77777777" w:rsidR="006000E2" w:rsidRPr="0076589C" w:rsidRDefault="006000E2" w:rsidP="00FB3CE4">
            <w:pPr>
              <w:jc w:val="center"/>
              <w:rPr>
                <w:rFonts w:asciiTheme="minorHAnsi" w:hAnsiTheme="minorHAnsi"/>
                <w:sz w:val="20"/>
                <w:szCs w:val="20"/>
              </w:rPr>
            </w:pPr>
          </w:p>
        </w:tc>
      </w:tr>
      <w:tr w:rsidR="006000E2" w:rsidRPr="0076589C" w14:paraId="55BC3031" w14:textId="77777777" w:rsidTr="00FB3CE4">
        <w:trPr>
          <w:trHeight w:val="255"/>
          <w:jc w:val="center"/>
        </w:trPr>
        <w:tc>
          <w:tcPr>
            <w:tcW w:w="1869" w:type="pct"/>
            <w:tcBorders>
              <w:top w:val="nil"/>
              <w:left w:val="single" w:sz="4" w:space="0" w:color="auto"/>
              <w:bottom w:val="single" w:sz="4" w:space="0" w:color="auto"/>
              <w:right w:val="nil"/>
            </w:tcBorders>
            <w:tcMar>
              <w:top w:w="15" w:type="dxa"/>
              <w:left w:w="15" w:type="dxa"/>
              <w:right w:w="15" w:type="dxa"/>
            </w:tcMar>
            <w:vAlign w:val="center"/>
          </w:tcPr>
          <w:p w14:paraId="46670619"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77" w:type="pct"/>
            <w:tcBorders>
              <w:top w:val="nil"/>
              <w:left w:val="nil"/>
              <w:bottom w:val="single" w:sz="4" w:space="0" w:color="auto"/>
              <w:right w:val="single" w:sz="4" w:space="0" w:color="auto"/>
            </w:tcBorders>
            <w:tcMar>
              <w:top w:w="15" w:type="dxa"/>
              <w:left w:w="15" w:type="dxa"/>
              <w:right w:w="15" w:type="dxa"/>
            </w:tcMar>
            <w:vAlign w:val="center"/>
          </w:tcPr>
          <w:p w14:paraId="7961C186"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38,852.06 </w:t>
            </w:r>
          </w:p>
        </w:tc>
        <w:tc>
          <w:tcPr>
            <w:tcW w:w="1354" w:type="pct"/>
            <w:tcBorders>
              <w:top w:val="nil"/>
              <w:left w:val="single" w:sz="4" w:space="0" w:color="auto"/>
              <w:bottom w:val="single" w:sz="4" w:space="0" w:color="auto"/>
              <w:right w:val="nil"/>
            </w:tcBorders>
            <w:tcMar>
              <w:top w:w="15" w:type="dxa"/>
              <w:left w:w="15" w:type="dxa"/>
              <w:right w:w="15" w:type="dxa"/>
            </w:tcMar>
            <w:vAlign w:val="center"/>
          </w:tcPr>
          <w:p w14:paraId="364A26B8" w14:textId="77777777" w:rsidR="006000E2" w:rsidRPr="0076589C" w:rsidRDefault="006000E2" w:rsidP="00FB3CE4">
            <w:pPr>
              <w:jc w:val="center"/>
              <w:rPr>
                <w:rFonts w:asciiTheme="minorHAnsi" w:hAnsiTheme="minorHAnsi"/>
                <w:sz w:val="20"/>
                <w:szCs w:val="20"/>
              </w:rPr>
            </w:pPr>
          </w:p>
        </w:tc>
      </w:tr>
      <w:tr w:rsidR="006000E2" w:rsidRPr="0076589C" w14:paraId="5006D8E9" w14:textId="77777777" w:rsidTr="00FB3CE4">
        <w:trPr>
          <w:trHeight w:val="255"/>
          <w:jc w:val="center"/>
        </w:trPr>
        <w:tc>
          <w:tcPr>
            <w:tcW w:w="1869"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2F91AF5A" w14:textId="77777777" w:rsidR="006000E2" w:rsidRPr="0076589C" w:rsidRDefault="006000E2" w:rsidP="00FB3CE4">
            <w:pPr>
              <w:jc w:val="center"/>
              <w:rPr>
                <w:rFonts w:asciiTheme="minorHAnsi" w:hAnsiTheme="minorHAnsi"/>
                <w:sz w:val="20"/>
                <w:szCs w:val="20"/>
              </w:rPr>
            </w:pPr>
          </w:p>
        </w:tc>
        <w:tc>
          <w:tcPr>
            <w:tcW w:w="1777"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0300EA96"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b/>
                <w:bCs/>
                <w:sz w:val="20"/>
                <w:szCs w:val="20"/>
              </w:rPr>
              <w:t xml:space="preserve">-L               35,020.50 </w:t>
            </w:r>
          </w:p>
        </w:tc>
        <w:tc>
          <w:tcPr>
            <w:tcW w:w="135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55343CA1" w14:textId="77777777" w:rsidR="006000E2" w:rsidRPr="0076589C" w:rsidRDefault="006000E2" w:rsidP="00FB3CE4">
            <w:pPr>
              <w:spacing w:after="0"/>
              <w:ind w:left="0"/>
              <w:jc w:val="center"/>
              <w:rPr>
                <w:rFonts w:asciiTheme="minorHAnsi" w:hAnsiTheme="minorHAnsi"/>
                <w:b/>
                <w:bCs/>
                <w:sz w:val="20"/>
                <w:szCs w:val="20"/>
              </w:rPr>
            </w:pPr>
            <w:r w:rsidRPr="0076589C">
              <w:rPr>
                <w:rFonts w:asciiTheme="minorHAnsi" w:eastAsia="Arial" w:hAnsiTheme="minorHAnsi"/>
                <w:b/>
                <w:bCs/>
                <w:sz w:val="20"/>
                <w:szCs w:val="20"/>
              </w:rPr>
              <w:t>Límite Disponible</w:t>
            </w:r>
          </w:p>
        </w:tc>
      </w:tr>
      <w:tr w:rsidR="006000E2" w:rsidRPr="0076589C" w14:paraId="647CD709" w14:textId="77777777" w:rsidTr="00FB3CE4">
        <w:trPr>
          <w:trHeight w:val="255"/>
          <w:jc w:val="center"/>
        </w:trPr>
        <w:tc>
          <w:tcPr>
            <w:tcW w:w="1869" w:type="pct"/>
            <w:tcBorders>
              <w:top w:val="nil"/>
              <w:left w:val="single" w:sz="4" w:space="0" w:color="auto"/>
              <w:bottom w:val="nil"/>
              <w:right w:val="nil"/>
            </w:tcBorders>
            <w:tcMar>
              <w:top w:w="15" w:type="dxa"/>
              <w:left w:w="15" w:type="dxa"/>
              <w:right w:w="15" w:type="dxa"/>
            </w:tcMar>
            <w:vAlign w:val="center"/>
          </w:tcPr>
          <w:p w14:paraId="31BC4D1E"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septiembre 2022</w:t>
            </w:r>
          </w:p>
        </w:tc>
        <w:tc>
          <w:tcPr>
            <w:tcW w:w="1777" w:type="pct"/>
            <w:tcBorders>
              <w:top w:val="nil"/>
              <w:left w:val="nil"/>
              <w:bottom w:val="nil"/>
              <w:right w:val="single" w:sz="4" w:space="0" w:color="auto"/>
            </w:tcBorders>
            <w:tcMar>
              <w:top w:w="15" w:type="dxa"/>
              <w:left w:w="15" w:type="dxa"/>
              <w:right w:w="15" w:type="dxa"/>
            </w:tcMar>
            <w:vAlign w:val="center"/>
          </w:tcPr>
          <w:p w14:paraId="1FE75603"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796,871.33 </w:t>
            </w:r>
          </w:p>
        </w:tc>
        <w:tc>
          <w:tcPr>
            <w:tcW w:w="1354" w:type="pct"/>
            <w:tcBorders>
              <w:top w:val="nil"/>
              <w:left w:val="single" w:sz="4" w:space="0" w:color="auto"/>
              <w:bottom w:val="nil"/>
              <w:right w:val="nil"/>
            </w:tcBorders>
            <w:tcMar>
              <w:top w:w="15" w:type="dxa"/>
              <w:left w:w="15" w:type="dxa"/>
              <w:right w:w="15" w:type="dxa"/>
            </w:tcMar>
            <w:vAlign w:val="center"/>
          </w:tcPr>
          <w:p w14:paraId="08DB69F7" w14:textId="77777777" w:rsidR="006000E2" w:rsidRPr="0076589C" w:rsidRDefault="006000E2" w:rsidP="00FB3CE4">
            <w:pPr>
              <w:jc w:val="center"/>
              <w:rPr>
                <w:rFonts w:asciiTheme="minorHAnsi" w:hAnsiTheme="minorHAnsi"/>
                <w:sz w:val="20"/>
                <w:szCs w:val="20"/>
              </w:rPr>
            </w:pPr>
          </w:p>
        </w:tc>
      </w:tr>
      <w:tr w:rsidR="006000E2" w:rsidRPr="0076589C" w14:paraId="36A35C82" w14:textId="77777777" w:rsidTr="00FB3CE4">
        <w:trPr>
          <w:trHeight w:val="255"/>
          <w:jc w:val="center"/>
        </w:trPr>
        <w:tc>
          <w:tcPr>
            <w:tcW w:w="1869" w:type="pct"/>
            <w:tcBorders>
              <w:top w:val="nil"/>
              <w:left w:val="single" w:sz="4" w:space="0" w:color="auto"/>
              <w:bottom w:val="single" w:sz="4" w:space="0" w:color="auto"/>
              <w:right w:val="nil"/>
            </w:tcBorders>
            <w:tcMar>
              <w:top w:w="15" w:type="dxa"/>
              <w:left w:w="15" w:type="dxa"/>
              <w:right w:w="15" w:type="dxa"/>
            </w:tcMar>
            <w:vAlign w:val="center"/>
          </w:tcPr>
          <w:p w14:paraId="245257DA"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77" w:type="pct"/>
            <w:tcBorders>
              <w:top w:val="nil"/>
              <w:left w:val="nil"/>
              <w:bottom w:val="single" w:sz="4" w:space="0" w:color="auto"/>
              <w:right w:val="single" w:sz="4" w:space="0" w:color="auto"/>
            </w:tcBorders>
            <w:tcMar>
              <w:top w:w="15" w:type="dxa"/>
              <w:left w:w="15" w:type="dxa"/>
              <w:right w:w="15" w:type="dxa"/>
            </w:tcMar>
            <w:vAlign w:val="center"/>
          </w:tcPr>
          <w:p w14:paraId="06010909"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18,073.58 </w:t>
            </w:r>
          </w:p>
        </w:tc>
        <w:tc>
          <w:tcPr>
            <w:tcW w:w="1354" w:type="pct"/>
            <w:tcBorders>
              <w:top w:val="nil"/>
              <w:left w:val="single" w:sz="4" w:space="0" w:color="auto"/>
              <w:bottom w:val="single" w:sz="4" w:space="0" w:color="auto"/>
              <w:right w:val="nil"/>
            </w:tcBorders>
            <w:tcMar>
              <w:top w:w="15" w:type="dxa"/>
              <w:left w:w="15" w:type="dxa"/>
              <w:right w:w="15" w:type="dxa"/>
            </w:tcMar>
            <w:vAlign w:val="center"/>
          </w:tcPr>
          <w:p w14:paraId="70C452A4" w14:textId="77777777" w:rsidR="006000E2" w:rsidRPr="0076589C" w:rsidRDefault="006000E2" w:rsidP="00FB3CE4">
            <w:pPr>
              <w:jc w:val="center"/>
              <w:rPr>
                <w:rFonts w:asciiTheme="minorHAnsi" w:hAnsiTheme="minorHAnsi"/>
                <w:sz w:val="20"/>
                <w:szCs w:val="20"/>
              </w:rPr>
            </w:pPr>
          </w:p>
        </w:tc>
      </w:tr>
      <w:tr w:rsidR="006000E2" w:rsidRPr="0076589C" w14:paraId="6959AA1C" w14:textId="77777777" w:rsidTr="00925E89">
        <w:trPr>
          <w:trHeight w:val="255"/>
          <w:jc w:val="center"/>
        </w:trPr>
        <w:tc>
          <w:tcPr>
            <w:tcW w:w="1869"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3420B5AD" w14:textId="77777777" w:rsidR="006000E2" w:rsidRPr="0076589C" w:rsidRDefault="006000E2" w:rsidP="00FB3CE4">
            <w:pPr>
              <w:jc w:val="center"/>
              <w:rPr>
                <w:rFonts w:asciiTheme="minorHAnsi" w:hAnsiTheme="minorHAnsi"/>
                <w:sz w:val="20"/>
                <w:szCs w:val="20"/>
              </w:rPr>
            </w:pPr>
          </w:p>
        </w:tc>
        <w:tc>
          <w:tcPr>
            <w:tcW w:w="1777"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65E68E81"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b/>
                <w:bCs/>
                <w:sz w:val="20"/>
                <w:szCs w:val="20"/>
              </w:rPr>
              <w:t xml:space="preserve"> L              743,777.25 </w:t>
            </w:r>
          </w:p>
        </w:tc>
        <w:tc>
          <w:tcPr>
            <w:tcW w:w="135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58F5D0D7" w14:textId="77777777" w:rsidR="006000E2" w:rsidRPr="0076589C" w:rsidRDefault="006000E2" w:rsidP="00FB3CE4">
            <w:pPr>
              <w:spacing w:after="0"/>
              <w:ind w:left="0"/>
              <w:jc w:val="center"/>
              <w:rPr>
                <w:rFonts w:asciiTheme="minorHAnsi" w:hAnsiTheme="minorHAnsi"/>
                <w:b/>
                <w:bCs/>
                <w:sz w:val="20"/>
                <w:szCs w:val="20"/>
              </w:rPr>
            </w:pPr>
            <w:r w:rsidRPr="0076589C">
              <w:rPr>
                <w:rFonts w:asciiTheme="minorHAnsi" w:eastAsia="Arial" w:hAnsiTheme="minorHAnsi"/>
                <w:b/>
                <w:bCs/>
                <w:color w:val="000000" w:themeColor="text1"/>
                <w:sz w:val="20"/>
                <w:szCs w:val="20"/>
              </w:rPr>
              <w:t>Fuera del límite de crédito</w:t>
            </w:r>
          </w:p>
        </w:tc>
      </w:tr>
      <w:tr w:rsidR="006000E2" w:rsidRPr="0076589C" w14:paraId="6C65967C" w14:textId="77777777" w:rsidTr="00925E89">
        <w:trPr>
          <w:trHeight w:val="255"/>
          <w:jc w:val="center"/>
        </w:trPr>
        <w:tc>
          <w:tcPr>
            <w:tcW w:w="1869"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2FDFE47E"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octubre 2022</w:t>
            </w:r>
          </w:p>
        </w:tc>
        <w:tc>
          <w:tcPr>
            <w:tcW w:w="1777"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3B4D73F7"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   </w:t>
            </w:r>
          </w:p>
        </w:tc>
        <w:tc>
          <w:tcPr>
            <w:tcW w:w="1354" w:type="pct"/>
            <w:tcBorders>
              <w:top w:val="nil"/>
              <w:left w:val="single" w:sz="4" w:space="0" w:color="auto"/>
              <w:bottom w:val="nil"/>
              <w:right w:val="nil"/>
            </w:tcBorders>
            <w:tcMar>
              <w:top w:w="15" w:type="dxa"/>
              <w:left w:w="15" w:type="dxa"/>
              <w:right w:w="15" w:type="dxa"/>
            </w:tcMar>
            <w:vAlign w:val="center"/>
          </w:tcPr>
          <w:p w14:paraId="25669B6E" w14:textId="77777777" w:rsidR="006000E2" w:rsidRPr="0076589C" w:rsidRDefault="006000E2" w:rsidP="00FB3CE4">
            <w:pPr>
              <w:jc w:val="center"/>
              <w:rPr>
                <w:rFonts w:asciiTheme="minorHAnsi" w:hAnsiTheme="minorHAnsi"/>
                <w:sz w:val="20"/>
                <w:szCs w:val="20"/>
              </w:rPr>
            </w:pPr>
          </w:p>
        </w:tc>
      </w:tr>
      <w:tr w:rsidR="006000E2" w:rsidRPr="0076589C" w14:paraId="39040F79" w14:textId="77777777" w:rsidTr="00925E89">
        <w:trPr>
          <w:trHeight w:val="255"/>
          <w:jc w:val="center"/>
        </w:trPr>
        <w:tc>
          <w:tcPr>
            <w:tcW w:w="1869"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104B16D9"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lastRenderedPageBreak/>
              <w:t>Pago</w:t>
            </w:r>
          </w:p>
        </w:tc>
        <w:tc>
          <w:tcPr>
            <w:tcW w:w="1777"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2BB849CA"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 L                           -   </w:t>
            </w:r>
          </w:p>
        </w:tc>
        <w:tc>
          <w:tcPr>
            <w:tcW w:w="1354" w:type="pct"/>
            <w:tcBorders>
              <w:top w:val="nil"/>
              <w:left w:val="single" w:sz="4" w:space="0" w:color="auto"/>
              <w:bottom w:val="single" w:sz="4" w:space="0" w:color="auto"/>
              <w:right w:val="nil"/>
            </w:tcBorders>
            <w:tcMar>
              <w:top w:w="15" w:type="dxa"/>
              <w:left w:w="15" w:type="dxa"/>
              <w:right w:w="15" w:type="dxa"/>
            </w:tcMar>
            <w:vAlign w:val="center"/>
          </w:tcPr>
          <w:p w14:paraId="57F3A4BF" w14:textId="77777777" w:rsidR="006000E2" w:rsidRPr="0076589C" w:rsidRDefault="006000E2" w:rsidP="00FB3CE4">
            <w:pPr>
              <w:jc w:val="center"/>
              <w:rPr>
                <w:rFonts w:asciiTheme="minorHAnsi" w:hAnsiTheme="minorHAnsi"/>
                <w:sz w:val="20"/>
                <w:szCs w:val="20"/>
              </w:rPr>
            </w:pPr>
          </w:p>
        </w:tc>
      </w:tr>
      <w:tr w:rsidR="006000E2" w:rsidRPr="0076589C" w14:paraId="49118DFD" w14:textId="77777777" w:rsidTr="00FB3CE4">
        <w:trPr>
          <w:trHeight w:val="255"/>
          <w:jc w:val="center"/>
        </w:trPr>
        <w:tc>
          <w:tcPr>
            <w:tcW w:w="1869"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6BD277DC" w14:textId="77777777" w:rsidR="006000E2" w:rsidRPr="0076589C" w:rsidRDefault="006000E2" w:rsidP="00FB3CE4">
            <w:pPr>
              <w:jc w:val="center"/>
              <w:rPr>
                <w:rFonts w:asciiTheme="minorHAnsi" w:hAnsiTheme="minorHAnsi"/>
                <w:sz w:val="20"/>
                <w:szCs w:val="20"/>
              </w:rPr>
            </w:pPr>
          </w:p>
        </w:tc>
        <w:tc>
          <w:tcPr>
            <w:tcW w:w="1777"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044D2A23"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b/>
                <w:bCs/>
                <w:sz w:val="20"/>
                <w:szCs w:val="20"/>
              </w:rPr>
              <w:t xml:space="preserve"> L              743,777.25 </w:t>
            </w:r>
          </w:p>
        </w:tc>
        <w:tc>
          <w:tcPr>
            <w:tcW w:w="135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1F5633E5" w14:textId="77777777" w:rsidR="006000E2" w:rsidRPr="0076589C" w:rsidRDefault="006000E2" w:rsidP="00FB3CE4">
            <w:pPr>
              <w:spacing w:after="0"/>
              <w:ind w:left="0"/>
              <w:jc w:val="center"/>
              <w:rPr>
                <w:rFonts w:asciiTheme="minorHAnsi" w:hAnsiTheme="minorHAnsi"/>
                <w:b/>
                <w:bCs/>
                <w:sz w:val="20"/>
                <w:szCs w:val="20"/>
              </w:rPr>
            </w:pPr>
            <w:r w:rsidRPr="0076589C">
              <w:rPr>
                <w:rFonts w:asciiTheme="minorHAnsi" w:eastAsia="Arial" w:hAnsiTheme="minorHAnsi"/>
                <w:b/>
                <w:bCs/>
                <w:color w:val="000000" w:themeColor="text1"/>
                <w:sz w:val="20"/>
                <w:szCs w:val="20"/>
              </w:rPr>
              <w:t>Fuera del límite de crédito</w:t>
            </w:r>
          </w:p>
        </w:tc>
      </w:tr>
      <w:tr w:rsidR="006000E2" w:rsidRPr="0076589C" w14:paraId="773336BD" w14:textId="77777777" w:rsidTr="00FB3CE4">
        <w:trPr>
          <w:trHeight w:val="255"/>
          <w:jc w:val="center"/>
        </w:trPr>
        <w:tc>
          <w:tcPr>
            <w:tcW w:w="1869" w:type="pct"/>
            <w:tcBorders>
              <w:top w:val="single" w:sz="4" w:space="0" w:color="auto"/>
              <w:left w:val="single" w:sz="4" w:space="0" w:color="auto"/>
              <w:bottom w:val="nil"/>
              <w:right w:val="nil"/>
            </w:tcBorders>
            <w:tcMar>
              <w:top w:w="15" w:type="dxa"/>
              <w:left w:w="15" w:type="dxa"/>
              <w:right w:w="15" w:type="dxa"/>
            </w:tcMar>
            <w:vAlign w:val="center"/>
          </w:tcPr>
          <w:p w14:paraId="41810CC9"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noviembre 2022</w:t>
            </w:r>
          </w:p>
        </w:tc>
        <w:tc>
          <w:tcPr>
            <w:tcW w:w="1777" w:type="pct"/>
            <w:tcBorders>
              <w:top w:val="single" w:sz="4" w:space="0" w:color="auto"/>
              <w:left w:val="nil"/>
              <w:bottom w:val="nil"/>
              <w:right w:val="single" w:sz="4" w:space="0" w:color="auto"/>
            </w:tcBorders>
            <w:shd w:val="clear" w:color="auto" w:fill="FFFFFF" w:themeFill="background1"/>
            <w:tcMar>
              <w:top w:w="15" w:type="dxa"/>
              <w:left w:w="15" w:type="dxa"/>
              <w:right w:w="15" w:type="dxa"/>
            </w:tcMar>
            <w:vAlign w:val="center"/>
          </w:tcPr>
          <w:p w14:paraId="0ED447C0"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   </w:t>
            </w:r>
          </w:p>
        </w:tc>
        <w:tc>
          <w:tcPr>
            <w:tcW w:w="1354" w:type="pct"/>
            <w:tcBorders>
              <w:top w:val="single" w:sz="4" w:space="0" w:color="auto"/>
              <w:left w:val="single" w:sz="4" w:space="0" w:color="auto"/>
              <w:bottom w:val="nil"/>
              <w:right w:val="nil"/>
            </w:tcBorders>
            <w:tcMar>
              <w:top w:w="15" w:type="dxa"/>
              <w:left w:w="15" w:type="dxa"/>
              <w:right w:w="15" w:type="dxa"/>
            </w:tcMar>
            <w:vAlign w:val="center"/>
          </w:tcPr>
          <w:p w14:paraId="00D1443B" w14:textId="77777777" w:rsidR="006000E2" w:rsidRPr="0076589C" w:rsidRDefault="006000E2" w:rsidP="00FB3CE4">
            <w:pPr>
              <w:jc w:val="center"/>
              <w:rPr>
                <w:rFonts w:asciiTheme="minorHAnsi" w:hAnsiTheme="minorHAnsi"/>
                <w:sz w:val="20"/>
                <w:szCs w:val="20"/>
              </w:rPr>
            </w:pPr>
          </w:p>
        </w:tc>
      </w:tr>
      <w:tr w:rsidR="006000E2" w:rsidRPr="0076589C" w14:paraId="2B40EAC2" w14:textId="77777777" w:rsidTr="00FB3CE4">
        <w:trPr>
          <w:trHeight w:val="255"/>
          <w:jc w:val="center"/>
        </w:trPr>
        <w:tc>
          <w:tcPr>
            <w:tcW w:w="1869" w:type="pct"/>
            <w:tcBorders>
              <w:top w:val="nil"/>
              <w:left w:val="single" w:sz="4" w:space="0" w:color="auto"/>
              <w:bottom w:val="single" w:sz="4" w:space="0" w:color="auto"/>
              <w:right w:val="nil"/>
            </w:tcBorders>
            <w:tcMar>
              <w:top w:w="15" w:type="dxa"/>
              <w:left w:w="15" w:type="dxa"/>
              <w:right w:w="15" w:type="dxa"/>
            </w:tcMar>
            <w:vAlign w:val="center"/>
          </w:tcPr>
          <w:p w14:paraId="02C7F06B"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77" w:type="pct"/>
            <w:tcBorders>
              <w:top w:val="nil"/>
              <w:left w:val="nil"/>
              <w:bottom w:val="single" w:sz="4" w:space="0" w:color="auto"/>
              <w:right w:val="single" w:sz="4" w:space="0" w:color="auto"/>
            </w:tcBorders>
            <w:tcMar>
              <w:top w:w="15" w:type="dxa"/>
              <w:left w:w="15" w:type="dxa"/>
              <w:right w:w="15" w:type="dxa"/>
            </w:tcMar>
            <w:vAlign w:val="center"/>
          </w:tcPr>
          <w:p w14:paraId="4B5EEC59"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471,596.09 </w:t>
            </w:r>
          </w:p>
        </w:tc>
        <w:tc>
          <w:tcPr>
            <w:tcW w:w="1354" w:type="pct"/>
            <w:tcBorders>
              <w:top w:val="nil"/>
              <w:left w:val="single" w:sz="4" w:space="0" w:color="auto"/>
              <w:bottom w:val="single" w:sz="4" w:space="0" w:color="auto"/>
              <w:right w:val="nil"/>
            </w:tcBorders>
            <w:tcMar>
              <w:top w:w="15" w:type="dxa"/>
              <w:left w:w="15" w:type="dxa"/>
              <w:right w:w="15" w:type="dxa"/>
            </w:tcMar>
            <w:vAlign w:val="center"/>
          </w:tcPr>
          <w:p w14:paraId="139DE402" w14:textId="77777777" w:rsidR="006000E2" w:rsidRPr="0076589C" w:rsidRDefault="006000E2" w:rsidP="00FB3CE4">
            <w:pPr>
              <w:jc w:val="center"/>
              <w:rPr>
                <w:rFonts w:asciiTheme="minorHAnsi" w:hAnsiTheme="minorHAnsi"/>
                <w:sz w:val="20"/>
                <w:szCs w:val="20"/>
              </w:rPr>
            </w:pPr>
          </w:p>
        </w:tc>
      </w:tr>
      <w:tr w:rsidR="006000E2" w:rsidRPr="0076589C" w14:paraId="514572F6" w14:textId="77777777" w:rsidTr="00FB3CE4">
        <w:trPr>
          <w:trHeight w:val="255"/>
          <w:jc w:val="center"/>
        </w:trPr>
        <w:tc>
          <w:tcPr>
            <w:tcW w:w="1869"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747AD9A2" w14:textId="77777777" w:rsidR="006000E2" w:rsidRPr="0076589C" w:rsidRDefault="006000E2" w:rsidP="00FB3CE4">
            <w:pPr>
              <w:jc w:val="center"/>
              <w:rPr>
                <w:rFonts w:asciiTheme="minorHAnsi" w:hAnsiTheme="minorHAnsi"/>
                <w:sz w:val="20"/>
                <w:szCs w:val="20"/>
              </w:rPr>
            </w:pPr>
          </w:p>
        </w:tc>
        <w:tc>
          <w:tcPr>
            <w:tcW w:w="1777"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27FC0ECB"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b/>
                <w:bCs/>
                <w:sz w:val="20"/>
                <w:szCs w:val="20"/>
              </w:rPr>
              <w:t xml:space="preserve"> L              272,181.16 </w:t>
            </w:r>
          </w:p>
        </w:tc>
        <w:tc>
          <w:tcPr>
            <w:tcW w:w="135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0BD04DCD" w14:textId="77777777" w:rsidR="006000E2" w:rsidRPr="0076589C" w:rsidRDefault="006000E2" w:rsidP="00FB3CE4">
            <w:pPr>
              <w:spacing w:after="0"/>
              <w:ind w:left="0"/>
              <w:jc w:val="center"/>
              <w:rPr>
                <w:rFonts w:asciiTheme="minorHAnsi" w:hAnsiTheme="minorHAnsi"/>
                <w:b/>
                <w:bCs/>
                <w:sz w:val="20"/>
                <w:szCs w:val="20"/>
              </w:rPr>
            </w:pPr>
            <w:r w:rsidRPr="0076589C">
              <w:rPr>
                <w:rFonts w:asciiTheme="minorHAnsi" w:eastAsia="Arial" w:hAnsiTheme="minorHAnsi"/>
                <w:b/>
                <w:bCs/>
                <w:color w:val="000000" w:themeColor="text1"/>
                <w:sz w:val="20"/>
                <w:szCs w:val="20"/>
              </w:rPr>
              <w:t>Fuera del límite de crédito</w:t>
            </w:r>
          </w:p>
        </w:tc>
      </w:tr>
      <w:tr w:rsidR="006000E2" w:rsidRPr="0076589C" w14:paraId="1CF6D02A" w14:textId="77777777" w:rsidTr="00FB3CE4">
        <w:trPr>
          <w:trHeight w:val="255"/>
          <w:jc w:val="center"/>
        </w:trPr>
        <w:tc>
          <w:tcPr>
            <w:tcW w:w="1869" w:type="pct"/>
            <w:tcBorders>
              <w:top w:val="single" w:sz="4" w:space="0" w:color="auto"/>
              <w:left w:val="single" w:sz="4" w:space="0" w:color="auto"/>
              <w:bottom w:val="nil"/>
              <w:right w:val="nil"/>
            </w:tcBorders>
            <w:tcMar>
              <w:top w:w="15" w:type="dxa"/>
              <w:left w:w="15" w:type="dxa"/>
              <w:right w:w="15" w:type="dxa"/>
            </w:tcMar>
            <w:vAlign w:val="center"/>
          </w:tcPr>
          <w:p w14:paraId="705817C3"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Facturación diciembre 2022</w:t>
            </w:r>
          </w:p>
        </w:tc>
        <w:tc>
          <w:tcPr>
            <w:tcW w:w="1777" w:type="pct"/>
            <w:tcBorders>
              <w:top w:val="single" w:sz="4" w:space="0" w:color="auto"/>
              <w:left w:val="nil"/>
              <w:bottom w:val="nil"/>
              <w:right w:val="single" w:sz="4" w:space="0" w:color="auto"/>
            </w:tcBorders>
            <w:shd w:val="clear" w:color="auto" w:fill="FFFFFF" w:themeFill="background1"/>
            <w:tcMar>
              <w:top w:w="15" w:type="dxa"/>
              <w:left w:w="15" w:type="dxa"/>
              <w:right w:w="15" w:type="dxa"/>
            </w:tcMar>
            <w:vAlign w:val="center"/>
          </w:tcPr>
          <w:p w14:paraId="7E949038"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000000" w:themeColor="text1"/>
                <w:sz w:val="20"/>
                <w:szCs w:val="20"/>
              </w:rPr>
              <w:t xml:space="preserve"> L                           -   </w:t>
            </w:r>
          </w:p>
        </w:tc>
        <w:tc>
          <w:tcPr>
            <w:tcW w:w="1354" w:type="pct"/>
            <w:tcBorders>
              <w:top w:val="nil"/>
              <w:left w:val="single" w:sz="4" w:space="0" w:color="auto"/>
              <w:bottom w:val="nil"/>
              <w:right w:val="nil"/>
            </w:tcBorders>
            <w:tcMar>
              <w:top w:w="15" w:type="dxa"/>
              <w:left w:w="15" w:type="dxa"/>
              <w:right w:w="15" w:type="dxa"/>
            </w:tcMar>
            <w:vAlign w:val="center"/>
          </w:tcPr>
          <w:p w14:paraId="246DA244" w14:textId="77777777" w:rsidR="006000E2" w:rsidRPr="0076589C" w:rsidRDefault="006000E2" w:rsidP="00FB3CE4">
            <w:pPr>
              <w:jc w:val="center"/>
              <w:rPr>
                <w:rFonts w:asciiTheme="minorHAnsi" w:hAnsiTheme="minorHAnsi"/>
                <w:sz w:val="20"/>
                <w:szCs w:val="20"/>
              </w:rPr>
            </w:pPr>
          </w:p>
        </w:tc>
      </w:tr>
      <w:tr w:rsidR="006000E2" w:rsidRPr="0076589C" w14:paraId="6FD3FCCF" w14:textId="77777777" w:rsidTr="00FB3CE4">
        <w:trPr>
          <w:trHeight w:val="270"/>
          <w:jc w:val="center"/>
        </w:trPr>
        <w:tc>
          <w:tcPr>
            <w:tcW w:w="1869" w:type="pct"/>
            <w:tcBorders>
              <w:top w:val="nil"/>
              <w:left w:val="single" w:sz="4" w:space="0" w:color="auto"/>
              <w:bottom w:val="single" w:sz="4" w:space="0" w:color="auto"/>
              <w:right w:val="nil"/>
            </w:tcBorders>
            <w:tcMar>
              <w:top w:w="15" w:type="dxa"/>
              <w:left w:w="15" w:type="dxa"/>
              <w:right w:w="15" w:type="dxa"/>
            </w:tcMar>
            <w:vAlign w:val="center"/>
          </w:tcPr>
          <w:p w14:paraId="439C9D58"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Pago</w:t>
            </w:r>
          </w:p>
        </w:tc>
        <w:tc>
          <w:tcPr>
            <w:tcW w:w="1777" w:type="pct"/>
            <w:tcBorders>
              <w:top w:val="nil"/>
              <w:left w:val="nil"/>
              <w:bottom w:val="single" w:sz="4" w:space="0" w:color="auto"/>
              <w:right w:val="single" w:sz="4" w:space="0" w:color="auto"/>
            </w:tcBorders>
            <w:tcMar>
              <w:top w:w="15" w:type="dxa"/>
              <w:left w:w="15" w:type="dxa"/>
              <w:right w:w="15" w:type="dxa"/>
            </w:tcMar>
            <w:vAlign w:val="center"/>
          </w:tcPr>
          <w:p w14:paraId="6A4D1ABF"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color w:val="FF0000"/>
                <w:sz w:val="20"/>
                <w:szCs w:val="20"/>
              </w:rPr>
              <w:t xml:space="preserve">-L              325,275.24 </w:t>
            </w:r>
          </w:p>
        </w:tc>
        <w:tc>
          <w:tcPr>
            <w:tcW w:w="1354" w:type="pct"/>
            <w:tcBorders>
              <w:top w:val="nil"/>
              <w:left w:val="single" w:sz="4" w:space="0" w:color="auto"/>
              <w:bottom w:val="single" w:sz="4" w:space="0" w:color="auto"/>
              <w:right w:val="nil"/>
            </w:tcBorders>
            <w:tcMar>
              <w:top w:w="15" w:type="dxa"/>
              <w:left w:w="15" w:type="dxa"/>
              <w:right w:w="15" w:type="dxa"/>
            </w:tcMar>
            <w:vAlign w:val="center"/>
          </w:tcPr>
          <w:p w14:paraId="2B08132A" w14:textId="77777777" w:rsidR="006000E2" w:rsidRPr="0076589C" w:rsidRDefault="006000E2" w:rsidP="00FB3CE4">
            <w:pPr>
              <w:jc w:val="center"/>
              <w:rPr>
                <w:rFonts w:asciiTheme="minorHAnsi" w:hAnsiTheme="minorHAnsi"/>
                <w:sz w:val="20"/>
                <w:szCs w:val="20"/>
              </w:rPr>
            </w:pPr>
          </w:p>
        </w:tc>
      </w:tr>
      <w:tr w:rsidR="006000E2" w:rsidRPr="0076589C" w14:paraId="3951729D" w14:textId="77777777" w:rsidTr="00FB3CE4">
        <w:trPr>
          <w:trHeight w:val="255"/>
          <w:jc w:val="center"/>
        </w:trPr>
        <w:tc>
          <w:tcPr>
            <w:tcW w:w="1869"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32968723" w14:textId="77777777" w:rsidR="006000E2" w:rsidRPr="0076589C" w:rsidRDefault="006000E2" w:rsidP="00FB3CE4">
            <w:pPr>
              <w:jc w:val="center"/>
              <w:rPr>
                <w:rFonts w:asciiTheme="minorHAnsi" w:hAnsiTheme="minorHAnsi"/>
                <w:sz w:val="20"/>
                <w:szCs w:val="20"/>
              </w:rPr>
            </w:pPr>
          </w:p>
        </w:tc>
        <w:tc>
          <w:tcPr>
            <w:tcW w:w="1777"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53CB1FF5" w14:textId="77777777" w:rsidR="006000E2" w:rsidRPr="0076589C" w:rsidRDefault="006000E2" w:rsidP="00FB3CE4">
            <w:pPr>
              <w:spacing w:after="0"/>
              <w:jc w:val="center"/>
              <w:rPr>
                <w:rFonts w:asciiTheme="minorHAnsi" w:hAnsiTheme="minorHAnsi"/>
                <w:sz w:val="20"/>
                <w:szCs w:val="20"/>
              </w:rPr>
            </w:pPr>
            <w:r w:rsidRPr="0076589C">
              <w:rPr>
                <w:rFonts w:asciiTheme="minorHAnsi" w:eastAsia="Arial" w:hAnsiTheme="minorHAnsi"/>
                <w:b/>
                <w:bCs/>
                <w:color w:val="000000" w:themeColor="text1"/>
                <w:sz w:val="20"/>
                <w:szCs w:val="20"/>
              </w:rPr>
              <w:t xml:space="preserve">-L               53,094.08 </w:t>
            </w:r>
          </w:p>
        </w:tc>
        <w:tc>
          <w:tcPr>
            <w:tcW w:w="135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3295D677" w14:textId="77777777" w:rsidR="006000E2" w:rsidRPr="0076589C" w:rsidRDefault="006000E2" w:rsidP="00FB3CE4">
            <w:pPr>
              <w:spacing w:after="0"/>
              <w:ind w:left="0"/>
              <w:jc w:val="center"/>
              <w:rPr>
                <w:rFonts w:asciiTheme="minorHAnsi" w:hAnsiTheme="minorHAnsi"/>
                <w:b/>
                <w:bCs/>
                <w:sz w:val="20"/>
                <w:szCs w:val="20"/>
              </w:rPr>
            </w:pPr>
            <w:r w:rsidRPr="0076589C">
              <w:rPr>
                <w:rFonts w:asciiTheme="minorHAnsi" w:eastAsia="Arial" w:hAnsiTheme="minorHAnsi"/>
                <w:b/>
                <w:bCs/>
                <w:sz w:val="20"/>
                <w:szCs w:val="20"/>
              </w:rPr>
              <w:t>Límite Disponible</w:t>
            </w:r>
          </w:p>
        </w:tc>
      </w:tr>
    </w:tbl>
    <w:p w14:paraId="04A6D3A5" w14:textId="77777777" w:rsidR="006000E2" w:rsidRPr="0076589C" w:rsidRDefault="006000E2" w:rsidP="006000E2">
      <w:pPr>
        <w:pStyle w:val="Fuentes"/>
        <w:rPr>
          <w:lang w:val="es-HN"/>
        </w:rPr>
      </w:pPr>
      <w:bookmarkStart w:id="352" w:name="_Hlk150711815"/>
      <w:r w:rsidRPr="0076589C">
        <w:rPr>
          <w:lang w:val="es-HN"/>
        </w:rPr>
        <w:t>Fuente: Elaboración propia con datos de IPRA (2023).</w:t>
      </w:r>
    </w:p>
    <w:p w14:paraId="0F1215EB" w14:textId="02274709" w:rsidR="006000E2" w:rsidRPr="0076589C" w:rsidRDefault="006000E2" w:rsidP="00925E89">
      <w:pPr>
        <w:pStyle w:val="ImagenyTabla"/>
        <w:ind w:left="0"/>
      </w:pPr>
      <w:bookmarkStart w:id="353" w:name="_Hlk150711834"/>
      <w:bookmarkEnd w:id="352"/>
      <w:r w:rsidRPr="0076589C">
        <w:t>Cálculo del límite de crédito en base a historial de compra del </w:t>
      </w:r>
      <w:bookmarkEnd w:id="353"/>
      <w:r w:rsidRPr="0076589C">
        <w:t>“Corporativa K”</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5137"/>
        <w:gridCol w:w="4213"/>
      </w:tblGrid>
      <w:tr w:rsidR="006000E2" w:rsidRPr="0076589C" w14:paraId="5BA27DBE" w14:textId="77777777" w:rsidTr="00FB3CE4">
        <w:trPr>
          <w:trHeight w:val="270"/>
          <w:jc w:val="center"/>
        </w:trPr>
        <w:tc>
          <w:tcPr>
            <w:tcW w:w="2747" w:type="pct"/>
            <w:shd w:val="clear" w:color="auto" w:fill="C9E1EF"/>
            <w:tcMar>
              <w:top w:w="15" w:type="dxa"/>
              <w:left w:w="15" w:type="dxa"/>
              <w:right w:w="15" w:type="dxa"/>
            </w:tcMar>
            <w:vAlign w:val="center"/>
          </w:tcPr>
          <w:p w14:paraId="43DF9BF5" w14:textId="77777777" w:rsidR="006000E2" w:rsidRPr="0076589C" w:rsidRDefault="006000E2" w:rsidP="00FB3CE4">
            <w:pPr>
              <w:spacing w:after="0"/>
              <w:jc w:val="center"/>
              <w:rPr>
                <w:rFonts w:asciiTheme="minorHAnsi" w:eastAsia="Arial" w:hAnsiTheme="minorHAnsi"/>
                <w:b/>
                <w:bCs/>
                <w:color w:val="000000" w:themeColor="text1"/>
                <w:sz w:val="20"/>
                <w:szCs w:val="20"/>
              </w:rPr>
            </w:pPr>
            <w:r w:rsidRPr="0076589C">
              <w:rPr>
                <w:rFonts w:asciiTheme="minorHAnsi" w:eastAsia="Arial" w:hAnsiTheme="minorHAnsi"/>
                <w:b/>
                <w:bCs/>
                <w:color w:val="000000" w:themeColor="text1"/>
                <w:sz w:val="20"/>
                <w:szCs w:val="20"/>
              </w:rPr>
              <w:t>Compras Históricas</w:t>
            </w:r>
          </w:p>
        </w:tc>
        <w:tc>
          <w:tcPr>
            <w:tcW w:w="2253" w:type="pct"/>
            <w:shd w:val="clear" w:color="auto" w:fill="C9E1EF"/>
            <w:tcMar>
              <w:top w:w="15" w:type="dxa"/>
              <w:left w:w="15" w:type="dxa"/>
              <w:right w:w="15" w:type="dxa"/>
            </w:tcMar>
            <w:vAlign w:val="center"/>
          </w:tcPr>
          <w:p w14:paraId="746ED9B2" w14:textId="77777777" w:rsidR="006000E2" w:rsidRPr="0076589C" w:rsidRDefault="006000E2" w:rsidP="00FB3CE4">
            <w:pPr>
              <w:spacing w:after="0"/>
              <w:jc w:val="center"/>
              <w:rPr>
                <w:rFonts w:asciiTheme="minorHAnsi" w:hAnsiTheme="minorHAnsi"/>
              </w:rPr>
            </w:pPr>
            <w:r w:rsidRPr="0076589C">
              <w:rPr>
                <w:rFonts w:asciiTheme="minorHAnsi" w:eastAsia="Arial" w:hAnsiTheme="minorHAnsi"/>
                <w:b/>
                <w:bCs/>
                <w:color w:val="000000" w:themeColor="text1"/>
                <w:sz w:val="20"/>
                <w:szCs w:val="20"/>
              </w:rPr>
              <w:t xml:space="preserve"> L   1,566,828.52 </w:t>
            </w:r>
          </w:p>
        </w:tc>
      </w:tr>
      <w:tr w:rsidR="006000E2" w:rsidRPr="0076589C" w14:paraId="5263F9C8" w14:textId="77777777" w:rsidTr="00FB3CE4">
        <w:trPr>
          <w:trHeight w:val="48"/>
          <w:jc w:val="center"/>
        </w:trPr>
        <w:tc>
          <w:tcPr>
            <w:tcW w:w="2747" w:type="pct"/>
            <w:shd w:val="clear" w:color="auto" w:fill="auto"/>
            <w:tcMar>
              <w:top w:w="15" w:type="dxa"/>
              <w:left w:w="15" w:type="dxa"/>
              <w:right w:w="15" w:type="dxa"/>
            </w:tcMar>
            <w:vAlign w:val="center"/>
          </w:tcPr>
          <w:p w14:paraId="03BEDA70" w14:textId="77777777" w:rsidR="006000E2" w:rsidRPr="0076589C" w:rsidRDefault="006000E2" w:rsidP="00FB3CE4">
            <w:pPr>
              <w:spacing w:after="0"/>
              <w:jc w:val="center"/>
              <w:rPr>
                <w:rFonts w:asciiTheme="minorHAnsi" w:hAnsiTheme="minorHAnsi"/>
              </w:rPr>
            </w:pPr>
            <w:r w:rsidRPr="0076589C">
              <w:rPr>
                <w:rFonts w:asciiTheme="minorHAnsi" w:eastAsia="Arial" w:hAnsiTheme="minorHAnsi"/>
                <w:color w:val="000000" w:themeColor="text1"/>
                <w:sz w:val="20"/>
                <w:szCs w:val="20"/>
              </w:rPr>
              <w:t>Días pactados con el cliente</w:t>
            </w:r>
          </w:p>
        </w:tc>
        <w:tc>
          <w:tcPr>
            <w:tcW w:w="2253" w:type="pct"/>
            <w:shd w:val="clear" w:color="auto" w:fill="auto"/>
            <w:tcMar>
              <w:top w:w="15" w:type="dxa"/>
              <w:left w:w="15" w:type="dxa"/>
              <w:right w:w="15" w:type="dxa"/>
            </w:tcMar>
            <w:vAlign w:val="center"/>
          </w:tcPr>
          <w:p w14:paraId="4BCEAA31" w14:textId="77777777" w:rsidR="006000E2" w:rsidRPr="0076589C" w:rsidRDefault="006000E2" w:rsidP="00FB3CE4">
            <w:pPr>
              <w:spacing w:after="0"/>
              <w:jc w:val="center"/>
              <w:rPr>
                <w:rFonts w:asciiTheme="minorHAnsi" w:hAnsiTheme="minorHAnsi"/>
              </w:rPr>
            </w:pPr>
            <w:r w:rsidRPr="0076589C">
              <w:rPr>
                <w:rFonts w:asciiTheme="minorHAnsi" w:eastAsia="Arial" w:hAnsiTheme="minorHAnsi"/>
                <w:color w:val="000000" w:themeColor="text1"/>
                <w:sz w:val="20"/>
                <w:szCs w:val="20"/>
              </w:rPr>
              <w:t>45</w:t>
            </w:r>
          </w:p>
        </w:tc>
      </w:tr>
      <w:tr w:rsidR="006000E2" w:rsidRPr="0076589C" w14:paraId="1716CE6F" w14:textId="77777777" w:rsidTr="00FB3CE4">
        <w:trPr>
          <w:trHeight w:val="255"/>
          <w:jc w:val="center"/>
        </w:trPr>
        <w:tc>
          <w:tcPr>
            <w:tcW w:w="2747" w:type="pct"/>
            <w:shd w:val="clear" w:color="auto" w:fill="auto"/>
            <w:tcMar>
              <w:top w:w="15" w:type="dxa"/>
              <w:left w:w="15" w:type="dxa"/>
              <w:right w:w="15" w:type="dxa"/>
            </w:tcMar>
            <w:vAlign w:val="center"/>
          </w:tcPr>
          <w:p w14:paraId="607261A5" w14:textId="77777777" w:rsidR="006000E2" w:rsidRPr="0076589C" w:rsidRDefault="006000E2" w:rsidP="00FB3CE4">
            <w:pPr>
              <w:spacing w:after="0"/>
              <w:jc w:val="center"/>
              <w:rPr>
                <w:rFonts w:asciiTheme="minorHAnsi" w:hAnsiTheme="minorHAnsi"/>
              </w:rPr>
            </w:pPr>
            <w:r w:rsidRPr="0076589C">
              <w:rPr>
                <w:rFonts w:asciiTheme="minorHAnsi" w:eastAsia="Arial" w:hAnsiTheme="minorHAnsi"/>
                <w:color w:val="000000" w:themeColor="text1"/>
                <w:sz w:val="20"/>
                <w:szCs w:val="20"/>
              </w:rPr>
              <w:t>Año Financiero</w:t>
            </w:r>
          </w:p>
        </w:tc>
        <w:tc>
          <w:tcPr>
            <w:tcW w:w="2253" w:type="pct"/>
            <w:shd w:val="clear" w:color="auto" w:fill="auto"/>
            <w:tcMar>
              <w:top w:w="15" w:type="dxa"/>
              <w:left w:w="15" w:type="dxa"/>
              <w:right w:w="15" w:type="dxa"/>
            </w:tcMar>
            <w:vAlign w:val="center"/>
          </w:tcPr>
          <w:p w14:paraId="1F18D7AD" w14:textId="77777777" w:rsidR="006000E2" w:rsidRPr="0076589C" w:rsidRDefault="006000E2" w:rsidP="00FB3CE4">
            <w:pPr>
              <w:spacing w:after="0"/>
              <w:jc w:val="center"/>
              <w:rPr>
                <w:rFonts w:asciiTheme="minorHAnsi" w:hAnsiTheme="minorHAnsi"/>
              </w:rPr>
            </w:pPr>
            <w:r w:rsidRPr="0076589C">
              <w:rPr>
                <w:rFonts w:asciiTheme="minorHAnsi" w:eastAsia="Arial" w:hAnsiTheme="minorHAnsi"/>
                <w:color w:val="000000" w:themeColor="text1"/>
                <w:sz w:val="20"/>
                <w:szCs w:val="20"/>
              </w:rPr>
              <w:t>360</w:t>
            </w:r>
          </w:p>
        </w:tc>
      </w:tr>
      <w:tr w:rsidR="006000E2" w:rsidRPr="0076589C" w14:paraId="1E649FEE" w14:textId="77777777" w:rsidTr="00FB3CE4">
        <w:trPr>
          <w:trHeight w:val="255"/>
          <w:jc w:val="center"/>
        </w:trPr>
        <w:tc>
          <w:tcPr>
            <w:tcW w:w="2747" w:type="pct"/>
            <w:shd w:val="clear" w:color="auto" w:fill="auto"/>
            <w:tcMar>
              <w:top w:w="15" w:type="dxa"/>
              <w:left w:w="15" w:type="dxa"/>
              <w:right w:w="15" w:type="dxa"/>
            </w:tcMar>
            <w:vAlign w:val="center"/>
          </w:tcPr>
          <w:p w14:paraId="60FA2FD8" w14:textId="77777777" w:rsidR="006000E2" w:rsidRPr="0076589C" w:rsidRDefault="006000E2" w:rsidP="00FB3CE4">
            <w:pPr>
              <w:spacing w:after="0"/>
              <w:jc w:val="center"/>
              <w:rPr>
                <w:rFonts w:asciiTheme="minorHAnsi" w:hAnsiTheme="minorHAnsi"/>
              </w:rPr>
            </w:pPr>
            <w:r w:rsidRPr="0076589C">
              <w:rPr>
                <w:rFonts w:asciiTheme="minorHAnsi" w:eastAsia="Arial" w:hAnsiTheme="minorHAnsi"/>
                <w:color w:val="000000" w:themeColor="text1"/>
                <w:sz w:val="20"/>
                <w:szCs w:val="20"/>
              </w:rPr>
              <w:t>Crédito Cliente</w:t>
            </w:r>
          </w:p>
        </w:tc>
        <w:tc>
          <w:tcPr>
            <w:tcW w:w="2253" w:type="pct"/>
            <w:shd w:val="clear" w:color="auto" w:fill="auto"/>
            <w:tcMar>
              <w:top w:w="15" w:type="dxa"/>
              <w:left w:w="15" w:type="dxa"/>
              <w:right w:w="15" w:type="dxa"/>
            </w:tcMar>
            <w:vAlign w:val="center"/>
          </w:tcPr>
          <w:p w14:paraId="790A6228" w14:textId="77777777" w:rsidR="006000E2" w:rsidRPr="0076589C" w:rsidRDefault="006000E2" w:rsidP="00FB3CE4">
            <w:pPr>
              <w:spacing w:after="0"/>
              <w:jc w:val="center"/>
              <w:rPr>
                <w:rFonts w:asciiTheme="minorHAnsi" w:hAnsiTheme="minorHAnsi"/>
              </w:rPr>
            </w:pPr>
            <w:r w:rsidRPr="0076589C">
              <w:rPr>
                <w:rFonts w:asciiTheme="minorHAnsi" w:eastAsia="Arial" w:hAnsiTheme="minorHAnsi"/>
                <w:color w:val="000000" w:themeColor="text1"/>
                <w:sz w:val="20"/>
                <w:szCs w:val="20"/>
              </w:rPr>
              <w:t xml:space="preserve"> L      195,853.57 </w:t>
            </w:r>
          </w:p>
        </w:tc>
      </w:tr>
      <w:tr w:rsidR="006000E2" w:rsidRPr="0076589C" w14:paraId="634F94A0" w14:textId="77777777" w:rsidTr="00FB3CE4">
        <w:trPr>
          <w:trHeight w:val="48"/>
          <w:jc w:val="center"/>
        </w:trPr>
        <w:tc>
          <w:tcPr>
            <w:tcW w:w="2747" w:type="pct"/>
            <w:shd w:val="clear" w:color="auto" w:fill="C9E1EF"/>
            <w:tcMar>
              <w:top w:w="15" w:type="dxa"/>
              <w:left w:w="15" w:type="dxa"/>
              <w:right w:w="15" w:type="dxa"/>
            </w:tcMar>
            <w:vAlign w:val="center"/>
          </w:tcPr>
          <w:p w14:paraId="155829A2" w14:textId="77777777" w:rsidR="006000E2" w:rsidRPr="0076589C" w:rsidRDefault="006000E2" w:rsidP="00FB3CE4">
            <w:pPr>
              <w:spacing w:after="0"/>
              <w:jc w:val="center"/>
              <w:rPr>
                <w:rFonts w:asciiTheme="minorHAnsi" w:hAnsiTheme="minorHAnsi"/>
                <w:b/>
                <w:bCs/>
              </w:rPr>
            </w:pPr>
            <w:r w:rsidRPr="0076589C">
              <w:rPr>
                <w:rFonts w:asciiTheme="minorHAnsi" w:eastAsia="Arial" w:hAnsiTheme="minorHAnsi"/>
                <w:b/>
                <w:bCs/>
                <w:color w:val="000000" w:themeColor="text1"/>
                <w:sz w:val="20"/>
                <w:szCs w:val="20"/>
              </w:rPr>
              <w:t>Índice Correctivo de previsión de incremento de ventas</w:t>
            </w:r>
          </w:p>
        </w:tc>
        <w:tc>
          <w:tcPr>
            <w:tcW w:w="2253" w:type="pct"/>
            <w:shd w:val="clear" w:color="auto" w:fill="C9E1EF"/>
            <w:tcMar>
              <w:top w:w="15" w:type="dxa"/>
              <w:left w:w="15" w:type="dxa"/>
              <w:right w:w="15" w:type="dxa"/>
            </w:tcMar>
            <w:vAlign w:val="center"/>
          </w:tcPr>
          <w:p w14:paraId="7241D9DB" w14:textId="77777777" w:rsidR="006000E2" w:rsidRPr="0076589C" w:rsidRDefault="006000E2" w:rsidP="00FB3CE4">
            <w:pPr>
              <w:spacing w:after="0"/>
              <w:jc w:val="center"/>
              <w:rPr>
                <w:rFonts w:asciiTheme="minorHAnsi" w:hAnsiTheme="minorHAnsi"/>
                <w:b/>
                <w:bCs/>
              </w:rPr>
            </w:pPr>
            <w:r w:rsidRPr="0076589C">
              <w:rPr>
                <w:rFonts w:asciiTheme="minorHAnsi" w:eastAsia="Arial" w:hAnsiTheme="minorHAnsi"/>
                <w:b/>
                <w:bCs/>
                <w:color w:val="000000" w:themeColor="text1"/>
                <w:sz w:val="20"/>
                <w:szCs w:val="20"/>
              </w:rPr>
              <w:t xml:space="preserve"> L      215,438.92</w:t>
            </w:r>
          </w:p>
        </w:tc>
      </w:tr>
    </w:tbl>
    <w:p w14:paraId="7F05B7E1" w14:textId="77777777" w:rsidR="006000E2" w:rsidRPr="0076589C" w:rsidRDefault="006000E2" w:rsidP="006000E2">
      <w:pPr>
        <w:pStyle w:val="Fuentes"/>
        <w:rPr>
          <w:lang w:val="es-HN"/>
        </w:rPr>
      </w:pPr>
      <w:r w:rsidRPr="0076589C">
        <w:rPr>
          <w:lang w:val="es-HN"/>
        </w:rPr>
        <w:t>Fuente: Elaboración propia con datos de IPRA (2023).</w:t>
      </w:r>
    </w:p>
    <w:p w14:paraId="4EB25A97" w14:textId="3E226261" w:rsidR="00623586" w:rsidRPr="0076589C" w:rsidRDefault="00623586" w:rsidP="006000E2">
      <w:pPr>
        <w:ind w:left="0"/>
        <w:rPr>
          <w:b/>
        </w:rPr>
      </w:pPr>
      <w:r w:rsidRPr="0076589C">
        <w:rPr>
          <w:b/>
        </w:rPr>
        <w:t xml:space="preserve">Anexo 8. Análisis del límite de crédito </w:t>
      </w:r>
      <w:r w:rsidR="00113876" w:rsidRPr="0076589C">
        <w:rPr>
          <w:b/>
        </w:rPr>
        <w:t xml:space="preserve">del cliente </w:t>
      </w:r>
      <w:r w:rsidRPr="0076589C">
        <w:rPr>
          <w:b/>
        </w:rPr>
        <w:t xml:space="preserve">Tienda C </w:t>
      </w:r>
    </w:p>
    <w:tbl>
      <w:tblPr>
        <w:tblW w:w="5007" w:type="pct"/>
        <w:jc w:val="center"/>
        <w:tblLook w:val="06A0" w:firstRow="1" w:lastRow="0" w:firstColumn="1" w:lastColumn="0" w:noHBand="1" w:noVBand="1"/>
      </w:tblPr>
      <w:tblGrid>
        <w:gridCol w:w="3493"/>
        <w:gridCol w:w="3850"/>
        <w:gridCol w:w="2025"/>
      </w:tblGrid>
      <w:tr w:rsidR="00623586" w:rsidRPr="0076589C" w14:paraId="4B5817F6" w14:textId="77777777" w:rsidTr="00FB3CE4">
        <w:trPr>
          <w:trHeight w:val="46"/>
          <w:jc w:val="center"/>
        </w:trPr>
        <w:tc>
          <w:tcPr>
            <w:tcW w:w="186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5657DEFE" w14:textId="77777777" w:rsidR="00623586" w:rsidRPr="0076589C" w:rsidRDefault="00623586" w:rsidP="00FB3CE4">
            <w:pPr>
              <w:spacing w:after="0"/>
              <w:ind w:left="0"/>
              <w:jc w:val="center"/>
              <w:rPr>
                <w:rFonts w:asciiTheme="minorHAnsi" w:hAnsiTheme="minorHAnsi"/>
              </w:rPr>
            </w:pPr>
            <w:r w:rsidRPr="0076589C">
              <w:rPr>
                <w:rFonts w:asciiTheme="minorHAnsi" w:eastAsia="Calibri" w:hAnsiTheme="minorHAnsi"/>
                <w:b/>
                <w:bCs/>
                <w:color w:val="000000" w:themeColor="text1"/>
                <w:sz w:val="20"/>
                <w:szCs w:val="20"/>
              </w:rPr>
              <w:t>Cliente</w:t>
            </w:r>
          </w:p>
        </w:tc>
        <w:tc>
          <w:tcPr>
            <w:tcW w:w="2055" w:type="pc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041298CF" w14:textId="77777777" w:rsidR="00623586" w:rsidRPr="0076589C" w:rsidRDefault="00623586" w:rsidP="00FB3CE4">
            <w:pPr>
              <w:spacing w:after="0"/>
              <w:ind w:left="0"/>
              <w:jc w:val="center"/>
              <w:rPr>
                <w:rFonts w:asciiTheme="minorHAnsi" w:eastAsia="Arial" w:hAnsiTheme="minorHAnsi"/>
                <w:color w:val="000000" w:themeColor="text1"/>
                <w:sz w:val="20"/>
                <w:szCs w:val="20"/>
              </w:rPr>
            </w:pPr>
            <w:r w:rsidRPr="0076589C">
              <w:rPr>
                <w:rFonts w:asciiTheme="minorHAnsi" w:eastAsia="Arial" w:hAnsiTheme="minorHAnsi"/>
                <w:color w:val="000000" w:themeColor="text1"/>
                <w:sz w:val="20"/>
                <w:szCs w:val="20"/>
              </w:rPr>
              <w:t>Tienda C</w:t>
            </w:r>
          </w:p>
        </w:tc>
        <w:tc>
          <w:tcPr>
            <w:tcW w:w="1081" w:type="pct"/>
            <w:tcBorders>
              <w:top w:val="nil"/>
              <w:left w:val="single" w:sz="4" w:space="0" w:color="auto"/>
              <w:bottom w:val="nil"/>
              <w:right w:val="nil"/>
            </w:tcBorders>
            <w:tcMar>
              <w:top w:w="15" w:type="dxa"/>
              <w:left w:w="15" w:type="dxa"/>
              <w:right w:w="15" w:type="dxa"/>
            </w:tcMar>
            <w:vAlign w:val="center"/>
          </w:tcPr>
          <w:p w14:paraId="587CEB34" w14:textId="77777777" w:rsidR="00623586" w:rsidRPr="0076589C" w:rsidRDefault="00623586" w:rsidP="00FB3CE4">
            <w:pPr>
              <w:jc w:val="center"/>
              <w:rPr>
                <w:rFonts w:asciiTheme="minorHAnsi" w:hAnsiTheme="minorHAnsi"/>
              </w:rPr>
            </w:pPr>
          </w:p>
        </w:tc>
      </w:tr>
      <w:tr w:rsidR="00623586" w:rsidRPr="0076589C" w14:paraId="6732BCFE" w14:textId="77777777" w:rsidTr="00FB3CE4">
        <w:trPr>
          <w:trHeight w:val="306"/>
          <w:jc w:val="center"/>
        </w:trPr>
        <w:tc>
          <w:tcPr>
            <w:tcW w:w="186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0D9C0BB1" w14:textId="77777777" w:rsidR="00623586" w:rsidRPr="0076589C" w:rsidRDefault="00623586" w:rsidP="00FB3CE4">
            <w:pPr>
              <w:spacing w:after="0"/>
              <w:ind w:left="0"/>
              <w:jc w:val="center"/>
              <w:rPr>
                <w:rFonts w:asciiTheme="minorHAnsi" w:hAnsiTheme="minorHAnsi"/>
              </w:rPr>
            </w:pPr>
            <w:r w:rsidRPr="0076589C">
              <w:rPr>
                <w:rFonts w:asciiTheme="minorHAnsi" w:eastAsia="Calibri" w:hAnsiTheme="minorHAnsi"/>
                <w:b/>
                <w:bCs/>
                <w:color w:val="000000" w:themeColor="text1"/>
                <w:sz w:val="20"/>
                <w:szCs w:val="20"/>
              </w:rPr>
              <w:t>Días de Crédito Otorgados</w:t>
            </w:r>
          </w:p>
        </w:tc>
        <w:tc>
          <w:tcPr>
            <w:tcW w:w="2055" w:type="pc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679382E" w14:textId="77777777" w:rsidR="00623586" w:rsidRPr="0076589C" w:rsidRDefault="00623586" w:rsidP="00FB3CE4">
            <w:pPr>
              <w:spacing w:after="0"/>
              <w:ind w:left="0"/>
              <w:jc w:val="center"/>
              <w:rPr>
                <w:rFonts w:asciiTheme="minorHAnsi" w:hAnsiTheme="minorHAnsi"/>
              </w:rPr>
            </w:pPr>
            <w:r w:rsidRPr="0076589C">
              <w:rPr>
                <w:rFonts w:asciiTheme="minorHAnsi" w:eastAsia="Arial" w:hAnsiTheme="minorHAnsi"/>
                <w:color w:val="000000" w:themeColor="text1"/>
                <w:sz w:val="20"/>
                <w:szCs w:val="20"/>
              </w:rPr>
              <w:t>90</w:t>
            </w:r>
          </w:p>
        </w:tc>
        <w:tc>
          <w:tcPr>
            <w:tcW w:w="1081" w:type="pct"/>
            <w:tcBorders>
              <w:top w:val="nil"/>
              <w:left w:val="single" w:sz="4" w:space="0" w:color="auto"/>
              <w:bottom w:val="nil"/>
              <w:right w:val="nil"/>
            </w:tcBorders>
            <w:tcMar>
              <w:top w:w="15" w:type="dxa"/>
              <w:left w:w="15" w:type="dxa"/>
              <w:right w:w="15" w:type="dxa"/>
            </w:tcMar>
            <w:vAlign w:val="center"/>
          </w:tcPr>
          <w:p w14:paraId="636CFCFF" w14:textId="77777777" w:rsidR="00623586" w:rsidRPr="0076589C" w:rsidRDefault="00623586" w:rsidP="00FB3CE4">
            <w:pPr>
              <w:jc w:val="center"/>
              <w:rPr>
                <w:rFonts w:asciiTheme="minorHAnsi" w:hAnsiTheme="minorHAnsi"/>
              </w:rPr>
            </w:pPr>
          </w:p>
        </w:tc>
      </w:tr>
      <w:tr w:rsidR="00623586" w:rsidRPr="0076589C" w14:paraId="36884272" w14:textId="77777777" w:rsidTr="00FB3CE4">
        <w:trPr>
          <w:trHeight w:val="394"/>
          <w:jc w:val="center"/>
        </w:trPr>
        <w:tc>
          <w:tcPr>
            <w:tcW w:w="1864"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20894DDE" w14:textId="77777777" w:rsidR="00623586" w:rsidRPr="0076589C" w:rsidRDefault="00623586" w:rsidP="00FB3CE4">
            <w:pPr>
              <w:spacing w:after="0"/>
              <w:ind w:left="0"/>
              <w:jc w:val="center"/>
              <w:rPr>
                <w:rFonts w:asciiTheme="minorHAnsi" w:hAnsiTheme="minorHAnsi"/>
              </w:rPr>
            </w:pPr>
            <w:r w:rsidRPr="0076589C">
              <w:rPr>
                <w:rFonts w:asciiTheme="minorHAnsi" w:eastAsia="Calibri" w:hAnsiTheme="minorHAnsi"/>
                <w:b/>
                <w:bCs/>
                <w:color w:val="000000" w:themeColor="text1"/>
                <w:sz w:val="20"/>
                <w:szCs w:val="20"/>
              </w:rPr>
              <w:t>Límite de Crédito Otorgado</w:t>
            </w:r>
          </w:p>
        </w:tc>
        <w:tc>
          <w:tcPr>
            <w:tcW w:w="2055" w:type="pc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E7CFF36" w14:textId="77777777" w:rsidR="00623586" w:rsidRPr="0076589C" w:rsidRDefault="00623586" w:rsidP="00FB3CE4">
            <w:pPr>
              <w:spacing w:after="0"/>
              <w:ind w:left="0"/>
              <w:jc w:val="center"/>
              <w:rPr>
                <w:rFonts w:asciiTheme="minorHAnsi" w:hAnsiTheme="minorHAnsi"/>
              </w:rPr>
            </w:pPr>
            <w:r w:rsidRPr="0076589C">
              <w:rPr>
                <w:rFonts w:asciiTheme="minorHAnsi" w:eastAsia="Arial" w:hAnsiTheme="minorHAnsi"/>
                <w:color w:val="000000" w:themeColor="text1"/>
                <w:sz w:val="20"/>
                <w:szCs w:val="20"/>
              </w:rPr>
              <w:t>L                          520,000.00</w:t>
            </w:r>
          </w:p>
        </w:tc>
        <w:tc>
          <w:tcPr>
            <w:tcW w:w="1081" w:type="pct"/>
            <w:tcBorders>
              <w:top w:val="nil"/>
              <w:left w:val="single" w:sz="4" w:space="0" w:color="auto"/>
              <w:bottom w:val="nil"/>
              <w:right w:val="nil"/>
            </w:tcBorders>
            <w:tcMar>
              <w:top w:w="15" w:type="dxa"/>
              <w:left w:w="15" w:type="dxa"/>
              <w:right w:w="15" w:type="dxa"/>
            </w:tcMar>
            <w:vAlign w:val="center"/>
          </w:tcPr>
          <w:p w14:paraId="2C5791FC" w14:textId="77777777" w:rsidR="00623586" w:rsidRPr="0076589C" w:rsidRDefault="00623586" w:rsidP="00FB3CE4">
            <w:pPr>
              <w:jc w:val="center"/>
              <w:rPr>
                <w:rFonts w:asciiTheme="minorHAnsi" w:hAnsiTheme="minorHAnsi"/>
              </w:rPr>
            </w:pPr>
          </w:p>
        </w:tc>
      </w:tr>
      <w:tr w:rsidR="00623586" w:rsidRPr="0076589C" w14:paraId="02CDB16A" w14:textId="77777777" w:rsidTr="00FB3CE4">
        <w:trPr>
          <w:trHeight w:val="248"/>
          <w:jc w:val="center"/>
        </w:trPr>
        <w:tc>
          <w:tcPr>
            <w:tcW w:w="1864" w:type="pct"/>
            <w:tcBorders>
              <w:top w:val="single" w:sz="4" w:space="0" w:color="auto"/>
              <w:left w:val="nil"/>
              <w:bottom w:val="single" w:sz="4" w:space="0" w:color="auto"/>
              <w:right w:val="nil"/>
            </w:tcBorders>
            <w:tcMar>
              <w:top w:w="15" w:type="dxa"/>
              <w:left w:w="15" w:type="dxa"/>
              <w:right w:w="15" w:type="dxa"/>
            </w:tcMar>
            <w:vAlign w:val="center"/>
          </w:tcPr>
          <w:p w14:paraId="2469D759" w14:textId="77777777" w:rsidR="00623586" w:rsidRPr="0076589C" w:rsidRDefault="00623586" w:rsidP="00113876">
            <w:pPr>
              <w:spacing w:after="0"/>
              <w:jc w:val="center"/>
              <w:rPr>
                <w:rFonts w:asciiTheme="minorHAnsi" w:hAnsiTheme="minorHAnsi"/>
              </w:rPr>
            </w:pPr>
          </w:p>
        </w:tc>
        <w:tc>
          <w:tcPr>
            <w:tcW w:w="2055" w:type="pct"/>
            <w:tcBorders>
              <w:top w:val="single" w:sz="4" w:space="0" w:color="auto"/>
              <w:left w:val="nil"/>
              <w:bottom w:val="single" w:sz="4" w:space="0" w:color="auto"/>
              <w:right w:val="nil"/>
            </w:tcBorders>
            <w:tcMar>
              <w:top w:w="15" w:type="dxa"/>
              <w:left w:w="15" w:type="dxa"/>
              <w:right w:w="15" w:type="dxa"/>
            </w:tcMar>
            <w:vAlign w:val="center"/>
          </w:tcPr>
          <w:p w14:paraId="0B773333" w14:textId="77777777" w:rsidR="00623586" w:rsidRPr="0076589C" w:rsidRDefault="00623586" w:rsidP="00FB3CE4">
            <w:pPr>
              <w:jc w:val="center"/>
              <w:rPr>
                <w:rFonts w:asciiTheme="minorHAnsi" w:hAnsiTheme="minorHAnsi"/>
              </w:rPr>
            </w:pPr>
          </w:p>
        </w:tc>
        <w:tc>
          <w:tcPr>
            <w:tcW w:w="1081" w:type="pct"/>
            <w:tcBorders>
              <w:top w:val="nil"/>
              <w:left w:val="nil"/>
              <w:bottom w:val="nil"/>
              <w:right w:val="nil"/>
            </w:tcBorders>
            <w:tcMar>
              <w:top w:w="15" w:type="dxa"/>
              <w:left w:w="15" w:type="dxa"/>
              <w:right w:w="15" w:type="dxa"/>
            </w:tcMar>
            <w:vAlign w:val="center"/>
          </w:tcPr>
          <w:p w14:paraId="76F3D20A" w14:textId="77777777" w:rsidR="00623586" w:rsidRPr="0076589C" w:rsidRDefault="00623586" w:rsidP="00FB3CE4">
            <w:pPr>
              <w:jc w:val="center"/>
              <w:rPr>
                <w:rFonts w:asciiTheme="minorHAnsi" w:hAnsiTheme="minorHAnsi"/>
              </w:rPr>
            </w:pPr>
          </w:p>
        </w:tc>
      </w:tr>
      <w:tr w:rsidR="00623586" w:rsidRPr="0076589C" w14:paraId="0237B69F" w14:textId="77777777" w:rsidTr="00FB3CE4">
        <w:trPr>
          <w:trHeight w:val="248"/>
          <w:jc w:val="center"/>
        </w:trPr>
        <w:tc>
          <w:tcPr>
            <w:tcW w:w="1864"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281BD2A7"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b/>
                <w:bCs/>
                <w:color w:val="000000" w:themeColor="text1"/>
                <w:sz w:val="20"/>
                <w:szCs w:val="20"/>
              </w:rPr>
              <w:t xml:space="preserve">Límite de crédito otorgado </w:t>
            </w:r>
          </w:p>
        </w:tc>
        <w:tc>
          <w:tcPr>
            <w:tcW w:w="2055"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4E6D0B6A" w14:textId="77777777" w:rsidR="00623586" w:rsidRPr="0076589C" w:rsidRDefault="00623586" w:rsidP="00FB3CE4">
            <w:pPr>
              <w:spacing w:after="0"/>
              <w:jc w:val="center"/>
              <w:rPr>
                <w:rFonts w:asciiTheme="minorHAnsi" w:eastAsia="Arial" w:hAnsiTheme="minorHAnsi"/>
                <w:b/>
                <w:bCs/>
                <w:color w:val="000000" w:themeColor="text1"/>
                <w:sz w:val="20"/>
                <w:szCs w:val="20"/>
              </w:rPr>
            </w:pPr>
            <w:r w:rsidRPr="0076589C">
              <w:rPr>
                <w:rFonts w:asciiTheme="minorHAnsi" w:eastAsia="Arial" w:hAnsiTheme="minorHAnsi"/>
                <w:b/>
                <w:bCs/>
                <w:color w:val="000000" w:themeColor="text1"/>
                <w:sz w:val="20"/>
                <w:szCs w:val="20"/>
              </w:rPr>
              <w:t xml:space="preserve">-L                          520,000.00 </w:t>
            </w:r>
          </w:p>
        </w:tc>
        <w:tc>
          <w:tcPr>
            <w:tcW w:w="1081" w:type="pct"/>
            <w:tcBorders>
              <w:top w:val="nil"/>
              <w:left w:val="single" w:sz="4" w:space="0" w:color="auto"/>
              <w:bottom w:val="nil"/>
              <w:right w:val="nil"/>
            </w:tcBorders>
            <w:shd w:val="clear" w:color="auto" w:fill="FFFFFF" w:themeFill="background1"/>
            <w:tcMar>
              <w:top w:w="15" w:type="dxa"/>
              <w:left w:w="15" w:type="dxa"/>
              <w:right w:w="15" w:type="dxa"/>
            </w:tcMar>
            <w:vAlign w:val="center"/>
          </w:tcPr>
          <w:p w14:paraId="485BBB92"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 xml:space="preserve"> </w:t>
            </w:r>
          </w:p>
        </w:tc>
      </w:tr>
      <w:tr w:rsidR="00623586" w:rsidRPr="0076589C" w14:paraId="0401036B" w14:textId="77777777" w:rsidTr="00FB3CE4">
        <w:trPr>
          <w:trHeight w:val="248"/>
          <w:jc w:val="center"/>
        </w:trPr>
        <w:tc>
          <w:tcPr>
            <w:tcW w:w="1864" w:type="pct"/>
            <w:tcBorders>
              <w:top w:val="single" w:sz="4" w:space="0" w:color="auto"/>
              <w:left w:val="single" w:sz="4" w:space="0" w:color="auto"/>
              <w:bottom w:val="nil"/>
              <w:right w:val="nil"/>
            </w:tcBorders>
            <w:tcMar>
              <w:top w:w="15" w:type="dxa"/>
              <w:left w:w="15" w:type="dxa"/>
              <w:right w:w="15" w:type="dxa"/>
            </w:tcMar>
            <w:vAlign w:val="center"/>
          </w:tcPr>
          <w:p w14:paraId="2E65986D"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Saldo pendiente de cobro dic 2021</w:t>
            </w:r>
          </w:p>
        </w:tc>
        <w:tc>
          <w:tcPr>
            <w:tcW w:w="2055" w:type="pct"/>
            <w:tcBorders>
              <w:top w:val="single" w:sz="4" w:space="0" w:color="auto"/>
              <w:left w:val="nil"/>
              <w:bottom w:val="nil"/>
              <w:right w:val="single" w:sz="4" w:space="0" w:color="auto"/>
            </w:tcBorders>
            <w:shd w:val="clear" w:color="auto" w:fill="FFFFFF" w:themeFill="background1"/>
            <w:tcMar>
              <w:top w:w="15" w:type="dxa"/>
              <w:left w:w="15" w:type="dxa"/>
              <w:right w:w="15" w:type="dxa"/>
            </w:tcMar>
            <w:vAlign w:val="center"/>
          </w:tcPr>
          <w:p w14:paraId="0A955CF4"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 xml:space="preserve"> L                            64,312.97 </w:t>
            </w:r>
          </w:p>
        </w:tc>
        <w:tc>
          <w:tcPr>
            <w:tcW w:w="1081" w:type="pct"/>
            <w:tcBorders>
              <w:top w:val="nil"/>
              <w:left w:val="single" w:sz="4" w:space="0" w:color="auto"/>
              <w:bottom w:val="nil"/>
              <w:right w:val="nil"/>
            </w:tcBorders>
            <w:shd w:val="clear" w:color="auto" w:fill="FFFFFF" w:themeFill="background1"/>
            <w:tcMar>
              <w:top w:w="15" w:type="dxa"/>
              <w:left w:w="15" w:type="dxa"/>
              <w:right w:w="15" w:type="dxa"/>
            </w:tcMar>
            <w:vAlign w:val="center"/>
          </w:tcPr>
          <w:p w14:paraId="1F1BAE78"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 xml:space="preserve"> </w:t>
            </w:r>
          </w:p>
        </w:tc>
      </w:tr>
      <w:tr w:rsidR="00623586" w:rsidRPr="0076589C" w14:paraId="18EE48D7" w14:textId="77777777" w:rsidTr="00FB3CE4">
        <w:trPr>
          <w:trHeight w:val="248"/>
          <w:jc w:val="center"/>
        </w:trPr>
        <w:tc>
          <w:tcPr>
            <w:tcW w:w="1864" w:type="pct"/>
            <w:tcBorders>
              <w:top w:val="nil"/>
              <w:left w:val="single" w:sz="4" w:space="0" w:color="auto"/>
              <w:bottom w:val="nil"/>
              <w:right w:val="nil"/>
            </w:tcBorders>
            <w:tcMar>
              <w:top w:w="15" w:type="dxa"/>
              <w:left w:w="15" w:type="dxa"/>
              <w:right w:w="15" w:type="dxa"/>
            </w:tcMar>
            <w:vAlign w:val="center"/>
          </w:tcPr>
          <w:p w14:paraId="35ECE0D6"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Facturación enero 2022</w:t>
            </w:r>
          </w:p>
        </w:tc>
        <w:tc>
          <w:tcPr>
            <w:tcW w:w="2055"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5B7A37B9"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 xml:space="preserve"> L                                        -   </w:t>
            </w:r>
          </w:p>
        </w:tc>
        <w:tc>
          <w:tcPr>
            <w:tcW w:w="1081" w:type="pct"/>
            <w:tcBorders>
              <w:top w:val="nil"/>
              <w:left w:val="single" w:sz="4" w:space="0" w:color="auto"/>
              <w:bottom w:val="nil"/>
              <w:right w:val="nil"/>
            </w:tcBorders>
            <w:tcMar>
              <w:top w:w="15" w:type="dxa"/>
              <w:left w:w="15" w:type="dxa"/>
              <w:right w:w="15" w:type="dxa"/>
            </w:tcMar>
            <w:vAlign w:val="center"/>
          </w:tcPr>
          <w:p w14:paraId="7AB8A712" w14:textId="77777777" w:rsidR="00623586" w:rsidRPr="0076589C" w:rsidRDefault="00623586" w:rsidP="00FB3CE4">
            <w:pPr>
              <w:jc w:val="center"/>
              <w:rPr>
                <w:rFonts w:asciiTheme="minorHAnsi" w:hAnsiTheme="minorHAnsi"/>
              </w:rPr>
            </w:pPr>
          </w:p>
        </w:tc>
      </w:tr>
      <w:tr w:rsidR="00623586" w:rsidRPr="0076589C" w14:paraId="101B90DE" w14:textId="77777777" w:rsidTr="00FB3CE4">
        <w:trPr>
          <w:trHeight w:val="248"/>
          <w:jc w:val="center"/>
        </w:trPr>
        <w:tc>
          <w:tcPr>
            <w:tcW w:w="1864" w:type="pct"/>
            <w:tcBorders>
              <w:top w:val="nil"/>
              <w:left w:val="single" w:sz="4" w:space="0" w:color="auto"/>
              <w:bottom w:val="nil"/>
              <w:right w:val="nil"/>
            </w:tcBorders>
            <w:tcMar>
              <w:top w:w="15" w:type="dxa"/>
              <w:left w:w="15" w:type="dxa"/>
              <w:right w:w="15" w:type="dxa"/>
            </w:tcMar>
            <w:vAlign w:val="center"/>
          </w:tcPr>
          <w:p w14:paraId="086D17C8"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FF0000"/>
                <w:sz w:val="20"/>
                <w:szCs w:val="20"/>
              </w:rPr>
              <w:t>Pago</w:t>
            </w:r>
          </w:p>
        </w:tc>
        <w:tc>
          <w:tcPr>
            <w:tcW w:w="2055" w:type="pct"/>
            <w:tcBorders>
              <w:top w:val="nil"/>
              <w:left w:val="nil"/>
              <w:bottom w:val="nil"/>
              <w:right w:val="single" w:sz="4" w:space="0" w:color="auto"/>
            </w:tcBorders>
            <w:tcMar>
              <w:top w:w="15" w:type="dxa"/>
              <w:left w:w="15" w:type="dxa"/>
              <w:right w:w="15" w:type="dxa"/>
            </w:tcMar>
            <w:vAlign w:val="center"/>
          </w:tcPr>
          <w:p w14:paraId="5C36058F"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FF0000"/>
                <w:sz w:val="20"/>
                <w:szCs w:val="20"/>
              </w:rPr>
              <w:t xml:space="preserve"> L                                        -   </w:t>
            </w:r>
          </w:p>
        </w:tc>
        <w:tc>
          <w:tcPr>
            <w:tcW w:w="1081" w:type="pct"/>
            <w:tcBorders>
              <w:top w:val="nil"/>
              <w:left w:val="single" w:sz="4" w:space="0" w:color="auto"/>
              <w:bottom w:val="nil"/>
              <w:right w:val="nil"/>
            </w:tcBorders>
            <w:tcMar>
              <w:top w:w="15" w:type="dxa"/>
              <w:left w:w="15" w:type="dxa"/>
              <w:right w:w="15" w:type="dxa"/>
            </w:tcMar>
            <w:vAlign w:val="center"/>
          </w:tcPr>
          <w:p w14:paraId="1F8017BE" w14:textId="77777777" w:rsidR="00623586" w:rsidRPr="0076589C" w:rsidRDefault="00623586" w:rsidP="00FB3CE4">
            <w:pPr>
              <w:jc w:val="center"/>
              <w:rPr>
                <w:rFonts w:asciiTheme="minorHAnsi" w:hAnsiTheme="minorHAnsi"/>
              </w:rPr>
            </w:pPr>
          </w:p>
        </w:tc>
      </w:tr>
      <w:tr w:rsidR="00623586" w:rsidRPr="0076589C" w14:paraId="46DB9752" w14:textId="77777777" w:rsidTr="00FB3CE4">
        <w:trPr>
          <w:trHeight w:val="248"/>
          <w:jc w:val="center"/>
        </w:trPr>
        <w:tc>
          <w:tcPr>
            <w:tcW w:w="1864" w:type="pct"/>
            <w:tcBorders>
              <w:top w:val="nil"/>
              <w:left w:val="single" w:sz="4" w:space="0" w:color="auto"/>
              <w:bottom w:val="nil"/>
              <w:right w:val="nil"/>
            </w:tcBorders>
            <w:tcMar>
              <w:top w:w="15" w:type="dxa"/>
              <w:left w:w="15" w:type="dxa"/>
              <w:right w:w="15" w:type="dxa"/>
            </w:tcMar>
            <w:vAlign w:val="center"/>
          </w:tcPr>
          <w:p w14:paraId="0C915B02"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Facturación febrero 2022</w:t>
            </w:r>
          </w:p>
        </w:tc>
        <w:tc>
          <w:tcPr>
            <w:tcW w:w="2055" w:type="pct"/>
            <w:tcBorders>
              <w:top w:val="nil"/>
              <w:left w:val="nil"/>
              <w:bottom w:val="nil"/>
              <w:right w:val="single" w:sz="4" w:space="0" w:color="auto"/>
            </w:tcBorders>
            <w:tcMar>
              <w:top w:w="15" w:type="dxa"/>
              <w:left w:w="15" w:type="dxa"/>
              <w:right w:w="15" w:type="dxa"/>
            </w:tcMar>
            <w:vAlign w:val="center"/>
          </w:tcPr>
          <w:p w14:paraId="3F5D24B5"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 xml:space="preserve"> L                                        -   </w:t>
            </w:r>
          </w:p>
        </w:tc>
        <w:tc>
          <w:tcPr>
            <w:tcW w:w="1081" w:type="pct"/>
            <w:tcBorders>
              <w:top w:val="nil"/>
              <w:left w:val="single" w:sz="4" w:space="0" w:color="auto"/>
              <w:bottom w:val="nil"/>
              <w:right w:val="nil"/>
            </w:tcBorders>
            <w:tcMar>
              <w:top w:w="15" w:type="dxa"/>
              <w:left w:w="15" w:type="dxa"/>
              <w:right w:w="15" w:type="dxa"/>
            </w:tcMar>
            <w:vAlign w:val="center"/>
          </w:tcPr>
          <w:p w14:paraId="73560A71" w14:textId="77777777" w:rsidR="00623586" w:rsidRPr="0076589C" w:rsidRDefault="00623586" w:rsidP="00FB3CE4">
            <w:pPr>
              <w:jc w:val="center"/>
              <w:rPr>
                <w:rFonts w:asciiTheme="minorHAnsi" w:hAnsiTheme="minorHAnsi"/>
              </w:rPr>
            </w:pPr>
          </w:p>
        </w:tc>
      </w:tr>
      <w:tr w:rsidR="00623586" w:rsidRPr="0076589C" w14:paraId="4A90F065" w14:textId="77777777" w:rsidTr="00FB3CE4">
        <w:trPr>
          <w:trHeight w:val="248"/>
          <w:jc w:val="center"/>
        </w:trPr>
        <w:tc>
          <w:tcPr>
            <w:tcW w:w="1864" w:type="pct"/>
            <w:tcBorders>
              <w:top w:val="nil"/>
              <w:left w:val="single" w:sz="4" w:space="0" w:color="auto"/>
              <w:bottom w:val="nil"/>
              <w:right w:val="nil"/>
            </w:tcBorders>
            <w:tcMar>
              <w:top w:w="15" w:type="dxa"/>
              <w:left w:w="15" w:type="dxa"/>
              <w:right w:w="15" w:type="dxa"/>
            </w:tcMar>
            <w:vAlign w:val="center"/>
          </w:tcPr>
          <w:p w14:paraId="714911CF"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FF0000"/>
                <w:sz w:val="20"/>
                <w:szCs w:val="20"/>
              </w:rPr>
              <w:t>Pago</w:t>
            </w:r>
          </w:p>
        </w:tc>
        <w:tc>
          <w:tcPr>
            <w:tcW w:w="2055" w:type="pct"/>
            <w:tcBorders>
              <w:top w:val="nil"/>
              <w:left w:val="nil"/>
              <w:bottom w:val="nil"/>
              <w:right w:val="single" w:sz="4" w:space="0" w:color="auto"/>
            </w:tcBorders>
            <w:tcMar>
              <w:top w:w="15" w:type="dxa"/>
              <w:left w:w="15" w:type="dxa"/>
              <w:right w:w="15" w:type="dxa"/>
            </w:tcMar>
            <w:vAlign w:val="center"/>
          </w:tcPr>
          <w:p w14:paraId="1B3D170E"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FF0000"/>
                <w:sz w:val="20"/>
                <w:szCs w:val="20"/>
              </w:rPr>
              <w:t xml:space="preserve"> L                                        -   </w:t>
            </w:r>
          </w:p>
        </w:tc>
        <w:tc>
          <w:tcPr>
            <w:tcW w:w="1081" w:type="pct"/>
            <w:tcBorders>
              <w:top w:val="nil"/>
              <w:left w:val="single" w:sz="4" w:space="0" w:color="auto"/>
              <w:bottom w:val="nil"/>
              <w:right w:val="nil"/>
            </w:tcBorders>
            <w:tcMar>
              <w:top w:w="15" w:type="dxa"/>
              <w:left w:w="15" w:type="dxa"/>
              <w:right w:w="15" w:type="dxa"/>
            </w:tcMar>
            <w:vAlign w:val="center"/>
          </w:tcPr>
          <w:p w14:paraId="11AA3A72" w14:textId="77777777" w:rsidR="00623586" w:rsidRPr="0076589C" w:rsidRDefault="00623586" w:rsidP="00FB3CE4">
            <w:pPr>
              <w:jc w:val="center"/>
              <w:rPr>
                <w:rFonts w:asciiTheme="minorHAnsi" w:hAnsiTheme="minorHAnsi"/>
              </w:rPr>
            </w:pPr>
          </w:p>
        </w:tc>
      </w:tr>
      <w:tr w:rsidR="00623586" w:rsidRPr="0076589C" w14:paraId="657A31BD" w14:textId="77777777" w:rsidTr="00FB3CE4">
        <w:trPr>
          <w:trHeight w:val="248"/>
          <w:jc w:val="center"/>
        </w:trPr>
        <w:tc>
          <w:tcPr>
            <w:tcW w:w="1864" w:type="pct"/>
            <w:tcBorders>
              <w:top w:val="nil"/>
              <w:left w:val="single" w:sz="4" w:space="0" w:color="auto"/>
              <w:bottom w:val="nil"/>
              <w:right w:val="nil"/>
            </w:tcBorders>
            <w:tcMar>
              <w:top w:w="15" w:type="dxa"/>
              <w:left w:w="15" w:type="dxa"/>
              <w:right w:w="15" w:type="dxa"/>
            </w:tcMar>
            <w:vAlign w:val="center"/>
          </w:tcPr>
          <w:p w14:paraId="35632962"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Facturación marzo 2022</w:t>
            </w:r>
          </w:p>
        </w:tc>
        <w:tc>
          <w:tcPr>
            <w:tcW w:w="2055" w:type="pct"/>
            <w:tcBorders>
              <w:top w:val="nil"/>
              <w:left w:val="nil"/>
              <w:bottom w:val="nil"/>
              <w:right w:val="single" w:sz="4" w:space="0" w:color="auto"/>
            </w:tcBorders>
            <w:tcMar>
              <w:top w:w="15" w:type="dxa"/>
              <w:left w:w="15" w:type="dxa"/>
              <w:right w:w="15" w:type="dxa"/>
            </w:tcMar>
            <w:vAlign w:val="center"/>
          </w:tcPr>
          <w:p w14:paraId="38377483"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 xml:space="preserve"> L                          209,887.30 </w:t>
            </w:r>
          </w:p>
        </w:tc>
        <w:tc>
          <w:tcPr>
            <w:tcW w:w="1081" w:type="pct"/>
            <w:tcBorders>
              <w:top w:val="nil"/>
              <w:left w:val="single" w:sz="4" w:space="0" w:color="auto"/>
              <w:bottom w:val="nil"/>
              <w:right w:val="nil"/>
            </w:tcBorders>
            <w:tcMar>
              <w:top w:w="15" w:type="dxa"/>
              <w:left w:w="15" w:type="dxa"/>
              <w:right w:w="15" w:type="dxa"/>
            </w:tcMar>
            <w:vAlign w:val="center"/>
          </w:tcPr>
          <w:p w14:paraId="427D8C3F" w14:textId="77777777" w:rsidR="00623586" w:rsidRPr="0076589C" w:rsidRDefault="00623586" w:rsidP="00FB3CE4">
            <w:pPr>
              <w:jc w:val="center"/>
              <w:rPr>
                <w:rFonts w:asciiTheme="minorHAnsi" w:hAnsiTheme="minorHAnsi"/>
              </w:rPr>
            </w:pPr>
          </w:p>
        </w:tc>
      </w:tr>
      <w:tr w:rsidR="00623586" w:rsidRPr="0076589C" w14:paraId="113E6DCC" w14:textId="77777777" w:rsidTr="00FB3CE4">
        <w:trPr>
          <w:trHeight w:val="248"/>
          <w:jc w:val="center"/>
        </w:trPr>
        <w:tc>
          <w:tcPr>
            <w:tcW w:w="1864" w:type="pct"/>
            <w:tcBorders>
              <w:top w:val="nil"/>
              <w:left w:val="single" w:sz="4" w:space="0" w:color="auto"/>
              <w:bottom w:val="single" w:sz="4" w:space="0" w:color="auto"/>
              <w:right w:val="nil"/>
            </w:tcBorders>
            <w:tcMar>
              <w:top w:w="15" w:type="dxa"/>
              <w:left w:w="15" w:type="dxa"/>
              <w:right w:w="15" w:type="dxa"/>
            </w:tcMar>
            <w:vAlign w:val="center"/>
          </w:tcPr>
          <w:p w14:paraId="1BD30C3C"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FF0000"/>
                <w:sz w:val="20"/>
                <w:szCs w:val="20"/>
              </w:rPr>
              <w:t>Pago</w:t>
            </w:r>
          </w:p>
        </w:tc>
        <w:tc>
          <w:tcPr>
            <w:tcW w:w="2055" w:type="pct"/>
            <w:tcBorders>
              <w:top w:val="nil"/>
              <w:left w:val="nil"/>
              <w:bottom w:val="single" w:sz="4" w:space="0" w:color="auto"/>
              <w:right w:val="single" w:sz="4" w:space="0" w:color="auto"/>
            </w:tcBorders>
            <w:tcMar>
              <w:top w:w="15" w:type="dxa"/>
              <w:left w:w="15" w:type="dxa"/>
              <w:right w:w="15" w:type="dxa"/>
            </w:tcMar>
            <w:vAlign w:val="center"/>
          </w:tcPr>
          <w:p w14:paraId="0A8914D8"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FF0000"/>
                <w:sz w:val="20"/>
                <w:szCs w:val="20"/>
              </w:rPr>
              <w:t xml:space="preserve">-L                            64,312.97 </w:t>
            </w:r>
          </w:p>
        </w:tc>
        <w:tc>
          <w:tcPr>
            <w:tcW w:w="1081" w:type="pct"/>
            <w:tcBorders>
              <w:top w:val="nil"/>
              <w:left w:val="single" w:sz="4" w:space="0" w:color="auto"/>
              <w:bottom w:val="single" w:sz="4" w:space="0" w:color="auto"/>
              <w:right w:val="nil"/>
            </w:tcBorders>
            <w:tcMar>
              <w:top w:w="15" w:type="dxa"/>
              <w:left w:w="15" w:type="dxa"/>
              <w:right w:w="15" w:type="dxa"/>
            </w:tcMar>
            <w:vAlign w:val="center"/>
          </w:tcPr>
          <w:p w14:paraId="47F15B0A" w14:textId="77777777" w:rsidR="00623586" w:rsidRPr="0076589C" w:rsidRDefault="00623586" w:rsidP="00FB3CE4">
            <w:pPr>
              <w:jc w:val="center"/>
              <w:rPr>
                <w:rFonts w:asciiTheme="minorHAnsi" w:hAnsiTheme="minorHAnsi"/>
              </w:rPr>
            </w:pPr>
          </w:p>
        </w:tc>
      </w:tr>
      <w:tr w:rsidR="00623586" w:rsidRPr="0076589C" w14:paraId="4A8C03AE" w14:textId="77777777" w:rsidTr="00FB3CE4">
        <w:trPr>
          <w:trHeight w:val="248"/>
          <w:jc w:val="center"/>
        </w:trPr>
        <w:tc>
          <w:tcPr>
            <w:tcW w:w="1864"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2306D273" w14:textId="77777777" w:rsidR="00623586" w:rsidRPr="0076589C" w:rsidRDefault="00623586" w:rsidP="00FB3CE4">
            <w:pPr>
              <w:jc w:val="center"/>
              <w:rPr>
                <w:rFonts w:asciiTheme="minorHAnsi" w:hAnsiTheme="minorHAnsi"/>
              </w:rPr>
            </w:pPr>
          </w:p>
        </w:tc>
        <w:tc>
          <w:tcPr>
            <w:tcW w:w="2055"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57C4471D"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b/>
                <w:bCs/>
                <w:sz w:val="20"/>
                <w:szCs w:val="20"/>
              </w:rPr>
              <w:t xml:space="preserve">-L                          310,112.70 </w:t>
            </w:r>
          </w:p>
        </w:tc>
        <w:tc>
          <w:tcPr>
            <w:tcW w:w="1081"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1FE90C5D" w14:textId="77777777" w:rsidR="00623586" w:rsidRPr="0076589C" w:rsidRDefault="00623586" w:rsidP="00FB3CE4">
            <w:pPr>
              <w:spacing w:after="0"/>
              <w:ind w:left="0"/>
              <w:jc w:val="center"/>
              <w:rPr>
                <w:rFonts w:asciiTheme="minorHAnsi" w:hAnsiTheme="minorHAnsi"/>
                <w:b/>
                <w:bCs/>
              </w:rPr>
            </w:pPr>
            <w:r w:rsidRPr="0076589C">
              <w:rPr>
                <w:rFonts w:asciiTheme="minorHAnsi" w:eastAsia="Arial" w:hAnsiTheme="minorHAnsi"/>
                <w:b/>
                <w:bCs/>
                <w:sz w:val="20"/>
                <w:szCs w:val="20"/>
              </w:rPr>
              <w:t>Límite Disponible</w:t>
            </w:r>
          </w:p>
        </w:tc>
      </w:tr>
      <w:tr w:rsidR="00623586" w:rsidRPr="0076589C" w14:paraId="29454C2B" w14:textId="77777777" w:rsidTr="00FB3CE4">
        <w:trPr>
          <w:trHeight w:val="248"/>
          <w:jc w:val="center"/>
        </w:trPr>
        <w:tc>
          <w:tcPr>
            <w:tcW w:w="1864" w:type="pct"/>
            <w:tcBorders>
              <w:top w:val="single" w:sz="4" w:space="0" w:color="auto"/>
              <w:left w:val="single" w:sz="4" w:space="0" w:color="auto"/>
              <w:bottom w:val="nil"/>
              <w:right w:val="nil"/>
            </w:tcBorders>
            <w:tcMar>
              <w:top w:w="15" w:type="dxa"/>
              <w:left w:w="15" w:type="dxa"/>
              <w:right w:w="15" w:type="dxa"/>
            </w:tcMar>
            <w:vAlign w:val="center"/>
          </w:tcPr>
          <w:p w14:paraId="78761761"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Facturación abril 2022</w:t>
            </w:r>
          </w:p>
        </w:tc>
        <w:tc>
          <w:tcPr>
            <w:tcW w:w="2055" w:type="pct"/>
            <w:tcBorders>
              <w:top w:val="single" w:sz="4" w:space="0" w:color="auto"/>
              <w:left w:val="nil"/>
              <w:bottom w:val="nil"/>
              <w:right w:val="single" w:sz="4" w:space="0" w:color="auto"/>
            </w:tcBorders>
            <w:shd w:val="clear" w:color="auto" w:fill="FFFFFF" w:themeFill="background1"/>
            <w:tcMar>
              <w:top w:w="15" w:type="dxa"/>
              <w:left w:w="15" w:type="dxa"/>
              <w:right w:w="15" w:type="dxa"/>
            </w:tcMar>
            <w:vAlign w:val="center"/>
          </w:tcPr>
          <w:p w14:paraId="656BD707"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 xml:space="preserve"> L                                        -   </w:t>
            </w:r>
          </w:p>
        </w:tc>
        <w:tc>
          <w:tcPr>
            <w:tcW w:w="1081" w:type="pct"/>
            <w:tcBorders>
              <w:top w:val="single" w:sz="4" w:space="0" w:color="auto"/>
              <w:left w:val="single" w:sz="4" w:space="0" w:color="auto"/>
              <w:bottom w:val="nil"/>
              <w:right w:val="nil"/>
            </w:tcBorders>
            <w:tcMar>
              <w:top w:w="15" w:type="dxa"/>
              <w:left w:w="15" w:type="dxa"/>
              <w:right w:w="15" w:type="dxa"/>
            </w:tcMar>
            <w:vAlign w:val="center"/>
          </w:tcPr>
          <w:p w14:paraId="75250BDE" w14:textId="77777777" w:rsidR="00623586" w:rsidRPr="0076589C" w:rsidRDefault="00623586" w:rsidP="00FB3CE4">
            <w:pPr>
              <w:jc w:val="center"/>
              <w:rPr>
                <w:rFonts w:asciiTheme="minorHAnsi" w:hAnsiTheme="minorHAnsi"/>
              </w:rPr>
            </w:pPr>
          </w:p>
        </w:tc>
      </w:tr>
      <w:tr w:rsidR="00623586" w:rsidRPr="0076589C" w14:paraId="6EC36C09" w14:textId="77777777" w:rsidTr="00FB3CE4">
        <w:trPr>
          <w:trHeight w:val="248"/>
          <w:jc w:val="center"/>
        </w:trPr>
        <w:tc>
          <w:tcPr>
            <w:tcW w:w="1864" w:type="pct"/>
            <w:tcBorders>
              <w:top w:val="nil"/>
              <w:left w:val="single" w:sz="4" w:space="0" w:color="auto"/>
              <w:bottom w:val="nil"/>
              <w:right w:val="nil"/>
            </w:tcBorders>
            <w:tcMar>
              <w:top w:w="15" w:type="dxa"/>
              <w:left w:w="15" w:type="dxa"/>
              <w:right w:w="15" w:type="dxa"/>
            </w:tcMar>
            <w:vAlign w:val="center"/>
          </w:tcPr>
          <w:p w14:paraId="6287E5A9" w14:textId="77777777" w:rsidR="00623586" w:rsidRPr="0076589C" w:rsidRDefault="00623586" w:rsidP="00FB3CE4">
            <w:pPr>
              <w:jc w:val="center"/>
              <w:rPr>
                <w:rFonts w:asciiTheme="minorHAnsi" w:hAnsiTheme="minorHAnsi"/>
              </w:rPr>
            </w:pPr>
            <w:r w:rsidRPr="0076589C">
              <w:rPr>
                <w:rFonts w:asciiTheme="minorHAnsi" w:eastAsia="Arial" w:hAnsiTheme="minorHAnsi"/>
                <w:color w:val="FF0000"/>
                <w:sz w:val="20"/>
                <w:szCs w:val="20"/>
              </w:rPr>
              <w:t>Pago</w:t>
            </w:r>
          </w:p>
        </w:tc>
        <w:tc>
          <w:tcPr>
            <w:tcW w:w="2055" w:type="pct"/>
            <w:tcBorders>
              <w:top w:val="nil"/>
              <w:left w:val="nil"/>
              <w:bottom w:val="nil"/>
              <w:right w:val="single" w:sz="4" w:space="0" w:color="auto"/>
            </w:tcBorders>
            <w:tcMar>
              <w:top w:w="15" w:type="dxa"/>
              <w:left w:w="15" w:type="dxa"/>
              <w:right w:w="15" w:type="dxa"/>
            </w:tcMar>
            <w:vAlign w:val="center"/>
          </w:tcPr>
          <w:p w14:paraId="12826EA5"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FF0000"/>
                <w:sz w:val="20"/>
                <w:szCs w:val="20"/>
              </w:rPr>
              <w:t xml:space="preserve"> L                                        -   </w:t>
            </w:r>
          </w:p>
        </w:tc>
        <w:tc>
          <w:tcPr>
            <w:tcW w:w="1081" w:type="pct"/>
            <w:tcBorders>
              <w:top w:val="nil"/>
              <w:left w:val="single" w:sz="4" w:space="0" w:color="auto"/>
              <w:bottom w:val="nil"/>
              <w:right w:val="nil"/>
            </w:tcBorders>
            <w:tcMar>
              <w:top w:w="15" w:type="dxa"/>
              <w:left w:w="15" w:type="dxa"/>
              <w:right w:w="15" w:type="dxa"/>
            </w:tcMar>
            <w:vAlign w:val="center"/>
          </w:tcPr>
          <w:p w14:paraId="30DB7926" w14:textId="77777777" w:rsidR="00623586" w:rsidRPr="0076589C" w:rsidRDefault="00623586" w:rsidP="00FB3CE4">
            <w:pPr>
              <w:jc w:val="center"/>
              <w:rPr>
                <w:rFonts w:asciiTheme="minorHAnsi" w:hAnsiTheme="minorHAnsi"/>
              </w:rPr>
            </w:pPr>
          </w:p>
        </w:tc>
      </w:tr>
      <w:tr w:rsidR="00623586" w:rsidRPr="0076589C" w14:paraId="6551C7D2" w14:textId="77777777" w:rsidTr="00113876">
        <w:trPr>
          <w:trHeight w:val="248"/>
          <w:jc w:val="center"/>
        </w:trPr>
        <w:tc>
          <w:tcPr>
            <w:tcW w:w="1864" w:type="pct"/>
            <w:tcBorders>
              <w:top w:val="nil"/>
              <w:left w:val="single" w:sz="4" w:space="0" w:color="auto"/>
              <w:right w:val="nil"/>
            </w:tcBorders>
            <w:tcMar>
              <w:top w:w="15" w:type="dxa"/>
              <w:left w:w="15" w:type="dxa"/>
              <w:right w:w="15" w:type="dxa"/>
            </w:tcMar>
            <w:vAlign w:val="center"/>
          </w:tcPr>
          <w:p w14:paraId="5A148F2D"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Facturación mayo 2022</w:t>
            </w:r>
          </w:p>
        </w:tc>
        <w:tc>
          <w:tcPr>
            <w:tcW w:w="2055" w:type="pct"/>
            <w:tcBorders>
              <w:top w:val="nil"/>
              <w:left w:val="nil"/>
              <w:right w:val="single" w:sz="4" w:space="0" w:color="auto"/>
            </w:tcBorders>
            <w:shd w:val="clear" w:color="auto" w:fill="FFFFFF" w:themeFill="background1"/>
            <w:tcMar>
              <w:top w:w="15" w:type="dxa"/>
              <w:left w:w="15" w:type="dxa"/>
              <w:right w:w="15" w:type="dxa"/>
            </w:tcMar>
            <w:vAlign w:val="center"/>
          </w:tcPr>
          <w:p w14:paraId="61C59F91"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 xml:space="preserve"> L                          143,044.23 </w:t>
            </w:r>
          </w:p>
        </w:tc>
        <w:tc>
          <w:tcPr>
            <w:tcW w:w="1081" w:type="pct"/>
            <w:tcBorders>
              <w:top w:val="nil"/>
              <w:left w:val="single" w:sz="4" w:space="0" w:color="auto"/>
              <w:bottom w:val="nil"/>
              <w:right w:val="nil"/>
            </w:tcBorders>
            <w:tcMar>
              <w:top w:w="15" w:type="dxa"/>
              <w:left w:w="15" w:type="dxa"/>
              <w:right w:w="15" w:type="dxa"/>
            </w:tcMar>
            <w:vAlign w:val="center"/>
          </w:tcPr>
          <w:p w14:paraId="75875EEE" w14:textId="77777777" w:rsidR="00623586" w:rsidRPr="0076589C" w:rsidRDefault="00623586" w:rsidP="00FB3CE4">
            <w:pPr>
              <w:jc w:val="center"/>
              <w:rPr>
                <w:rFonts w:asciiTheme="minorHAnsi" w:hAnsiTheme="minorHAnsi"/>
              </w:rPr>
            </w:pPr>
          </w:p>
        </w:tc>
      </w:tr>
      <w:tr w:rsidR="00623586" w:rsidRPr="0076589C" w14:paraId="127D1A3A" w14:textId="77777777" w:rsidTr="00113876">
        <w:trPr>
          <w:trHeight w:val="248"/>
          <w:jc w:val="center"/>
        </w:trPr>
        <w:tc>
          <w:tcPr>
            <w:tcW w:w="1864" w:type="pct"/>
            <w:tcBorders>
              <w:top w:val="nil"/>
              <w:left w:val="single" w:sz="4" w:space="0" w:color="auto"/>
              <w:bottom w:val="single" w:sz="4" w:space="0" w:color="auto"/>
              <w:right w:val="nil"/>
            </w:tcBorders>
            <w:tcMar>
              <w:top w:w="15" w:type="dxa"/>
              <w:left w:w="15" w:type="dxa"/>
              <w:right w:w="15" w:type="dxa"/>
            </w:tcMar>
            <w:vAlign w:val="center"/>
          </w:tcPr>
          <w:p w14:paraId="0D6BAAC5" w14:textId="77777777" w:rsidR="00623586" w:rsidRPr="0076589C" w:rsidRDefault="00623586" w:rsidP="00FB3CE4">
            <w:pPr>
              <w:jc w:val="center"/>
              <w:rPr>
                <w:rFonts w:asciiTheme="minorHAnsi" w:hAnsiTheme="minorHAnsi"/>
              </w:rPr>
            </w:pPr>
            <w:r w:rsidRPr="0076589C">
              <w:rPr>
                <w:rFonts w:asciiTheme="minorHAnsi" w:eastAsia="Arial" w:hAnsiTheme="minorHAnsi"/>
                <w:color w:val="FF0000"/>
                <w:sz w:val="20"/>
                <w:szCs w:val="20"/>
              </w:rPr>
              <w:t>Pago</w:t>
            </w:r>
          </w:p>
        </w:tc>
        <w:tc>
          <w:tcPr>
            <w:tcW w:w="2055" w:type="pct"/>
            <w:tcBorders>
              <w:top w:val="nil"/>
              <w:left w:val="nil"/>
              <w:bottom w:val="single" w:sz="4" w:space="0" w:color="auto"/>
              <w:right w:val="single" w:sz="4" w:space="0" w:color="auto"/>
            </w:tcBorders>
            <w:tcMar>
              <w:top w:w="15" w:type="dxa"/>
              <w:left w:w="15" w:type="dxa"/>
              <w:right w:w="15" w:type="dxa"/>
            </w:tcMar>
            <w:vAlign w:val="center"/>
          </w:tcPr>
          <w:p w14:paraId="7682F51F"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FF0000"/>
                <w:sz w:val="20"/>
                <w:szCs w:val="20"/>
              </w:rPr>
              <w:t xml:space="preserve"> L                                        -   </w:t>
            </w:r>
          </w:p>
        </w:tc>
        <w:tc>
          <w:tcPr>
            <w:tcW w:w="1081" w:type="pct"/>
            <w:tcBorders>
              <w:top w:val="nil"/>
              <w:left w:val="single" w:sz="4" w:space="0" w:color="auto"/>
              <w:bottom w:val="nil"/>
              <w:right w:val="nil"/>
            </w:tcBorders>
            <w:tcMar>
              <w:top w:w="15" w:type="dxa"/>
              <w:left w:w="15" w:type="dxa"/>
              <w:right w:w="15" w:type="dxa"/>
            </w:tcMar>
            <w:vAlign w:val="center"/>
          </w:tcPr>
          <w:p w14:paraId="190290E3" w14:textId="77777777" w:rsidR="00623586" w:rsidRPr="0076589C" w:rsidRDefault="00623586" w:rsidP="00FB3CE4">
            <w:pPr>
              <w:jc w:val="center"/>
              <w:rPr>
                <w:rFonts w:asciiTheme="minorHAnsi" w:hAnsiTheme="minorHAnsi"/>
              </w:rPr>
            </w:pPr>
          </w:p>
        </w:tc>
      </w:tr>
      <w:tr w:rsidR="00623586" w:rsidRPr="0076589C" w14:paraId="6687077C" w14:textId="77777777" w:rsidTr="00113876">
        <w:trPr>
          <w:trHeight w:val="248"/>
          <w:jc w:val="center"/>
        </w:trPr>
        <w:tc>
          <w:tcPr>
            <w:tcW w:w="1864" w:type="pct"/>
            <w:tcBorders>
              <w:top w:val="single" w:sz="4" w:space="0" w:color="auto"/>
              <w:left w:val="single" w:sz="4" w:space="0" w:color="auto"/>
              <w:bottom w:val="nil"/>
              <w:right w:val="nil"/>
            </w:tcBorders>
            <w:tcMar>
              <w:top w:w="15" w:type="dxa"/>
              <w:left w:w="15" w:type="dxa"/>
              <w:right w:w="15" w:type="dxa"/>
            </w:tcMar>
            <w:vAlign w:val="center"/>
          </w:tcPr>
          <w:p w14:paraId="6463DAAA"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lastRenderedPageBreak/>
              <w:t>Facturación junio 2022</w:t>
            </w:r>
          </w:p>
        </w:tc>
        <w:tc>
          <w:tcPr>
            <w:tcW w:w="2055" w:type="pct"/>
            <w:tcBorders>
              <w:top w:val="single" w:sz="4" w:space="0" w:color="auto"/>
              <w:left w:val="nil"/>
              <w:bottom w:val="nil"/>
              <w:right w:val="single" w:sz="4" w:space="0" w:color="auto"/>
            </w:tcBorders>
            <w:shd w:val="clear" w:color="auto" w:fill="FFFFFF" w:themeFill="background1"/>
            <w:tcMar>
              <w:top w:w="15" w:type="dxa"/>
              <w:left w:w="15" w:type="dxa"/>
              <w:right w:w="15" w:type="dxa"/>
            </w:tcMar>
            <w:vAlign w:val="center"/>
          </w:tcPr>
          <w:p w14:paraId="65C8A36B"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 xml:space="preserve">-L                              3,161.18 </w:t>
            </w:r>
          </w:p>
        </w:tc>
        <w:tc>
          <w:tcPr>
            <w:tcW w:w="1081" w:type="pct"/>
            <w:tcBorders>
              <w:top w:val="nil"/>
              <w:left w:val="single" w:sz="4" w:space="0" w:color="auto"/>
              <w:bottom w:val="nil"/>
              <w:right w:val="nil"/>
            </w:tcBorders>
            <w:tcMar>
              <w:top w:w="15" w:type="dxa"/>
              <w:left w:w="15" w:type="dxa"/>
              <w:right w:w="15" w:type="dxa"/>
            </w:tcMar>
            <w:vAlign w:val="center"/>
          </w:tcPr>
          <w:p w14:paraId="5D321CC8" w14:textId="77777777" w:rsidR="00623586" w:rsidRPr="0076589C" w:rsidRDefault="00623586" w:rsidP="00FB3CE4">
            <w:pPr>
              <w:jc w:val="center"/>
              <w:rPr>
                <w:rFonts w:asciiTheme="minorHAnsi" w:hAnsiTheme="minorHAnsi"/>
              </w:rPr>
            </w:pPr>
          </w:p>
        </w:tc>
      </w:tr>
      <w:tr w:rsidR="00623586" w:rsidRPr="0076589C" w14:paraId="37B421A9" w14:textId="77777777" w:rsidTr="00FB3CE4">
        <w:trPr>
          <w:trHeight w:val="263"/>
          <w:jc w:val="center"/>
        </w:trPr>
        <w:tc>
          <w:tcPr>
            <w:tcW w:w="1864" w:type="pct"/>
            <w:tcBorders>
              <w:top w:val="nil"/>
              <w:left w:val="single" w:sz="4" w:space="0" w:color="auto"/>
              <w:bottom w:val="single" w:sz="4" w:space="0" w:color="auto"/>
              <w:right w:val="nil"/>
            </w:tcBorders>
            <w:tcMar>
              <w:top w:w="15" w:type="dxa"/>
              <w:left w:w="15" w:type="dxa"/>
              <w:right w:w="15" w:type="dxa"/>
            </w:tcMar>
            <w:vAlign w:val="center"/>
          </w:tcPr>
          <w:p w14:paraId="6537104A"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FF0000"/>
                <w:sz w:val="20"/>
                <w:szCs w:val="20"/>
              </w:rPr>
              <w:t>Pago</w:t>
            </w:r>
          </w:p>
        </w:tc>
        <w:tc>
          <w:tcPr>
            <w:tcW w:w="2055" w:type="pct"/>
            <w:tcBorders>
              <w:top w:val="nil"/>
              <w:left w:val="nil"/>
              <w:bottom w:val="single" w:sz="4" w:space="0" w:color="auto"/>
              <w:right w:val="single" w:sz="4" w:space="0" w:color="auto"/>
            </w:tcBorders>
            <w:tcMar>
              <w:top w:w="15" w:type="dxa"/>
              <w:left w:w="15" w:type="dxa"/>
              <w:right w:w="15" w:type="dxa"/>
            </w:tcMar>
            <w:vAlign w:val="center"/>
          </w:tcPr>
          <w:p w14:paraId="0C78C479"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FF0000"/>
                <w:sz w:val="20"/>
                <w:szCs w:val="20"/>
              </w:rPr>
              <w:t xml:space="preserve">-L                          209,887.30 </w:t>
            </w:r>
          </w:p>
        </w:tc>
        <w:tc>
          <w:tcPr>
            <w:tcW w:w="1081" w:type="pct"/>
            <w:tcBorders>
              <w:top w:val="nil"/>
              <w:left w:val="single" w:sz="4" w:space="0" w:color="auto"/>
              <w:bottom w:val="single" w:sz="4" w:space="0" w:color="auto"/>
              <w:right w:val="nil"/>
            </w:tcBorders>
            <w:tcMar>
              <w:top w:w="15" w:type="dxa"/>
              <w:left w:w="15" w:type="dxa"/>
              <w:right w:w="15" w:type="dxa"/>
            </w:tcMar>
            <w:vAlign w:val="center"/>
          </w:tcPr>
          <w:p w14:paraId="1016046A" w14:textId="77777777" w:rsidR="00623586" w:rsidRPr="0076589C" w:rsidRDefault="00623586" w:rsidP="00FB3CE4">
            <w:pPr>
              <w:jc w:val="center"/>
              <w:rPr>
                <w:rFonts w:asciiTheme="minorHAnsi" w:hAnsiTheme="minorHAnsi"/>
              </w:rPr>
            </w:pPr>
          </w:p>
        </w:tc>
      </w:tr>
      <w:tr w:rsidR="00623586" w:rsidRPr="0076589C" w14:paraId="165EB20A" w14:textId="77777777" w:rsidTr="00FB3CE4">
        <w:trPr>
          <w:trHeight w:val="248"/>
          <w:jc w:val="center"/>
        </w:trPr>
        <w:tc>
          <w:tcPr>
            <w:tcW w:w="1864"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147C315B" w14:textId="77777777" w:rsidR="00623586" w:rsidRPr="0076589C" w:rsidRDefault="00623586" w:rsidP="00FB3CE4">
            <w:pPr>
              <w:jc w:val="center"/>
              <w:rPr>
                <w:rFonts w:asciiTheme="minorHAnsi" w:hAnsiTheme="minorHAnsi"/>
              </w:rPr>
            </w:pPr>
          </w:p>
        </w:tc>
        <w:tc>
          <w:tcPr>
            <w:tcW w:w="2055"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7B7E252E"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b/>
                <w:bCs/>
                <w:color w:val="000000" w:themeColor="text1"/>
                <w:sz w:val="20"/>
                <w:szCs w:val="20"/>
              </w:rPr>
              <w:t xml:space="preserve">-L                          380,116.95 </w:t>
            </w:r>
          </w:p>
        </w:tc>
        <w:tc>
          <w:tcPr>
            <w:tcW w:w="1081"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31654D99" w14:textId="77777777" w:rsidR="00623586" w:rsidRPr="0076589C" w:rsidRDefault="00623586" w:rsidP="00FB3CE4">
            <w:pPr>
              <w:spacing w:after="0"/>
              <w:ind w:left="0"/>
              <w:jc w:val="center"/>
              <w:rPr>
                <w:rFonts w:asciiTheme="minorHAnsi" w:hAnsiTheme="minorHAnsi"/>
                <w:b/>
                <w:bCs/>
              </w:rPr>
            </w:pPr>
            <w:r w:rsidRPr="0076589C">
              <w:rPr>
                <w:rFonts w:asciiTheme="minorHAnsi" w:eastAsia="Arial" w:hAnsiTheme="minorHAnsi"/>
                <w:b/>
                <w:bCs/>
                <w:sz w:val="20"/>
                <w:szCs w:val="20"/>
              </w:rPr>
              <w:t>Límite Disponible</w:t>
            </w:r>
          </w:p>
        </w:tc>
      </w:tr>
      <w:tr w:rsidR="00623586" w:rsidRPr="0076589C" w14:paraId="6DF95405" w14:textId="77777777" w:rsidTr="00FB3CE4">
        <w:trPr>
          <w:trHeight w:val="248"/>
          <w:jc w:val="center"/>
        </w:trPr>
        <w:tc>
          <w:tcPr>
            <w:tcW w:w="1864" w:type="pct"/>
            <w:tcBorders>
              <w:top w:val="single" w:sz="4" w:space="0" w:color="auto"/>
              <w:left w:val="single" w:sz="4" w:space="0" w:color="auto"/>
              <w:bottom w:val="nil"/>
              <w:right w:val="nil"/>
            </w:tcBorders>
            <w:tcMar>
              <w:top w:w="15" w:type="dxa"/>
              <w:left w:w="15" w:type="dxa"/>
              <w:right w:w="15" w:type="dxa"/>
            </w:tcMar>
            <w:vAlign w:val="center"/>
          </w:tcPr>
          <w:p w14:paraId="49E0D9BD"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Facturación Julio 2022</w:t>
            </w:r>
          </w:p>
        </w:tc>
        <w:tc>
          <w:tcPr>
            <w:tcW w:w="2055" w:type="pct"/>
            <w:tcBorders>
              <w:top w:val="single" w:sz="4" w:space="0" w:color="auto"/>
              <w:left w:val="nil"/>
              <w:bottom w:val="nil"/>
              <w:right w:val="single" w:sz="4" w:space="0" w:color="auto"/>
            </w:tcBorders>
            <w:tcMar>
              <w:top w:w="15" w:type="dxa"/>
              <w:left w:w="15" w:type="dxa"/>
              <w:right w:w="15" w:type="dxa"/>
            </w:tcMar>
            <w:vAlign w:val="center"/>
          </w:tcPr>
          <w:p w14:paraId="520DF2AA"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 xml:space="preserve"> L                                        -   </w:t>
            </w:r>
          </w:p>
        </w:tc>
        <w:tc>
          <w:tcPr>
            <w:tcW w:w="1081" w:type="pct"/>
            <w:tcBorders>
              <w:top w:val="single" w:sz="4" w:space="0" w:color="auto"/>
              <w:left w:val="single" w:sz="4" w:space="0" w:color="auto"/>
              <w:bottom w:val="nil"/>
              <w:right w:val="nil"/>
            </w:tcBorders>
            <w:tcMar>
              <w:top w:w="15" w:type="dxa"/>
              <w:left w:w="15" w:type="dxa"/>
              <w:right w:w="15" w:type="dxa"/>
            </w:tcMar>
            <w:vAlign w:val="center"/>
          </w:tcPr>
          <w:p w14:paraId="7C2336C6" w14:textId="77777777" w:rsidR="00623586" w:rsidRPr="0076589C" w:rsidRDefault="00623586" w:rsidP="00FB3CE4">
            <w:pPr>
              <w:jc w:val="center"/>
              <w:rPr>
                <w:rFonts w:asciiTheme="minorHAnsi" w:hAnsiTheme="minorHAnsi"/>
              </w:rPr>
            </w:pPr>
          </w:p>
        </w:tc>
      </w:tr>
      <w:tr w:rsidR="00623586" w:rsidRPr="0076589C" w14:paraId="176F4942" w14:textId="77777777" w:rsidTr="00FB3CE4">
        <w:trPr>
          <w:trHeight w:val="248"/>
          <w:jc w:val="center"/>
        </w:trPr>
        <w:tc>
          <w:tcPr>
            <w:tcW w:w="1864" w:type="pct"/>
            <w:tcBorders>
              <w:top w:val="nil"/>
              <w:left w:val="single" w:sz="4" w:space="0" w:color="auto"/>
              <w:bottom w:val="nil"/>
              <w:right w:val="nil"/>
            </w:tcBorders>
            <w:tcMar>
              <w:top w:w="15" w:type="dxa"/>
              <w:left w:w="15" w:type="dxa"/>
              <w:right w:w="15" w:type="dxa"/>
            </w:tcMar>
            <w:vAlign w:val="center"/>
          </w:tcPr>
          <w:p w14:paraId="11193B08"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FF0000"/>
                <w:sz w:val="20"/>
                <w:szCs w:val="20"/>
              </w:rPr>
              <w:t>Pago</w:t>
            </w:r>
          </w:p>
        </w:tc>
        <w:tc>
          <w:tcPr>
            <w:tcW w:w="2055" w:type="pct"/>
            <w:tcBorders>
              <w:top w:val="nil"/>
              <w:left w:val="nil"/>
              <w:bottom w:val="nil"/>
              <w:right w:val="single" w:sz="4" w:space="0" w:color="auto"/>
            </w:tcBorders>
            <w:tcMar>
              <w:top w:w="15" w:type="dxa"/>
              <w:left w:w="15" w:type="dxa"/>
              <w:right w:w="15" w:type="dxa"/>
            </w:tcMar>
            <w:vAlign w:val="center"/>
          </w:tcPr>
          <w:p w14:paraId="0FFA5516"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FF0000"/>
                <w:sz w:val="20"/>
                <w:szCs w:val="20"/>
              </w:rPr>
              <w:t xml:space="preserve">-L                          139,883.05 </w:t>
            </w:r>
          </w:p>
        </w:tc>
        <w:tc>
          <w:tcPr>
            <w:tcW w:w="1081" w:type="pct"/>
            <w:tcBorders>
              <w:top w:val="nil"/>
              <w:left w:val="single" w:sz="4" w:space="0" w:color="auto"/>
              <w:bottom w:val="nil"/>
              <w:right w:val="nil"/>
            </w:tcBorders>
            <w:tcMar>
              <w:top w:w="15" w:type="dxa"/>
              <w:left w:w="15" w:type="dxa"/>
              <w:right w:w="15" w:type="dxa"/>
            </w:tcMar>
            <w:vAlign w:val="center"/>
          </w:tcPr>
          <w:p w14:paraId="119EE2CB" w14:textId="77777777" w:rsidR="00623586" w:rsidRPr="0076589C" w:rsidRDefault="00623586" w:rsidP="00FB3CE4">
            <w:pPr>
              <w:jc w:val="center"/>
              <w:rPr>
                <w:rFonts w:asciiTheme="minorHAnsi" w:hAnsiTheme="minorHAnsi"/>
              </w:rPr>
            </w:pPr>
          </w:p>
        </w:tc>
      </w:tr>
      <w:tr w:rsidR="00623586" w:rsidRPr="0076589C" w14:paraId="283BFE33" w14:textId="77777777" w:rsidTr="00FB3CE4">
        <w:trPr>
          <w:trHeight w:val="248"/>
          <w:jc w:val="center"/>
        </w:trPr>
        <w:tc>
          <w:tcPr>
            <w:tcW w:w="1864" w:type="pct"/>
            <w:tcBorders>
              <w:top w:val="nil"/>
              <w:left w:val="single" w:sz="4" w:space="0" w:color="auto"/>
              <w:bottom w:val="nil"/>
              <w:right w:val="nil"/>
            </w:tcBorders>
            <w:tcMar>
              <w:top w:w="15" w:type="dxa"/>
              <w:left w:w="15" w:type="dxa"/>
              <w:right w:w="15" w:type="dxa"/>
            </w:tcMar>
            <w:vAlign w:val="center"/>
          </w:tcPr>
          <w:p w14:paraId="235A35B5"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Facturación agosto 2022</w:t>
            </w:r>
          </w:p>
        </w:tc>
        <w:tc>
          <w:tcPr>
            <w:tcW w:w="2055" w:type="pct"/>
            <w:tcBorders>
              <w:top w:val="nil"/>
              <w:left w:val="nil"/>
              <w:bottom w:val="nil"/>
              <w:right w:val="single" w:sz="4" w:space="0" w:color="auto"/>
            </w:tcBorders>
            <w:tcMar>
              <w:top w:w="15" w:type="dxa"/>
              <w:left w:w="15" w:type="dxa"/>
              <w:right w:w="15" w:type="dxa"/>
            </w:tcMar>
            <w:vAlign w:val="center"/>
          </w:tcPr>
          <w:p w14:paraId="56CB143B"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 xml:space="preserve"> L                          112,212.41 </w:t>
            </w:r>
          </w:p>
        </w:tc>
        <w:tc>
          <w:tcPr>
            <w:tcW w:w="1081" w:type="pct"/>
            <w:tcBorders>
              <w:top w:val="nil"/>
              <w:left w:val="single" w:sz="4" w:space="0" w:color="auto"/>
              <w:bottom w:val="nil"/>
              <w:right w:val="nil"/>
            </w:tcBorders>
            <w:tcMar>
              <w:top w:w="15" w:type="dxa"/>
              <w:left w:w="15" w:type="dxa"/>
              <w:right w:w="15" w:type="dxa"/>
            </w:tcMar>
            <w:vAlign w:val="center"/>
          </w:tcPr>
          <w:p w14:paraId="47D3ED1B" w14:textId="77777777" w:rsidR="00623586" w:rsidRPr="0076589C" w:rsidRDefault="00623586" w:rsidP="00FB3CE4">
            <w:pPr>
              <w:jc w:val="center"/>
              <w:rPr>
                <w:rFonts w:asciiTheme="minorHAnsi" w:hAnsiTheme="minorHAnsi"/>
              </w:rPr>
            </w:pPr>
          </w:p>
        </w:tc>
      </w:tr>
      <w:tr w:rsidR="00623586" w:rsidRPr="0076589C" w14:paraId="2CBEF202" w14:textId="77777777" w:rsidTr="00FB3CE4">
        <w:trPr>
          <w:trHeight w:val="248"/>
          <w:jc w:val="center"/>
        </w:trPr>
        <w:tc>
          <w:tcPr>
            <w:tcW w:w="1864" w:type="pct"/>
            <w:tcBorders>
              <w:top w:val="nil"/>
              <w:left w:val="single" w:sz="4" w:space="0" w:color="auto"/>
              <w:bottom w:val="nil"/>
              <w:right w:val="nil"/>
            </w:tcBorders>
            <w:tcMar>
              <w:top w:w="15" w:type="dxa"/>
              <w:left w:w="15" w:type="dxa"/>
              <w:right w:w="15" w:type="dxa"/>
            </w:tcMar>
            <w:vAlign w:val="center"/>
          </w:tcPr>
          <w:p w14:paraId="2093B8C1" w14:textId="77777777" w:rsidR="00623586" w:rsidRPr="0076589C" w:rsidRDefault="00623586" w:rsidP="00FB3CE4">
            <w:pPr>
              <w:jc w:val="center"/>
              <w:rPr>
                <w:rFonts w:asciiTheme="minorHAnsi" w:hAnsiTheme="minorHAnsi"/>
              </w:rPr>
            </w:pPr>
            <w:r w:rsidRPr="0076589C">
              <w:rPr>
                <w:rFonts w:asciiTheme="minorHAnsi" w:eastAsia="Arial" w:hAnsiTheme="minorHAnsi"/>
                <w:color w:val="FF0000"/>
                <w:sz w:val="20"/>
                <w:szCs w:val="20"/>
              </w:rPr>
              <w:t>Pago</w:t>
            </w:r>
          </w:p>
        </w:tc>
        <w:tc>
          <w:tcPr>
            <w:tcW w:w="2055" w:type="pct"/>
            <w:tcBorders>
              <w:top w:val="nil"/>
              <w:left w:val="nil"/>
              <w:bottom w:val="nil"/>
              <w:right w:val="single" w:sz="4" w:space="0" w:color="auto"/>
            </w:tcBorders>
            <w:tcMar>
              <w:top w:w="15" w:type="dxa"/>
              <w:left w:w="15" w:type="dxa"/>
              <w:right w:w="15" w:type="dxa"/>
            </w:tcMar>
            <w:vAlign w:val="center"/>
          </w:tcPr>
          <w:p w14:paraId="5E238FDD"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FF0000"/>
                <w:sz w:val="20"/>
                <w:szCs w:val="20"/>
              </w:rPr>
              <w:t xml:space="preserve"> L                                        -   </w:t>
            </w:r>
          </w:p>
        </w:tc>
        <w:tc>
          <w:tcPr>
            <w:tcW w:w="1081" w:type="pct"/>
            <w:tcBorders>
              <w:top w:val="nil"/>
              <w:left w:val="single" w:sz="4" w:space="0" w:color="auto"/>
              <w:bottom w:val="nil"/>
              <w:right w:val="nil"/>
            </w:tcBorders>
            <w:tcMar>
              <w:top w:w="15" w:type="dxa"/>
              <w:left w:w="15" w:type="dxa"/>
              <w:right w:w="15" w:type="dxa"/>
            </w:tcMar>
            <w:vAlign w:val="center"/>
          </w:tcPr>
          <w:p w14:paraId="155303A1" w14:textId="77777777" w:rsidR="00623586" w:rsidRPr="0076589C" w:rsidRDefault="00623586" w:rsidP="00FB3CE4">
            <w:pPr>
              <w:jc w:val="center"/>
              <w:rPr>
                <w:rFonts w:asciiTheme="minorHAnsi" w:hAnsiTheme="minorHAnsi"/>
              </w:rPr>
            </w:pPr>
          </w:p>
        </w:tc>
      </w:tr>
      <w:tr w:rsidR="00623586" w:rsidRPr="0076589C" w14:paraId="6A2A9809" w14:textId="77777777" w:rsidTr="00FB3CE4">
        <w:trPr>
          <w:trHeight w:val="248"/>
          <w:jc w:val="center"/>
        </w:trPr>
        <w:tc>
          <w:tcPr>
            <w:tcW w:w="1864" w:type="pct"/>
            <w:tcBorders>
              <w:top w:val="nil"/>
              <w:left w:val="single" w:sz="4" w:space="0" w:color="auto"/>
              <w:bottom w:val="nil"/>
              <w:right w:val="nil"/>
            </w:tcBorders>
            <w:tcMar>
              <w:top w:w="15" w:type="dxa"/>
              <w:left w:w="15" w:type="dxa"/>
              <w:right w:w="15" w:type="dxa"/>
            </w:tcMar>
            <w:vAlign w:val="center"/>
          </w:tcPr>
          <w:p w14:paraId="34570B3F"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Facturación septiembre 2022</w:t>
            </w:r>
          </w:p>
        </w:tc>
        <w:tc>
          <w:tcPr>
            <w:tcW w:w="2055" w:type="pct"/>
            <w:tcBorders>
              <w:top w:val="nil"/>
              <w:left w:val="nil"/>
              <w:bottom w:val="nil"/>
              <w:right w:val="single" w:sz="4" w:space="0" w:color="auto"/>
            </w:tcBorders>
            <w:tcMar>
              <w:top w:w="15" w:type="dxa"/>
              <w:left w:w="15" w:type="dxa"/>
              <w:right w:w="15" w:type="dxa"/>
            </w:tcMar>
            <w:vAlign w:val="center"/>
          </w:tcPr>
          <w:p w14:paraId="0A574589"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 xml:space="preserve"> L                                        -   </w:t>
            </w:r>
          </w:p>
        </w:tc>
        <w:tc>
          <w:tcPr>
            <w:tcW w:w="1081" w:type="pct"/>
            <w:tcBorders>
              <w:top w:val="nil"/>
              <w:left w:val="single" w:sz="4" w:space="0" w:color="auto"/>
              <w:bottom w:val="nil"/>
              <w:right w:val="nil"/>
            </w:tcBorders>
            <w:tcMar>
              <w:top w:w="15" w:type="dxa"/>
              <w:left w:w="15" w:type="dxa"/>
              <w:right w:w="15" w:type="dxa"/>
            </w:tcMar>
            <w:vAlign w:val="center"/>
          </w:tcPr>
          <w:p w14:paraId="51133D7C" w14:textId="77777777" w:rsidR="00623586" w:rsidRPr="0076589C" w:rsidRDefault="00623586" w:rsidP="00FB3CE4">
            <w:pPr>
              <w:jc w:val="center"/>
              <w:rPr>
                <w:rFonts w:asciiTheme="minorHAnsi" w:hAnsiTheme="minorHAnsi"/>
              </w:rPr>
            </w:pPr>
          </w:p>
        </w:tc>
      </w:tr>
      <w:tr w:rsidR="00623586" w:rsidRPr="0076589C" w14:paraId="335B32A2" w14:textId="77777777" w:rsidTr="00FB3CE4">
        <w:trPr>
          <w:trHeight w:val="248"/>
          <w:jc w:val="center"/>
        </w:trPr>
        <w:tc>
          <w:tcPr>
            <w:tcW w:w="1864" w:type="pct"/>
            <w:tcBorders>
              <w:top w:val="nil"/>
              <w:left w:val="single" w:sz="4" w:space="0" w:color="auto"/>
              <w:bottom w:val="single" w:sz="4" w:space="0" w:color="auto"/>
              <w:right w:val="nil"/>
            </w:tcBorders>
            <w:tcMar>
              <w:top w:w="15" w:type="dxa"/>
              <w:left w:w="15" w:type="dxa"/>
              <w:right w:w="15" w:type="dxa"/>
            </w:tcMar>
            <w:vAlign w:val="center"/>
          </w:tcPr>
          <w:p w14:paraId="7F1770E0" w14:textId="77777777" w:rsidR="00623586" w:rsidRPr="0076589C" w:rsidRDefault="00623586" w:rsidP="00FB3CE4">
            <w:pPr>
              <w:jc w:val="center"/>
              <w:rPr>
                <w:rFonts w:asciiTheme="minorHAnsi" w:hAnsiTheme="minorHAnsi"/>
              </w:rPr>
            </w:pPr>
            <w:r w:rsidRPr="0076589C">
              <w:rPr>
                <w:rFonts w:asciiTheme="minorHAnsi" w:eastAsia="Arial" w:hAnsiTheme="minorHAnsi"/>
                <w:color w:val="FF0000"/>
                <w:sz w:val="20"/>
                <w:szCs w:val="20"/>
              </w:rPr>
              <w:t>Pago</w:t>
            </w:r>
          </w:p>
        </w:tc>
        <w:tc>
          <w:tcPr>
            <w:tcW w:w="2055" w:type="pct"/>
            <w:tcBorders>
              <w:top w:val="nil"/>
              <w:left w:val="nil"/>
              <w:bottom w:val="single" w:sz="4" w:space="0" w:color="auto"/>
              <w:right w:val="single" w:sz="4" w:space="0" w:color="auto"/>
            </w:tcBorders>
            <w:tcMar>
              <w:top w:w="15" w:type="dxa"/>
              <w:left w:w="15" w:type="dxa"/>
              <w:right w:w="15" w:type="dxa"/>
            </w:tcMar>
            <w:vAlign w:val="center"/>
          </w:tcPr>
          <w:p w14:paraId="415238E3"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FF0000"/>
                <w:sz w:val="20"/>
                <w:szCs w:val="20"/>
              </w:rPr>
              <w:t xml:space="preserve"> L                                        -   </w:t>
            </w:r>
          </w:p>
        </w:tc>
        <w:tc>
          <w:tcPr>
            <w:tcW w:w="1081" w:type="pct"/>
            <w:tcBorders>
              <w:top w:val="nil"/>
              <w:left w:val="single" w:sz="4" w:space="0" w:color="auto"/>
              <w:bottom w:val="single" w:sz="4" w:space="0" w:color="auto"/>
              <w:right w:val="nil"/>
            </w:tcBorders>
            <w:tcMar>
              <w:top w:w="15" w:type="dxa"/>
              <w:left w:w="15" w:type="dxa"/>
              <w:right w:w="15" w:type="dxa"/>
            </w:tcMar>
            <w:vAlign w:val="center"/>
          </w:tcPr>
          <w:p w14:paraId="0A5D2B85" w14:textId="77777777" w:rsidR="00623586" w:rsidRPr="0076589C" w:rsidRDefault="00623586" w:rsidP="00FB3CE4">
            <w:pPr>
              <w:jc w:val="center"/>
              <w:rPr>
                <w:rFonts w:asciiTheme="minorHAnsi" w:hAnsiTheme="minorHAnsi"/>
              </w:rPr>
            </w:pPr>
          </w:p>
        </w:tc>
      </w:tr>
      <w:tr w:rsidR="00623586" w:rsidRPr="0076589C" w14:paraId="6706E0C3" w14:textId="77777777" w:rsidTr="00FB3CE4">
        <w:trPr>
          <w:trHeight w:val="248"/>
          <w:jc w:val="center"/>
        </w:trPr>
        <w:tc>
          <w:tcPr>
            <w:tcW w:w="1864"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4CB235DC" w14:textId="77777777" w:rsidR="00623586" w:rsidRPr="0076589C" w:rsidRDefault="00623586" w:rsidP="00FB3CE4">
            <w:pPr>
              <w:jc w:val="center"/>
              <w:rPr>
                <w:rFonts w:asciiTheme="minorHAnsi" w:hAnsiTheme="minorHAnsi"/>
              </w:rPr>
            </w:pPr>
          </w:p>
        </w:tc>
        <w:tc>
          <w:tcPr>
            <w:tcW w:w="2055"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6BC91DEC"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b/>
                <w:bCs/>
                <w:sz w:val="20"/>
                <w:szCs w:val="20"/>
              </w:rPr>
              <w:t xml:space="preserve">-L                          407,787.59 </w:t>
            </w:r>
          </w:p>
        </w:tc>
        <w:tc>
          <w:tcPr>
            <w:tcW w:w="1081"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1D8DE13F" w14:textId="77777777" w:rsidR="00623586" w:rsidRPr="0076589C" w:rsidRDefault="00623586" w:rsidP="00FB3CE4">
            <w:pPr>
              <w:spacing w:after="0"/>
              <w:ind w:left="0"/>
              <w:jc w:val="center"/>
              <w:rPr>
                <w:rFonts w:asciiTheme="minorHAnsi" w:hAnsiTheme="minorHAnsi"/>
                <w:b/>
                <w:bCs/>
              </w:rPr>
            </w:pPr>
            <w:r w:rsidRPr="0076589C">
              <w:rPr>
                <w:rFonts w:asciiTheme="minorHAnsi" w:eastAsia="Arial" w:hAnsiTheme="minorHAnsi"/>
                <w:b/>
                <w:bCs/>
                <w:sz w:val="20"/>
                <w:szCs w:val="20"/>
              </w:rPr>
              <w:t>Límite Disponible</w:t>
            </w:r>
          </w:p>
        </w:tc>
      </w:tr>
      <w:tr w:rsidR="00623586" w:rsidRPr="0076589C" w14:paraId="5EB7FBAC" w14:textId="77777777" w:rsidTr="00FB3CE4">
        <w:trPr>
          <w:trHeight w:val="248"/>
          <w:jc w:val="center"/>
        </w:trPr>
        <w:tc>
          <w:tcPr>
            <w:tcW w:w="1864" w:type="pct"/>
            <w:tcBorders>
              <w:top w:val="single" w:sz="4" w:space="0" w:color="auto"/>
              <w:left w:val="single" w:sz="4" w:space="0" w:color="auto"/>
              <w:bottom w:val="nil"/>
              <w:right w:val="nil"/>
            </w:tcBorders>
            <w:tcMar>
              <w:top w:w="15" w:type="dxa"/>
              <w:left w:w="15" w:type="dxa"/>
              <w:right w:w="15" w:type="dxa"/>
            </w:tcMar>
            <w:vAlign w:val="center"/>
          </w:tcPr>
          <w:p w14:paraId="0DE97F7F"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Facturación octubre 2022</w:t>
            </w:r>
          </w:p>
        </w:tc>
        <w:tc>
          <w:tcPr>
            <w:tcW w:w="2055" w:type="pct"/>
            <w:tcBorders>
              <w:top w:val="single" w:sz="4" w:space="0" w:color="auto"/>
              <w:left w:val="nil"/>
              <w:bottom w:val="nil"/>
              <w:right w:val="single" w:sz="4" w:space="0" w:color="auto"/>
            </w:tcBorders>
            <w:tcMar>
              <w:top w:w="15" w:type="dxa"/>
              <w:left w:w="15" w:type="dxa"/>
              <w:right w:w="15" w:type="dxa"/>
            </w:tcMar>
            <w:vAlign w:val="center"/>
          </w:tcPr>
          <w:p w14:paraId="51CCD8C4"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 xml:space="preserve"> L                          342,905.92 </w:t>
            </w:r>
          </w:p>
        </w:tc>
        <w:tc>
          <w:tcPr>
            <w:tcW w:w="1081" w:type="pct"/>
            <w:tcBorders>
              <w:top w:val="single" w:sz="4" w:space="0" w:color="auto"/>
              <w:left w:val="single" w:sz="4" w:space="0" w:color="auto"/>
              <w:bottom w:val="nil"/>
              <w:right w:val="nil"/>
            </w:tcBorders>
            <w:tcMar>
              <w:top w:w="15" w:type="dxa"/>
              <w:left w:w="15" w:type="dxa"/>
              <w:right w:w="15" w:type="dxa"/>
            </w:tcMar>
            <w:vAlign w:val="center"/>
          </w:tcPr>
          <w:p w14:paraId="3AA4C8CC" w14:textId="77777777" w:rsidR="00623586" w:rsidRPr="0076589C" w:rsidRDefault="00623586" w:rsidP="00FB3CE4">
            <w:pPr>
              <w:jc w:val="center"/>
              <w:rPr>
                <w:rFonts w:asciiTheme="minorHAnsi" w:hAnsiTheme="minorHAnsi"/>
              </w:rPr>
            </w:pPr>
          </w:p>
        </w:tc>
      </w:tr>
      <w:tr w:rsidR="00623586" w:rsidRPr="0076589C" w14:paraId="60F2C987" w14:textId="77777777" w:rsidTr="00FB3CE4">
        <w:trPr>
          <w:trHeight w:val="248"/>
          <w:jc w:val="center"/>
        </w:trPr>
        <w:tc>
          <w:tcPr>
            <w:tcW w:w="1864" w:type="pct"/>
            <w:tcBorders>
              <w:top w:val="nil"/>
              <w:left w:val="single" w:sz="4" w:space="0" w:color="auto"/>
              <w:bottom w:val="nil"/>
              <w:right w:val="nil"/>
            </w:tcBorders>
            <w:tcMar>
              <w:top w:w="15" w:type="dxa"/>
              <w:left w:w="15" w:type="dxa"/>
              <w:right w:w="15" w:type="dxa"/>
            </w:tcMar>
            <w:vAlign w:val="center"/>
          </w:tcPr>
          <w:p w14:paraId="533ECCDA"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FF0000"/>
                <w:sz w:val="20"/>
                <w:szCs w:val="20"/>
              </w:rPr>
              <w:t>Pago</w:t>
            </w:r>
          </w:p>
        </w:tc>
        <w:tc>
          <w:tcPr>
            <w:tcW w:w="2055" w:type="pct"/>
            <w:tcBorders>
              <w:top w:val="nil"/>
              <w:left w:val="nil"/>
              <w:bottom w:val="nil"/>
              <w:right w:val="single" w:sz="4" w:space="0" w:color="auto"/>
            </w:tcBorders>
            <w:tcMar>
              <w:top w:w="15" w:type="dxa"/>
              <w:left w:w="15" w:type="dxa"/>
              <w:right w:w="15" w:type="dxa"/>
            </w:tcMar>
            <w:vAlign w:val="center"/>
          </w:tcPr>
          <w:p w14:paraId="2B459918"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FF0000"/>
                <w:sz w:val="20"/>
                <w:szCs w:val="20"/>
              </w:rPr>
              <w:t xml:space="preserve">-L                          112,212.41 </w:t>
            </w:r>
          </w:p>
        </w:tc>
        <w:tc>
          <w:tcPr>
            <w:tcW w:w="1081" w:type="pct"/>
            <w:tcBorders>
              <w:top w:val="nil"/>
              <w:left w:val="single" w:sz="4" w:space="0" w:color="auto"/>
              <w:bottom w:val="nil"/>
              <w:right w:val="nil"/>
            </w:tcBorders>
            <w:tcMar>
              <w:top w:w="15" w:type="dxa"/>
              <w:left w:w="15" w:type="dxa"/>
              <w:right w:w="15" w:type="dxa"/>
            </w:tcMar>
            <w:vAlign w:val="center"/>
          </w:tcPr>
          <w:p w14:paraId="280EF5A7" w14:textId="77777777" w:rsidR="00623586" w:rsidRPr="0076589C" w:rsidRDefault="00623586" w:rsidP="00FB3CE4">
            <w:pPr>
              <w:jc w:val="center"/>
              <w:rPr>
                <w:rFonts w:asciiTheme="minorHAnsi" w:hAnsiTheme="minorHAnsi"/>
              </w:rPr>
            </w:pPr>
          </w:p>
        </w:tc>
      </w:tr>
      <w:tr w:rsidR="00623586" w:rsidRPr="0076589C" w14:paraId="578C81C0" w14:textId="77777777" w:rsidTr="00FB3CE4">
        <w:trPr>
          <w:trHeight w:val="248"/>
          <w:jc w:val="center"/>
        </w:trPr>
        <w:tc>
          <w:tcPr>
            <w:tcW w:w="1864" w:type="pct"/>
            <w:tcBorders>
              <w:top w:val="nil"/>
              <w:left w:val="single" w:sz="4" w:space="0" w:color="auto"/>
              <w:bottom w:val="nil"/>
              <w:right w:val="nil"/>
            </w:tcBorders>
            <w:tcMar>
              <w:top w:w="15" w:type="dxa"/>
              <w:left w:w="15" w:type="dxa"/>
              <w:right w:w="15" w:type="dxa"/>
            </w:tcMar>
            <w:vAlign w:val="center"/>
          </w:tcPr>
          <w:p w14:paraId="5D2A3348"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Facturación noviembre 2022</w:t>
            </w:r>
          </w:p>
        </w:tc>
        <w:tc>
          <w:tcPr>
            <w:tcW w:w="2055"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36FE38EF"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 xml:space="preserve"> L                                        -   </w:t>
            </w:r>
          </w:p>
        </w:tc>
        <w:tc>
          <w:tcPr>
            <w:tcW w:w="1081" w:type="pct"/>
            <w:tcBorders>
              <w:top w:val="nil"/>
              <w:left w:val="single" w:sz="4" w:space="0" w:color="auto"/>
              <w:bottom w:val="nil"/>
              <w:right w:val="nil"/>
            </w:tcBorders>
            <w:tcMar>
              <w:top w:w="15" w:type="dxa"/>
              <w:left w:w="15" w:type="dxa"/>
              <w:right w:w="15" w:type="dxa"/>
            </w:tcMar>
            <w:vAlign w:val="center"/>
          </w:tcPr>
          <w:p w14:paraId="51DAF241" w14:textId="77777777" w:rsidR="00623586" w:rsidRPr="0076589C" w:rsidRDefault="00623586" w:rsidP="00FB3CE4">
            <w:pPr>
              <w:jc w:val="center"/>
              <w:rPr>
                <w:rFonts w:asciiTheme="minorHAnsi" w:hAnsiTheme="minorHAnsi"/>
              </w:rPr>
            </w:pPr>
          </w:p>
        </w:tc>
      </w:tr>
      <w:tr w:rsidR="00623586" w:rsidRPr="0076589C" w14:paraId="052307E1" w14:textId="77777777" w:rsidTr="00FB3CE4">
        <w:trPr>
          <w:trHeight w:val="248"/>
          <w:jc w:val="center"/>
        </w:trPr>
        <w:tc>
          <w:tcPr>
            <w:tcW w:w="1864" w:type="pct"/>
            <w:tcBorders>
              <w:top w:val="nil"/>
              <w:left w:val="single" w:sz="4" w:space="0" w:color="auto"/>
              <w:bottom w:val="nil"/>
              <w:right w:val="nil"/>
            </w:tcBorders>
            <w:tcMar>
              <w:top w:w="15" w:type="dxa"/>
              <w:left w:w="15" w:type="dxa"/>
              <w:right w:w="15" w:type="dxa"/>
            </w:tcMar>
            <w:vAlign w:val="center"/>
          </w:tcPr>
          <w:p w14:paraId="445A904C" w14:textId="77777777" w:rsidR="00623586" w:rsidRPr="0076589C" w:rsidRDefault="00623586" w:rsidP="00FB3CE4">
            <w:pPr>
              <w:jc w:val="center"/>
              <w:rPr>
                <w:rFonts w:asciiTheme="minorHAnsi" w:hAnsiTheme="minorHAnsi"/>
              </w:rPr>
            </w:pPr>
            <w:r w:rsidRPr="0076589C">
              <w:rPr>
                <w:rFonts w:asciiTheme="minorHAnsi" w:eastAsia="Arial" w:hAnsiTheme="minorHAnsi"/>
                <w:color w:val="FF0000"/>
                <w:sz w:val="20"/>
                <w:szCs w:val="20"/>
              </w:rPr>
              <w:t>Pago</w:t>
            </w:r>
          </w:p>
        </w:tc>
        <w:tc>
          <w:tcPr>
            <w:tcW w:w="2055" w:type="pct"/>
            <w:tcBorders>
              <w:top w:val="nil"/>
              <w:left w:val="nil"/>
              <w:bottom w:val="nil"/>
              <w:right w:val="single" w:sz="4" w:space="0" w:color="auto"/>
            </w:tcBorders>
            <w:tcMar>
              <w:top w:w="15" w:type="dxa"/>
              <w:left w:w="15" w:type="dxa"/>
              <w:right w:w="15" w:type="dxa"/>
            </w:tcMar>
            <w:vAlign w:val="center"/>
          </w:tcPr>
          <w:p w14:paraId="615E7C83"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FF0000"/>
                <w:sz w:val="20"/>
                <w:szCs w:val="20"/>
              </w:rPr>
              <w:t xml:space="preserve"> L                                        -   </w:t>
            </w:r>
          </w:p>
        </w:tc>
        <w:tc>
          <w:tcPr>
            <w:tcW w:w="1081" w:type="pct"/>
            <w:tcBorders>
              <w:top w:val="nil"/>
              <w:left w:val="single" w:sz="4" w:space="0" w:color="auto"/>
              <w:bottom w:val="nil"/>
              <w:right w:val="nil"/>
            </w:tcBorders>
            <w:tcMar>
              <w:top w:w="15" w:type="dxa"/>
              <w:left w:w="15" w:type="dxa"/>
              <w:right w:w="15" w:type="dxa"/>
            </w:tcMar>
            <w:vAlign w:val="center"/>
          </w:tcPr>
          <w:p w14:paraId="00DBA3AE" w14:textId="77777777" w:rsidR="00623586" w:rsidRPr="0076589C" w:rsidRDefault="00623586" w:rsidP="00FB3CE4">
            <w:pPr>
              <w:jc w:val="center"/>
              <w:rPr>
                <w:rFonts w:asciiTheme="minorHAnsi" w:hAnsiTheme="minorHAnsi"/>
              </w:rPr>
            </w:pPr>
          </w:p>
        </w:tc>
      </w:tr>
      <w:tr w:rsidR="00623586" w:rsidRPr="0076589C" w14:paraId="11BD333B" w14:textId="77777777" w:rsidTr="00FB3CE4">
        <w:trPr>
          <w:trHeight w:val="248"/>
          <w:jc w:val="center"/>
        </w:trPr>
        <w:tc>
          <w:tcPr>
            <w:tcW w:w="1864" w:type="pct"/>
            <w:tcBorders>
              <w:top w:val="nil"/>
              <w:left w:val="single" w:sz="4" w:space="0" w:color="auto"/>
              <w:bottom w:val="nil"/>
              <w:right w:val="nil"/>
            </w:tcBorders>
            <w:tcMar>
              <w:top w:w="15" w:type="dxa"/>
              <w:left w:w="15" w:type="dxa"/>
              <w:right w:w="15" w:type="dxa"/>
            </w:tcMar>
            <w:vAlign w:val="center"/>
          </w:tcPr>
          <w:p w14:paraId="2BF20906"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Facturación diciembre 2022</w:t>
            </w:r>
          </w:p>
        </w:tc>
        <w:tc>
          <w:tcPr>
            <w:tcW w:w="2055" w:type="pct"/>
            <w:tcBorders>
              <w:top w:val="nil"/>
              <w:left w:val="nil"/>
              <w:bottom w:val="nil"/>
              <w:right w:val="single" w:sz="4" w:space="0" w:color="auto"/>
            </w:tcBorders>
            <w:shd w:val="clear" w:color="auto" w:fill="FFFFFF" w:themeFill="background1"/>
            <w:tcMar>
              <w:top w:w="15" w:type="dxa"/>
              <w:left w:w="15" w:type="dxa"/>
              <w:right w:w="15" w:type="dxa"/>
            </w:tcMar>
            <w:vAlign w:val="center"/>
          </w:tcPr>
          <w:p w14:paraId="7F50F8AF"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 xml:space="preserve"> L                                        -   </w:t>
            </w:r>
          </w:p>
        </w:tc>
        <w:tc>
          <w:tcPr>
            <w:tcW w:w="1081" w:type="pct"/>
            <w:tcBorders>
              <w:top w:val="nil"/>
              <w:left w:val="single" w:sz="4" w:space="0" w:color="auto"/>
              <w:bottom w:val="nil"/>
              <w:right w:val="nil"/>
            </w:tcBorders>
            <w:tcMar>
              <w:top w:w="15" w:type="dxa"/>
              <w:left w:w="15" w:type="dxa"/>
              <w:right w:w="15" w:type="dxa"/>
            </w:tcMar>
            <w:vAlign w:val="center"/>
          </w:tcPr>
          <w:p w14:paraId="606159C1" w14:textId="77777777" w:rsidR="00623586" w:rsidRPr="0076589C" w:rsidRDefault="00623586" w:rsidP="00FB3CE4">
            <w:pPr>
              <w:jc w:val="center"/>
              <w:rPr>
                <w:rFonts w:asciiTheme="minorHAnsi" w:hAnsiTheme="minorHAnsi"/>
              </w:rPr>
            </w:pPr>
          </w:p>
        </w:tc>
      </w:tr>
      <w:tr w:rsidR="00623586" w:rsidRPr="0076589C" w14:paraId="4DA00F74" w14:textId="77777777" w:rsidTr="00FB3CE4">
        <w:trPr>
          <w:trHeight w:val="263"/>
          <w:jc w:val="center"/>
        </w:trPr>
        <w:tc>
          <w:tcPr>
            <w:tcW w:w="1864" w:type="pct"/>
            <w:tcBorders>
              <w:top w:val="nil"/>
              <w:left w:val="single" w:sz="4" w:space="0" w:color="auto"/>
              <w:bottom w:val="single" w:sz="4" w:space="0" w:color="auto"/>
              <w:right w:val="nil"/>
            </w:tcBorders>
            <w:tcMar>
              <w:top w:w="15" w:type="dxa"/>
              <w:left w:w="15" w:type="dxa"/>
              <w:right w:w="15" w:type="dxa"/>
            </w:tcMar>
            <w:vAlign w:val="center"/>
          </w:tcPr>
          <w:p w14:paraId="22632A6A" w14:textId="77777777" w:rsidR="00623586" w:rsidRPr="0076589C" w:rsidRDefault="00623586" w:rsidP="00FB3CE4">
            <w:pPr>
              <w:jc w:val="center"/>
              <w:rPr>
                <w:rFonts w:asciiTheme="minorHAnsi" w:hAnsiTheme="minorHAnsi"/>
              </w:rPr>
            </w:pPr>
            <w:r w:rsidRPr="0076589C">
              <w:rPr>
                <w:rFonts w:asciiTheme="minorHAnsi" w:eastAsia="Arial" w:hAnsiTheme="minorHAnsi"/>
                <w:color w:val="FF0000"/>
                <w:sz w:val="20"/>
                <w:szCs w:val="20"/>
              </w:rPr>
              <w:t>Pago</w:t>
            </w:r>
          </w:p>
        </w:tc>
        <w:tc>
          <w:tcPr>
            <w:tcW w:w="2055" w:type="pct"/>
            <w:tcBorders>
              <w:top w:val="nil"/>
              <w:left w:val="nil"/>
              <w:bottom w:val="single" w:sz="4" w:space="0" w:color="auto"/>
              <w:right w:val="single" w:sz="4" w:space="0" w:color="auto"/>
            </w:tcBorders>
            <w:tcMar>
              <w:top w:w="15" w:type="dxa"/>
              <w:left w:w="15" w:type="dxa"/>
              <w:right w:w="15" w:type="dxa"/>
            </w:tcMar>
            <w:vAlign w:val="center"/>
          </w:tcPr>
          <w:p w14:paraId="515EDF07"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FF0000"/>
                <w:sz w:val="20"/>
                <w:szCs w:val="20"/>
              </w:rPr>
              <w:t xml:space="preserve"> L                                        -   </w:t>
            </w:r>
          </w:p>
        </w:tc>
        <w:tc>
          <w:tcPr>
            <w:tcW w:w="1081" w:type="pct"/>
            <w:tcBorders>
              <w:top w:val="nil"/>
              <w:left w:val="single" w:sz="4" w:space="0" w:color="auto"/>
              <w:bottom w:val="single" w:sz="4" w:space="0" w:color="auto"/>
              <w:right w:val="nil"/>
            </w:tcBorders>
            <w:tcMar>
              <w:top w:w="15" w:type="dxa"/>
              <w:left w:w="15" w:type="dxa"/>
              <w:right w:w="15" w:type="dxa"/>
            </w:tcMar>
            <w:vAlign w:val="center"/>
          </w:tcPr>
          <w:p w14:paraId="3F9EE410" w14:textId="77777777" w:rsidR="00623586" w:rsidRPr="0076589C" w:rsidRDefault="00623586" w:rsidP="00FB3CE4">
            <w:pPr>
              <w:jc w:val="center"/>
              <w:rPr>
                <w:rFonts w:asciiTheme="minorHAnsi" w:hAnsiTheme="minorHAnsi"/>
              </w:rPr>
            </w:pPr>
          </w:p>
        </w:tc>
      </w:tr>
      <w:tr w:rsidR="00623586" w:rsidRPr="0076589C" w14:paraId="352027DA" w14:textId="77777777" w:rsidTr="00FB3CE4">
        <w:trPr>
          <w:trHeight w:val="48"/>
          <w:jc w:val="center"/>
        </w:trPr>
        <w:tc>
          <w:tcPr>
            <w:tcW w:w="1864" w:type="pct"/>
            <w:tcBorders>
              <w:top w:val="single" w:sz="4" w:space="0" w:color="auto"/>
              <w:left w:val="single" w:sz="4" w:space="0" w:color="auto"/>
              <w:bottom w:val="single" w:sz="4" w:space="0" w:color="auto"/>
              <w:right w:val="nil"/>
            </w:tcBorders>
            <w:tcMar>
              <w:top w:w="15" w:type="dxa"/>
              <w:left w:w="15" w:type="dxa"/>
              <w:right w:w="15" w:type="dxa"/>
            </w:tcMar>
            <w:vAlign w:val="center"/>
          </w:tcPr>
          <w:p w14:paraId="107DC696" w14:textId="77777777" w:rsidR="00623586" w:rsidRPr="0076589C" w:rsidRDefault="00623586" w:rsidP="00FB3CE4">
            <w:pPr>
              <w:jc w:val="center"/>
              <w:rPr>
                <w:rFonts w:asciiTheme="minorHAnsi" w:hAnsiTheme="minorHAnsi"/>
              </w:rPr>
            </w:pPr>
          </w:p>
          <w:p w14:paraId="44381C1E" w14:textId="77777777" w:rsidR="00623586" w:rsidRPr="0076589C" w:rsidRDefault="00623586" w:rsidP="00FB3CE4">
            <w:pPr>
              <w:jc w:val="center"/>
              <w:rPr>
                <w:rFonts w:asciiTheme="minorHAnsi" w:hAnsiTheme="minorHAnsi"/>
              </w:rPr>
            </w:pPr>
          </w:p>
        </w:tc>
        <w:tc>
          <w:tcPr>
            <w:tcW w:w="2055" w:type="pct"/>
            <w:tcBorders>
              <w:top w:val="single" w:sz="4" w:space="0" w:color="auto"/>
              <w:left w:val="nil"/>
              <w:bottom w:val="single" w:sz="4" w:space="0" w:color="auto"/>
              <w:right w:val="single" w:sz="4" w:space="0" w:color="auto"/>
            </w:tcBorders>
            <w:tcMar>
              <w:top w:w="15" w:type="dxa"/>
              <w:left w:w="15" w:type="dxa"/>
              <w:right w:w="15" w:type="dxa"/>
            </w:tcMar>
            <w:vAlign w:val="center"/>
          </w:tcPr>
          <w:p w14:paraId="379B8A82"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b/>
                <w:bCs/>
                <w:color w:val="000000" w:themeColor="text1"/>
                <w:sz w:val="20"/>
                <w:szCs w:val="20"/>
              </w:rPr>
              <w:t xml:space="preserve">-L                          177,094.08 </w:t>
            </w:r>
          </w:p>
        </w:tc>
        <w:tc>
          <w:tcPr>
            <w:tcW w:w="1081" w:type="pct"/>
            <w:tcBorders>
              <w:top w:val="single" w:sz="4" w:space="0" w:color="auto"/>
              <w:left w:val="single" w:sz="4" w:space="0" w:color="auto"/>
              <w:bottom w:val="single" w:sz="4" w:space="0" w:color="auto"/>
              <w:right w:val="single" w:sz="4" w:space="0" w:color="auto"/>
            </w:tcBorders>
            <w:shd w:val="clear" w:color="auto" w:fill="C9E1EF"/>
            <w:tcMar>
              <w:top w:w="15" w:type="dxa"/>
              <w:left w:w="15" w:type="dxa"/>
              <w:right w:w="15" w:type="dxa"/>
            </w:tcMar>
            <w:vAlign w:val="center"/>
          </w:tcPr>
          <w:p w14:paraId="651D6E5F" w14:textId="77777777" w:rsidR="00623586" w:rsidRPr="0076589C" w:rsidRDefault="00623586" w:rsidP="00FB3CE4">
            <w:pPr>
              <w:spacing w:after="0"/>
              <w:ind w:left="0"/>
              <w:jc w:val="center"/>
              <w:rPr>
                <w:rFonts w:asciiTheme="minorHAnsi" w:hAnsiTheme="minorHAnsi"/>
                <w:b/>
                <w:bCs/>
              </w:rPr>
            </w:pPr>
            <w:r w:rsidRPr="0076589C">
              <w:rPr>
                <w:rFonts w:asciiTheme="minorHAnsi" w:eastAsia="Arial" w:hAnsiTheme="minorHAnsi"/>
                <w:b/>
                <w:bCs/>
                <w:sz w:val="20"/>
                <w:szCs w:val="20"/>
              </w:rPr>
              <w:t>Límite Disponible</w:t>
            </w:r>
          </w:p>
        </w:tc>
      </w:tr>
    </w:tbl>
    <w:p w14:paraId="59E56334" w14:textId="35AB6E91" w:rsidR="00623586" w:rsidRPr="0076589C" w:rsidRDefault="00623586" w:rsidP="00113876">
      <w:pPr>
        <w:spacing w:after="0"/>
        <w:ind w:left="0"/>
        <w:rPr>
          <w:rFonts w:eastAsia="Calibri" w:cs="Times New Roman"/>
          <w:sz w:val="20"/>
          <w:szCs w:val="20"/>
        </w:rPr>
      </w:pPr>
      <w:r w:rsidRPr="0076589C">
        <w:rPr>
          <w:b/>
        </w:rPr>
        <w:t xml:space="preserve"> </w:t>
      </w:r>
      <w:r w:rsidRPr="0076589C">
        <w:rPr>
          <w:rFonts w:eastAsia="Calibri" w:cs="Times New Roman"/>
          <w:sz w:val="20"/>
          <w:szCs w:val="20"/>
        </w:rPr>
        <w:t xml:space="preserve">Fuente: Elaboración </w:t>
      </w:r>
      <w:r w:rsidR="00113876" w:rsidRPr="0076589C">
        <w:rPr>
          <w:rFonts w:eastAsia="Calibri" w:cs="Times New Roman"/>
          <w:sz w:val="20"/>
          <w:szCs w:val="20"/>
        </w:rPr>
        <w:t>propia con datos de IPRA (2023)</w:t>
      </w:r>
    </w:p>
    <w:p w14:paraId="0CBD8D97" w14:textId="77777777" w:rsidR="00113876" w:rsidRPr="0076589C" w:rsidRDefault="00113876" w:rsidP="00113876">
      <w:pPr>
        <w:spacing w:after="0"/>
        <w:ind w:left="0"/>
        <w:rPr>
          <w:rFonts w:eastAsia="Calibri" w:cs="Times New Roman"/>
          <w:sz w:val="20"/>
          <w:szCs w:val="20"/>
        </w:rPr>
      </w:pPr>
    </w:p>
    <w:p w14:paraId="501BA2FF" w14:textId="1437609E" w:rsidR="00623586" w:rsidRPr="0076589C" w:rsidRDefault="00623586" w:rsidP="00113876">
      <w:pPr>
        <w:pStyle w:val="ImagenyTabla"/>
        <w:ind w:left="0"/>
      </w:pPr>
      <w:r w:rsidRPr="0076589C">
        <w:t>Cálculo del límite de crédito en base a historial de compra del cliente “Tienda C”</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5137"/>
        <w:gridCol w:w="4213"/>
      </w:tblGrid>
      <w:tr w:rsidR="00623586" w:rsidRPr="0076589C" w14:paraId="576CC1EB" w14:textId="77777777" w:rsidTr="00FB3CE4">
        <w:trPr>
          <w:trHeight w:val="48"/>
          <w:jc w:val="center"/>
        </w:trPr>
        <w:tc>
          <w:tcPr>
            <w:tcW w:w="2747" w:type="pct"/>
            <w:shd w:val="clear" w:color="auto" w:fill="C9E1EF"/>
            <w:tcMar>
              <w:top w:w="15" w:type="dxa"/>
              <w:left w:w="15" w:type="dxa"/>
              <w:right w:w="15" w:type="dxa"/>
            </w:tcMar>
            <w:vAlign w:val="center"/>
          </w:tcPr>
          <w:p w14:paraId="4F48FA0F" w14:textId="77777777" w:rsidR="00623586" w:rsidRPr="0076589C" w:rsidRDefault="00623586" w:rsidP="00FB3CE4">
            <w:pPr>
              <w:spacing w:after="0"/>
              <w:jc w:val="center"/>
              <w:rPr>
                <w:rFonts w:asciiTheme="minorHAnsi" w:eastAsia="Arial" w:hAnsiTheme="minorHAnsi"/>
                <w:b/>
                <w:bCs/>
                <w:color w:val="000000" w:themeColor="text1"/>
                <w:sz w:val="20"/>
                <w:szCs w:val="20"/>
              </w:rPr>
            </w:pPr>
            <w:r w:rsidRPr="0076589C">
              <w:rPr>
                <w:rFonts w:asciiTheme="minorHAnsi" w:eastAsia="Arial" w:hAnsiTheme="minorHAnsi"/>
                <w:b/>
                <w:bCs/>
                <w:color w:val="000000" w:themeColor="text1"/>
                <w:sz w:val="20"/>
                <w:szCs w:val="20"/>
              </w:rPr>
              <w:t>Compras Históricas</w:t>
            </w:r>
          </w:p>
        </w:tc>
        <w:tc>
          <w:tcPr>
            <w:tcW w:w="2253" w:type="pct"/>
            <w:shd w:val="clear" w:color="auto" w:fill="C9E1EF"/>
            <w:tcMar>
              <w:top w:w="15" w:type="dxa"/>
              <w:left w:w="15" w:type="dxa"/>
              <w:right w:w="15" w:type="dxa"/>
            </w:tcMar>
            <w:vAlign w:val="center"/>
          </w:tcPr>
          <w:p w14:paraId="3DAE0118"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b/>
                <w:bCs/>
                <w:color w:val="000000" w:themeColor="text1"/>
                <w:sz w:val="20"/>
                <w:szCs w:val="20"/>
              </w:rPr>
              <w:t xml:space="preserve"> L      804,888.68 </w:t>
            </w:r>
          </w:p>
        </w:tc>
      </w:tr>
      <w:tr w:rsidR="00623586" w:rsidRPr="0076589C" w14:paraId="7C10FC7D" w14:textId="77777777" w:rsidTr="00FB3CE4">
        <w:trPr>
          <w:trHeight w:val="255"/>
          <w:jc w:val="center"/>
        </w:trPr>
        <w:tc>
          <w:tcPr>
            <w:tcW w:w="2747" w:type="pct"/>
            <w:shd w:val="clear" w:color="auto" w:fill="auto"/>
            <w:tcMar>
              <w:top w:w="15" w:type="dxa"/>
              <w:left w:w="15" w:type="dxa"/>
              <w:right w:w="15" w:type="dxa"/>
            </w:tcMar>
            <w:vAlign w:val="center"/>
          </w:tcPr>
          <w:p w14:paraId="02584A2A"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Días pactados con el cliente</w:t>
            </w:r>
          </w:p>
        </w:tc>
        <w:tc>
          <w:tcPr>
            <w:tcW w:w="2253" w:type="pct"/>
            <w:shd w:val="clear" w:color="auto" w:fill="auto"/>
            <w:tcMar>
              <w:top w:w="15" w:type="dxa"/>
              <w:left w:w="15" w:type="dxa"/>
              <w:right w:w="15" w:type="dxa"/>
            </w:tcMar>
            <w:vAlign w:val="center"/>
          </w:tcPr>
          <w:p w14:paraId="1021CF0E"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105</w:t>
            </w:r>
          </w:p>
        </w:tc>
      </w:tr>
      <w:tr w:rsidR="00623586" w:rsidRPr="0076589C" w14:paraId="2512DD89" w14:textId="77777777" w:rsidTr="00FB3CE4">
        <w:trPr>
          <w:trHeight w:val="255"/>
          <w:jc w:val="center"/>
        </w:trPr>
        <w:tc>
          <w:tcPr>
            <w:tcW w:w="2747" w:type="pct"/>
            <w:shd w:val="clear" w:color="auto" w:fill="auto"/>
            <w:tcMar>
              <w:top w:w="15" w:type="dxa"/>
              <w:left w:w="15" w:type="dxa"/>
              <w:right w:w="15" w:type="dxa"/>
            </w:tcMar>
            <w:vAlign w:val="center"/>
          </w:tcPr>
          <w:p w14:paraId="32B3454A"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Año Financiero</w:t>
            </w:r>
          </w:p>
        </w:tc>
        <w:tc>
          <w:tcPr>
            <w:tcW w:w="2253" w:type="pct"/>
            <w:shd w:val="clear" w:color="auto" w:fill="auto"/>
            <w:tcMar>
              <w:top w:w="15" w:type="dxa"/>
              <w:left w:w="15" w:type="dxa"/>
              <w:right w:w="15" w:type="dxa"/>
            </w:tcMar>
            <w:vAlign w:val="center"/>
          </w:tcPr>
          <w:p w14:paraId="227607B8"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360</w:t>
            </w:r>
          </w:p>
        </w:tc>
      </w:tr>
      <w:tr w:rsidR="00623586" w:rsidRPr="0076589C" w14:paraId="3B407341" w14:textId="77777777" w:rsidTr="00FB3CE4">
        <w:trPr>
          <w:trHeight w:val="255"/>
          <w:jc w:val="center"/>
        </w:trPr>
        <w:tc>
          <w:tcPr>
            <w:tcW w:w="2747" w:type="pct"/>
            <w:shd w:val="clear" w:color="auto" w:fill="auto"/>
            <w:tcMar>
              <w:top w:w="15" w:type="dxa"/>
              <w:left w:w="15" w:type="dxa"/>
              <w:right w:w="15" w:type="dxa"/>
            </w:tcMar>
            <w:vAlign w:val="center"/>
          </w:tcPr>
          <w:p w14:paraId="5FC99361"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Crédito Cliente</w:t>
            </w:r>
          </w:p>
        </w:tc>
        <w:tc>
          <w:tcPr>
            <w:tcW w:w="2253" w:type="pct"/>
            <w:shd w:val="clear" w:color="auto" w:fill="auto"/>
            <w:tcMar>
              <w:top w:w="15" w:type="dxa"/>
              <w:left w:w="15" w:type="dxa"/>
              <w:right w:w="15" w:type="dxa"/>
            </w:tcMar>
            <w:vAlign w:val="center"/>
          </w:tcPr>
          <w:p w14:paraId="5327DC6F" w14:textId="77777777" w:rsidR="00623586" w:rsidRPr="0076589C" w:rsidRDefault="00623586" w:rsidP="00FB3CE4">
            <w:pPr>
              <w:spacing w:after="0"/>
              <w:jc w:val="center"/>
              <w:rPr>
                <w:rFonts w:asciiTheme="minorHAnsi" w:hAnsiTheme="minorHAnsi"/>
              </w:rPr>
            </w:pPr>
            <w:r w:rsidRPr="0076589C">
              <w:rPr>
                <w:rFonts w:asciiTheme="minorHAnsi" w:eastAsia="Arial" w:hAnsiTheme="minorHAnsi"/>
                <w:color w:val="000000" w:themeColor="text1"/>
                <w:sz w:val="20"/>
                <w:szCs w:val="20"/>
              </w:rPr>
              <w:t xml:space="preserve"> L      234,759.20 </w:t>
            </w:r>
          </w:p>
        </w:tc>
      </w:tr>
      <w:tr w:rsidR="00623586" w:rsidRPr="0076589C" w14:paraId="0A8C726F" w14:textId="77777777" w:rsidTr="00FB3CE4">
        <w:trPr>
          <w:trHeight w:val="48"/>
          <w:jc w:val="center"/>
        </w:trPr>
        <w:tc>
          <w:tcPr>
            <w:tcW w:w="2747" w:type="pct"/>
            <w:shd w:val="clear" w:color="auto" w:fill="C9E1EF"/>
            <w:tcMar>
              <w:top w:w="15" w:type="dxa"/>
              <w:left w:w="15" w:type="dxa"/>
              <w:right w:w="15" w:type="dxa"/>
            </w:tcMar>
            <w:vAlign w:val="center"/>
          </w:tcPr>
          <w:p w14:paraId="329251CA" w14:textId="77777777" w:rsidR="00623586" w:rsidRPr="0076589C" w:rsidRDefault="00623586" w:rsidP="00FB3CE4">
            <w:pPr>
              <w:spacing w:after="0"/>
              <w:jc w:val="center"/>
              <w:rPr>
                <w:rFonts w:asciiTheme="minorHAnsi" w:hAnsiTheme="minorHAnsi"/>
                <w:b/>
                <w:bCs/>
              </w:rPr>
            </w:pPr>
            <w:r w:rsidRPr="0076589C">
              <w:rPr>
                <w:rFonts w:asciiTheme="minorHAnsi" w:eastAsia="Arial" w:hAnsiTheme="minorHAnsi"/>
                <w:b/>
                <w:bCs/>
                <w:color w:val="000000" w:themeColor="text1"/>
                <w:sz w:val="20"/>
                <w:szCs w:val="20"/>
              </w:rPr>
              <w:t>Índice Correctivo de previsión de incremento de ventas</w:t>
            </w:r>
          </w:p>
        </w:tc>
        <w:tc>
          <w:tcPr>
            <w:tcW w:w="2253" w:type="pct"/>
            <w:shd w:val="clear" w:color="auto" w:fill="C9E1EF"/>
            <w:tcMar>
              <w:top w:w="15" w:type="dxa"/>
              <w:left w:w="15" w:type="dxa"/>
              <w:right w:w="15" w:type="dxa"/>
            </w:tcMar>
            <w:vAlign w:val="center"/>
          </w:tcPr>
          <w:p w14:paraId="32588FAB" w14:textId="77777777" w:rsidR="00623586" w:rsidRPr="0076589C" w:rsidRDefault="00623586" w:rsidP="00FB3CE4">
            <w:pPr>
              <w:spacing w:after="0"/>
              <w:jc w:val="center"/>
              <w:rPr>
                <w:rFonts w:asciiTheme="minorHAnsi" w:hAnsiTheme="minorHAnsi"/>
                <w:b/>
                <w:bCs/>
              </w:rPr>
            </w:pPr>
            <w:r w:rsidRPr="0076589C">
              <w:rPr>
                <w:rFonts w:asciiTheme="minorHAnsi" w:eastAsia="Arial" w:hAnsiTheme="minorHAnsi"/>
                <w:b/>
                <w:bCs/>
                <w:color w:val="000000" w:themeColor="text1"/>
                <w:sz w:val="20"/>
                <w:szCs w:val="20"/>
              </w:rPr>
              <w:t xml:space="preserve"> L      258,235.12</w:t>
            </w:r>
          </w:p>
        </w:tc>
      </w:tr>
    </w:tbl>
    <w:p w14:paraId="490EC199" w14:textId="533C4AE7" w:rsidR="00623586" w:rsidRPr="0076589C" w:rsidRDefault="00623586" w:rsidP="00623586">
      <w:pPr>
        <w:spacing w:after="120" w:line="360" w:lineRule="auto"/>
        <w:ind w:left="0" w:firstLine="720"/>
        <w:rPr>
          <w:rFonts w:eastAsia="Calibri" w:cs="Times New Roman"/>
          <w:sz w:val="20"/>
          <w:szCs w:val="20"/>
        </w:rPr>
      </w:pPr>
      <w:r w:rsidRPr="0076589C">
        <w:rPr>
          <w:rFonts w:eastAsia="Calibri" w:cs="Times New Roman"/>
          <w:sz w:val="20"/>
          <w:szCs w:val="20"/>
        </w:rPr>
        <w:t xml:space="preserve">Fuente: Elaboración </w:t>
      </w:r>
      <w:r w:rsidR="00113876" w:rsidRPr="0076589C">
        <w:rPr>
          <w:rFonts w:eastAsia="Calibri" w:cs="Times New Roman"/>
          <w:sz w:val="20"/>
          <w:szCs w:val="20"/>
        </w:rPr>
        <w:t>propia con datos de IPRA (2023)</w:t>
      </w:r>
    </w:p>
    <w:p w14:paraId="34DC708E" w14:textId="05D595D9" w:rsidR="0033143E" w:rsidRPr="0076589C" w:rsidRDefault="006000E2" w:rsidP="0033143E">
      <w:pPr>
        <w:ind w:left="0"/>
        <w:rPr>
          <w:b/>
        </w:rPr>
      </w:pPr>
      <w:r w:rsidRPr="0076589C">
        <w:rPr>
          <w:b/>
        </w:rPr>
        <w:br w:type="page"/>
      </w:r>
    </w:p>
    <w:p w14:paraId="527F92D5" w14:textId="6456FDFD" w:rsidR="00FB3AB3" w:rsidRPr="0076589C" w:rsidRDefault="00FB3AB3" w:rsidP="00AB5B8D">
      <w:pPr>
        <w:ind w:left="0"/>
        <w:rPr>
          <w:b/>
          <w:bCs/>
          <w:lang w:val="pt-PT"/>
        </w:rPr>
      </w:pPr>
      <w:r w:rsidRPr="0076589C">
        <w:rPr>
          <w:b/>
          <w:bCs/>
          <w:lang w:val="pt-PT"/>
        </w:rPr>
        <w:lastRenderedPageBreak/>
        <w:t xml:space="preserve">Anexo </w:t>
      </w:r>
      <w:r w:rsidR="00623586" w:rsidRPr="0076589C">
        <w:rPr>
          <w:b/>
          <w:bCs/>
        </w:rPr>
        <w:t>9</w:t>
      </w:r>
      <w:r w:rsidRPr="0076589C">
        <w:rPr>
          <w:b/>
          <w:bCs/>
          <w:lang w:val="pt-PT"/>
        </w:rPr>
        <w:t xml:space="preserve">. </w:t>
      </w:r>
      <w:r w:rsidR="006076EF" w:rsidRPr="0076589C">
        <w:rPr>
          <w:b/>
          <w:bCs/>
          <w:lang w:val="pt-PT"/>
        </w:rPr>
        <w:t xml:space="preserve">Talonario de </w:t>
      </w:r>
      <w:r w:rsidR="00AB5B8D" w:rsidRPr="0076589C">
        <w:rPr>
          <w:b/>
          <w:bCs/>
          <w:lang w:val="pt-PT"/>
        </w:rPr>
        <w:t>Recibo IPRA</w:t>
      </w:r>
    </w:p>
    <w:p w14:paraId="3F622F64" w14:textId="5649849D" w:rsidR="009B1B49" w:rsidRPr="0076589C" w:rsidRDefault="009B1B49" w:rsidP="00F323C4">
      <w:pPr>
        <w:spacing w:after="0"/>
        <w:ind w:left="0"/>
        <w:jc w:val="center"/>
        <w:rPr>
          <w:b/>
          <w:bCs/>
          <w:lang w:val="pt-PT"/>
        </w:rPr>
      </w:pPr>
    </w:p>
    <w:p w14:paraId="5D4E994B" w14:textId="1D22BD57" w:rsidR="00245040" w:rsidRPr="0076589C" w:rsidRDefault="000316EE" w:rsidP="00AB5B8D">
      <w:pPr>
        <w:ind w:left="0"/>
        <w:jc w:val="center"/>
        <w:rPr>
          <w:rFonts w:eastAsia="Calibri" w:cs="Times New Roman"/>
          <w:sz w:val="20"/>
          <w:szCs w:val="20"/>
          <w:lang w:val="pt-PT"/>
        </w:rPr>
      </w:pPr>
      <w:r w:rsidRPr="0076589C">
        <w:rPr>
          <w:rFonts w:eastAsia="Calibri" w:cs="Times New Roman"/>
          <w:noProof/>
          <w:sz w:val="20"/>
          <w:szCs w:val="20"/>
          <w:lang w:eastAsia="es-HN"/>
        </w:rPr>
        <w:drawing>
          <wp:inline distT="0" distB="0" distL="0" distR="0" wp14:anchorId="71E8012F" wp14:editId="490E6131">
            <wp:extent cx="3868784" cy="3600000"/>
            <wp:effectExtent l="0" t="0" r="0" b="635"/>
            <wp:docPr id="1294190240" name="Picture 1294190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4190240" name="Imagen 1294190240"/>
                    <pic:cNvPicPr/>
                  </pic:nvPicPr>
                  <pic:blipFill rotWithShape="1">
                    <a:blip r:embed="rId42" cstate="print">
                      <a:extLst>
                        <a:ext uri="{28A0092B-C50C-407E-A947-70E740481C1C}">
                          <a14:useLocalDpi xmlns:a14="http://schemas.microsoft.com/office/drawing/2010/main" val="0"/>
                        </a:ext>
                      </a:extLst>
                    </a:blip>
                    <a:srcRect l="1472" t="3070" r="2128" b="3431"/>
                    <a:stretch/>
                  </pic:blipFill>
                  <pic:spPr bwMode="auto">
                    <a:xfrm>
                      <a:off x="0" y="0"/>
                      <a:ext cx="3868784" cy="3600000"/>
                    </a:xfrm>
                    <a:prstGeom prst="rect">
                      <a:avLst/>
                    </a:prstGeom>
                    <a:ln>
                      <a:noFill/>
                    </a:ln>
                    <a:extLst>
                      <a:ext uri="{53640926-AAD7-44D8-BBD7-CCE9431645EC}">
                        <a14:shadowObscured xmlns:a14="http://schemas.microsoft.com/office/drawing/2010/main"/>
                      </a:ext>
                    </a:extLst>
                  </pic:spPr>
                </pic:pic>
              </a:graphicData>
            </a:graphic>
          </wp:inline>
        </w:drawing>
      </w:r>
    </w:p>
    <w:p w14:paraId="617ABCD8" w14:textId="68EE5D17" w:rsidR="00AB5B8D" w:rsidRPr="0076589C" w:rsidRDefault="00AB5B8D" w:rsidP="00F323C4">
      <w:pPr>
        <w:spacing w:after="0"/>
        <w:ind w:left="0"/>
        <w:rPr>
          <w:b/>
          <w:bCs/>
          <w:lang w:val="pt-PT"/>
        </w:rPr>
      </w:pPr>
    </w:p>
    <w:p w14:paraId="792D1F68" w14:textId="6E4D7D94" w:rsidR="00245040" w:rsidRPr="0076589C" w:rsidRDefault="00AB5B8D" w:rsidP="00AB5B8D">
      <w:pPr>
        <w:ind w:left="0"/>
        <w:rPr>
          <w:b/>
          <w:bCs/>
          <w:lang w:val="pt-PT"/>
        </w:rPr>
      </w:pPr>
      <w:r w:rsidRPr="0076589C">
        <w:rPr>
          <w:b/>
          <w:bCs/>
          <w:lang w:val="pt-PT"/>
        </w:rPr>
        <w:t xml:space="preserve">Anexo </w:t>
      </w:r>
      <w:r w:rsidR="00623586" w:rsidRPr="0076589C">
        <w:rPr>
          <w:b/>
          <w:bCs/>
        </w:rPr>
        <w:t>10</w:t>
      </w:r>
      <w:r w:rsidRPr="0076589C">
        <w:rPr>
          <w:b/>
          <w:bCs/>
          <w:lang w:val="pt-PT"/>
        </w:rPr>
        <w:t xml:space="preserve">. </w:t>
      </w:r>
      <w:r w:rsidR="006076EF" w:rsidRPr="0076589C">
        <w:rPr>
          <w:b/>
          <w:bCs/>
          <w:lang w:val="pt-PT"/>
        </w:rPr>
        <w:t xml:space="preserve">Talonario de </w:t>
      </w:r>
      <w:r w:rsidRPr="0076589C">
        <w:rPr>
          <w:b/>
          <w:bCs/>
          <w:lang w:val="pt-PT"/>
        </w:rPr>
        <w:t>Liquidación IPRA</w:t>
      </w:r>
    </w:p>
    <w:p w14:paraId="4A575887" w14:textId="2B5BBB4C" w:rsidR="009B1B49" w:rsidRPr="00FC730E" w:rsidRDefault="000316EE" w:rsidP="004B0B2B">
      <w:pPr>
        <w:ind w:left="0"/>
        <w:jc w:val="center"/>
        <w:rPr>
          <w:rFonts w:eastAsia="Calibri" w:cs="Times New Roman"/>
          <w:sz w:val="20"/>
          <w:szCs w:val="20"/>
          <w:lang w:val="pt-PT"/>
        </w:rPr>
      </w:pPr>
      <w:r w:rsidRPr="0076589C">
        <w:rPr>
          <w:rFonts w:eastAsia="Calibri" w:cs="Times New Roman"/>
          <w:noProof/>
          <w:sz w:val="20"/>
          <w:szCs w:val="20"/>
          <w:lang w:eastAsia="es-HN"/>
        </w:rPr>
        <w:drawing>
          <wp:inline distT="0" distB="0" distL="0" distR="0" wp14:anchorId="2E89B099" wp14:editId="531ADFF3">
            <wp:extent cx="3593172" cy="3600000"/>
            <wp:effectExtent l="0" t="0" r="7620" b="635"/>
            <wp:docPr id="528789825" name="Picture 5287898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789825" name="Imagen 528789825"/>
                    <pic:cNvPicPr/>
                  </pic:nvPicPr>
                  <pic:blipFill rotWithShape="1">
                    <a:blip r:embed="rId43" cstate="print">
                      <a:extLst>
                        <a:ext uri="{28A0092B-C50C-407E-A947-70E740481C1C}">
                          <a14:useLocalDpi xmlns:a14="http://schemas.microsoft.com/office/drawing/2010/main" val="0"/>
                        </a:ext>
                      </a:extLst>
                    </a:blip>
                    <a:srcRect r="1309"/>
                    <a:stretch/>
                  </pic:blipFill>
                  <pic:spPr bwMode="auto">
                    <a:xfrm>
                      <a:off x="0" y="0"/>
                      <a:ext cx="3593172" cy="3600000"/>
                    </a:xfrm>
                    <a:prstGeom prst="rect">
                      <a:avLst/>
                    </a:prstGeom>
                    <a:ln>
                      <a:noFill/>
                    </a:ln>
                    <a:extLst>
                      <a:ext uri="{53640926-AAD7-44D8-BBD7-CCE9431645EC}">
                        <a14:shadowObscured xmlns:a14="http://schemas.microsoft.com/office/drawing/2010/main"/>
                      </a:ext>
                    </a:extLst>
                  </pic:spPr>
                </pic:pic>
              </a:graphicData>
            </a:graphic>
          </wp:inline>
        </w:drawing>
      </w:r>
    </w:p>
    <w:sectPr w:rsidR="009B1B49" w:rsidRPr="00FC730E" w:rsidSect="008C6BD1">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F592C9" w14:textId="77777777" w:rsidR="008C6BD1" w:rsidRPr="00D362D7" w:rsidRDefault="008C6BD1" w:rsidP="006C53A6">
      <w:pPr>
        <w:spacing w:after="0" w:line="240" w:lineRule="auto"/>
      </w:pPr>
      <w:r w:rsidRPr="00D362D7">
        <w:separator/>
      </w:r>
    </w:p>
  </w:endnote>
  <w:endnote w:type="continuationSeparator" w:id="0">
    <w:p w14:paraId="27EAF8CA" w14:textId="77777777" w:rsidR="008C6BD1" w:rsidRPr="00D362D7" w:rsidRDefault="008C6BD1" w:rsidP="006C53A6">
      <w:pPr>
        <w:spacing w:after="0" w:line="240" w:lineRule="auto"/>
      </w:pPr>
      <w:r w:rsidRPr="00D362D7">
        <w:continuationSeparator/>
      </w:r>
    </w:p>
  </w:endnote>
  <w:endnote w:type="continuationNotice" w:id="1">
    <w:p w14:paraId="35A9DD03" w14:textId="77777777" w:rsidR="008C6BD1" w:rsidRPr="00D362D7" w:rsidRDefault="008C6BD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76342314"/>
      <w:docPartObj>
        <w:docPartGallery w:val="Page Numbers (Bottom of Page)"/>
        <w:docPartUnique/>
      </w:docPartObj>
    </w:sdtPr>
    <w:sdtContent>
      <w:p w14:paraId="2CE9EA64" w14:textId="3CC023B0" w:rsidR="002E21ED" w:rsidRDefault="002E21ED">
        <w:pPr>
          <w:pStyle w:val="Piedepgina"/>
          <w:jc w:val="right"/>
        </w:pPr>
        <w:r>
          <w:fldChar w:fldCharType="begin"/>
        </w:r>
        <w:r>
          <w:instrText>PAGE   \* MERGEFORMAT</w:instrText>
        </w:r>
        <w:r>
          <w:fldChar w:fldCharType="separate"/>
        </w:r>
        <w:r w:rsidR="00F42ADA" w:rsidRPr="00F42ADA">
          <w:rPr>
            <w:noProof/>
            <w:lang w:val="es-MX"/>
          </w:rPr>
          <w:t>x</w:t>
        </w:r>
        <w:r>
          <w:fldChar w:fldCharType="end"/>
        </w:r>
      </w:p>
    </w:sdtContent>
  </w:sdt>
  <w:p w14:paraId="41928356" w14:textId="2CC55E74" w:rsidR="002E21ED" w:rsidRPr="00D362D7" w:rsidRDefault="002E21E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61800772"/>
      <w:docPartObj>
        <w:docPartGallery w:val="Page Numbers (Bottom of Page)"/>
        <w:docPartUnique/>
      </w:docPartObj>
    </w:sdtPr>
    <w:sdtContent>
      <w:p w14:paraId="612C7E94" w14:textId="1DB9E2E9" w:rsidR="002E21ED" w:rsidRDefault="002E21ED">
        <w:pPr>
          <w:pStyle w:val="Piedepgina"/>
          <w:jc w:val="right"/>
        </w:pPr>
        <w:r>
          <w:fldChar w:fldCharType="begin"/>
        </w:r>
        <w:r>
          <w:instrText>PAGE   \* MERGEFORMAT</w:instrText>
        </w:r>
        <w:r>
          <w:fldChar w:fldCharType="separate"/>
        </w:r>
        <w:r w:rsidR="00F42ADA" w:rsidRPr="00F42ADA">
          <w:rPr>
            <w:noProof/>
            <w:lang w:val="es-MX"/>
          </w:rPr>
          <w:t>xv</w:t>
        </w:r>
        <w:r>
          <w:fldChar w:fldCharType="end"/>
        </w:r>
      </w:p>
    </w:sdtContent>
  </w:sdt>
  <w:p w14:paraId="2818AFDE" w14:textId="77777777" w:rsidR="002E21ED" w:rsidRPr="00D362D7" w:rsidRDefault="002E21ED">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7769262"/>
      <w:docPartObj>
        <w:docPartGallery w:val="Page Numbers (Bottom of Page)"/>
        <w:docPartUnique/>
      </w:docPartObj>
    </w:sdtPr>
    <w:sdtContent>
      <w:p w14:paraId="215EDEEA" w14:textId="20988C6F" w:rsidR="002E21ED" w:rsidRPr="00D362D7" w:rsidRDefault="002E21ED">
        <w:pPr>
          <w:pStyle w:val="Piedepgina"/>
          <w:jc w:val="right"/>
        </w:pPr>
        <w:r>
          <w:fldChar w:fldCharType="begin"/>
        </w:r>
        <w:r>
          <w:instrText>PAGE   \* MERGEFORMAT</w:instrText>
        </w:r>
        <w:r>
          <w:fldChar w:fldCharType="separate"/>
        </w:r>
        <w:r w:rsidR="00F42ADA">
          <w:rPr>
            <w:noProof/>
          </w:rPr>
          <w:t>77</w:t>
        </w:r>
        <w:r>
          <w:fldChar w:fldCharType="end"/>
        </w:r>
      </w:p>
    </w:sdtContent>
  </w:sdt>
  <w:p w14:paraId="4F9A69BC" w14:textId="77777777" w:rsidR="002E21ED" w:rsidRPr="00D362D7" w:rsidRDefault="002E21ED">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6E2F75" w14:textId="69B99AF9" w:rsidR="002E21ED" w:rsidRPr="00D362D7" w:rsidRDefault="002E21ED">
    <w:pPr>
      <w:pStyle w:val="Piedepgina"/>
      <w:jc w:val="right"/>
    </w:pPr>
    <w:r>
      <w:fldChar w:fldCharType="begin"/>
    </w:r>
    <w:r>
      <w:instrText>PAGE   \* MERGEFORMAT</w:instrText>
    </w:r>
    <w:r>
      <w:fldChar w:fldCharType="separate"/>
    </w:r>
    <w:r>
      <w:t>2</w:t>
    </w:r>
    <w:r>
      <w:fldChar w:fldCharType="end"/>
    </w:r>
  </w:p>
  <w:p w14:paraId="47556DC8" w14:textId="77777777" w:rsidR="002E21ED" w:rsidRPr="00D362D7" w:rsidRDefault="002E21E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FA936" w14:textId="77777777" w:rsidR="008C6BD1" w:rsidRPr="00D362D7" w:rsidRDefault="008C6BD1" w:rsidP="006C53A6">
      <w:pPr>
        <w:spacing w:after="0" w:line="240" w:lineRule="auto"/>
      </w:pPr>
      <w:r w:rsidRPr="00D362D7">
        <w:separator/>
      </w:r>
    </w:p>
  </w:footnote>
  <w:footnote w:type="continuationSeparator" w:id="0">
    <w:p w14:paraId="18B0560A" w14:textId="77777777" w:rsidR="008C6BD1" w:rsidRPr="00D362D7" w:rsidRDefault="008C6BD1" w:rsidP="006C53A6">
      <w:pPr>
        <w:spacing w:after="0" w:line="240" w:lineRule="auto"/>
      </w:pPr>
      <w:r w:rsidRPr="00D362D7">
        <w:continuationSeparator/>
      </w:r>
    </w:p>
  </w:footnote>
  <w:footnote w:type="continuationNotice" w:id="1">
    <w:p w14:paraId="47B72598" w14:textId="77777777" w:rsidR="008C6BD1" w:rsidRPr="00D362D7" w:rsidRDefault="008C6BD1">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textHash int2:hashCode="+3pJ0vc+pG+ub7" int2:id="0ivGaWEK">
      <int2:state int2:value="Rejected" int2:type="AugLoop_Text_Critique"/>
    </int2:textHash>
    <int2:textHash int2:hashCode="n1/gtXs2TuOPLW" int2:id="0mg89Ggi">
      <int2:state int2:value="Rejected" int2:type="AugLoop_Text_Critique"/>
    </int2:textHash>
    <int2:textHash int2:hashCode="KcgFr/J/1rRVi1" int2:id="2wZzEvYV">
      <int2:state int2:value="Rejected" int2:type="AugLoop_Text_Critique"/>
    </int2:textHash>
    <int2:textHash int2:hashCode="RX9uyueUorXbBw" int2:id="3a1H0yOM">
      <int2:state int2:value="Rejected" int2:type="AugLoop_Text_Critique"/>
    </int2:textHash>
    <int2:textHash int2:hashCode="y0KKxmCLkXp/ta" int2:id="BbGBr4ST">
      <int2:state int2:value="Rejected" int2:type="AugLoop_Text_Critique"/>
    </int2:textHash>
    <int2:textHash int2:hashCode="Cc1ooqd7IqMS3e" int2:id="I5Jp4Bxz">
      <int2:state int2:value="Rejected" int2:type="AugLoop_Text_Critique"/>
    </int2:textHash>
    <int2:textHash int2:hashCode="IHll7DpbGEx4AB" int2:id="M3mEFWIr">
      <int2:state int2:value="Rejected" int2:type="AugLoop_Text_Critique"/>
    </int2:textHash>
    <int2:textHash int2:hashCode="+rJCn3cN1uaqZm" int2:id="OAggaPiS">
      <int2:state int2:value="Rejected" int2:type="AugLoop_Text_Critique"/>
    </int2:textHash>
    <int2:textHash int2:hashCode="XM8TJIF5BAuc37" int2:id="SYjARH3p">
      <int2:state int2:value="Rejected" int2:type="AugLoop_Text_Critique"/>
    </int2:textHash>
    <int2:textHash int2:hashCode="aihQDh8OQ6UKUZ" int2:id="WfwCybTI">
      <int2:state int2:value="Rejected" int2:type="AugLoop_Text_Critique"/>
    </int2:textHash>
    <int2:textHash int2:hashCode="h92iBBZknypqGw" int2:id="XUYqeVFe">
      <int2:state int2:value="Rejected" int2:type="AugLoop_Text_Critique"/>
    </int2:textHash>
    <int2:textHash int2:hashCode="RCRTSKGV7e8U2J" int2:id="XhR6BCaW">
      <int2:state int2:value="Rejected" int2:type="AugLoop_Text_Critique"/>
    </int2:textHash>
    <int2:textHash int2:hashCode="PWbadqPY7CWoIO" int2:id="anFAuafR">
      <int2:state int2:value="Rejected" int2:type="AugLoop_Text_Critique"/>
    </int2:textHash>
    <int2:textHash int2:hashCode="i/F8Fj4qK1O3dx" int2:id="cluSb1TH">
      <int2:state int2:value="Rejected" int2:type="AugLoop_Text_Critique"/>
    </int2:textHash>
    <int2:textHash int2:hashCode="+eetPn84IHOP6P" int2:id="ePyqetQD">
      <int2:state int2:value="Rejected" int2:type="AugLoop_Text_Critique"/>
    </int2:textHash>
    <int2:textHash int2:hashCode="NqqTuRoySN7zvL" int2:id="foE486qj">
      <int2:state int2:value="Rejected" int2:type="AugLoop_Text_Critique"/>
    </int2:textHash>
    <int2:textHash int2:hashCode="IX2Fpfa60i6XBl" int2:id="gr3dMmb6">
      <int2:state int2:value="Rejected" int2:type="AugLoop_Text_Critique"/>
    </int2:textHash>
    <int2:textHash int2:hashCode="iHKPuzAs2vumt/" int2:id="jcwOpggX">
      <int2:state int2:value="Rejected" int2:type="AugLoop_Text_Critique"/>
    </int2:textHash>
    <int2:textHash int2:hashCode="ZTpWQAbj4H4Lxf" int2:id="myak7FMT">
      <int2:state int2:value="Rejected" int2:type="AugLoop_Text_Critique"/>
    </int2:textHash>
    <int2:textHash int2:hashCode="RUhaBkoX8qetax" int2:id="qmf0nEOz">
      <int2:state int2:value="Rejected" int2:type="AugLoop_Text_Critique"/>
    </int2:textHash>
    <int2:textHash int2:hashCode="RSkcWhZ4tVKwYW" int2:id="x2aQ3jsr">
      <int2:state int2:value="Rejected" int2:type="AugLoop_Text_Critique"/>
    </int2:textHash>
    <int2:textHash int2:hashCode="DcflZLvSn4Ke19" int2:id="ycJdBle9">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D6930"/>
    <w:multiLevelType w:val="hybridMultilevel"/>
    <w:tmpl w:val="C5DE53E4"/>
    <w:lvl w:ilvl="0" w:tplc="E21CD64C">
      <w:start w:val="1"/>
      <w:numFmt w:val="decimal"/>
      <w:lvlText w:val="4.2.2.%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 w15:restartNumberingAfterBreak="0">
    <w:nsid w:val="01D85A99"/>
    <w:multiLevelType w:val="hybridMultilevel"/>
    <w:tmpl w:val="B04007E8"/>
    <w:lvl w:ilvl="0" w:tplc="913400B2">
      <w:start w:val="1"/>
      <w:numFmt w:val="decimal"/>
      <w:lvlText w:val="4.3.3.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162E34"/>
    <w:multiLevelType w:val="hybridMultilevel"/>
    <w:tmpl w:val="501CA65E"/>
    <w:lvl w:ilvl="0" w:tplc="1626FD48">
      <w:start w:val="1"/>
      <w:numFmt w:val="decimal"/>
      <w:lvlText w:val="2.3.1.%1."/>
      <w:lvlJc w:val="left"/>
      <w:pPr>
        <w:ind w:left="-274" w:hanging="360"/>
      </w:pPr>
      <w:rPr>
        <w:rFonts w:hint="default"/>
      </w:rPr>
    </w:lvl>
    <w:lvl w:ilvl="1" w:tplc="04090019">
      <w:start w:val="1"/>
      <w:numFmt w:val="lowerLetter"/>
      <w:lvlText w:val="%2."/>
      <w:lvlJc w:val="left"/>
      <w:pPr>
        <w:ind w:left="0" w:hanging="360"/>
      </w:pPr>
    </w:lvl>
    <w:lvl w:ilvl="2" w:tplc="AD8C7F1A">
      <w:start w:val="1"/>
      <w:numFmt w:val="decimal"/>
      <w:lvlText w:val="2.3.1.%3 "/>
      <w:lvlJc w:val="left"/>
      <w:pPr>
        <w:ind w:left="90" w:hanging="360"/>
      </w:pPr>
      <w:rPr>
        <w:rFonts w:hint="default"/>
      </w:rPr>
    </w:lvl>
    <w:lvl w:ilvl="3" w:tplc="0409000F" w:tentative="1">
      <w:start w:val="1"/>
      <w:numFmt w:val="decimal"/>
      <w:lvlText w:val="%4."/>
      <w:lvlJc w:val="left"/>
      <w:pPr>
        <w:ind w:left="1440" w:hanging="360"/>
      </w:pPr>
    </w:lvl>
    <w:lvl w:ilvl="4" w:tplc="04090019" w:tentative="1">
      <w:start w:val="1"/>
      <w:numFmt w:val="lowerLetter"/>
      <w:lvlText w:val="%5."/>
      <w:lvlJc w:val="left"/>
      <w:pPr>
        <w:ind w:left="2160" w:hanging="360"/>
      </w:pPr>
    </w:lvl>
    <w:lvl w:ilvl="5" w:tplc="0409001B" w:tentative="1">
      <w:start w:val="1"/>
      <w:numFmt w:val="lowerRoman"/>
      <w:lvlText w:val="%6."/>
      <w:lvlJc w:val="right"/>
      <w:pPr>
        <w:ind w:left="2880" w:hanging="180"/>
      </w:pPr>
    </w:lvl>
    <w:lvl w:ilvl="6" w:tplc="0409000F" w:tentative="1">
      <w:start w:val="1"/>
      <w:numFmt w:val="decimal"/>
      <w:lvlText w:val="%7."/>
      <w:lvlJc w:val="left"/>
      <w:pPr>
        <w:ind w:left="3600" w:hanging="360"/>
      </w:pPr>
    </w:lvl>
    <w:lvl w:ilvl="7" w:tplc="04090019" w:tentative="1">
      <w:start w:val="1"/>
      <w:numFmt w:val="lowerLetter"/>
      <w:lvlText w:val="%8."/>
      <w:lvlJc w:val="left"/>
      <w:pPr>
        <w:ind w:left="4320" w:hanging="360"/>
      </w:pPr>
    </w:lvl>
    <w:lvl w:ilvl="8" w:tplc="0409001B" w:tentative="1">
      <w:start w:val="1"/>
      <w:numFmt w:val="lowerRoman"/>
      <w:lvlText w:val="%9."/>
      <w:lvlJc w:val="right"/>
      <w:pPr>
        <w:ind w:left="5040" w:hanging="180"/>
      </w:pPr>
    </w:lvl>
  </w:abstractNum>
  <w:abstractNum w:abstractNumId="3" w15:restartNumberingAfterBreak="0">
    <w:nsid w:val="03394C02"/>
    <w:multiLevelType w:val="hybridMultilevel"/>
    <w:tmpl w:val="7346ACB2"/>
    <w:lvl w:ilvl="0" w:tplc="694E5934">
      <w:start w:val="1"/>
      <w:numFmt w:val="decimal"/>
      <w:lvlText w:val="4.3.%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3482224"/>
    <w:multiLevelType w:val="hybridMultilevel"/>
    <w:tmpl w:val="E7BCB23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04CA6F6D"/>
    <w:multiLevelType w:val="hybridMultilevel"/>
    <w:tmpl w:val="A8C65F8C"/>
    <w:lvl w:ilvl="0" w:tplc="1546A790">
      <w:start w:val="1"/>
      <w:numFmt w:val="decimal"/>
      <w:lvlText w:val="4.2.5.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B90A67"/>
    <w:multiLevelType w:val="hybridMultilevel"/>
    <w:tmpl w:val="8E04B628"/>
    <w:lvl w:ilvl="0" w:tplc="9D72C49A">
      <w:start w:val="1"/>
      <w:numFmt w:val="bullet"/>
      <w:lvlText w:val=""/>
      <w:lvlJc w:val="left"/>
      <w:pPr>
        <w:ind w:left="720" w:hanging="360"/>
      </w:pPr>
      <w:rPr>
        <w:rFonts w:ascii="Symbol" w:hAnsi="Symbol" w:hint="default"/>
      </w:rPr>
    </w:lvl>
    <w:lvl w:ilvl="1" w:tplc="01403848">
      <w:start w:val="1"/>
      <w:numFmt w:val="bullet"/>
      <w:lvlText w:val="o"/>
      <w:lvlJc w:val="left"/>
      <w:pPr>
        <w:ind w:left="1440" w:hanging="360"/>
      </w:pPr>
      <w:rPr>
        <w:rFonts w:ascii="Courier New" w:hAnsi="Courier New" w:hint="default"/>
      </w:rPr>
    </w:lvl>
    <w:lvl w:ilvl="2" w:tplc="7990E8C2">
      <w:start w:val="1"/>
      <w:numFmt w:val="bullet"/>
      <w:lvlText w:val=""/>
      <w:lvlJc w:val="left"/>
      <w:pPr>
        <w:ind w:left="2160" w:hanging="360"/>
      </w:pPr>
      <w:rPr>
        <w:rFonts w:ascii="Wingdings" w:hAnsi="Wingdings" w:hint="default"/>
      </w:rPr>
    </w:lvl>
    <w:lvl w:ilvl="3" w:tplc="E1DE84CC">
      <w:start w:val="1"/>
      <w:numFmt w:val="bullet"/>
      <w:lvlText w:val=""/>
      <w:lvlJc w:val="left"/>
      <w:pPr>
        <w:ind w:left="2880" w:hanging="360"/>
      </w:pPr>
      <w:rPr>
        <w:rFonts w:ascii="Symbol" w:hAnsi="Symbol" w:hint="default"/>
      </w:rPr>
    </w:lvl>
    <w:lvl w:ilvl="4" w:tplc="E466C1DE">
      <w:start w:val="1"/>
      <w:numFmt w:val="bullet"/>
      <w:lvlText w:val="o"/>
      <w:lvlJc w:val="left"/>
      <w:pPr>
        <w:ind w:left="3600" w:hanging="360"/>
      </w:pPr>
      <w:rPr>
        <w:rFonts w:ascii="Courier New" w:hAnsi="Courier New" w:hint="default"/>
      </w:rPr>
    </w:lvl>
    <w:lvl w:ilvl="5" w:tplc="12AEF17C">
      <w:start w:val="1"/>
      <w:numFmt w:val="bullet"/>
      <w:lvlText w:val=""/>
      <w:lvlJc w:val="left"/>
      <w:pPr>
        <w:ind w:left="4320" w:hanging="360"/>
      </w:pPr>
      <w:rPr>
        <w:rFonts w:ascii="Wingdings" w:hAnsi="Wingdings" w:hint="default"/>
      </w:rPr>
    </w:lvl>
    <w:lvl w:ilvl="6" w:tplc="E9BA3AB6">
      <w:start w:val="1"/>
      <w:numFmt w:val="bullet"/>
      <w:lvlText w:val=""/>
      <w:lvlJc w:val="left"/>
      <w:pPr>
        <w:ind w:left="5040" w:hanging="360"/>
      </w:pPr>
      <w:rPr>
        <w:rFonts w:ascii="Symbol" w:hAnsi="Symbol" w:hint="default"/>
      </w:rPr>
    </w:lvl>
    <w:lvl w:ilvl="7" w:tplc="CA84E01E">
      <w:start w:val="1"/>
      <w:numFmt w:val="bullet"/>
      <w:lvlText w:val="o"/>
      <w:lvlJc w:val="left"/>
      <w:pPr>
        <w:ind w:left="5760" w:hanging="360"/>
      </w:pPr>
      <w:rPr>
        <w:rFonts w:ascii="Courier New" w:hAnsi="Courier New" w:hint="default"/>
      </w:rPr>
    </w:lvl>
    <w:lvl w:ilvl="8" w:tplc="9B42B224">
      <w:start w:val="1"/>
      <w:numFmt w:val="bullet"/>
      <w:lvlText w:val=""/>
      <w:lvlJc w:val="left"/>
      <w:pPr>
        <w:ind w:left="6480" w:hanging="360"/>
      </w:pPr>
      <w:rPr>
        <w:rFonts w:ascii="Wingdings" w:hAnsi="Wingdings" w:hint="default"/>
      </w:rPr>
    </w:lvl>
  </w:abstractNum>
  <w:abstractNum w:abstractNumId="7" w15:restartNumberingAfterBreak="0">
    <w:nsid w:val="06FD9E9A"/>
    <w:multiLevelType w:val="hybridMultilevel"/>
    <w:tmpl w:val="AEA0D31C"/>
    <w:lvl w:ilvl="0" w:tplc="8966A768">
      <w:start w:val="1"/>
      <w:numFmt w:val="bullet"/>
      <w:lvlText w:val=""/>
      <w:lvlJc w:val="left"/>
      <w:pPr>
        <w:ind w:left="720" w:hanging="360"/>
      </w:pPr>
      <w:rPr>
        <w:rFonts w:ascii="Symbol" w:hAnsi="Symbol" w:hint="default"/>
      </w:rPr>
    </w:lvl>
    <w:lvl w:ilvl="1" w:tplc="E0140E56">
      <w:start w:val="1"/>
      <w:numFmt w:val="bullet"/>
      <w:lvlText w:val=""/>
      <w:lvlJc w:val="left"/>
      <w:pPr>
        <w:ind w:left="1170" w:hanging="360"/>
      </w:pPr>
      <w:rPr>
        <w:rFonts w:ascii="Symbol" w:hAnsi="Symbol" w:hint="default"/>
      </w:rPr>
    </w:lvl>
    <w:lvl w:ilvl="2" w:tplc="71AC514C">
      <w:start w:val="1"/>
      <w:numFmt w:val="bullet"/>
      <w:lvlText w:val=""/>
      <w:lvlJc w:val="left"/>
      <w:pPr>
        <w:ind w:left="2160" w:hanging="360"/>
      </w:pPr>
      <w:rPr>
        <w:rFonts w:ascii="Wingdings" w:hAnsi="Wingdings" w:hint="default"/>
      </w:rPr>
    </w:lvl>
    <w:lvl w:ilvl="3" w:tplc="6A6407A0">
      <w:start w:val="1"/>
      <w:numFmt w:val="bullet"/>
      <w:lvlText w:val=""/>
      <w:lvlJc w:val="left"/>
      <w:pPr>
        <w:ind w:left="2880" w:hanging="360"/>
      </w:pPr>
      <w:rPr>
        <w:rFonts w:ascii="Symbol" w:hAnsi="Symbol" w:hint="default"/>
      </w:rPr>
    </w:lvl>
    <w:lvl w:ilvl="4" w:tplc="E2E4C572">
      <w:start w:val="1"/>
      <w:numFmt w:val="bullet"/>
      <w:lvlText w:val="o"/>
      <w:lvlJc w:val="left"/>
      <w:pPr>
        <w:ind w:left="3600" w:hanging="360"/>
      </w:pPr>
      <w:rPr>
        <w:rFonts w:ascii="Courier New" w:hAnsi="Courier New" w:hint="default"/>
      </w:rPr>
    </w:lvl>
    <w:lvl w:ilvl="5" w:tplc="541046B8">
      <w:start w:val="1"/>
      <w:numFmt w:val="bullet"/>
      <w:lvlText w:val=""/>
      <w:lvlJc w:val="left"/>
      <w:pPr>
        <w:ind w:left="4320" w:hanging="360"/>
      </w:pPr>
      <w:rPr>
        <w:rFonts w:ascii="Wingdings" w:hAnsi="Wingdings" w:hint="default"/>
      </w:rPr>
    </w:lvl>
    <w:lvl w:ilvl="6" w:tplc="61DE17EA">
      <w:start w:val="1"/>
      <w:numFmt w:val="bullet"/>
      <w:lvlText w:val=""/>
      <w:lvlJc w:val="left"/>
      <w:pPr>
        <w:ind w:left="5040" w:hanging="360"/>
      </w:pPr>
      <w:rPr>
        <w:rFonts w:ascii="Symbol" w:hAnsi="Symbol" w:hint="default"/>
      </w:rPr>
    </w:lvl>
    <w:lvl w:ilvl="7" w:tplc="CEB23BD4">
      <w:start w:val="1"/>
      <w:numFmt w:val="bullet"/>
      <w:lvlText w:val="o"/>
      <w:lvlJc w:val="left"/>
      <w:pPr>
        <w:ind w:left="5760" w:hanging="360"/>
      </w:pPr>
      <w:rPr>
        <w:rFonts w:ascii="Courier New" w:hAnsi="Courier New" w:hint="default"/>
      </w:rPr>
    </w:lvl>
    <w:lvl w:ilvl="8" w:tplc="AFDE5098">
      <w:start w:val="1"/>
      <w:numFmt w:val="bullet"/>
      <w:lvlText w:val=""/>
      <w:lvlJc w:val="left"/>
      <w:pPr>
        <w:ind w:left="6480" w:hanging="360"/>
      </w:pPr>
      <w:rPr>
        <w:rFonts w:ascii="Wingdings" w:hAnsi="Wingdings" w:hint="default"/>
      </w:rPr>
    </w:lvl>
  </w:abstractNum>
  <w:abstractNum w:abstractNumId="8" w15:restartNumberingAfterBreak="0">
    <w:nsid w:val="0CFB2419"/>
    <w:multiLevelType w:val="hybridMultilevel"/>
    <w:tmpl w:val="1130A074"/>
    <w:lvl w:ilvl="0" w:tplc="57A8460C">
      <w:start w:val="1"/>
      <w:numFmt w:val="decimal"/>
      <w:lvlText w:val="5.%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03864F2"/>
    <w:multiLevelType w:val="multilevel"/>
    <w:tmpl w:val="729A0E28"/>
    <w:lvl w:ilvl="0">
      <w:start w:val="1"/>
      <w:numFmt w:val="decimal"/>
      <w:lvlText w:val="%1."/>
      <w:lvlJc w:val="left"/>
      <w:pPr>
        <w:ind w:left="360" w:hanging="360"/>
      </w:pPr>
    </w:lvl>
    <w:lvl w:ilvl="1">
      <w:start w:val="1"/>
      <w:numFmt w:val="decimal"/>
      <w:lvlText w:val="%2."/>
      <w:lvlJc w:val="left"/>
      <w:pPr>
        <w:ind w:left="1440" w:hanging="360"/>
      </w:pPr>
    </w:lvl>
    <w:lvl w:ilvl="2">
      <w:start w:val="1"/>
      <w:numFmt w:val="lowerRoman"/>
      <w:lvlText w:val="%3."/>
      <w:lvlJc w:val="right"/>
      <w:pPr>
        <w:ind w:left="1800" w:hanging="180"/>
      </w:pPr>
    </w:lvl>
    <w:lvl w:ilvl="3">
      <w:start w:val="1"/>
      <w:numFmt w:val="decimal"/>
      <w:lvlText w:val="%4."/>
      <w:lvlJc w:val="left"/>
      <w:pPr>
        <w:ind w:left="180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189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15:restartNumberingAfterBreak="0">
    <w:nsid w:val="12086C1D"/>
    <w:multiLevelType w:val="hybridMultilevel"/>
    <w:tmpl w:val="D49CF79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15087990"/>
    <w:multiLevelType w:val="hybridMultilevel"/>
    <w:tmpl w:val="D5BC24E0"/>
    <w:lvl w:ilvl="0" w:tplc="BE206C24">
      <w:start w:val="4"/>
      <w:numFmt w:val="decimal"/>
      <w:lvlText w:val="4.2.5.%1"/>
      <w:lvlJc w:val="left"/>
      <w:pPr>
        <w:ind w:left="21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5F8371A"/>
    <w:multiLevelType w:val="hybridMultilevel"/>
    <w:tmpl w:val="432A38D8"/>
    <w:lvl w:ilvl="0" w:tplc="2EDE5D30">
      <w:start w:val="1"/>
      <w:numFmt w:val="bullet"/>
      <w:lvlText w:val=""/>
      <w:lvlJc w:val="left"/>
      <w:pPr>
        <w:ind w:left="720" w:hanging="360"/>
      </w:pPr>
      <w:rPr>
        <w:rFonts w:ascii="Symbol" w:hAnsi="Symbol" w:hint="default"/>
      </w:rPr>
    </w:lvl>
    <w:lvl w:ilvl="1" w:tplc="78CC9BBC">
      <w:start w:val="1"/>
      <w:numFmt w:val="bullet"/>
      <w:lvlText w:val=""/>
      <w:lvlJc w:val="left"/>
      <w:pPr>
        <w:ind w:left="1080" w:hanging="360"/>
      </w:pPr>
      <w:rPr>
        <w:rFonts w:ascii="Symbol" w:hAnsi="Symbol" w:hint="default"/>
      </w:rPr>
    </w:lvl>
    <w:lvl w:ilvl="2" w:tplc="1E308B76">
      <w:start w:val="1"/>
      <w:numFmt w:val="bullet"/>
      <w:lvlText w:val=""/>
      <w:lvlJc w:val="left"/>
      <w:pPr>
        <w:ind w:left="2160" w:hanging="360"/>
      </w:pPr>
      <w:rPr>
        <w:rFonts w:ascii="Wingdings" w:hAnsi="Wingdings" w:hint="default"/>
      </w:rPr>
    </w:lvl>
    <w:lvl w:ilvl="3" w:tplc="CC4C3E08">
      <w:start w:val="1"/>
      <w:numFmt w:val="bullet"/>
      <w:lvlText w:val=""/>
      <w:lvlJc w:val="left"/>
      <w:pPr>
        <w:ind w:left="2880" w:hanging="360"/>
      </w:pPr>
      <w:rPr>
        <w:rFonts w:ascii="Symbol" w:hAnsi="Symbol" w:hint="default"/>
      </w:rPr>
    </w:lvl>
    <w:lvl w:ilvl="4" w:tplc="3A2C08B8">
      <w:start w:val="1"/>
      <w:numFmt w:val="bullet"/>
      <w:lvlText w:val="o"/>
      <w:lvlJc w:val="left"/>
      <w:pPr>
        <w:ind w:left="3600" w:hanging="360"/>
      </w:pPr>
      <w:rPr>
        <w:rFonts w:ascii="Courier New" w:hAnsi="Courier New" w:hint="default"/>
      </w:rPr>
    </w:lvl>
    <w:lvl w:ilvl="5" w:tplc="FF68CAA4">
      <w:start w:val="1"/>
      <w:numFmt w:val="bullet"/>
      <w:lvlText w:val=""/>
      <w:lvlJc w:val="left"/>
      <w:pPr>
        <w:ind w:left="4320" w:hanging="360"/>
      </w:pPr>
      <w:rPr>
        <w:rFonts w:ascii="Wingdings" w:hAnsi="Wingdings" w:hint="default"/>
      </w:rPr>
    </w:lvl>
    <w:lvl w:ilvl="6" w:tplc="8BC8DE90">
      <w:start w:val="1"/>
      <w:numFmt w:val="bullet"/>
      <w:lvlText w:val=""/>
      <w:lvlJc w:val="left"/>
      <w:pPr>
        <w:ind w:left="5040" w:hanging="360"/>
      </w:pPr>
      <w:rPr>
        <w:rFonts w:ascii="Symbol" w:hAnsi="Symbol" w:hint="default"/>
      </w:rPr>
    </w:lvl>
    <w:lvl w:ilvl="7" w:tplc="E70C75BC">
      <w:start w:val="1"/>
      <w:numFmt w:val="bullet"/>
      <w:lvlText w:val="o"/>
      <w:lvlJc w:val="left"/>
      <w:pPr>
        <w:ind w:left="5760" w:hanging="360"/>
      </w:pPr>
      <w:rPr>
        <w:rFonts w:ascii="Courier New" w:hAnsi="Courier New" w:hint="default"/>
      </w:rPr>
    </w:lvl>
    <w:lvl w:ilvl="8" w:tplc="0E427242">
      <w:start w:val="1"/>
      <w:numFmt w:val="bullet"/>
      <w:lvlText w:val=""/>
      <w:lvlJc w:val="left"/>
      <w:pPr>
        <w:ind w:left="6480" w:hanging="360"/>
      </w:pPr>
      <w:rPr>
        <w:rFonts w:ascii="Wingdings" w:hAnsi="Wingdings" w:hint="default"/>
      </w:rPr>
    </w:lvl>
  </w:abstractNum>
  <w:abstractNum w:abstractNumId="13" w15:restartNumberingAfterBreak="0">
    <w:nsid w:val="1841370C"/>
    <w:multiLevelType w:val="hybridMultilevel"/>
    <w:tmpl w:val="1D744056"/>
    <w:lvl w:ilvl="0" w:tplc="00E2247C">
      <w:start w:val="1"/>
      <w:numFmt w:val="decimal"/>
      <w:lvlText w:val="4.2.2.1.%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1879002E"/>
    <w:multiLevelType w:val="hybridMultilevel"/>
    <w:tmpl w:val="FA10FBE4"/>
    <w:lvl w:ilvl="0" w:tplc="83688D12">
      <w:start w:val="3"/>
      <w:numFmt w:val="decimal"/>
      <w:lvlText w:val="2.3.1.%1 "/>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9725AE1"/>
    <w:multiLevelType w:val="hybridMultilevel"/>
    <w:tmpl w:val="C9F8E332"/>
    <w:lvl w:ilvl="0" w:tplc="A2C26124">
      <w:start w:val="1"/>
      <w:numFmt w:val="decimal"/>
      <w:lvlText w:val="4.2.3.%1"/>
      <w:lvlJc w:val="left"/>
      <w:pPr>
        <w:ind w:left="2160" w:hanging="360"/>
      </w:pPr>
      <w:rPr>
        <w:rFonts w:hint="default"/>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6" w15:restartNumberingAfterBreak="0">
    <w:nsid w:val="197B3CBB"/>
    <w:multiLevelType w:val="hybridMultilevel"/>
    <w:tmpl w:val="6FB019BE"/>
    <w:lvl w:ilvl="0" w:tplc="AD7A91E6">
      <w:start w:val="1"/>
      <w:numFmt w:val="decimal"/>
      <w:lvlText w:val="3.%1 "/>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19CF420A"/>
    <w:multiLevelType w:val="hybridMultilevel"/>
    <w:tmpl w:val="1C52CCA4"/>
    <w:lvl w:ilvl="0" w:tplc="104EF038">
      <w:start w:val="4"/>
      <w:numFmt w:val="decimal"/>
      <w:lvlText w:val="1.%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C2035E1"/>
    <w:multiLevelType w:val="multilevel"/>
    <w:tmpl w:val="7C126062"/>
    <w:lvl w:ilvl="0">
      <w:start w:val="2"/>
      <w:numFmt w:val="decimal"/>
      <w:lvlText w:val="%1"/>
      <w:lvlJc w:val="left"/>
      <w:pPr>
        <w:ind w:left="0" w:hanging="360"/>
      </w:pPr>
      <w:rPr>
        <w:rFonts w:hint="default"/>
      </w:rPr>
    </w:lvl>
    <w:lvl w:ilvl="1">
      <w:start w:val="2"/>
      <w:numFmt w:val="decimal"/>
      <w:lvlText w:val="%1.%2"/>
      <w:lvlJc w:val="left"/>
      <w:pPr>
        <w:ind w:left="0" w:hanging="360"/>
      </w:pPr>
      <w:rPr>
        <w:rFonts w:hint="default"/>
      </w:rPr>
    </w:lvl>
    <w:lvl w:ilvl="2">
      <w:start w:val="1"/>
      <w:numFmt w:val="decimal"/>
      <w:lvlText w:val="%1.%2.%3"/>
      <w:lvlJc w:val="left"/>
      <w:pPr>
        <w:ind w:left="360" w:hanging="720"/>
      </w:pPr>
      <w:rPr>
        <w:rFonts w:hint="default"/>
      </w:rPr>
    </w:lvl>
    <w:lvl w:ilvl="3">
      <w:start w:val="1"/>
      <w:numFmt w:val="decimal"/>
      <w:lvlText w:val="%1.%2.%3.%4"/>
      <w:lvlJc w:val="left"/>
      <w:pPr>
        <w:ind w:left="360" w:hanging="720"/>
      </w:pPr>
      <w:rPr>
        <w:rFonts w:hint="default"/>
      </w:rPr>
    </w:lvl>
    <w:lvl w:ilvl="4">
      <w:start w:val="1"/>
      <w:numFmt w:val="decimal"/>
      <w:lvlText w:val="%1.%2.%3.%4.%5"/>
      <w:lvlJc w:val="left"/>
      <w:pPr>
        <w:ind w:left="720" w:hanging="1080"/>
      </w:pPr>
      <w:rPr>
        <w:rFonts w:hint="default"/>
      </w:rPr>
    </w:lvl>
    <w:lvl w:ilvl="5">
      <w:start w:val="1"/>
      <w:numFmt w:val="decimal"/>
      <w:lvlText w:val="%1.%2.%3.%4.%5.%6"/>
      <w:lvlJc w:val="left"/>
      <w:pPr>
        <w:ind w:left="720" w:hanging="1080"/>
      </w:pPr>
      <w:rPr>
        <w:rFonts w:hint="default"/>
      </w:rPr>
    </w:lvl>
    <w:lvl w:ilvl="6">
      <w:start w:val="1"/>
      <w:numFmt w:val="decimal"/>
      <w:lvlText w:val="%1.%2.%3.%4.%5.%6.%7"/>
      <w:lvlJc w:val="left"/>
      <w:pPr>
        <w:ind w:left="1080" w:hanging="1440"/>
      </w:pPr>
      <w:rPr>
        <w:rFonts w:hint="default"/>
      </w:rPr>
    </w:lvl>
    <w:lvl w:ilvl="7">
      <w:start w:val="1"/>
      <w:numFmt w:val="decimal"/>
      <w:lvlText w:val="%1.%2.%3.%4.%5.%6.%7.%8"/>
      <w:lvlJc w:val="left"/>
      <w:pPr>
        <w:ind w:left="1080" w:hanging="1440"/>
      </w:pPr>
      <w:rPr>
        <w:rFonts w:hint="default"/>
      </w:rPr>
    </w:lvl>
    <w:lvl w:ilvl="8">
      <w:start w:val="1"/>
      <w:numFmt w:val="decimal"/>
      <w:lvlText w:val="%1.%2.%3.%4.%5.%6.%7.%8.%9"/>
      <w:lvlJc w:val="left"/>
      <w:pPr>
        <w:ind w:left="1440" w:hanging="1800"/>
      </w:pPr>
      <w:rPr>
        <w:rFonts w:hint="default"/>
      </w:rPr>
    </w:lvl>
  </w:abstractNum>
  <w:abstractNum w:abstractNumId="19" w15:restartNumberingAfterBreak="0">
    <w:nsid w:val="25513F3F"/>
    <w:multiLevelType w:val="hybridMultilevel"/>
    <w:tmpl w:val="B106B180"/>
    <w:lvl w:ilvl="0" w:tplc="C96AA1A8">
      <w:start w:val="1"/>
      <w:numFmt w:val="decimal"/>
      <w:lvlText w:val="1.4.%1 "/>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21" w15:restartNumberingAfterBreak="0">
    <w:nsid w:val="2BB911DF"/>
    <w:multiLevelType w:val="hybridMultilevel"/>
    <w:tmpl w:val="82F8E41E"/>
    <w:lvl w:ilvl="0" w:tplc="BFCC8300">
      <w:start w:val="1"/>
      <w:numFmt w:val="decimal"/>
      <w:lvlText w:val="4.3.2.%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2" w15:restartNumberingAfterBreak="0">
    <w:nsid w:val="2BED5A48"/>
    <w:multiLevelType w:val="hybridMultilevel"/>
    <w:tmpl w:val="A956BFE2"/>
    <w:lvl w:ilvl="0" w:tplc="9ED4CAB6">
      <w:start w:val="1"/>
      <w:numFmt w:val="decimal"/>
      <w:lvlText w:val="4.3.1.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D345C0E"/>
    <w:multiLevelType w:val="hybridMultilevel"/>
    <w:tmpl w:val="AE44ECFE"/>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4" w15:restartNumberingAfterBreak="0">
    <w:nsid w:val="2FB909A8"/>
    <w:multiLevelType w:val="hybridMultilevel"/>
    <w:tmpl w:val="939079EE"/>
    <w:lvl w:ilvl="0" w:tplc="D752E374">
      <w:start w:val="1"/>
      <w:numFmt w:val="upperLetter"/>
      <w:lvlText w:val="%1."/>
      <w:lvlJc w:val="left"/>
      <w:pPr>
        <w:ind w:left="108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08103EB"/>
    <w:multiLevelType w:val="hybridMultilevel"/>
    <w:tmpl w:val="DD602542"/>
    <w:lvl w:ilvl="0" w:tplc="AEACA838">
      <w:start w:val="1"/>
      <w:numFmt w:val="decimal"/>
      <w:lvlText w:val="4.3.3.%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6" w15:restartNumberingAfterBreak="0">
    <w:nsid w:val="32AF1BC7"/>
    <w:multiLevelType w:val="hybridMultilevel"/>
    <w:tmpl w:val="AFE2FD26"/>
    <w:lvl w:ilvl="0" w:tplc="B5565910">
      <w:start w:val="1"/>
      <w:numFmt w:val="decimal"/>
      <w:lvlText w:val="2.2.%1 "/>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7"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36534281"/>
    <w:multiLevelType w:val="hybridMultilevel"/>
    <w:tmpl w:val="EBA819E8"/>
    <w:lvl w:ilvl="0" w:tplc="38BAB6D0">
      <w:start w:val="1"/>
      <w:numFmt w:val="decimal"/>
      <w:lvlText w:val="4.2.4.1.%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366A3833"/>
    <w:multiLevelType w:val="hybridMultilevel"/>
    <w:tmpl w:val="85D227BE"/>
    <w:lvl w:ilvl="0" w:tplc="D556EACC">
      <w:start w:val="2"/>
      <w:numFmt w:val="decimal"/>
      <w:lvlText w:val="2.3.%1 "/>
      <w:lvlJc w:val="left"/>
      <w:pPr>
        <w:ind w:left="23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37270EF9"/>
    <w:multiLevelType w:val="hybridMultilevel"/>
    <w:tmpl w:val="58C03080"/>
    <w:lvl w:ilvl="0" w:tplc="473C304A">
      <w:start w:val="1"/>
      <w:numFmt w:val="decimal"/>
      <w:lvlText w:val="4.2.5.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36EEAEF"/>
    <w:multiLevelType w:val="multilevel"/>
    <w:tmpl w:val="797858DA"/>
    <w:lvl w:ilvl="0">
      <w:start w:val="1"/>
      <w:numFmt w:val="decimal"/>
      <w:lvlText w:val="%1."/>
      <w:lvlJc w:val="left"/>
      <w:pPr>
        <w:ind w:left="360" w:hanging="360"/>
      </w:pPr>
    </w:lvl>
    <w:lvl w:ilvl="1">
      <w:start w:val="1"/>
      <w:numFmt w:val="decimal"/>
      <w:lvlText w:val="%1."/>
      <w:lvlJc w:val="left"/>
      <w:pPr>
        <w:ind w:left="1080" w:hanging="360"/>
      </w:pPr>
    </w:lvl>
    <w:lvl w:ilvl="2">
      <w:start w:val="1"/>
      <w:numFmt w:val="lowerRoman"/>
      <w:lvlText w:val="%3."/>
      <w:lvlJc w:val="right"/>
      <w:pPr>
        <w:ind w:left="1800" w:hanging="180"/>
      </w:pPr>
    </w:lvl>
    <w:lvl w:ilvl="3">
      <w:start w:val="1"/>
      <w:numFmt w:val="decimal"/>
      <w:lvlText w:val="%4."/>
      <w:lvlJc w:val="left"/>
      <w:pPr>
        <w:ind w:left="180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153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2" w15:restartNumberingAfterBreak="0">
    <w:nsid w:val="437C1C5E"/>
    <w:multiLevelType w:val="hybridMultilevel"/>
    <w:tmpl w:val="02DC000E"/>
    <w:lvl w:ilvl="0" w:tplc="C04A74A2">
      <w:start w:val="1"/>
      <w:numFmt w:val="decimal"/>
      <w:lvlText w:val="6.6.%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44A94B0E"/>
    <w:multiLevelType w:val="hybridMultilevel"/>
    <w:tmpl w:val="E614348A"/>
    <w:lvl w:ilvl="0" w:tplc="0D8CFD5C">
      <w:start w:val="1"/>
      <w:numFmt w:val="decimal"/>
      <w:lvlText w:val="6.4.2.%1"/>
      <w:lvlJc w:val="left"/>
      <w:pPr>
        <w:ind w:left="2160" w:hanging="360"/>
      </w:pPr>
      <w:rPr>
        <w:rFonts w:hint="default"/>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34" w15:restartNumberingAfterBreak="0">
    <w:nsid w:val="4A980053"/>
    <w:multiLevelType w:val="hybridMultilevel"/>
    <w:tmpl w:val="441A20B0"/>
    <w:lvl w:ilvl="0" w:tplc="31A29D1E">
      <w:start w:val="1"/>
      <w:numFmt w:val="decimal"/>
      <w:lvlText w:val="2.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F3E31C2"/>
    <w:multiLevelType w:val="hybridMultilevel"/>
    <w:tmpl w:val="7E24C38A"/>
    <w:lvl w:ilvl="0" w:tplc="C3FC1F38">
      <w:start w:val="1"/>
      <w:numFmt w:val="decimal"/>
      <w:lvlText w:val="4.2.5.1.%1"/>
      <w:lvlJc w:val="left"/>
      <w:pPr>
        <w:ind w:left="21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51CE11E9"/>
    <w:multiLevelType w:val="multilevel"/>
    <w:tmpl w:val="687841DE"/>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522B14E9"/>
    <w:multiLevelType w:val="multilevel"/>
    <w:tmpl w:val="840A0D92"/>
    <w:lvl w:ilvl="0">
      <w:start w:val="1"/>
      <w:numFmt w:val="decimal"/>
      <w:lvlText w:val="%1."/>
      <w:lvlJc w:val="left"/>
      <w:pPr>
        <w:ind w:left="720" w:hanging="360"/>
      </w:pPr>
    </w:lvl>
    <w:lvl w:ilvl="1">
      <w:start w:val="1"/>
      <w:numFmt w:val="bullet"/>
      <w:lvlText w:val=""/>
      <w:lvlJc w:val="left"/>
      <w:pPr>
        <w:ind w:left="1068"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52957262"/>
    <w:multiLevelType w:val="hybridMultilevel"/>
    <w:tmpl w:val="6F0469B4"/>
    <w:lvl w:ilvl="0" w:tplc="7640FB48">
      <w:start w:val="1"/>
      <w:numFmt w:val="decimal"/>
      <w:lvlText w:val="4.%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50E50A6"/>
    <w:multiLevelType w:val="hybridMultilevel"/>
    <w:tmpl w:val="005866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5650141A"/>
    <w:multiLevelType w:val="hybridMultilevel"/>
    <w:tmpl w:val="BD9EE19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15:restartNumberingAfterBreak="0">
    <w:nsid w:val="571C1D96"/>
    <w:multiLevelType w:val="hybridMultilevel"/>
    <w:tmpl w:val="E3F25B94"/>
    <w:lvl w:ilvl="0" w:tplc="5B9CE092">
      <w:start w:val="3"/>
      <w:numFmt w:val="decimal"/>
      <w:lvlText w:val="3.1.%1 "/>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58A163AC"/>
    <w:multiLevelType w:val="multilevel"/>
    <w:tmpl w:val="C15A52F6"/>
    <w:lvl w:ilvl="0">
      <w:start w:val="1"/>
      <w:numFmt w:val="decimal"/>
      <w:lvlText w:val="4.3.3.2.%1"/>
      <w:lvlJc w:val="left"/>
      <w:pPr>
        <w:tabs>
          <w:tab w:val="num" w:pos="720"/>
        </w:tabs>
        <w:ind w:left="720" w:hanging="720"/>
      </w:pPr>
      <w:rPr>
        <w:rFont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3" w15:restartNumberingAfterBreak="0">
    <w:nsid w:val="5973578C"/>
    <w:multiLevelType w:val="multilevel"/>
    <w:tmpl w:val="66E84D02"/>
    <w:lvl w:ilvl="0">
      <w:start w:val="4"/>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1"/>
      <w:numFmt w:val="decimal"/>
      <w:lvlText w:val="4.2.%3 "/>
      <w:lvlJc w:val="left"/>
      <w:pPr>
        <w:ind w:left="720" w:hanging="36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4" w15:restartNumberingAfterBreak="0">
    <w:nsid w:val="59A97E2E"/>
    <w:multiLevelType w:val="hybridMultilevel"/>
    <w:tmpl w:val="72D8481A"/>
    <w:lvl w:ilvl="0" w:tplc="B5A4006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59B71858"/>
    <w:multiLevelType w:val="hybridMultilevel"/>
    <w:tmpl w:val="E33E4758"/>
    <w:lvl w:ilvl="0" w:tplc="38324D0E">
      <w:start w:val="1"/>
      <w:numFmt w:val="decimal"/>
      <w:lvlText w:val="4.3.2.1.%1"/>
      <w:lvlJc w:val="left"/>
      <w:pPr>
        <w:ind w:left="21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5C3403F7"/>
    <w:multiLevelType w:val="hybridMultilevel"/>
    <w:tmpl w:val="C97AFA64"/>
    <w:lvl w:ilvl="0" w:tplc="F0300102">
      <w:start w:val="1"/>
      <w:numFmt w:val="decimal"/>
      <w:lvlText w:val="6.%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E430569"/>
    <w:multiLevelType w:val="multilevel"/>
    <w:tmpl w:val="B254D452"/>
    <w:lvl w:ilvl="0">
      <w:start w:val="1"/>
      <w:numFmt w:val="decimal"/>
      <w:lvlText w:val="%1."/>
      <w:lvlJc w:val="left"/>
      <w:pPr>
        <w:ind w:left="450" w:hanging="360"/>
      </w:pPr>
      <w:rPr>
        <w:rFonts w:hint="default"/>
      </w:rPr>
    </w:lvl>
    <w:lvl w:ilvl="1">
      <w:start w:val="2"/>
      <w:numFmt w:val="decimal"/>
      <w:isLgl/>
      <w:lvlText w:val="%1.%2."/>
      <w:lvlJc w:val="left"/>
      <w:pPr>
        <w:ind w:left="945" w:hanging="54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755" w:hanging="720"/>
      </w:pPr>
      <w:rPr>
        <w:rFonts w:hint="default"/>
      </w:rPr>
    </w:lvl>
    <w:lvl w:ilvl="4">
      <w:start w:val="1"/>
      <w:numFmt w:val="decimal"/>
      <w:isLgl/>
      <w:lvlText w:val="%1.%2.%3.%4.%5."/>
      <w:lvlJc w:val="left"/>
      <w:pPr>
        <w:ind w:left="2430" w:hanging="1080"/>
      </w:pPr>
      <w:rPr>
        <w:rFonts w:hint="default"/>
      </w:rPr>
    </w:lvl>
    <w:lvl w:ilvl="5">
      <w:start w:val="1"/>
      <w:numFmt w:val="decimal"/>
      <w:isLgl/>
      <w:lvlText w:val="%1.%2.%3.%4.%5.%6."/>
      <w:lvlJc w:val="left"/>
      <w:pPr>
        <w:ind w:left="2745" w:hanging="1080"/>
      </w:pPr>
      <w:rPr>
        <w:rFonts w:hint="default"/>
      </w:rPr>
    </w:lvl>
    <w:lvl w:ilvl="6">
      <w:start w:val="1"/>
      <w:numFmt w:val="decimal"/>
      <w:isLgl/>
      <w:lvlText w:val="%1.%2.%3.%4.%5.%6.%7."/>
      <w:lvlJc w:val="left"/>
      <w:pPr>
        <w:ind w:left="3420" w:hanging="1440"/>
      </w:pPr>
      <w:rPr>
        <w:rFonts w:hint="default"/>
      </w:rPr>
    </w:lvl>
    <w:lvl w:ilvl="7">
      <w:start w:val="1"/>
      <w:numFmt w:val="decimal"/>
      <w:isLgl/>
      <w:lvlText w:val="%1.%2.%3.%4.%5.%6.%7.%8."/>
      <w:lvlJc w:val="left"/>
      <w:pPr>
        <w:ind w:left="3735" w:hanging="1440"/>
      </w:pPr>
      <w:rPr>
        <w:rFonts w:hint="default"/>
      </w:rPr>
    </w:lvl>
    <w:lvl w:ilvl="8">
      <w:start w:val="1"/>
      <w:numFmt w:val="decimal"/>
      <w:isLgl/>
      <w:lvlText w:val="%1.%2.%3.%4.%5.%6.%7.%8.%9."/>
      <w:lvlJc w:val="left"/>
      <w:pPr>
        <w:ind w:left="4410" w:hanging="1800"/>
      </w:pPr>
      <w:rPr>
        <w:rFonts w:hint="default"/>
      </w:rPr>
    </w:lvl>
  </w:abstractNum>
  <w:abstractNum w:abstractNumId="48" w15:restartNumberingAfterBreak="0">
    <w:nsid w:val="5E537358"/>
    <w:multiLevelType w:val="hybridMultilevel"/>
    <w:tmpl w:val="8B747C12"/>
    <w:lvl w:ilvl="0" w:tplc="E97A7F94">
      <w:start w:val="1"/>
      <w:numFmt w:val="decimal"/>
      <w:lvlText w:val="2.%1 "/>
      <w:lvlJc w:val="left"/>
      <w:pPr>
        <w:ind w:left="11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00269DA"/>
    <w:multiLevelType w:val="hybridMultilevel"/>
    <w:tmpl w:val="C1CE95B6"/>
    <w:lvl w:ilvl="0" w:tplc="74706D26">
      <w:start w:val="1"/>
      <w:numFmt w:val="decimal"/>
      <w:lvlText w:val="4.2.5.%1"/>
      <w:lvlJc w:val="left"/>
      <w:pPr>
        <w:ind w:left="21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63D644EE"/>
    <w:multiLevelType w:val="hybridMultilevel"/>
    <w:tmpl w:val="2752CCE0"/>
    <w:lvl w:ilvl="0" w:tplc="D752E374">
      <w:start w:val="1"/>
      <w:numFmt w:val="upperLetter"/>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51" w15:restartNumberingAfterBreak="0">
    <w:nsid w:val="68B1AD81"/>
    <w:multiLevelType w:val="multilevel"/>
    <w:tmpl w:val="792642F6"/>
    <w:lvl w:ilvl="0">
      <w:start w:val="1"/>
      <w:numFmt w:val="decimal"/>
      <w:lvlText w:val="%1."/>
      <w:lvlJc w:val="left"/>
      <w:pPr>
        <w:ind w:left="720" w:hanging="360"/>
      </w:pPr>
    </w:lvl>
    <w:lvl w:ilvl="1">
      <w:start w:val="1"/>
      <w:numFmt w:val="decimal"/>
      <w:lvlText w:val="%2)"/>
      <w:lvlJc w:val="left"/>
      <w:pPr>
        <w:ind w:left="1440" w:hanging="360"/>
      </w:pPr>
      <w:rPr>
        <w:rFonts w:ascii="Times New Roman" w:eastAsia="Times New Roman" w:hAnsi="Times New Roman" w:hint="default"/>
        <w:w w:val="99"/>
        <w:sz w:val="24"/>
        <w:szCs w:val="24"/>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69844AEC"/>
    <w:multiLevelType w:val="multilevel"/>
    <w:tmpl w:val="D9AC51EA"/>
    <w:lvl w:ilvl="0">
      <w:start w:val="1"/>
      <w:numFmt w:val="decimal"/>
      <w:lvlText w:val="%1."/>
      <w:lvlJc w:val="left"/>
      <w:pPr>
        <w:ind w:left="1800" w:hanging="360"/>
      </w:pPr>
    </w:lvl>
    <w:lvl w:ilvl="1">
      <w:start w:val="2"/>
      <w:numFmt w:val="decimal"/>
      <w:isLgl/>
      <w:lvlText w:val="%1.%2"/>
      <w:lvlJc w:val="left"/>
      <w:pPr>
        <w:ind w:left="2400" w:hanging="720"/>
      </w:pPr>
      <w:rPr>
        <w:rFonts w:hint="default"/>
      </w:rPr>
    </w:lvl>
    <w:lvl w:ilvl="2">
      <w:start w:val="2"/>
      <w:numFmt w:val="decimal"/>
      <w:isLgl/>
      <w:lvlText w:val="%1.%2.%3"/>
      <w:lvlJc w:val="left"/>
      <w:pPr>
        <w:ind w:left="2149" w:hanging="720"/>
      </w:pPr>
      <w:rPr>
        <w:rFonts w:hint="default"/>
      </w:rPr>
    </w:lvl>
    <w:lvl w:ilvl="3">
      <w:start w:val="1"/>
      <w:numFmt w:val="decimal"/>
      <w:isLgl/>
      <w:lvlText w:val="%1.%2.%3.%4"/>
      <w:lvlJc w:val="left"/>
      <w:pPr>
        <w:ind w:left="2858" w:hanging="720"/>
      </w:pPr>
      <w:rPr>
        <w:rFonts w:hint="default"/>
      </w:rPr>
    </w:lvl>
    <w:lvl w:ilvl="4">
      <w:start w:val="1"/>
      <w:numFmt w:val="decimal"/>
      <w:isLgl/>
      <w:lvlText w:val="%1.%2.%3.%4.%5"/>
      <w:lvlJc w:val="left"/>
      <w:pPr>
        <w:ind w:left="3480" w:hanging="1080"/>
      </w:pPr>
      <w:rPr>
        <w:rFonts w:hint="default"/>
      </w:rPr>
    </w:lvl>
    <w:lvl w:ilvl="5">
      <w:start w:val="1"/>
      <w:numFmt w:val="decimal"/>
      <w:isLgl/>
      <w:lvlText w:val="%1.%2.%3.%4.%5.%6"/>
      <w:lvlJc w:val="left"/>
      <w:pPr>
        <w:ind w:left="372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560" w:hanging="1440"/>
      </w:pPr>
      <w:rPr>
        <w:rFonts w:hint="default"/>
      </w:rPr>
    </w:lvl>
    <w:lvl w:ilvl="8">
      <w:start w:val="1"/>
      <w:numFmt w:val="decimal"/>
      <w:isLgl/>
      <w:lvlText w:val="%1.%2.%3.%4.%5.%6.%7.%8.%9"/>
      <w:lvlJc w:val="left"/>
      <w:pPr>
        <w:ind w:left="5160" w:hanging="1800"/>
      </w:pPr>
      <w:rPr>
        <w:rFonts w:hint="default"/>
      </w:rPr>
    </w:lvl>
  </w:abstractNum>
  <w:abstractNum w:abstractNumId="53" w15:restartNumberingAfterBreak="0">
    <w:nsid w:val="69BD3A67"/>
    <w:multiLevelType w:val="hybridMultilevel"/>
    <w:tmpl w:val="4F2A6AA6"/>
    <w:lvl w:ilvl="0" w:tplc="092A0ECC">
      <w:start w:val="1"/>
      <w:numFmt w:val="decimal"/>
      <w:lvlText w:val="4.2.4.2.%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6B0E3C63"/>
    <w:multiLevelType w:val="hybridMultilevel"/>
    <w:tmpl w:val="A8C28E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5" w15:restartNumberingAfterBreak="0">
    <w:nsid w:val="6CE13D0B"/>
    <w:multiLevelType w:val="hybridMultilevel"/>
    <w:tmpl w:val="FB9AD914"/>
    <w:lvl w:ilvl="0" w:tplc="F7C2989A">
      <w:start w:val="1"/>
      <w:numFmt w:val="decimal"/>
      <w:lvlText w:val="4.2.3.1.%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6F0561F2"/>
    <w:multiLevelType w:val="hybridMultilevel"/>
    <w:tmpl w:val="984C4200"/>
    <w:lvl w:ilvl="0" w:tplc="473C304A">
      <w:start w:val="1"/>
      <w:numFmt w:val="decimal"/>
      <w:lvlText w:val="4.2.5.3.%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7" w15:restartNumberingAfterBreak="0">
    <w:nsid w:val="6FFE3158"/>
    <w:multiLevelType w:val="hybridMultilevel"/>
    <w:tmpl w:val="4DF66AF4"/>
    <w:lvl w:ilvl="0" w:tplc="E3FE25F4">
      <w:start w:val="1"/>
      <w:numFmt w:val="decimal"/>
      <w:lvlText w:val="4.2.1.%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8" w15:restartNumberingAfterBreak="0">
    <w:nsid w:val="73B41198"/>
    <w:multiLevelType w:val="hybridMultilevel"/>
    <w:tmpl w:val="EAB4A3AC"/>
    <w:lvl w:ilvl="0" w:tplc="4F26FF12">
      <w:start w:val="1"/>
      <w:numFmt w:val="decimal"/>
      <w:lvlText w:val="6.6.2.%1"/>
      <w:lvlJc w:val="left"/>
      <w:pPr>
        <w:ind w:left="216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9" w15:restartNumberingAfterBreak="0">
    <w:nsid w:val="742E5C1E"/>
    <w:multiLevelType w:val="hybridMultilevel"/>
    <w:tmpl w:val="C150A0AC"/>
    <w:lvl w:ilvl="0" w:tplc="6402FA78">
      <w:start w:val="1"/>
      <w:numFmt w:val="decimal"/>
      <w:lvlText w:val="3.3.%1 "/>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60" w15:restartNumberingAfterBreak="0">
    <w:nsid w:val="74C6138D"/>
    <w:multiLevelType w:val="hybridMultilevel"/>
    <w:tmpl w:val="CBB81026"/>
    <w:lvl w:ilvl="0" w:tplc="205CC80C">
      <w:start w:val="1"/>
      <w:numFmt w:val="decimal"/>
      <w:lvlText w:val="2.3.%1 "/>
      <w:lvlJc w:val="left"/>
      <w:pPr>
        <w:ind w:left="11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78035480"/>
    <w:multiLevelType w:val="hybridMultilevel"/>
    <w:tmpl w:val="623E736E"/>
    <w:lvl w:ilvl="0" w:tplc="6688ED7C">
      <w:start w:val="1"/>
      <w:numFmt w:val="decimal"/>
      <w:lvlText w:val="3.1.%1 "/>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2" w15:restartNumberingAfterBreak="0">
    <w:nsid w:val="78080E80"/>
    <w:multiLevelType w:val="hybridMultilevel"/>
    <w:tmpl w:val="D702FC32"/>
    <w:lvl w:ilvl="0" w:tplc="574EA024">
      <w:start w:val="2"/>
      <w:numFmt w:val="decimal"/>
      <w:lvlText w:val="3.%1 "/>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79DA6433"/>
    <w:multiLevelType w:val="hybridMultilevel"/>
    <w:tmpl w:val="2014E0F0"/>
    <w:lvl w:ilvl="0" w:tplc="030A045C">
      <w:start w:val="1"/>
      <w:numFmt w:val="decimal"/>
      <w:lvlText w:val="4.2.1.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AC47CA8"/>
    <w:multiLevelType w:val="hybridMultilevel"/>
    <w:tmpl w:val="2E9468FE"/>
    <w:lvl w:ilvl="0" w:tplc="FD08E748">
      <w:start w:val="1"/>
      <w:numFmt w:val="decimal"/>
      <w:lvlText w:val="4.2.5.1.5.%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7BC637B1"/>
    <w:multiLevelType w:val="hybridMultilevel"/>
    <w:tmpl w:val="A6467128"/>
    <w:lvl w:ilvl="0" w:tplc="233E721A">
      <w:start w:val="1"/>
      <w:numFmt w:val="decimal"/>
      <w:lvlText w:val="4.3.1.%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6" w15:restartNumberingAfterBreak="0">
    <w:nsid w:val="7BD738C9"/>
    <w:multiLevelType w:val="hybridMultilevel"/>
    <w:tmpl w:val="FFB43582"/>
    <w:lvl w:ilvl="0" w:tplc="0FF46720">
      <w:start w:val="1"/>
      <w:numFmt w:val="decimal"/>
      <w:lvlText w:val="1.3.%1 "/>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81563352">
    <w:abstractNumId w:val="7"/>
  </w:num>
  <w:num w:numId="2" w16cid:durableId="931161228">
    <w:abstractNumId w:val="12"/>
  </w:num>
  <w:num w:numId="3" w16cid:durableId="640815399">
    <w:abstractNumId w:val="27"/>
  </w:num>
  <w:num w:numId="4" w16cid:durableId="2082291165">
    <w:abstractNumId w:val="18"/>
  </w:num>
  <w:num w:numId="5" w16cid:durableId="1365404314">
    <w:abstractNumId w:val="17"/>
  </w:num>
  <w:num w:numId="6" w16cid:durableId="260336019">
    <w:abstractNumId w:val="52"/>
  </w:num>
  <w:num w:numId="7" w16cid:durableId="2146308277">
    <w:abstractNumId w:val="48"/>
  </w:num>
  <w:num w:numId="8" w16cid:durableId="211580363">
    <w:abstractNumId w:val="26"/>
  </w:num>
  <w:num w:numId="9" w16cid:durableId="1648125822">
    <w:abstractNumId w:val="66"/>
  </w:num>
  <w:num w:numId="10" w16cid:durableId="1308437501">
    <w:abstractNumId w:val="19"/>
  </w:num>
  <w:num w:numId="11" w16cid:durableId="43331499">
    <w:abstractNumId w:val="47"/>
  </w:num>
  <w:num w:numId="12" w16cid:durableId="1171063165">
    <w:abstractNumId w:val="34"/>
  </w:num>
  <w:num w:numId="13" w16cid:durableId="981739697">
    <w:abstractNumId w:val="62"/>
  </w:num>
  <w:num w:numId="14" w16cid:durableId="2082176365">
    <w:abstractNumId w:val="60"/>
  </w:num>
  <w:num w:numId="15" w16cid:durableId="1892224669">
    <w:abstractNumId w:val="2"/>
  </w:num>
  <w:num w:numId="16" w16cid:durableId="1859851565">
    <w:abstractNumId w:val="14"/>
  </w:num>
  <w:num w:numId="17" w16cid:durableId="220946169">
    <w:abstractNumId w:val="29"/>
  </w:num>
  <w:num w:numId="18" w16cid:durableId="1859659013">
    <w:abstractNumId w:val="31"/>
  </w:num>
  <w:num w:numId="19" w16cid:durableId="1454985655">
    <w:abstractNumId w:val="9"/>
  </w:num>
  <w:num w:numId="20" w16cid:durableId="994576033">
    <w:abstractNumId w:val="16"/>
  </w:num>
  <w:num w:numId="21" w16cid:durableId="1749691449">
    <w:abstractNumId w:val="61"/>
  </w:num>
  <w:num w:numId="22" w16cid:durableId="1657875324">
    <w:abstractNumId w:val="41"/>
  </w:num>
  <w:num w:numId="23" w16cid:durableId="1928348312">
    <w:abstractNumId w:val="59"/>
  </w:num>
  <w:num w:numId="24" w16cid:durableId="785657833">
    <w:abstractNumId w:val="36"/>
  </w:num>
  <w:num w:numId="25" w16cid:durableId="1249579576">
    <w:abstractNumId w:val="43"/>
  </w:num>
  <w:num w:numId="26" w16cid:durableId="1814516796">
    <w:abstractNumId w:val="49"/>
  </w:num>
  <w:num w:numId="27" w16cid:durableId="893082639">
    <w:abstractNumId w:val="35"/>
  </w:num>
  <w:num w:numId="28" w16cid:durableId="2117359284">
    <w:abstractNumId w:val="45"/>
  </w:num>
  <w:num w:numId="29" w16cid:durableId="141239695">
    <w:abstractNumId w:val="38"/>
  </w:num>
  <w:num w:numId="30" w16cid:durableId="1197231394">
    <w:abstractNumId w:val="57"/>
  </w:num>
  <w:num w:numId="31" w16cid:durableId="1431121505">
    <w:abstractNumId w:val="63"/>
  </w:num>
  <w:num w:numId="32" w16cid:durableId="805272667">
    <w:abstractNumId w:val="0"/>
  </w:num>
  <w:num w:numId="33" w16cid:durableId="991953062">
    <w:abstractNumId w:val="13"/>
  </w:num>
  <w:num w:numId="34" w16cid:durableId="1812364204">
    <w:abstractNumId w:val="15"/>
  </w:num>
  <w:num w:numId="35" w16cid:durableId="1104225708">
    <w:abstractNumId w:val="55"/>
  </w:num>
  <w:num w:numId="36" w16cid:durableId="1534424072">
    <w:abstractNumId w:val="53"/>
  </w:num>
  <w:num w:numId="37" w16cid:durableId="1706783337">
    <w:abstractNumId w:val="28"/>
  </w:num>
  <w:num w:numId="38" w16cid:durableId="1416124416">
    <w:abstractNumId w:val="5"/>
  </w:num>
  <w:num w:numId="39" w16cid:durableId="1349016282">
    <w:abstractNumId w:val="30"/>
  </w:num>
  <w:num w:numId="40" w16cid:durableId="340083873">
    <w:abstractNumId w:val="3"/>
  </w:num>
  <w:num w:numId="41" w16cid:durableId="343944565">
    <w:abstractNumId w:val="65"/>
  </w:num>
  <w:num w:numId="42" w16cid:durableId="2106535938">
    <w:abstractNumId w:val="22"/>
  </w:num>
  <w:num w:numId="43" w16cid:durableId="2014674794">
    <w:abstractNumId w:val="21"/>
  </w:num>
  <w:num w:numId="44" w16cid:durableId="1547138158">
    <w:abstractNumId w:val="25"/>
  </w:num>
  <w:num w:numId="45" w16cid:durableId="358314821">
    <w:abstractNumId w:val="1"/>
  </w:num>
  <w:num w:numId="46" w16cid:durableId="1481849140">
    <w:abstractNumId w:val="42"/>
  </w:num>
  <w:num w:numId="47" w16cid:durableId="1063677223">
    <w:abstractNumId w:val="37"/>
  </w:num>
  <w:num w:numId="48" w16cid:durableId="1578399467">
    <w:abstractNumId w:val="8"/>
  </w:num>
  <w:num w:numId="49" w16cid:durableId="1531601395">
    <w:abstractNumId w:val="46"/>
  </w:num>
  <w:num w:numId="50" w16cid:durableId="975990312">
    <w:abstractNumId w:val="11"/>
  </w:num>
  <w:num w:numId="51" w16cid:durableId="170993162">
    <w:abstractNumId w:val="32"/>
  </w:num>
  <w:num w:numId="52" w16cid:durableId="587034784">
    <w:abstractNumId w:val="40"/>
  </w:num>
  <w:num w:numId="53" w16cid:durableId="1988824613">
    <w:abstractNumId w:val="54"/>
  </w:num>
  <w:num w:numId="54" w16cid:durableId="425199567">
    <w:abstractNumId w:val="39"/>
  </w:num>
  <w:num w:numId="55" w16cid:durableId="876159081">
    <w:abstractNumId w:val="23"/>
  </w:num>
  <w:num w:numId="56" w16cid:durableId="481847883">
    <w:abstractNumId w:val="33"/>
  </w:num>
  <w:num w:numId="57" w16cid:durableId="1277906381">
    <w:abstractNumId w:val="24"/>
  </w:num>
  <w:num w:numId="58" w16cid:durableId="1787038997">
    <w:abstractNumId w:val="4"/>
  </w:num>
  <w:num w:numId="59" w16cid:durableId="347409255">
    <w:abstractNumId w:val="50"/>
  </w:num>
  <w:num w:numId="60" w16cid:durableId="1913730416">
    <w:abstractNumId w:val="10"/>
  </w:num>
  <w:num w:numId="61" w16cid:durableId="1515653738">
    <w:abstractNumId w:val="44"/>
  </w:num>
  <w:num w:numId="62" w16cid:durableId="1086807744">
    <w:abstractNumId w:val="20"/>
  </w:num>
  <w:num w:numId="63" w16cid:durableId="1226187239">
    <w:abstractNumId w:val="6"/>
  </w:num>
  <w:num w:numId="64" w16cid:durableId="1928267123">
    <w:abstractNumId w:val="51"/>
  </w:num>
  <w:num w:numId="65" w16cid:durableId="1656252482">
    <w:abstractNumId w:val="64"/>
  </w:num>
  <w:num w:numId="66" w16cid:durableId="1591624035">
    <w:abstractNumId w:val="56"/>
  </w:num>
  <w:num w:numId="67" w16cid:durableId="1309827378">
    <w:abstractNumId w:val="58"/>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2"/>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704B"/>
    <w:rsid w:val="0000018A"/>
    <w:rsid w:val="00000287"/>
    <w:rsid w:val="000003ED"/>
    <w:rsid w:val="00000A0A"/>
    <w:rsid w:val="00000E86"/>
    <w:rsid w:val="000010AC"/>
    <w:rsid w:val="0000128B"/>
    <w:rsid w:val="0000169C"/>
    <w:rsid w:val="000017BD"/>
    <w:rsid w:val="00001DC8"/>
    <w:rsid w:val="00001E35"/>
    <w:rsid w:val="00002157"/>
    <w:rsid w:val="000021FD"/>
    <w:rsid w:val="00002402"/>
    <w:rsid w:val="0000247F"/>
    <w:rsid w:val="0000279C"/>
    <w:rsid w:val="000029AF"/>
    <w:rsid w:val="000029B8"/>
    <w:rsid w:val="00002B9F"/>
    <w:rsid w:val="00002BCA"/>
    <w:rsid w:val="00003374"/>
    <w:rsid w:val="000033D0"/>
    <w:rsid w:val="00003450"/>
    <w:rsid w:val="00003598"/>
    <w:rsid w:val="00003769"/>
    <w:rsid w:val="000038E8"/>
    <w:rsid w:val="00003987"/>
    <w:rsid w:val="00003AD4"/>
    <w:rsid w:val="00003B59"/>
    <w:rsid w:val="00003DFD"/>
    <w:rsid w:val="00004316"/>
    <w:rsid w:val="00004381"/>
    <w:rsid w:val="00004433"/>
    <w:rsid w:val="00004481"/>
    <w:rsid w:val="00004791"/>
    <w:rsid w:val="00004FC4"/>
    <w:rsid w:val="000051EC"/>
    <w:rsid w:val="000054E1"/>
    <w:rsid w:val="000056EE"/>
    <w:rsid w:val="0000571C"/>
    <w:rsid w:val="00005761"/>
    <w:rsid w:val="00005774"/>
    <w:rsid w:val="00005B44"/>
    <w:rsid w:val="00005BBF"/>
    <w:rsid w:val="00005C6A"/>
    <w:rsid w:val="00005F06"/>
    <w:rsid w:val="00005F17"/>
    <w:rsid w:val="00006011"/>
    <w:rsid w:val="000062F9"/>
    <w:rsid w:val="00006674"/>
    <w:rsid w:val="000066FB"/>
    <w:rsid w:val="00006723"/>
    <w:rsid w:val="00006A79"/>
    <w:rsid w:val="00006FDD"/>
    <w:rsid w:val="0000708F"/>
    <w:rsid w:val="000070EA"/>
    <w:rsid w:val="000072DE"/>
    <w:rsid w:val="000073B8"/>
    <w:rsid w:val="000074FE"/>
    <w:rsid w:val="00007608"/>
    <w:rsid w:val="00007B82"/>
    <w:rsid w:val="00007E90"/>
    <w:rsid w:val="000107A3"/>
    <w:rsid w:val="00010A14"/>
    <w:rsid w:val="00010ACE"/>
    <w:rsid w:val="00010B4E"/>
    <w:rsid w:val="0001112F"/>
    <w:rsid w:val="00011156"/>
    <w:rsid w:val="000111FE"/>
    <w:rsid w:val="00011508"/>
    <w:rsid w:val="0001153B"/>
    <w:rsid w:val="00011662"/>
    <w:rsid w:val="00011ACB"/>
    <w:rsid w:val="00011C1E"/>
    <w:rsid w:val="00011C23"/>
    <w:rsid w:val="00011CEE"/>
    <w:rsid w:val="00011F27"/>
    <w:rsid w:val="00012083"/>
    <w:rsid w:val="0001212D"/>
    <w:rsid w:val="0001244D"/>
    <w:rsid w:val="0001293C"/>
    <w:rsid w:val="00012C05"/>
    <w:rsid w:val="00012D5A"/>
    <w:rsid w:val="00012DB7"/>
    <w:rsid w:val="00012E43"/>
    <w:rsid w:val="0001304E"/>
    <w:rsid w:val="00013717"/>
    <w:rsid w:val="00013B58"/>
    <w:rsid w:val="00013BCD"/>
    <w:rsid w:val="00013F34"/>
    <w:rsid w:val="000148E0"/>
    <w:rsid w:val="00014965"/>
    <w:rsid w:val="00014BD3"/>
    <w:rsid w:val="00014CB1"/>
    <w:rsid w:val="000153B8"/>
    <w:rsid w:val="000159EC"/>
    <w:rsid w:val="00015A17"/>
    <w:rsid w:val="00015F83"/>
    <w:rsid w:val="00015FB0"/>
    <w:rsid w:val="000161AB"/>
    <w:rsid w:val="000165B9"/>
    <w:rsid w:val="000165D3"/>
    <w:rsid w:val="000165F8"/>
    <w:rsid w:val="00016688"/>
    <w:rsid w:val="000166A9"/>
    <w:rsid w:val="000169F0"/>
    <w:rsid w:val="00016CEF"/>
    <w:rsid w:val="00016F86"/>
    <w:rsid w:val="00016FD2"/>
    <w:rsid w:val="00017077"/>
    <w:rsid w:val="000170D0"/>
    <w:rsid w:val="0001740C"/>
    <w:rsid w:val="000174AD"/>
    <w:rsid w:val="000176EA"/>
    <w:rsid w:val="000176EF"/>
    <w:rsid w:val="00017733"/>
    <w:rsid w:val="000177FF"/>
    <w:rsid w:val="0001783B"/>
    <w:rsid w:val="0001786F"/>
    <w:rsid w:val="00017CFF"/>
    <w:rsid w:val="00017E91"/>
    <w:rsid w:val="0002000F"/>
    <w:rsid w:val="00020110"/>
    <w:rsid w:val="0002014E"/>
    <w:rsid w:val="000201B0"/>
    <w:rsid w:val="000201BA"/>
    <w:rsid w:val="00020643"/>
    <w:rsid w:val="00020757"/>
    <w:rsid w:val="00020E21"/>
    <w:rsid w:val="00020EC1"/>
    <w:rsid w:val="00021C00"/>
    <w:rsid w:val="00021D68"/>
    <w:rsid w:val="00021E33"/>
    <w:rsid w:val="00022021"/>
    <w:rsid w:val="00022684"/>
    <w:rsid w:val="00022BDC"/>
    <w:rsid w:val="00023073"/>
    <w:rsid w:val="000234D9"/>
    <w:rsid w:val="00023526"/>
    <w:rsid w:val="0002357B"/>
    <w:rsid w:val="0002367A"/>
    <w:rsid w:val="0002369A"/>
    <w:rsid w:val="00023964"/>
    <w:rsid w:val="00023C61"/>
    <w:rsid w:val="000240C5"/>
    <w:rsid w:val="000242AA"/>
    <w:rsid w:val="00024501"/>
    <w:rsid w:val="0002488D"/>
    <w:rsid w:val="00024B54"/>
    <w:rsid w:val="00024DFF"/>
    <w:rsid w:val="00024E1E"/>
    <w:rsid w:val="00024E7D"/>
    <w:rsid w:val="00025174"/>
    <w:rsid w:val="00025B86"/>
    <w:rsid w:val="000260B5"/>
    <w:rsid w:val="00026423"/>
    <w:rsid w:val="000269A4"/>
    <w:rsid w:val="00026AA4"/>
    <w:rsid w:val="00026C4A"/>
    <w:rsid w:val="00026C68"/>
    <w:rsid w:val="00026D82"/>
    <w:rsid w:val="00027012"/>
    <w:rsid w:val="000270D8"/>
    <w:rsid w:val="00027304"/>
    <w:rsid w:val="0002733B"/>
    <w:rsid w:val="00027446"/>
    <w:rsid w:val="0002762B"/>
    <w:rsid w:val="000279AA"/>
    <w:rsid w:val="00027C2E"/>
    <w:rsid w:val="000301B1"/>
    <w:rsid w:val="000302BF"/>
    <w:rsid w:val="000305B3"/>
    <w:rsid w:val="000307BE"/>
    <w:rsid w:val="00030A42"/>
    <w:rsid w:val="00030B03"/>
    <w:rsid w:val="00030C96"/>
    <w:rsid w:val="00030DF7"/>
    <w:rsid w:val="000312AB"/>
    <w:rsid w:val="00031495"/>
    <w:rsid w:val="000316EE"/>
    <w:rsid w:val="00031701"/>
    <w:rsid w:val="00031789"/>
    <w:rsid w:val="00031B41"/>
    <w:rsid w:val="00031C61"/>
    <w:rsid w:val="00032BF5"/>
    <w:rsid w:val="00032CEA"/>
    <w:rsid w:val="00032E86"/>
    <w:rsid w:val="0003329C"/>
    <w:rsid w:val="000333E6"/>
    <w:rsid w:val="00033604"/>
    <w:rsid w:val="00033739"/>
    <w:rsid w:val="000337B2"/>
    <w:rsid w:val="00033A31"/>
    <w:rsid w:val="00033A8B"/>
    <w:rsid w:val="00033E02"/>
    <w:rsid w:val="00033E70"/>
    <w:rsid w:val="00033F0C"/>
    <w:rsid w:val="00034325"/>
    <w:rsid w:val="0003478B"/>
    <w:rsid w:val="0003486F"/>
    <w:rsid w:val="00034882"/>
    <w:rsid w:val="00034C8D"/>
    <w:rsid w:val="00034CA5"/>
    <w:rsid w:val="00034CDF"/>
    <w:rsid w:val="00034E82"/>
    <w:rsid w:val="00034FEE"/>
    <w:rsid w:val="00035A64"/>
    <w:rsid w:val="00035A8C"/>
    <w:rsid w:val="00035E05"/>
    <w:rsid w:val="00035EBE"/>
    <w:rsid w:val="00035ED9"/>
    <w:rsid w:val="0003631F"/>
    <w:rsid w:val="000363C1"/>
    <w:rsid w:val="00036749"/>
    <w:rsid w:val="00036CFC"/>
    <w:rsid w:val="00036D92"/>
    <w:rsid w:val="0003780E"/>
    <w:rsid w:val="00037CC7"/>
    <w:rsid w:val="00037F43"/>
    <w:rsid w:val="000403B6"/>
    <w:rsid w:val="000408FB"/>
    <w:rsid w:val="00040EC7"/>
    <w:rsid w:val="00041409"/>
    <w:rsid w:val="00041414"/>
    <w:rsid w:val="00041634"/>
    <w:rsid w:val="00041761"/>
    <w:rsid w:val="000417F6"/>
    <w:rsid w:val="000418C6"/>
    <w:rsid w:val="00041EDE"/>
    <w:rsid w:val="00041F3A"/>
    <w:rsid w:val="00042016"/>
    <w:rsid w:val="0004213A"/>
    <w:rsid w:val="00042345"/>
    <w:rsid w:val="00042397"/>
    <w:rsid w:val="000429F1"/>
    <w:rsid w:val="00042A50"/>
    <w:rsid w:val="00042CF1"/>
    <w:rsid w:val="00042DB4"/>
    <w:rsid w:val="000430D1"/>
    <w:rsid w:val="000430FC"/>
    <w:rsid w:val="000431E1"/>
    <w:rsid w:val="000437AC"/>
    <w:rsid w:val="00043AD0"/>
    <w:rsid w:val="00044334"/>
    <w:rsid w:val="000444E0"/>
    <w:rsid w:val="00044500"/>
    <w:rsid w:val="00044A53"/>
    <w:rsid w:val="00044EF8"/>
    <w:rsid w:val="000452D1"/>
    <w:rsid w:val="00045549"/>
    <w:rsid w:val="0004561C"/>
    <w:rsid w:val="00045A74"/>
    <w:rsid w:val="00045CCF"/>
    <w:rsid w:val="00045D43"/>
    <w:rsid w:val="000462A0"/>
    <w:rsid w:val="000464A8"/>
    <w:rsid w:val="000464B6"/>
    <w:rsid w:val="00046571"/>
    <w:rsid w:val="00046FFE"/>
    <w:rsid w:val="000470D4"/>
    <w:rsid w:val="00047108"/>
    <w:rsid w:val="00047392"/>
    <w:rsid w:val="00047395"/>
    <w:rsid w:val="00047916"/>
    <w:rsid w:val="00050108"/>
    <w:rsid w:val="00050521"/>
    <w:rsid w:val="000505D5"/>
    <w:rsid w:val="000509BE"/>
    <w:rsid w:val="00050DB5"/>
    <w:rsid w:val="00050FE3"/>
    <w:rsid w:val="000512C6"/>
    <w:rsid w:val="000515F1"/>
    <w:rsid w:val="0005182F"/>
    <w:rsid w:val="00051A3E"/>
    <w:rsid w:val="00051D48"/>
    <w:rsid w:val="00051DF5"/>
    <w:rsid w:val="00052038"/>
    <w:rsid w:val="000522B2"/>
    <w:rsid w:val="000525AA"/>
    <w:rsid w:val="00052731"/>
    <w:rsid w:val="0005293E"/>
    <w:rsid w:val="00052B05"/>
    <w:rsid w:val="00052B45"/>
    <w:rsid w:val="00052BB0"/>
    <w:rsid w:val="00052BE8"/>
    <w:rsid w:val="0005323D"/>
    <w:rsid w:val="000539DF"/>
    <w:rsid w:val="00053A31"/>
    <w:rsid w:val="00053AFD"/>
    <w:rsid w:val="00053BEC"/>
    <w:rsid w:val="000541E5"/>
    <w:rsid w:val="0005467D"/>
    <w:rsid w:val="00054906"/>
    <w:rsid w:val="000549BB"/>
    <w:rsid w:val="00054B11"/>
    <w:rsid w:val="00054BB0"/>
    <w:rsid w:val="00054FD8"/>
    <w:rsid w:val="00055258"/>
    <w:rsid w:val="000554CE"/>
    <w:rsid w:val="0005577B"/>
    <w:rsid w:val="0005588B"/>
    <w:rsid w:val="000559AE"/>
    <w:rsid w:val="00055A7F"/>
    <w:rsid w:val="00055ADB"/>
    <w:rsid w:val="00055BE4"/>
    <w:rsid w:val="00055C6C"/>
    <w:rsid w:val="00055EF7"/>
    <w:rsid w:val="000561E2"/>
    <w:rsid w:val="00056382"/>
    <w:rsid w:val="00056645"/>
    <w:rsid w:val="0005684F"/>
    <w:rsid w:val="000569A2"/>
    <w:rsid w:val="000569EB"/>
    <w:rsid w:val="00056A13"/>
    <w:rsid w:val="00056EAB"/>
    <w:rsid w:val="000571D5"/>
    <w:rsid w:val="00057205"/>
    <w:rsid w:val="000572E2"/>
    <w:rsid w:val="00057757"/>
    <w:rsid w:val="00057A16"/>
    <w:rsid w:val="00057ABF"/>
    <w:rsid w:val="00057CD0"/>
    <w:rsid w:val="00057DAA"/>
    <w:rsid w:val="00057E15"/>
    <w:rsid w:val="00060132"/>
    <w:rsid w:val="00060303"/>
    <w:rsid w:val="00060506"/>
    <w:rsid w:val="00060509"/>
    <w:rsid w:val="00060560"/>
    <w:rsid w:val="000605FF"/>
    <w:rsid w:val="00060A33"/>
    <w:rsid w:val="00060C14"/>
    <w:rsid w:val="00060C8B"/>
    <w:rsid w:val="00060DB1"/>
    <w:rsid w:val="00060E85"/>
    <w:rsid w:val="000611A7"/>
    <w:rsid w:val="00061351"/>
    <w:rsid w:val="000613BA"/>
    <w:rsid w:val="00061666"/>
    <w:rsid w:val="00061826"/>
    <w:rsid w:val="0006198F"/>
    <w:rsid w:val="00061AC7"/>
    <w:rsid w:val="00061B96"/>
    <w:rsid w:val="00061C06"/>
    <w:rsid w:val="000622E6"/>
    <w:rsid w:val="00062706"/>
    <w:rsid w:val="00062EFF"/>
    <w:rsid w:val="0006303D"/>
    <w:rsid w:val="00063204"/>
    <w:rsid w:val="000635D5"/>
    <w:rsid w:val="0006362E"/>
    <w:rsid w:val="000638FC"/>
    <w:rsid w:val="00064377"/>
    <w:rsid w:val="0006459F"/>
    <w:rsid w:val="00064635"/>
    <w:rsid w:val="000649B6"/>
    <w:rsid w:val="00064A6C"/>
    <w:rsid w:val="00064C2C"/>
    <w:rsid w:val="000653F4"/>
    <w:rsid w:val="00065556"/>
    <w:rsid w:val="00065610"/>
    <w:rsid w:val="0006565A"/>
    <w:rsid w:val="0006575D"/>
    <w:rsid w:val="00065E6E"/>
    <w:rsid w:val="00066506"/>
    <w:rsid w:val="0006685C"/>
    <w:rsid w:val="000669C8"/>
    <w:rsid w:val="00066A24"/>
    <w:rsid w:val="00066C89"/>
    <w:rsid w:val="00066E08"/>
    <w:rsid w:val="00066E1D"/>
    <w:rsid w:val="00066EB3"/>
    <w:rsid w:val="00067162"/>
    <w:rsid w:val="0006733F"/>
    <w:rsid w:val="000676B2"/>
    <w:rsid w:val="00067B15"/>
    <w:rsid w:val="00067CF1"/>
    <w:rsid w:val="00067EC0"/>
    <w:rsid w:val="0007060C"/>
    <w:rsid w:val="000706D7"/>
    <w:rsid w:val="000706E4"/>
    <w:rsid w:val="00070733"/>
    <w:rsid w:val="000707C8"/>
    <w:rsid w:val="00070A43"/>
    <w:rsid w:val="00070D1D"/>
    <w:rsid w:val="0007106F"/>
    <w:rsid w:val="000710BF"/>
    <w:rsid w:val="00071222"/>
    <w:rsid w:val="000713C0"/>
    <w:rsid w:val="00071883"/>
    <w:rsid w:val="00071A5A"/>
    <w:rsid w:val="00071B0A"/>
    <w:rsid w:val="00071D6B"/>
    <w:rsid w:val="00071FD7"/>
    <w:rsid w:val="00072039"/>
    <w:rsid w:val="0007239C"/>
    <w:rsid w:val="00072473"/>
    <w:rsid w:val="000724DE"/>
    <w:rsid w:val="000726AB"/>
    <w:rsid w:val="000727BD"/>
    <w:rsid w:val="000728E6"/>
    <w:rsid w:val="00072C7F"/>
    <w:rsid w:val="00072E5E"/>
    <w:rsid w:val="00072F6F"/>
    <w:rsid w:val="00073079"/>
    <w:rsid w:val="00073162"/>
    <w:rsid w:val="000731A0"/>
    <w:rsid w:val="0007329C"/>
    <w:rsid w:val="000732B6"/>
    <w:rsid w:val="00073343"/>
    <w:rsid w:val="000734D2"/>
    <w:rsid w:val="000737C2"/>
    <w:rsid w:val="00073A13"/>
    <w:rsid w:val="00073A40"/>
    <w:rsid w:val="00073B7C"/>
    <w:rsid w:val="00073C24"/>
    <w:rsid w:val="00073EE2"/>
    <w:rsid w:val="00073F73"/>
    <w:rsid w:val="00073FDE"/>
    <w:rsid w:val="00073FE5"/>
    <w:rsid w:val="00074123"/>
    <w:rsid w:val="000742EC"/>
    <w:rsid w:val="00074386"/>
    <w:rsid w:val="00074543"/>
    <w:rsid w:val="000745C1"/>
    <w:rsid w:val="000748F6"/>
    <w:rsid w:val="00074982"/>
    <w:rsid w:val="00074B78"/>
    <w:rsid w:val="00074F1A"/>
    <w:rsid w:val="00075479"/>
    <w:rsid w:val="000757F7"/>
    <w:rsid w:val="00075802"/>
    <w:rsid w:val="00075CD2"/>
    <w:rsid w:val="00075E68"/>
    <w:rsid w:val="00076035"/>
    <w:rsid w:val="000762A7"/>
    <w:rsid w:val="000764A9"/>
    <w:rsid w:val="00076768"/>
    <w:rsid w:val="0007687D"/>
    <w:rsid w:val="00076FA1"/>
    <w:rsid w:val="000773E0"/>
    <w:rsid w:val="000775E3"/>
    <w:rsid w:val="0007795C"/>
    <w:rsid w:val="00077D6D"/>
    <w:rsid w:val="00077DA0"/>
    <w:rsid w:val="00077F12"/>
    <w:rsid w:val="00080503"/>
    <w:rsid w:val="0008071F"/>
    <w:rsid w:val="00080962"/>
    <w:rsid w:val="00080E2B"/>
    <w:rsid w:val="00080E35"/>
    <w:rsid w:val="00080FD9"/>
    <w:rsid w:val="0008132B"/>
    <w:rsid w:val="000813DA"/>
    <w:rsid w:val="00081876"/>
    <w:rsid w:val="00081BB6"/>
    <w:rsid w:val="00081F89"/>
    <w:rsid w:val="000820C7"/>
    <w:rsid w:val="00082319"/>
    <w:rsid w:val="00082461"/>
    <w:rsid w:val="00082654"/>
    <w:rsid w:val="00082981"/>
    <w:rsid w:val="0008301C"/>
    <w:rsid w:val="00083277"/>
    <w:rsid w:val="000838EB"/>
    <w:rsid w:val="00083980"/>
    <w:rsid w:val="00083996"/>
    <w:rsid w:val="00083AAE"/>
    <w:rsid w:val="00083BC7"/>
    <w:rsid w:val="00084041"/>
    <w:rsid w:val="00084407"/>
    <w:rsid w:val="00084B56"/>
    <w:rsid w:val="00084C83"/>
    <w:rsid w:val="00084D4F"/>
    <w:rsid w:val="00084EE9"/>
    <w:rsid w:val="00084FAB"/>
    <w:rsid w:val="000850BD"/>
    <w:rsid w:val="00085202"/>
    <w:rsid w:val="00085C1D"/>
    <w:rsid w:val="000861F5"/>
    <w:rsid w:val="00086398"/>
    <w:rsid w:val="00086455"/>
    <w:rsid w:val="00086574"/>
    <w:rsid w:val="00086845"/>
    <w:rsid w:val="000868B1"/>
    <w:rsid w:val="00086A79"/>
    <w:rsid w:val="00086A84"/>
    <w:rsid w:val="00086F05"/>
    <w:rsid w:val="00087351"/>
    <w:rsid w:val="000874EC"/>
    <w:rsid w:val="00087758"/>
    <w:rsid w:val="000877DD"/>
    <w:rsid w:val="00087A08"/>
    <w:rsid w:val="00087BA7"/>
    <w:rsid w:val="00087FF0"/>
    <w:rsid w:val="000901A0"/>
    <w:rsid w:val="00090361"/>
    <w:rsid w:val="00090490"/>
    <w:rsid w:val="00091259"/>
    <w:rsid w:val="00091577"/>
    <w:rsid w:val="00091BFB"/>
    <w:rsid w:val="00091C44"/>
    <w:rsid w:val="00091D3B"/>
    <w:rsid w:val="00091D73"/>
    <w:rsid w:val="00091F10"/>
    <w:rsid w:val="00091FC9"/>
    <w:rsid w:val="00093298"/>
    <w:rsid w:val="00093329"/>
    <w:rsid w:val="00094296"/>
    <w:rsid w:val="000943CB"/>
    <w:rsid w:val="00094511"/>
    <w:rsid w:val="000946D2"/>
    <w:rsid w:val="000948B5"/>
    <w:rsid w:val="000948BF"/>
    <w:rsid w:val="00094B68"/>
    <w:rsid w:val="00094C2F"/>
    <w:rsid w:val="00094D2C"/>
    <w:rsid w:val="00094F05"/>
    <w:rsid w:val="0009509A"/>
    <w:rsid w:val="000950C1"/>
    <w:rsid w:val="0009518A"/>
    <w:rsid w:val="00095753"/>
    <w:rsid w:val="00095C8D"/>
    <w:rsid w:val="00095E79"/>
    <w:rsid w:val="0009665B"/>
    <w:rsid w:val="000966D0"/>
    <w:rsid w:val="00096B3A"/>
    <w:rsid w:val="00096F12"/>
    <w:rsid w:val="00097979"/>
    <w:rsid w:val="00097A96"/>
    <w:rsid w:val="00097B80"/>
    <w:rsid w:val="00097CDB"/>
    <w:rsid w:val="00097DD5"/>
    <w:rsid w:val="00097F4B"/>
    <w:rsid w:val="0009A992"/>
    <w:rsid w:val="000A008B"/>
    <w:rsid w:val="000A0122"/>
    <w:rsid w:val="000A0319"/>
    <w:rsid w:val="000A04B8"/>
    <w:rsid w:val="000A0508"/>
    <w:rsid w:val="000A0743"/>
    <w:rsid w:val="000A0A0E"/>
    <w:rsid w:val="000A0CE9"/>
    <w:rsid w:val="000A0F96"/>
    <w:rsid w:val="000A1125"/>
    <w:rsid w:val="000A1154"/>
    <w:rsid w:val="000A1234"/>
    <w:rsid w:val="000A152B"/>
    <w:rsid w:val="000A196C"/>
    <w:rsid w:val="000A1A68"/>
    <w:rsid w:val="000A2347"/>
    <w:rsid w:val="000A2380"/>
    <w:rsid w:val="000A28DC"/>
    <w:rsid w:val="000A2A3A"/>
    <w:rsid w:val="000A2B76"/>
    <w:rsid w:val="000A2DD8"/>
    <w:rsid w:val="000A2EFC"/>
    <w:rsid w:val="000A309A"/>
    <w:rsid w:val="000A3192"/>
    <w:rsid w:val="000A346A"/>
    <w:rsid w:val="000A34FC"/>
    <w:rsid w:val="000A3679"/>
    <w:rsid w:val="000A39A7"/>
    <w:rsid w:val="000A3AEC"/>
    <w:rsid w:val="000A3F65"/>
    <w:rsid w:val="000A3F83"/>
    <w:rsid w:val="000A432A"/>
    <w:rsid w:val="000A43C8"/>
    <w:rsid w:val="000A4E36"/>
    <w:rsid w:val="000A5262"/>
    <w:rsid w:val="000A5670"/>
    <w:rsid w:val="000A56E5"/>
    <w:rsid w:val="000A5FC8"/>
    <w:rsid w:val="000A5FCD"/>
    <w:rsid w:val="000A6482"/>
    <w:rsid w:val="000A6794"/>
    <w:rsid w:val="000A6C6F"/>
    <w:rsid w:val="000A6CAF"/>
    <w:rsid w:val="000A6CB7"/>
    <w:rsid w:val="000A6CFB"/>
    <w:rsid w:val="000A6DF6"/>
    <w:rsid w:val="000A6E22"/>
    <w:rsid w:val="000A7001"/>
    <w:rsid w:val="000A714E"/>
    <w:rsid w:val="000A7236"/>
    <w:rsid w:val="000A7291"/>
    <w:rsid w:val="000A72DF"/>
    <w:rsid w:val="000A773D"/>
    <w:rsid w:val="000A7B39"/>
    <w:rsid w:val="000A7E42"/>
    <w:rsid w:val="000A7F90"/>
    <w:rsid w:val="000A7F9F"/>
    <w:rsid w:val="000B083B"/>
    <w:rsid w:val="000B0877"/>
    <w:rsid w:val="000B0CEB"/>
    <w:rsid w:val="000B0EF7"/>
    <w:rsid w:val="000B115D"/>
    <w:rsid w:val="000B17A8"/>
    <w:rsid w:val="000B1962"/>
    <w:rsid w:val="000B1982"/>
    <w:rsid w:val="000B1B1A"/>
    <w:rsid w:val="000B1B42"/>
    <w:rsid w:val="000B21BF"/>
    <w:rsid w:val="000B21E9"/>
    <w:rsid w:val="000B2402"/>
    <w:rsid w:val="000B24DB"/>
    <w:rsid w:val="000B2520"/>
    <w:rsid w:val="000B263C"/>
    <w:rsid w:val="000B27CF"/>
    <w:rsid w:val="000B27F3"/>
    <w:rsid w:val="000B282C"/>
    <w:rsid w:val="000B28DF"/>
    <w:rsid w:val="000B2AB7"/>
    <w:rsid w:val="000B2ECE"/>
    <w:rsid w:val="000B32FD"/>
    <w:rsid w:val="000B3305"/>
    <w:rsid w:val="000B35B9"/>
    <w:rsid w:val="000B367A"/>
    <w:rsid w:val="000B3973"/>
    <w:rsid w:val="000B3A97"/>
    <w:rsid w:val="000B3AAA"/>
    <w:rsid w:val="000B3BB3"/>
    <w:rsid w:val="000B3F0B"/>
    <w:rsid w:val="000B4229"/>
    <w:rsid w:val="000B47AF"/>
    <w:rsid w:val="000B4C4E"/>
    <w:rsid w:val="000B4C7F"/>
    <w:rsid w:val="000B4F23"/>
    <w:rsid w:val="000B51C8"/>
    <w:rsid w:val="000B5570"/>
    <w:rsid w:val="000B56BC"/>
    <w:rsid w:val="000B571A"/>
    <w:rsid w:val="000B5BE5"/>
    <w:rsid w:val="000B5DD8"/>
    <w:rsid w:val="000B5F65"/>
    <w:rsid w:val="000B6345"/>
    <w:rsid w:val="000B648C"/>
    <w:rsid w:val="000B6786"/>
    <w:rsid w:val="000B688F"/>
    <w:rsid w:val="000B6A93"/>
    <w:rsid w:val="000B6E5A"/>
    <w:rsid w:val="000B6F47"/>
    <w:rsid w:val="000B70A5"/>
    <w:rsid w:val="000B732D"/>
    <w:rsid w:val="000B73C9"/>
    <w:rsid w:val="000B7649"/>
    <w:rsid w:val="000B7BF3"/>
    <w:rsid w:val="000B7CF4"/>
    <w:rsid w:val="000B7E0B"/>
    <w:rsid w:val="000B7ECD"/>
    <w:rsid w:val="000B7FA5"/>
    <w:rsid w:val="000C0067"/>
    <w:rsid w:val="000C00DC"/>
    <w:rsid w:val="000C051C"/>
    <w:rsid w:val="000C08F6"/>
    <w:rsid w:val="000C0BF9"/>
    <w:rsid w:val="000C1175"/>
    <w:rsid w:val="000C11CD"/>
    <w:rsid w:val="000C1223"/>
    <w:rsid w:val="000C199A"/>
    <w:rsid w:val="000C1C99"/>
    <w:rsid w:val="000C1F14"/>
    <w:rsid w:val="000C2050"/>
    <w:rsid w:val="000C21BC"/>
    <w:rsid w:val="000C22DC"/>
    <w:rsid w:val="000C2475"/>
    <w:rsid w:val="000C25C8"/>
    <w:rsid w:val="000C2C6A"/>
    <w:rsid w:val="000C2D0B"/>
    <w:rsid w:val="000C338B"/>
    <w:rsid w:val="000C33BE"/>
    <w:rsid w:val="000C37ED"/>
    <w:rsid w:val="000C3921"/>
    <w:rsid w:val="000C3C97"/>
    <w:rsid w:val="000C3EBF"/>
    <w:rsid w:val="000C3F0B"/>
    <w:rsid w:val="000C4236"/>
    <w:rsid w:val="000C42F2"/>
    <w:rsid w:val="000C4C07"/>
    <w:rsid w:val="000C4FF0"/>
    <w:rsid w:val="000C5133"/>
    <w:rsid w:val="000C5278"/>
    <w:rsid w:val="000C5554"/>
    <w:rsid w:val="000C5921"/>
    <w:rsid w:val="000C5E43"/>
    <w:rsid w:val="000C5E6D"/>
    <w:rsid w:val="000C616D"/>
    <w:rsid w:val="000C63D4"/>
    <w:rsid w:val="000C6429"/>
    <w:rsid w:val="000C6664"/>
    <w:rsid w:val="000C67E2"/>
    <w:rsid w:val="000C6BD2"/>
    <w:rsid w:val="000C728F"/>
    <w:rsid w:val="000C7326"/>
    <w:rsid w:val="000C75CF"/>
    <w:rsid w:val="000C7615"/>
    <w:rsid w:val="000C77C5"/>
    <w:rsid w:val="000C78DD"/>
    <w:rsid w:val="000C7C7E"/>
    <w:rsid w:val="000C7EC3"/>
    <w:rsid w:val="000D0164"/>
    <w:rsid w:val="000D054A"/>
    <w:rsid w:val="000D0A64"/>
    <w:rsid w:val="000D0E1C"/>
    <w:rsid w:val="000D0EDA"/>
    <w:rsid w:val="000D0F08"/>
    <w:rsid w:val="000D0F48"/>
    <w:rsid w:val="000D1755"/>
    <w:rsid w:val="000D184A"/>
    <w:rsid w:val="000D1A5E"/>
    <w:rsid w:val="000D1ACA"/>
    <w:rsid w:val="000D1B57"/>
    <w:rsid w:val="000D1C88"/>
    <w:rsid w:val="000D1D28"/>
    <w:rsid w:val="000D1EF2"/>
    <w:rsid w:val="000D1F50"/>
    <w:rsid w:val="000D2215"/>
    <w:rsid w:val="000D2329"/>
    <w:rsid w:val="000D2604"/>
    <w:rsid w:val="000D2703"/>
    <w:rsid w:val="000D2F80"/>
    <w:rsid w:val="000D3133"/>
    <w:rsid w:val="000D3253"/>
    <w:rsid w:val="000D34A4"/>
    <w:rsid w:val="000D3BFA"/>
    <w:rsid w:val="000D3E43"/>
    <w:rsid w:val="000D4021"/>
    <w:rsid w:val="000D40D4"/>
    <w:rsid w:val="000D422E"/>
    <w:rsid w:val="000D425C"/>
    <w:rsid w:val="000D4365"/>
    <w:rsid w:val="000D44D4"/>
    <w:rsid w:val="000D44E6"/>
    <w:rsid w:val="000D4C10"/>
    <w:rsid w:val="000D4FB6"/>
    <w:rsid w:val="000D50FA"/>
    <w:rsid w:val="000D510D"/>
    <w:rsid w:val="000D5795"/>
    <w:rsid w:val="000D5861"/>
    <w:rsid w:val="000D5AA4"/>
    <w:rsid w:val="000D5CDD"/>
    <w:rsid w:val="000D5DA8"/>
    <w:rsid w:val="000D6187"/>
    <w:rsid w:val="000D63F8"/>
    <w:rsid w:val="000D64BD"/>
    <w:rsid w:val="000D66D2"/>
    <w:rsid w:val="000D67AD"/>
    <w:rsid w:val="000D6851"/>
    <w:rsid w:val="000D6A1C"/>
    <w:rsid w:val="000D6A3C"/>
    <w:rsid w:val="000D6CF3"/>
    <w:rsid w:val="000D6D3E"/>
    <w:rsid w:val="000D6F24"/>
    <w:rsid w:val="000D76DE"/>
    <w:rsid w:val="000D7959"/>
    <w:rsid w:val="000D7A2B"/>
    <w:rsid w:val="000D7ACF"/>
    <w:rsid w:val="000D7B10"/>
    <w:rsid w:val="000D7B7C"/>
    <w:rsid w:val="000D7C38"/>
    <w:rsid w:val="000D7C94"/>
    <w:rsid w:val="000D7D9B"/>
    <w:rsid w:val="000D7DD7"/>
    <w:rsid w:val="000E0076"/>
    <w:rsid w:val="000E03FF"/>
    <w:rsid w:val="000E0413"/>
    <w:rsid w:val="000E094D"/>
    <w:rsid w:val="000E0B57"/>
    <w:rsid w:val="000E0C42"/>
    <w:rsid w:val="000E0D30"/>
    <w:rsid w:val="000E10C9"/>
    <w:rsid w:val="000E10F9"/>
    <w:rsid w:val="000E150C"/>
    <w:rsid w:val="000E170E"/>
    <w:rsid w:val="000E1E26"/>
    <w:rsid w:val="000E203F"/>
    <w:rsid w:val="000E2393"/>
    <w:rsid w:val="000E2703"/>
    <w:rsid w:val="000E27F9"/>
    <w:rsid w:val="000E2A43"/>
    <w:rsid w:val="000E2BC4"/>
    <w:rsid w:val="000E2C2C"/>
    <w:rsid w:val="000E31AC"/>
    <w:rsid w:val="000E338E"/>
    <w:rsid w:val="000E33E0"/>
    <w:rsid w:val="000E33FF"/>
    <w:rsid w:val="000E39F2"/>
    <w:rsid w:val="000E4013"/>
    <w:rsid w:val="000E4202"/>
    <w:rsid w:val="000E4259"/>
    <w:rsid w:val="000E4978"/>
    <w:rsid w:val="000E4CE4"/>
    <w:rsid w:val="000E52FF"/>
    <w:rsid w:val="000E5540"/>
    <w:rsid w:val="000E564F"/>
    <w:rsid w:val="000E5BFE"/>
    <w:rsid w:val="000E5D6C"/>
    <w:rsid w:val="000E5E1B"/>
    <w:rsid w:val="000E6434"/>
    <w:rsid w:val="000E65C3"/>
    <w:rsid w:val="000E66A3"/>
    <w:rsid w:val="000E6986"/>
    <w:rsid w:val="000E6A7D"/>
    <w:rsid w:val="000E6AB9"/>
    <w:rsid w:val="000E7957"/>
    <w:rsid w:val="000E7BF7"/>
    <w:rsid w:val="000E7D00"/>
    <w:rsid w:val="000E7DD5"/>
    <w:rsid w:val="000E7E99"/>
    <w:rsid w:val="000E7F00"/>
    <w:rsid w:val="000F00BD"/>
    <w:rsid w:val="000F0221"/>
    <w:rsid w:val="000F049C"/>
    <w:rsid w:val="000F050B"/>
    <w:rsid w:val="000F0A49"/>
    <w:rsid w:val="000F1049"/>
    <w:rsid w:val="000F1092"/>
    <w:rsid w:val="000F121B"/>
    <w:rsid w:val="000F1371"/>
    <w:rsid w:val="000F18D2"/>
    <w:rsid w:val="000F19D3"/>
    <w:rsid w:val="000F1B29"/>
    <w:rsid w:val="000F1D5F"/>
    <w:rsid w:val="000F21B6"/>
    <w:rsid w:val="000F257C"/>
    <w:rsid w:val="000F2BA3"/>
    <w:rsid w:val="000F2FDC"/>
    <w:rsid w:val="000F3057"/>
    <w:rsid w:val="000F3064"/>
    <w:rsid w:val="000F349C"/>
    <w:rsid w:val="000F36CB"/>
    <w:rsid w:val="000F375C"/>
    <w:rsid w:val="000F3B4B"/>
    <w:rsid w:val="000F3D03"/>
    <w:rsid w:val="000F4154"/>
    <w:rsid w:val="000F425F"/>
    <w:rsid w:val="000F439D"/>
    <w:rsid w:val="000F442C"/>
    <w:rsid w:val="000F4798"/>
    <w:rsid w:val="000F47D1"/>
    <w:rsid w:val="000F4AC5"/>
    <w:rsid w:val="000F4E0A"/>
    <w:rsid w:val="000F5000"/>
    <w:rsid w:val="000F503A"/>
    <w:rsid w:val="000F5706"/>
    <w:rsid w:val="000F5A55"/>
    <w:rsid w:val="000F5C62"/>
    <w:rsid w:val="000F5E22"/>
    <w:rsid w:val="000F5E38"/>
    <w:rsid w:val="000F5ECF"/>
    <w:rsid w:val="000F5FCD"/>
    <w:rsid w:val="000F60CA"/>
    <w:rsid w:val="000F62DA"/>
    <w:rsid w:val="000F66C9"/>
    <w:rsid w:val="000F6EDC"/>
    <w:rsid w:val="000F70A4"/>
    <w:rsid w:val="000F716C"/>
    <w:rsid w:val="000F7227"/>
    <w:rsid w:val="000F729F"/>
    <w:rsid w:val="000F75C1"/>
    <w:rsid w:val="000F785A"/>
    <w:rsid w:val="000F79CA"/>
    <w:rsid w:val="000F7B80"/>
    <w:rsid w:val="000F7CA1"/>
    <w:rsid w:val="000F7F89"/>
    <w:rsid w:val="0010000C"/>
    <w:rsid w:val="00100698"/>
    <w:rsid w:val="00100712"/>
    <w:rsid w:val="00100B97"/>
    <w:rsid w:val="00100E08"/>
    <w:rsid w:val="00101428"/>
    <w:rsid w:val="001017F4"/>
    <w:rsid w:val="00101887"/>
    <w:rsid w:val="00101A82"/>
    <w:rsid w:val="001020EF"/>
    <w:rsid w:val="001021A9"/>
    <w:rsid w:val="00102261"/>
    <w:rsid w:val="001022A7"/>
    <w:rsid w:val="00102527"/>
    <w:rsid w:val="0010266D"/>
    <w:rsid w:val="001028C8"/>
    <w:rsid w:val="001032A8"/>
    <w:rsid w:val="00103815"/>
    <w:rsid w:val="00103817"/>
    <w:rsid w:val="00103923"/>
    <w:rsid w:val="00103E3F"/>
    <w:rsid w:val="0010410C"/>
    <w:rsid w:val="0010436C"/>
    <w:rsid w:val="0010444A"/>
    <w:rsid w:val="001046EC"/>
    <w:rsid w:val="0010480F"/>
    <w:rsid w:val="00104BA3"/>
    <w:rsid w:val="00104BF0"/>
    <w:rsid w:val="00104E86"/>
    <w:rsid w:val="00105365"/>
    <w:rsid w:val="001053FC"/>
    <w:rsid w:val="001055B3"/>
    <w:rsid w:val="001055D9"/>
    <w:rsid w:val="00105906"/>
    <w:rsid w:val="001059DC"/>
    <w:rsid w:val="00105B42"/>
    <w:rsid w:val="00105C3C"/>
    <w:rsid w:val="00105C88"/>
    <w:rsid w:val="00105F0E"/>
    <w:rsid w:val="00106027"/>
    <w:rsid w:val="00106040"/>
    <w:rsid w:val="001061F2"/>
    <w:rsid w:val="00106448"/>
    <w:rsid w:val="0010658F"/>
    <w:rsid w:val="00106D08"/>
    <w:rsid w:val="00106D5B"/>
    <w:rsid w:val="00107113"/>
    <w:rsid w:val="0010713C"/>
    <w:rsid w:val="001071B3"/>
    <w:rsid w:val="001072FF"/>
    <w:rsid w:val="001073FB"/>
    <w:rsid w:val="001073FF"/>
    <w:rsid w:val="001076B1"/>
    <w:rsid w:val="0010777B"/>
    <w:rsid w:val="001078EB"/>
    <w:rsid w:val="0010797F"/>
    <w:rsid w:val="00107B37"/>
    <w:rsid w:val="00107F44"/>
    <w:rsid w:val="00110142"/>
    <w:rsid w:val="001101AA"/>
    <w:rsid w:val="0011085F"/>
    <w:rsid w:val="00110E99"/>
    <w:rsid w:val="00110EE0"/>
    <w:rsid w:val="00111964"/>
    <w:rsid w:val="00111A83"/>
    <w:rsid w:val="00111FA8"/>
    <w:rsid w:val="00112425"/>
    <w:rsid w:val="00112622"/>
    <w:rsid w:val="00112778"/>
    <w:rsid w:val="00112A3C"/>
    <w:rsid w:val="00112D63"/>
    <w:rsid w:val="00112EC4"/>
    <w:rsid w:val="00113139"/>
    <w:rsid w:val="00113543"/>
    <w:rsid w:val="00113876"/>
    <w:rsid w:val="00113BD0"/>
    <w:rsid w:val="00113E69"/>
    <w:rsid w:val="00113EAF"/>
    <w:rsid w:val="00113EE1"/>
    <w:rsid w:val="00114076"/>
    <w:rsid w:val="001140B4"/>
    <w:rsid w:val="00114400"/>
    <w:rsid w:val="00114CC5"/>
    <w:rsid w:val="00114D0A"/>
    <w:rsid w:val="00114D93"/>
    <w:rsid w:val="00114F0E"/>
    <w:rsid w:val="00114FA0"/>
    <w:rsid w:val="0011524B"/>
    <w:rsid w:val="00115F87"/>
    <w:rsid w:val="0011607D"/>
    <w:rsid w:val="00116439"/>
    <w:rsid w:val="0011692B"/>
    <w:rsid w:val="00116CC7"/>
    <w:rsid w:val="001170E8"/>
    <w:rsid w:val="00117139"/>
    <w:rsid w:val="0011714C"/>
    <w:rsid w:val="0011791D"/>
    <w:rsid w:val="00117CE9"/>
    <w:rsid w:val="00117EF9"/>
    <w:rsid w:val="00117F0C"/>
    <w:rsid w:val="00117F36"/>
    <w:rsid w:val="00120301"/>
    <w:rsid w:val="0012038C"/>
    <w:rsid w:val="00120509"/>
    <w:rsid w:val="0012072F"/>
    <w:rsid w:val="001207E7"/>
    <w:rsid w:val="001207E9"/>
    <w:rsid w:val="001209B4"/>
    <w:rsid w:val="001209C8"/>
    <w:rsid w:val="00120CCD"/>
    <w:rsid w:val="00120D0B"/>
    <w:rsid w:val="00120E7A"/>
    <w:rsid w:val="00120F58"/>
    <w:rsid w:val="00121454"/>
    <w:rsid w:val="00121714"/>
    <w:rsid w:val="001217B4"/>
    <w:rsid w:val="001218B1"/>
    <w:rsid w:val="00121C9D"/>
    <w:rsid w:val="00121E38"/>
    <w:rsid w:val="00121EF9"/>
    <w:rsid w:val="00121F57"/>
    <w:rsid w:val="00121F9E"/>
    <w:rsid w:val="00122017"/>
    <w:rsid w:val="00122361"/>
    <w:rsid w:val="0012298F"/>
    <w:rsid w:val="001230FB"/>
    <w:rsid w:val="00123379"/>
    <w:rsid w:val="00123429"/>
    <w:rsid w:val="0012363E"/>
    <w:rsid w:val="00123D23"/>
    <w:rsid w:val="00123D3D"/>
    <w:rsid w:val="0012415C"/>
    <w:rsid w:val="001244F7"/>
    <w:rsid w:val="00124740"/>
    <w:rsid w:val="001248C7"/>
    <w:rsid w:val="00124BFB"/>
    <w:rsid w:val="00124CE3"/>
    <w:rsid w:val="00124D78"/>
    <w:rsid w:val="00124F94"/>
    <w:rsid w:val="00125044"/>
    <w:rsid w:val="00125114"/>
    <w:rsid w:val="00125337"/>
    <w:rsid w:val="0012539C"/>
    <w:rsid w:val="0012558C"/>
    <w:rsid w:val="00125D4F"/>
    <w:rsid w:val="00125DB0"/>
    <w:rsid w:val="00125F07"/>
    <w:rsid w:val="0012628E"/>
    <w:rsid w:val="00126DD5"/>
    <w:rsid w:val="001270FC"/>
    <w:rsid w:val="00127150"/>
    <w:rsid w:val="001272CD"/>
    <w:rsid w:val="001272FF"/>
    <w:rsid w:val="00127756"/>
    <w:rsid w:val="00127B0E"/>
    <w:rsid w:val="00127CAB"/>
    <w:rsid w:val="00127CC5"/>
    <w:rsid w:val="00130B51"/>
    <w:rsid w:val="00130C24"/>
    <w:rsid w:val="00130C52"/>
    <w:rsid w:val="0013219C"/>
    <w:rsid w:val="001321F1"/>
    <w:rsid w:val="00132327"/>
    <w:rsid w:val="0013269F"/>
    <w:rsid w:val="00132770"/>
    <w:rsid w:val="00132C92"/>
    <w:rsid w:val="00132E6B"/>
    <w:rsid w:val="00132F77"/>
    <w:rsid w:val="00133236"/>
    <w:rsid w:val="001333A2"/>
    <w:rsid w:val="00133490"/>
    <w:rsid w:val="001337F9"/>
    <w:rsid w:val="00133996"/>
    <w:rsid w:val="00133C43"/>
    <w:rsid w:val="00133F0A"/>
    <w:rsid w:val="0013424D"/>
    <w:rsid w:val="001343FA"/>
    <w:rsid w:val="00134A75"/>
    <w:rsid w:val="00134B0D"/>
    <w:rsid w:val="00134C52"/>
    <w:rsid w:val="00134E8A"/>
    <w:rsid w:val="00135166"/>
    <w:rsid w:val="001354B6"/>
    <w:rsid w:val="00135B13"/>
    <w:rsid w:val="00135B19"/>
    <w:rsid w:val="00136483"/>
    <w:rsid w:val="0013653D"/>
    <w:rsid w:val="001365D9"/>
    <w:rsid w:val="00136927"/>
    <w:rsid w:val="00136ADD"/>
    <w:rsid w:val="00136AE2"/>
    <w:rsid w:val="00136CA6"/>
    <w:rsid w:val="00136D04"/>
    <w:rsid w:val="00136FE6"/>
    <w:rsid w:val="00137250"/>
    <w:rsid w:val="001372E3"/>
    <w:rsid w:val="00137339"/>
    <w:rsid w:val="00137443"/>
    <w:rsid w:val="001377EB"/>
    <w:rsid w:val="001378AC"/>
    <w:rsid w:val="00137C93"/>
    <w:rsid w:val="00137D79"/>
    <w:rsid w:val="00137E9D"/>
    <w:rsid w:val="00137F94"/>
    <w:rsid w:val="001404C4"/>
    <w:rsid w:val="001404CD"/>
    <w:rsid w:val="0014064D"/>
    <w:rsid w:val="00140763"/>
    <w:rsid w:val="0014130B"/>
    <w:rsid w:val="00141367"/>
    <w:rsid w:val="00141BAB"/>
    <w:rsid w:val="00141C84"/>
    <w:rsid w:val="00141CA1"/>
    <w:rsid w:val="00141E5C"/>
    <w:rsid w:val="00141E8D"/>
    <w:rsid w:val="00142041"/>
    <w:rsid w:val="0014259C"/>
    <w:rsid w:val="001425E7"/>
    <w:rsid w:val="00142617"/>
    <w:rsid w:val="00142837"/>
    <w:rsid w:val="00142C5C"/>
    <w:rsid w:val="00142E89"/>
    <w:rsid w:val="00142ED0"/>
    <w:rsid w:val="00143554"/>
    <w:rsid w:val="001438C8"/>
    <w:rsid w:val="00143B2D"/>
    <w:rsid w:val="00143B79"/>
    <w:rsid w:val="00143C8A"/>
    <w:rsid w:val="001440B5"/>
    <w:rsid w:val="0014429E"/>
    <w:rsid w:val="00144548"/>
    <w:rsid w:val="00144AA4"/>
    <w:rsid w:val="00144BB8"/>
    <w:rsid w:val="00144C5E"/>
    <w:rsid w:val="00144CA5"/>
    <w:rsid w:val="00144FF2"/>
    <w:rsid w:val="00145014"/>
    <w:rsid w:val="001451F0"/>
    <w:rsid w:val="00145298"/>
    <w:rsid w:val="00145454"/>
    <w:rsid w:val="00145600"/>
    <w:rsid w:val="00145607"/>
    <w:rsid w:val="00145910"/>
    <w:rsid w:val="001459C4"/>
    <w:rsid w:val="00145D6C"/>
    <w:rsid w:val="00145E1B"/>
    <w:rsid w:val="00145EC5"/>
    <w:rsid w:val="00146583"/>
    <w:rsid w:val="00146590"/>
    <w:rsid w:val="0014690B"/>
    <w:rsid w:val="00146C9C"/>
    <w:rsid w:val="00146D04"/>
    <w:rsid w:val="00146EC3"/>
    <w:rsid w:val="00147018"/>
    <w:rsid w:val="00147695"/>
    <w:rsid w:val="001477E4"/>
    <w:rsid w:val="001477FA"/>
    <w:rsid w:val="00147CAE"/>
    <w:rsid w:val="001501D2"/>
    <w:rsid w:val="001501DC"/>
    <w:rsid w:val="00150296"/>
    <w:rsid w:val="001502BD"/>
    <w:rsid w:val="001502F5"/>
    <w:rsid w:val="00150450"/>
    <w:rsid w:val="001505E5"/>
    <w:rsid w:val="0015061D"/>
    <w:rsid w:val="00150648"/>
    <w:rsid w:val="001507A8"/>
    <w:rsid w:val="0015082C"/>
    <w:rsid w:val="00150899"/>
    <w:rsid w:val="00150964"/>
    <w:rsid w:val="00150D6E"/>
    <w:rsid w:val="00150D73"/>
    <w:rsid w:val="00150F4D"/>
    <w:rsid w:val="00151031"/>
    <w:rsid w:val="001514E2"/>
    <w:rsid w:val="00151FCD"/>
    <w:rsid w:val="00151FDB"/>
    <w:rsid w:val="001520BA"/>
    <w:rsid w:val="00152145"/>
    <w:rsid w:val="001521D4"/>
    <w:rsid w:val="00152B11"/>
    <w:rsid w:val="00152D05"/>
    <w:rsid w:val="00152F85"/>
    <w:rsid w:val="001535AB"/>
    <w:rsid w:val="0015380F"/>
    <w:rsid w:val="00153930"/>
    <w:rsid w:val="00153BE0"/>
    <w:rsid w:val="00153CF5"/>
    <w:rsid w:val="001543D6"/>
    <w:rsid w:val="00154760"/>
    <w:rsid w:val="001547A2"/>
    <w:rsid w:val="001549AE"/>
    <w:rsid w:val="00154E94"/>
    <w:rsid w:val="001551A2"/>
    <w:rsid w:val="00155591"/>
    <w:rsid w:val="00155CF1"/>
    <w:rsid w:val="00155E63"/>
    <w:rsid w:val="00156014"/>
    <w:rsid w:val="0015614E"/>
    <w:rsid w:val="001563A2"/>
    <w:rsid w:val="001563BB"/>
    <w:rsid w:val="00156724"/>
    <w:rsid w:val="0015686A"/>
    <w:rsid w:val="00156916"/>
    <w:rsid w:val="0015704C"/>
    <w:rsid w:val="001572B5"/>
    <w:rsid w:val="00157C24"/>
    <w:rsid w:val="00157FBE"/>
    <w:rsid w:val="00160019"/>
    <w:rsid w:val="001601E3"/>
    <w:rsid w:val="00160485"/>
    <w:rsid w:val="0016060C"/>
    <w:rsid w:val="00160695"/>
    <w:rsid w:val="00160976"/>
    <w:rsid w:val="00160F3F"/>
    <w:rsid w:val="00160FB8"/>
    <w:rsid w:val="00160FF7"/>
    <w:rsid w:val="001613B6"/>
    <w:rsid w:val="0016151C"/>
    <w:rsid w:val="001617A7"/>
    <w:rsid w:val="0016196F"/>
    <w:rsid w:val="00161C6B"/>
    <w:rsid w:val="00161C83"/>
    <w:rsid w:val="00161CA9"/>
    <w:rsid w:val="001627F4"/>
    <w:rsid w:val="0016281D"/>
    <w:rsid w:val="001634B6"/>
    <w:rsid w:val="0016370A"/>
    <w:rsid w:val="00163BEC"/>
    <w:rsid w:val="00163DA6"/>
    <w:rsid w:val="001640DF"/>
    <w:rsid w:val="0016426E"/>
    <w:rsid w:val="0016447E"/>
    <w:rsid w:val="0016476B"/>
    <w:rsid w:val="00164A62"/>
    <w:rsid w:val="00165094"/>
    <w:rsid w:val="00165189"/>
    <w:rsid w:val="0016542C"/>
    <w:rsid w:val="00165639"/>
    <w:rsid w:val="001656C9"/>
    <w:rsid w:val="00165748"/>
    <w:rsid w:val="001657C3"/>
    <w:rsid w:val="00166101"/>
    <w:rsid w:val="001664CC"/>
    <w:rsid w:val="001668A6"/>
    <w:rsid w:val="00166938"/>
    <w:rsid w:val="00166BE8"/>
    <w:rsid w:val="00166DF0"/>
    <w:rsid w:val="0016701F"/>
    <w:rsid w:val="00167351"/>
    <w:rsid w:val="00167985"/>
    <w:rsid w:val="00167C9D"/>
    <w:rsid w:val="00170277"/>
    <w:rsid w:val="001702C9"/>
    <w:rsid w:val="001705B9"/>
    <w:rsid w:val="001706EE"/>
    <w:rsid w:val="001707E4"/>
    <w:rsid w:val="00170DF0"/>
    <w:rsid w:val="00170F74"/>
    <w:rsid w:val="001714E4"/>
    <w:rsid w:val="001716CA"/>
    <w:rsid w:val="00171B53"/>
    <w:rsid w:val="00171CCE"/>
    <w:rsid w:val="00171E23"/>
    <w:rsid w:val="001722D9"/>
    <w:rsid w:val="00172661"/>
    <w:rsid w:val="00172B99"/>
    <w:rsid w:val="00172C7D"/>
    <w:rsid w:val="00172FB4"/>
    <w:rsid w:val="0017326A"/>
    <w:rsid w:val="00173AE7"/>
    <w:rsid w:val="00173C02"/>
    <w:rsid w:val="001742FB"/>
    <w:rsid w:val="00174743"/>
    <w:rsid w:val="00174BBE"/>
    <w:rsid w:val="00174DD9"/>
    <w:rsid w:val="00174E51"/>
    <w:rsid w:val="00174E79"/>
    <w:rsid w:val="00174F3F"/>
    <w:rsid w:val="001752B9"/>
    <w:rsid w:val="0017552A"/>
    <w:rsid w:val="001756BE"/>
    <w:rsid w:val="00176597"/>
    <w:rsid w:val="001765FE"/>
    <w:rsid w:val="00176755"/>
    <w:rsid w:val="0017719A"/>
    <w:rsid w:val="0017741B"/>
    <w:rsid w:val="001774ED"/>
    <w:rsid w:val="0017787C"/>
    <w:rsid w:val="0017789F"/>
    <w:rsid w:val="001778DE"/>
    <w:rsid w:val="00177D21"/>
    <w:rsid w:val="00177EDB"/>
    <w:rsid w:val="00177F8D"/>
    <w:rsid w:val="00180510"/>
    <w:rsid w:val="001805B5"/>
    <w:rsid w:val="001805FB"/>
    <w:rsid w:val="00180FF8"/>
    <w:rsid w:val="00181065"/>
    <w:rsid w:val="0018123B"/>
    <w:rsid w:val="0018129A"/>
    <w:rsid w:val="001812A3"/>
    <w:rsid w:val="00181664"/>
    <w:rsid w:val="00181785"/>
    <w:rsid w:val="00181ADD"/>
    <w:rsid w:val="00181D37"/>
    <w:rsid w:val="00181D5A"/>
    <w:rsid w:val="00181F45"/>
    <w:rsid w:val="00181FE8"/>
    <w:rsid w:val="001823DB"/>
    <w:rsid w:val="00182797"/>
    <w:rsid w:val="00182A8E"/>
    <w:rsid w:val="00182D0A"/>
    <w:rsid w:val="00182D54"/>
    <w:rsid w:val="00182EBA"/>
    <w:rsid w:val="001832C6"/>
    <w:rsid w:val="00183444"/>
    <w:rsid w:val="001836C3"/>
    <w:rsid w:val="00183973"/>
    <w:rsid w:val="00183AA0"/>
    <w:rsid w:val="00183F6E"/>
    <w:rsid w:val="001846D6"/>
    <w:rsid w:val="00184923"/>
    <w:rsid w:val="00184F58"/>
    <w:rsid w:val="00184FAF"/>
    <w:rsid w:val="0018516A"/>
    <w:rsid w:val="001854C8"/>
    <w:rsid w:val="0018567A"/>
    <w:rsid w:val="00185954"/>
    <w:rsid w:val="00185B5A"/>
    <w:rsid w:val="00185D9D"/>
    <w:rsid w:val="00185FE4"/>
    <w:rsid w:val="001861D3"/>
    <w:rsid w:val="00186544"/>
    <w:rsid w:val="0018673D"/>
    <w:rsid w:val="0018675A"/>
    <w:rsid w:val="00186770"/>
    <w:rsid w:val="00186818"/>
    <w:rsid w:val="00186886"/>
    <w:rsid w:val="001868D1"/>
    <w:rsid w:val="00186A65"/>
    <w:rsid w:val="0018729B"/>
    <w:rsid w:val="00187A26"/>
    <w:rsid w:val="00187FF6"/>
    <w:rsid w:val="00190550"/>
    <w:rsid w:val="001905DF"/>
    <w:rsid w:val="001906E3"/>
    <w:rsid w:val="00190CF8"/>
    <w:rsid w:val="00191700"/>
    <w:rsid w:val="00191BD9"/>
    <w:rsid w:val="00191DE4"/>
    <w:rsid w:val="0019283F"/>
    <w:rsid w:val="0019294B"/>
    <w:rsid w:val="001929E2"/>
    <w:rsid w:val="00192B2A"/>
    <w:rsid w:val="00193151"/>
    <w:rsid w:val="0019326D"/>
    <w:rsid w:val="00193B73"/>
    <w:rsid w:val="0019435A"/>
    <w:rsid w:val="001947DD"/>
    <w:rsid w:val="00194932"/>
    <w:rsid w:val="00194A2D"/>
    <w:rsid w:val="00194D61"/>
    <w:rsid w:val="00195280"/>
    <w:rsid w:val="00195315"/>
    <w:rsid w:val="001953A9"/>
    <w:rsid w:val="001953F8"/>
    <w:rsid w:val="0019565A"/>
    <w:rsid w:val="001957B8"/>
    <w:rsid w:val="001959D7"/>
    <w:rsid w:val="00195D5D"/>
    <w:rsid w:val="001964B2"/>
    <w:rsid w:val="001964C0"/>
    <w:rsid w:val="0019661F"/>
    <w:rsid w:val="00196784"/>
    <w:rsid w:val="001967CD"/>
    <w:rsid w:val="00196972"/>
    <w:rsid w:val="00196C33"/>
    <w:rsid w:val="001971A1"/>
    <w:rsid w:val="001973C9"/>
    <w:rsid w:val="00197665"/>
    <w:rsid w:val="00197677"/>
    <w:rsid w:val="0019784B"/>
    <w:rsid w:val="00197A0E"/>
    <w:rsid w:val="001A009C"/>
    <w:rsid w:val="001A013D"/>
    <w:rsid w:val="001A079B"/>
    <w:rsid w:val="001A089C"/>
    <w:rsid w:val="001A0AD2"/>
    <w:rsid w:val="001A10FA"/>
    <w:rsid w:val="001A11E4"/>
    <w:rsid w:val="001A123D"/>
    <w:rsid w:val="001A1C93"/>
    <w:rsid w:val="001A1EEC"/>
    <w:rsid w:val="001A1FA3"/>
    <w:rsid w:val="001A1FCD"/>
    <w:rsid w:val="001A2200"/>
    <w:rsid w:val="001A228F"/>
    <w:rsid w:val="001A2293"/>
    <w:rsid w:val="001A24AF"/>
    <w:rsid w:val="001A24C8"/>
    <w:rsid w:val="001A2569"/>
    <w:rsid w:val="001A278E"/>
    <w:rsid w:val="001A2AAD"/>
    <w:rsid w:val="001A2B48"/>
    <w:rsid w:val="001A2CDF"/>
    <w:rsid w:val="001A2DBA"/>
    <w:rsid w:val="001A2E8F"/>
    <w:rsid w:val="001A2F9A"/>
    <w:rsid w:val="001A32CC"/>
    <w:rsid w:val="001A3330"/>
    <w:rsid w:val="001A3977"/>
    <w:rsid w:val="001A3BA3"/>
    <w:rsid w:val="001A3D8C"/>
    <w:rsid w:val="001A3FCF"/>
    <w:rsid w:val="001A45A2"/>
    <w:rsid w:val="001A4AE9"/>
    <w:rsid w:val="001A4B67"/>
    <w:rsid w:val="001A4C75"/>
    <w:rsid w:val="001A4CB2"/>
    <w:rsid w:val="001A5155"/>
    <w:rsid w:val="001A5187"/>
    <w:rsid w:val="001A5375"/>
    <w:rsid w:val="001A5462"/>
    <w:rsid w:val="001A54A7"/>
    <w:rsid w:val="001A5B77"/>
    <w:rsid w:val="001A5BA8"/>
    <w:rsid w:val="001A5E41"/>
    <w:rsid w:val="001A6485"/>
    <w:rsid w:val="001A658D"/>
    <w:rsid w:val="001A6A83"/>
    <w:rsid w:val="001A6AAB"/>
    <w:rsid w:val="001A6C29"/>
    <w:rsid w:val="001A6CDB"/>
    <w:rsid w:val="001A6E13"/>
    <w:rsid w:val="001A6FBD"/>
    <w:rsid w:val="001A7054"/>
    <w:rsid w:val="001A7114"/>
    <w:rsid w:val="001A7253"/>
    <w:rsid w:val="001A7865"/>
    <w:rsid w:val="001A7B0B"/>
    <w:rsid w:val="001A7F65"/>
    <w:rsid w:val="001A7FD9"/>
    <w:rsid w:val="001B0192"/>
    <w:rsid w:val="001B025E"/>
    <w:rsid w:val="001B03FC"/>
    <w:rsid w:val="001B0A95"/>
    <w:rsid w:val="001B0B74"/>
    <w:rsid w:val="001B11C3"/>
    <w:rsid w:val="001B123B"/>
    <w:rsid w:val="001B1460"/>
    <w:rsid w:val="001B14BC"/>
    <w:rsid w:val="001B1803"/>
    <w:rsid w:val="001B1B3A"/>
    <w:rsid w:val="001B1DBD"/>
    <w:rsid w:val="001B1FD1"/>
    <w:rsid w:val="001B27E1"/>
    <w:rsid w:val="001B2D59"/>
    <w:rsid w:val="001B2FF1"/>
    <w:rsid w:val="001B35A0"/>
    <w:rsid w:val="001B3642"/>
    <w:rsid w:val="001B3832"/>
    <w:rsid w:val="001B38DC"/>
    <w:rsid w:val="001B3D63"/>
    <w:rsid w:val="001B3FD0"/>
    <w:rsid w:val="001B40C9"/>
    <w:rsid w:val="001B421F"/>
    <w:rsid w:val="001B4234"/>
    <w:rsid w:val="001B42AD"/>
    <w:rsid w:val="001B4589"/>
    <w:rsid w:val="001B4648"/>
    <w:rsid w:val="001B47DF"/>
    <w:rsid w:val="001B4810"/>
    <w:rsid w:val="001B48D3"/>
    <w:rsid w:val="001B496A"/>
    <w:rsid w:val="001B49BB"/>
    <w:rsid w:val="001B4A2D"/>
    <w:rsid w:val="001B4A50"/>
    <w:rsid w:val="001B4A9C"/>
    <w:rsid w:val="001B4D3A"/>
    <w:rsid w:val="001B4E26"/>
    <w:rsid w:val="001B4F83"/>
    <w:rsid w:val="001B5037"/>
    <w:rsid w:val="001B527A"/>
    <w:rsid w:val="001B5468"/>
    <w:rsid w:val="001B553F"/>
    <w:rsid w:val="001B55E4"/>
    <w:rsid w:val="001B5A8B"/>
    <w:rsid w:val="001B5EDD"/>
    <w:rsid w:val="001B5F37"/>
    <w:rsid w:val="001B5FBD"/>
    <w:rsid w:val="001B654A"/>
    <w:rsid w:val="001B6B3A"/>
    <w:rsid w:val="001B6BB2"/>
    <w:rsid w:val="001B720D"/>
    <w:rsid w:val="001B7600"/>
    <w:rsid w:val="001B77ED"/>
    <w:rsid w:val="001C0222"/>
    <w:rsid w:val="001C0330"/>
    <w:rsid w:val="001C07A7"/>
    <w:rsid w:val="001C0ADE"/>
    <w:rsid w:val="001C0D12"/>
    <w:rsid w:val="001C0FE5"/>
    <w:rsid w:val="001C1648"/>
    <w:rsid w:val="001C1873"/>
    <w:rsid w:val="001C19FB"/>
    <w:rsid w:val="001C1B25"/>
    <w:rsid w:val="001C1D84"/>
    <w:rsid w:val="001C1EC5"/>
    <w:rsid w:val="001C20CA"/>
    <w:rsid w:val="001C254D"/>
    <w:rsid w:val="001C2740"/>
    <w:rsid w:val="001C2BD8"/>
    <w:rsid w:val="001C2D32"/>
    <w:rsid w:val="001C2D88"/>
    <w:rsid w:val="001C2E0E"/>
    <w:rsid w:val="001C2F5B"/>
    <w:rsid w:val="001C2FF0"/>
    <w:rsid w:val="001C3205"/>
    <w:rsid w:val="001C3260"/>
    <w:rsid w:val="001C37EE"/>
    <w:rsid w:val="001C38F3"/>
    <w:rsid w:val="001C3900"/>
    <w:rsid w:val="001C3909"/>
    <w:rsid w:val="001C39D2"/>
    <w:rsid w:val="001C3BDE"/>
    <w:rsid w:val="001C3CFF"/>
    <w:rsid w:val="001C3DFE"/>
    <w:rsid w:val="001C3E14"/>
    <w:rsid w:val="001C40E9"/>
    <w:rsid w:val="001C4123"/>
    <w:rsid w:val="001C42B9"/>
    <w:rsid w:val="001C44F7"/>
    <w:rsid w:val="001C4AA4"/>
    <w:rsid w:val="001C4C00"/>
    <w:rsid w:val="001C502E"/>
    <w:rsid w:val="001C50E8"/>
    <w:rsid w:val="001C51FD"/>
    <w:rsid w:val="001C535B"/>
    <w:rsid w:val="001C5430"/>
    <w:rsid w:val="001C615E"/>
    <w:rsid w:val="001C61FD"/>
    <w:rsid w:val="001C6289"/>
    <w:rsid w:val="001C68B0"/>
    <w:rsid w:val="001C708B"/>
    <w:rsid w:val="001C7349"/>
    <w:rsid w:val="001C75DA"/>
    <w:rsid w:val="001C7CB0"/>
    <w:rsid w:val="001C7CE0"/>
    <w:rsid w:val="001C7DBC"/>
    <w:rsid w:val="001D01E4"/>
    <w:rsid w:val="001D0272"/>
    <w:rsid w:val="001D0286"/>
    <w:rsid w:val="001D05A5"/>
    <w:rsid w:val="001D06C2"/>
    <w:rsid w:val="001D0740"/>
    <w:rsid w:val="001D0953"/>
    <w:rsid w:val="001D0BEA"/>
    <w:rsid w:val="001D0E9A"/>
    <w:rsid w:val="001D0F59"/>
    <w:rsid w:val="001D110A"/>
    <w:rsid w:val="001D16A6"/>
    <w:rsid w:val="001D1851"/>
    <w:rsid w:val="001D195A"/>
    <w:rsid w:val="001D1970"/>
    <w:rsid w:val="001D1992"/>
    <w:rsid w:val="001D1D23"/>
    <w:rsid w:val="001D2360"/>
    <w:rsid w:val="001D27E1"/>
    <w:rsid w:val="001D27E5"/>
    <w:rsid w:val="001D28BF"/>
    <w:rsid w:val="001D295E"/>
    <w:rsid w:val="001D2A6B"/>
    <w:rsid w:val="001D2FB1"/>
    <w:rsid w:val="001D3079"/>
    <w:rsid w:val="001D3337"/>
    <w:rsid w:val="001D33C0"/>
    <w:rsid w:val="001D33EF"/>
    <w:rsid w:val="001D37BA"/>
    <w:rsid w:val="001D38D1"/>
    <w:rsid w:val="001D40A2"/>
    <w:rsid w:val="001D4214"/>
    <w:rsid w:val="001D4457"/>
    <w:rsid w:val="001D44D1"/>
    <w:rsid w:val="001D44DE"/>
    <w:rsid w:val="001D47D4"/>
    <w:rsid w:val="001D48A4"/>
    <w:rsid w:val="001D48DB"/>
    <w:rsid w:val="001D4952"/>
    <w:rsid w:val="001D4C06"/>
    <w:rsid w:val="001D4D3E"/>
    <w:rsid w:val="001D4E7E"/>
    <w:rsid w:val="001D5054"/>
    <w:rsid w:val="001D5264"/>
    <w:rsid w:val="001D553F"/>
    <w:rsid w:val="001D5563"/>
    <w:rsid w:val="001D55DC"/>
    <w:rsid w:val="001D5C09"/>
    <w:rsid w:val="001D62C3"/>
    <w:rsid w:val="001D6484"/>
    <w:rsid w:val="001D6995"/>
    <w:rsid w:val="001D6BEB"/>
    <w:rsid w:val="001D6C3D"/>
    <w:rsid w:val="001D73D2"/>
    <w:rsid w:val="001D74B7"/>
    <w:rsid w:val="001D76D1"/>
    <w:rsid w:val="001D7722"/>
    <w:rsid w:val="001D793B"/>
    <w:rsid w:val="001D7987"/>
    <w:rsid w:val="001D7ACE"/>
    <w:rsid w:val="001D7BD7"/>
    <w:rsid w:val="001D7D4A"/>
    <w:rsid w:val="001D7E91"/>
    <w:rsid w:val="001E02B1"/>
    <w:rsid w:val="001E0766"/>
    <w:rsid w:val="001E0AF8"/>
    <w:rsid w:val="001E0BAA"/>
    <w:rsid w:val="001E0D1D"/>
    <w:rsid w:val="001E0DEA"/>
    <w:rsid w:val="001E0F57"/>
    <w:rsid w:val="001E0F5B"/>
    <w:rsid w:val="001E1145"/>
    <w:rsid w:val="001E1454"/>
    <w:rsid w:val="001E14B5"/>
    <w:rsid w:val="001E188C"/>
    <w:rsid w:val="001E194D"/>
    <w:rsid w:val="001E1D0C"/>
    <w:rsid w:val="001E226D"/>
    <w:rsid w:val="001E25E1"/>
    <w:rsid w:val="001E2C8A"/>
    <w:rsid w:val="001E2ED7"/>
    <w:rsid w:val="001E3026"/>
    <w:rsid w:val="001E3293"/>
    <w:rsid w:val="001E34F4"/>
    <w:rsid w:val="001E3535"/>
    <w:rsid w:val="001E382B"/>
    <w:rsid w:val="001E3A67"/>
    <w:rsid w:val="001E3CA5"/>
    <w:rsid w:val="001E3D4B"/>
    <w:rsid w:val="001E3D4F"/>
    <w:rsid w:val="001E3FBC"/>
    <w:rsid w:val="001E4CC3"/>
    <w:rsid w:val="001E4F85"/>
    <w:rsid w:val="001E511B"/>
    <w:rsid w:val="001E548C"/>
    <w:rsid w:val="001E5574"/>
    <w:rsid w:val="001E5857"/>
    <w:rsid w:val="001E59DD"/>
    <w:rsid w:val="001E630D"/>
    <w:rsid w:val="001E63D7"/>
    <w:rsid w:val="001E6823"/>
    <w:rsid w:val="001E6A28"/>
    <w:rsid w:val="001E6AA1"/>
    <w:rsid w:val="001E6FCE"/>
    <w:rsid w:val="001E6FE9"/>
    <w:rsid w:val="001E6FFF"/>
    <w:rsid w:val="001E7469"/>
    <w:rsid w:val="001E7798"/>
    <w:rsid w:val="001E7890"/>
    <w:rsid w:val="001E78BC"/>
    <w:rsid w:val="001E7D86"/>
    <w:rsid w:val="001E7DBD"/>
    <w:rsid w:val="001E7E83"/>
    <w:rsid w:val="001F003B"/>
    <w:rsid w:val="001F0257"/>
    <w:rsid w:val="001F02A8"/>
    <w:rsid w:val="001F03C6"/>
    <w:rsid w:val="001F03E9"/>
    <w:rsid w:val="001F070E"/>
    <w:rsid w:val="001F0941"/>
    <w:rsid w:val="001F0B01"/>
    <w:rsid w:val="001F0BCC"/>
    <w:rsid w:val="001F0C36"/>
    <w:rsid w:val="001F0C8F"/>
    <w:rsid w:val="001F0CB8"/>
    <w:rsid w:val="001F0D97"/>
    <w:rsid w:val="001F0F6E"/>
    <w:rsid w:val="001F125D"/>
    <w:rsid w:val="001F171A"/>
    <w:rsid w:val="001F1C77"/>
    <w:rsid w:val="001F1C82"/>
    <w:rsid w:val="001F1F58"/>
    <w:rsid w:val="001F219C"/>
    <w:rsid w:val="001F2398"/>
    <w:rsid w:val="001F25AD"/>
    <w:rsid w:val="001F2887"/>
    <w:rsid w:val="001F297D"/>
    <w:rsid w:val="001F31FF"/>
    <w:rsid w:val="001F3591"/>
    <w:rsid w:val="001F35E2"/>
    <w:rsid w:val="001F37E4"/>
    <w:rsid w:val="001F403F"/>
    <w:rsid w:val="001F41CE"/>
    <w:rsid w:val="001F4AF8"/>
    <w:rsid w:val="001F4C26"/>
    <w:rsid w:val="001F4EC2"/>
    <w:rsid w:val="001F536C"/>
    <w:rsid w:val="001F546A"/>
    <w:rsid w:val="001F553F"/>
    <w:rsid w:val="001F56E9"/>
    <w:rsid w:val="001F5AA8"/>
    <w:rsid w:val="001F5C90"/>
    <w:rsid w:val="001F5D87"/>
    <w:rsid w:val="001F5EBF"/>
    <w:rsid w:val="001F617B"/>
    <w:rsid w:val="001F61D9"/>
    <w:rsid w:val="001F6391"/>
    <w:rsid w:val="001F6A6A"/>
    <w:rsid w:val="001F6C4E"/>
    <w:rsid w:val="001F6E7F"/>
    <w:rsid w:val="001F70FF"/>
    <w:rsid w:val="001F724B"/>
    <w:rsid w:val="001F742A"/>
    <w:rsid w:val="001F7695"/>
    <w:rsid w:val="001F79B1"/>
    <w:rsid w:val="001F7A5E"/>
    <w:rsid w:val="001F7CD3"/>
    <w:rsid w:val="001F7F46"/>
    <w:rsid w:val="0020048D"/>
    <w:rsid w:val="00200B72"/>
    <w:rsid w:val="00200CEA"/>
    <w:rsid w:val="0020102C"/>
    <w:rsid w:val="00201387"/>
    <w:rsid w:val="002016E4"/>
    <w:rsid w:val="002016FA"/>
    <w:rsid w:val="00201B92"/>
    <w:rsid w:val="00201C2A"/>
    <w:rsid w:val="00201DFE"/>
    <w:rsid w:val="0020234C"/>
    <w:rsid w:val="00202629"/>
    <w:rsid w:val="0020277F"/>
    <w:rsid w:val="0020316F"/>
    <w:rsid w:val="00203252"/>
    <w:rsid w:val="00203398"/>
    <w:rsid w:val="00203494"/>
    <w:rsid w:val="0020353C"/>
    <w:rsid w:val="002036E2"/>
    <w:rsid w:val="00203C78"/>
    <w:rsid w:val="0020442A"/>
    <w:rsid w:val="002047D1"/>
    <w:rsid w:val="002047EE"/>
    <w:rsid w:val="002055B8"/>
    <w:rsid w:val="0020564A"/>
    <w:rsid w:val="002056B7"/>
    <w:rsid w:val="002057D6"/>
    <w:rsid w:val="00205837"/>
    <w:rsid w:val="00205B29"/>
    <w:rsid w:val="00205C26"/>
    <w:rsid w:val="00205F8D"/>
    <w:rsid w:val="002060C0"/>
    <w:rsid w:val="0020672F"/>
    <w:rsid w:val="00206803"/>
    <w:rsid w:val="00206A6B"/>
    <w:rsid w:val="00206E1F"/>
    <w:rsid w:val="00206E8A"/>
    <w:rsid w:val="00207914"/>
    <w:rsid w:val="002079C1"/>
    <w:rsid w:val="00207EAF"/>
    <w:rsid w:val="0021017C"/>
    <w:rsid w:val="0021038B"/>
    <w:rsid w:val="002104DF"/>
    <w:rsid w:val="00210505"/>
    <w:rsid w:val="0021062D"/>
    <w:rsid w:val="00210A2D"/>
    <w:rsid w:val="00210AAA"/>
    <w:rsid w:val="00210CE7"/>
    <w:rsid w:val="00210D84"/>
    <w:rsid w:val="00210E4D"/>
    <w:rsid w:val="00210EAD"/>
    <w:rsid w:val="0021100B"/>
    <w:rsid w:val="00211150"/>
    <w:rsid w:val="002114F6"/>
    <w:rsid w:val="00211556"/>
    <w:rsid w:val="002115B0"/>
    <w:rsid w:val="002115F9"/>
    <w:rsid w:val="00211877"/>
    <w:rsid w:val="00211F06"/>
    <w:rsid w:val="00212157"/>
    <w:rsid w:val="002122EC"/>
    <w:rsid w:val="0021240A"/>
    <w:rsid w:val="00212572"/>
    <w:rsid w:val="00212781"/>
    <w:rsid w:val="002128EB"/>
    <w:rsid w:val="002128F0"/>
    <w:rsid w:val="0021297D"/>
    <w:rsid w:val="002129E4"/>
    <w:rsid w:val="00212B75"/>
    <w:rsid w:val="00212C87"/>
    <w:rsid w:val="00212E1D"/>
    <w:rsid w:val="0021350B"/>
    <w:rsid w:val="00213639"/>
    <w:rsid w:val="002136AA"/>
    <w:rsid w:val="00213776"/>
    <w:rsid w:val="002138CA"/>
    <w:rsid w:val="00213A39"/>
    <w:rsid w:val="00213A57"/>
    <w:rsid w:val="00213DBD"/>
    <w:rsid w:val="002148CF"/>
    <w:rsid w:val="002148DF"/>
    <w:rsid w:val="00214A19"/>
    <w:rsid w:val="00214E44"/>
    <w:rsid w:val="002151DA"/>
    <w:rsid w:val="002156CA"/>
    <w:rsid w:val="00215BE6"/>
    <w:rsid w:val="002161B1"/>
    <w:rsid w:val="00216431"/>
    <w:rsid w:val="002167CE"/>
    <w:rsid w:val="00216A41"/>
    <w:rsid w:val="00216A78"/>
    <w:rsid w:val="00216CB7"/>
    <w:rsid w:val="00216D7B"/>
    <w:rsid w:val="00216DA9"/>
    <w:rsid w:val="00216EA1"/>
    <w:rsid w:val="00216FCD"/>
    <w:rsid w:val="002175D0"/>
    <w:rsid w:val="002177B6"/>
    <w:rsid w:val="002177C7"/>
    <w:rsid w:val="00217995"/>
    <w:rsid w:val="002179D4"/>
    <w:rsid w:val="00217AAD"/>
    <w:rsid w:val="00217D35"/>
    <w:rsid w:val="00217D3A"/>
    <w:rsid w:val="00217F98"/>
    <w:rsid w:val="002200E7"/>
    <w:rsid w:val="002208AE"/>
    <w:rsid w:val="002208C1"/>
    <w:rsid w:val="00220BDB"/>
    <w:rsid w:val="00220E53"/>
    <w:rsid w:val="002212CE"/>
    <w:rsid w:val="00221648"/>
    <w:rsid w:val="00221833"/>
    <w:rsid w:val="00221A77"/>
    <w:rsid w:val="00221E77"/>
    <w:rsid w:val="0022221B"/>
    <w:rsid w:val="002222E6"/>
    <w:rsid w:val="002226E0"/>
    <w:rsid w:val="002227AC"/>
    <w:rsid w:val="002228C9"/>
    <w:rsid w:val="002228E3"/>
    <w:rsid w:val="002238A0"/>
    <w:rsid w:val="00223B9C"/>
    <w:rsid w:val="00223C9D"/>
    <w:rsid w:val="002241D6"/>
    <w:rsid w:val="002241DF"/>
    <w:rsid w:val="0022427C"/>
    <w:rsid w:val="002243B5"/>
    <w:rsid w:val="00224507"/>
    <w:rsid w:val="00224618"/>
    <w:rsid w:val="0022463C"/>
    <w:rsid w:val="00224735"/>
    <w:rsid w:val="002247B0"/>
    <w:rsid w:val="00224A63"/>
    <w:rsid w:val="00224C20"/>
    <w:rsid w:val="00224D94"/>
    <w:rsid w:val="00225835"/>
    <w:rsid w:val="00225923"/>
    <w:rsid w:val="00225AF0"/>
    <w:rsid w:val="00225E83"/>
    <w:rsid w:val="00226052"/>
    <w:rsid w:val="002260EF"/>
    <w:rsid w:val="002263B4"/>
    <w:rsid w:val="002263E9"/>
    <w:rsid w:val="00226506"/>
    <w:rsid w:val="0022675F"/>
    <w:rsid w:val="002268A3"/>
    <w:rsid w:val="00226EA7"/>
    <w:rsid w:val="002270DF"/>
    <w:rsid w:val="00227815"/>
    <w:rsid w:val="00227ACE"/>
    <w:rsid w:val="00227E96"/>
    <w:rsid w:val="00227EBD"/>
    <w:rsid w:val="002303F2"/>
    <w:rsid w:val="00230530"/>
    <w:rsid w:val="00230855"/>
    <w:rsid w:val="00230CBC"/>
    <w:rsid w:val="00230E7D"/>
    <w:rsid w:val="002312E7"/>
    <w:rsid w:val="00231311"/>
    <w:rsid w:val="00231475"/>
    <w:rsid w:val="0023158B"/>
    <w:rsid w:val="002316DE"/>
    <w:rsid w:val="00231C20"/>
    <w:rsid w:val="0023248A"/>
    <w:rsid w:val="002326B6"/>
    <w:rsid w:val="00232A94"/>
    <w:rsid w:val="00232B78"/>
    <w:rsid w:val="00233C5D"/>
    <w:rsid w:val="00233D0B"/>
    <w:rsid w:val="00233E13"/>
    <w:rsid w:val="00233E74"/>
    <w:rsid w:val="002340F8"/>
    <w:rsid w:val="00234322"/>
    <w:rsid w:val="00234498"/>
    <w:rsid w:val="00234543"/>
    <w:rsid w:val="002346E2"/>
    <w:rsid w:val="00234878"/>
    <w:rsid w:val="00234E0C"/>
    <w:rsid w:val="00234EC2"/>
    <w:rsid w:val="00234FA6"/>
    <w:rsid w:val="002350DE"/>
    <w:rsid w:val="002351D1"/>
    <w:rsid w:val="00235813"/>
    <w:rsid w:val="002358C5"/>
    <w:rsid w:val="002359C0"/>
    <w:rsid w:val="00235B6F"/>
    <w:rsid w:val="00235CB5"/>
    <w:rsid w:val="00235CCB"/>
    <w:rsid w:val="00236084"/>
    <w:rsid w:val="002364AD"/>
    <w:rsid w:val="0023652E"/>
    <w:rsid w:val="00236637"/>
    <w:rsid w:val="002366AF"/>
    <w:rsid w:val="00236864"/>
    <w:rsid w:val="00236924"/>
    <w:rsid w:val="00236930"/>
    <w:rsid w:val="00236F35"/>
    <w:rsid w:val="00237132"/>
    <w:rsid w:val="00237287"/>
    <w:rsid w:val="00237462"/>
    <w:rsid w:val="00237D16"/>
    <w:rsid w:val="002400A0"/>
    <w:rsid w:val="00240143"/>
    <w:rsid w:val="00240203"/>
    <w:rsid w:val="0024052B"/>
    <w:rsid w:val="00240686"/>
    <w:rsid w:val="00240B2A"/>
    <w:rsid w:val="00240B3E"/>
    <w:rsid w:val="00240CFF"/>
    <w:rsid w:val="00240F13"/>
    <w:rsid w:val="00241208"/>
    <w:rsid w:val="002417AF"/>
    <w:rsid w:val="00241A00"/>
    <w:rsid w:val="00241A4E"/>
    <w:rsid w:val="00241C08"/>
    <w:rsid w:val="00241CD8"/>
    <w:rsid w:val="00241DF6"/>
    <w:rsid w:val="00241F5A"/>
    <w:rsid w:val="002422CA"/>
    <w:rsid w:val="00242369"/>
    <w:rsid w:val="0024245C"/>
    <w:rsid w:val="002426F7"/>
    <w:rsid w:val="002431F8"/>
    <w:rsid w:val="00243311"/>
    <w:rsid w:val="002433B9"/>
    <w:rsid w:val="00243454"/>
    <w:rsid w:val="00243B50"/>
    <w:rsid w:val="00243C0D"/>
    <w:rsid w:val="00243CF7"/>
    <w:rsid w:val="00243F09"/>
    <w:rsid w:val="00243F1E"/>
    <w:rsid w:val="00243F7C"/>
    <w:rsid w:val="00244080"/>
    <w:rsid w:val="00244AD6"/>
    <w:rsid w:val="00244B82"/>
    <w:rsid w:val="00244C00"/>
    <w:rsid w:val="00244D3D"/>
    <w:rsid w:val="00244F99"/>
    <w:rsid w:val="0024503C"/>
    <w:rsid w:val="00245040"/>
    <w:rsid w:val="0024569B"/>
    <w:rsid w:val="002456AF"/>
    <w:rsid w:val="002456CE"/>
    <w:rsid w:val="00245813"/>
    <w:rsid w:val="00245BD4"/>
    <w:rsid w:val="00245FDA"/>
    <w:rsid w:val="002461EE"/>
    <w:rsid w:val="0024658B"/>
    <w:rsid w:val="002465E7"/>
    <w:rsid w:val="00246691"/>
    <w:rsid w:val="00246AAD"/>
    <w:rsid w:val="00246B56"/>
    <w:rsid w:val="00246CC9"/>
    <w:rsid w:val="00246D30"/>
    <w:rsid w:val="00247362"/>
    <w:rsid w:val="002473CC"/>
    <w:rsid w:val="00247683"/>
    <w:rsid w:val="002476BC"/>
    <w:rsid w:val="00247A7B"/>
    <w:rsid w:val="00247C20"/>
    <w:rsid w:val="00247C83"/>
    <w:rsid w:val="002500A3"/>
    <w:rsid w:val="0025025B"/>
    <w:rsid w:val="002502BE"/>
    <w:rsid w:val="00250428"/>
    <w:rsid w:val="002507DD"/>
    <w:rsid w:val="00250872"/>
    <w:rsid w:val="00250DD4"/>
    <w:rsid w:val="002515E6"/>
    <w:rsid w:val="00251B2E"/>
    <w:rsid w:val="00251BAF"/>
    <w:rsid w:val="002521D0"/>
    <w:rsid w:val="00252491"/>
    <w:rsid w:val="0025260B"/>
    <w:rsid w:val="00252719"/>
    <w:rsid w:val="00252837"/>
    <w:rsid w:val="00252C41"/>
    <w:rsid w:val="00252C93"/>
    <w:rsid w:val="002532C1"/>
    <w:rsid w:val="00253604"/>
    <w:rsid w:val="0025373C"/>
    <w:rsid w:val="002539AA"/>
    <w:rsid w:val="002539EE"/>
    <w:rsid w:val="002541F4"/>
    <w:rsid w:val="00254481"/>
    <w:rsid w:val="00254701"/>
    <w:rsid w:val="00254720"/>
    <w:rsid w:val="002547F4"/>
    <w:rsid w:val="00254A22"/>
    <w:rsid w:val="00254CD1"/>
    <w:rsid w:val="002550FF"/>
    <w:rsid w:val="00255293"/>
    <w:rsid w:val="002552B1"/>
    <w:rsid w:val="0025531D"/>
    <w:rsid w:val="0025536A"/>
    <w:rsid w:val="0025560D"/>
    <w:rsid w:val="0025566A"/>
    <w:rsid w:val="0025589B"/>
    <w:rsid w:val="002559BA"/>
    <w:rsid w:val="002559FC"/>
    <w:rsid w:val="00256120"/>
    <w:rsid w:val="00256147"/>
    <w:rsid w:val="00256932"/>
    <w:rsid w:val="00256A9B"/>
    <w:rsid w:val="00256C1C"/>
    <w:rsid w:val="002570F8"/>
    <w:rsid w:val="002573A5"/>
    <w:rsid w:val="0025758A"/>
    <w:rsid w:val="0025782B"/>
    <w:rsid w:val="00257A0A"/>
    <w:rsid w:val="00257C5D"/>
    <w:rsid w:val="00257CFC"/>
    <w:rsid w:val="00257D74"/>
    <w:rsid w:val="00257DF3"/>
    <w:rsid w:val="00257EAD"/>
    <w:rsid w:val="0026016F"/>
    <w:rsid w:val="00260192"/>
    <w:rsid w:val="002602E4"/>
    <w:rsid w:val="00260C2B"/>
    <w:rsid w:val="00261504"/>
    <w:rsid w:val="002615DE"/>
    <w:rsid w:val="00261B57"/>
    <w:rsid w:val="00261D5E"/>
    <w:rsid w:val="00262965"/>
    <w:rsid w:val="002629BA"/>
    <w:rsid w:val="00262D7A"/>
    <w:rsid w:val="0026320A"/>
    <w:rsid w:val="002633F2"/>
    <w:rsid w:val="002638DD"/>
    <w:rsid w:val="00263D01"/>
    <w:rsid w:val="00264083"/>
    <w:rsid w:val="00264228"/>
    <w:rsid w:val="00264358"/>
    <w:rsid w:val="00264546"/>
    <w:rsid w:val="0026470D"/>
    <w:rsid w:val="00264C00"/>
    <w:rsid w:val="00264F25"/>
    <w:rsid w:val="002652F2"/>
    <w:rsid w:val="00265782"/>
    <w:rsid w:val="002659A0"/>
    <w:rsid w:val="00265CDA"/>
    <w:rsid w:val="0026614D"/>
    <w:rsid w:val="002661C9"/>
    <w:rsid w:val="00266906"/>
    <w:rsid w:val="00266948"/>
    <w:rsid w:val="00266A2A"/>
    <w:rsid w:val="00266C33"/>
    <w:rsid w:val="00266CF7"/>
    <w:rsid w:val="00267797"/>
    <w:rsid w:val="002678D5"/>
    <w:rsid w:val="00267A6A"/>
    <w:rsid w:val="00267AF8"/>
    <w:rsid w:val="00267B34"/>
    <w:rsid w:val="00267C51"/>
    <w:rsid w:val="00270544"/>
    <w:rsid w:val="002705FC"/>
    <w:rsid w:val="00270739"/>
    <w:rsid w:val="00270920"/>
    <w:rsid w:val="00270A3A"/>
    <w:rsid w:val="00270B8D"/>
    <w:rsid w:val="002710C9"/>
    <w:rsid w:val="002711F3"/>
    <w:rsid w:val="00271AA5"/>
    <w:rsid w:val="00271DDD"/>
    <w:rsid w:val="00271DE5"/>
    <w:rsid w:val="00271EBC"/>
    <w:rsid w:val="00271EDE"/>
    <w:rsid w:val="00271F18"/>
    <w:rsid w:val="00272053"/>
    <w:rsid w:val="00272247"/>
    <w:rsid w:val="00272414"/>
    <w:rsid w:val="002724AB"/>
    <w:rsid w:val="00272554"/>
    <w:rsid w:val="0027284B"/>
    <w:rsid w:val="00273198"/>
    <w:rsid w:val="00273992"/>
    <w:rsid w:val="00273C60"/>
    <w:rsid w:val="00273E78"/>
    <w:rsid w:val="00273F39"/>
    <w:rsid w:val="00273F9B"/>
    <w:rsid w:val="002743C8"/>
    <w:rsid w:val="00274A8B"/>
    <w:rsid w:val="00274B82"/>
    <w:rsid w:val="002754DB"/>
    <w:rsid w:val="0027571D"/>
    <w:rsid w:val="00275927"/>
    <w:rsid w:val="00276B4E"/>
    <w:rsid w:val="00276CC3"/>
    <w:rsid w:val="00276F13"/>
    <w:rsid w:val="00276FBA"/>
    <w:rsid w:val="00277321"/>
    <w:rsid w:val="00277605"/>
    <w:rsid w:val="00277698"/>
    <w:rsid w:val="002778D4"/>
    <w:rsid w:val="002779ED"/>
    <w:rsid w:val="00277C57"/>
    <w:rsid w:val="00277C80"/>
    <w:rsid w:val="00277D3C"/>
    <w:rsid w:val="00277EE3"/>
    <w:rsid w:val="00277F2D"/>
    <w:rsid w:val="00280073"/>
    <w:rsid w:val="00280094"/>
    <w:rsid w:val="002800F0"/>
    <w:rsid w:val="002805D1"/>
    <w:rsid w:val="002807F9"/>
    <w:rsid w:val="00280ABF"/>
    <w:rsid w:val="00280D5B"/>
    <w:rsid w:val="00280DD0"/>
    <w:rsid w:val="00281090"/>
    <w:rsid w:val="0028176A"/>
    <w:rsid w:val="00281AB5"/>
    <w:rsid w:val="00281C5F"/>
    <w:rsid w:val="00281D17"/>
    <w:rsid w:val="00282025"/>
    <w:rsid w:val="00282243"/>
    <w:rsid w:val="00282301"/>
    <w:rsid w:val="002825A4"/>
    <w:rsid w:val="00282D24"/>
    <w:rsid w:val="00283016"/>
    <w:rsid w:val="002835B9"/>
    <w:rsid w:val="00283816"/>
    <w:rsid w:val="00283E0B"/>
    <w:rsid w:val="002841DB"/>
    <w:rsid w:val="00284282"/>
    <w:rsid w:val="00284332"/>
    <w:rsid w:val="002844E8"/>
    <w:rsid w:val="00284985"/>
    <w:rsid w:val="0028499F"/>
    <w:rsid w:val="00284FA6"/>
    <w:rsid w:val="002851D8"/>
    <w:rsid w:val="002852AF"/>
    <w:rsid w:val="0028597A"/>
    <w:rsid w:val="00285B49"/>
    <w:rsid w:val="00285B4F"/>
    <w:rsid w:val="00285BBB"/>
    <w:rsid w:val="00285CF5"/>
    <w:rsid w:val="00285EB8"/>
    <w:rsid w:val="0028616A"/>
    <w:rsid w:val="002863FF"/>
    <w:rsid w:val="0028668A"/>
    <w:rsid w:val="00286BE5"/>
    <w:rsid w:val="00286E6F"/>
    <w:rsid w:val="00286FE7"/>
    <w:rsid w:val="0028717F"/>
    <w:rsid w:val="0028724C"/>
    <w:rsid w:val="00287401"/>
    <w:rsid w:val="00287669"/>
    <w:rsid w:val="002876F0"/>
    <w:rsid w:val="00287738"/>
    <w:rsid w:val="00287832"/>
    <w:rsid w:val="0028795B"/>
    <w:rsid w:val="00287AD1"/>
    <w:rsid w:val="00287E1C"/>
    <w:rsid w:val="00287F03"/>
    <w:rsid w:val="002900B2"/>
    <w:rsid w:val="002901A8"/>
    <w:rsid w:val="0029023A"/>
    <w:rsid w:val="00290620"/>
    <w:rsid w:val="00290662"/>
    <w:rsid w:val="00290728"/>
    <w:rsid w:val="002908D6"/>
    <w:rsid w:val="002908F2"/>
    <w:rsid w:val="002909CC"/>
    <w:rsid w:val="00290B38"/>
    <w:rsid w:val="00290C30"/>
    <w:rsid w:val="00290EFE"/>
    <w:rsid w:val="002911B3"/>
    <w:rsid w:val="002914D0"/>
    <w:rsid w:val="002915B0"/>
    <w:rsid w:val="002915D5"/>
    <w:rsid w:val="002915DA"/>
    <w:rsid w:val="002916C3"/>
    <w:rsid w:val="00291A1C"/>
    <w:rsid w:val="00291B22"/>
    <w:rsid w:val="00291DAB"/>
    <w:rsid w:val="00291EA2"/>
    <w:rsid w:val="00291FB1"/>
    <w:rsid w:val="00292407"/>
    <w:rsid w:val="00292551"/>
    <w:rsid w:val="002930CF"/>
    <w:rsid w:val="0029331E"/>
    <w:rsid w:val="0029351F"/>
    <w:rsid w:val="00293A1B"/>
    <w:rsid w:val="00293A53"/>
    <w:rsid w:val="00293A9F"/>
    <w:rsid w:val="00293C8D"/>
    <w:rsid w:val="00293F29"/>
    <w:rsid w:val="00293F3C"/>
    <w:rsid w:val="00294204"/>
    <w:rsid w:val="0029421E"/>
    <w:rsid w:val="00294679"/>
    <w:rsid w:val="00294917"/>
    <w:rsid w:val="00294BE1"/>
    <w:rsid w:val="00294DB2"/>
    <w:rsid w:val="00294FD8"/>
    <w:rsid w:val="00295105"/>
    <w:rsid w:val="00295158"/>
    <w:rsid w:val="00295175"/>
    <w:rsid w:val="00295511"/>
    <w:rsid w:val="00295571"/>
    <w:rsid w:val="002957C6"/>
    <w:rsid w:val="00295833"/>
    <w:rsid w:val="00295855"/>
    <w:rsid w:val="00295C5A"/>
    <w:rsid w:val="00295D2F"/>
    <w:rsid w:val="0029603E"/>
    <w:rsid w:val="0029647A"/>
    <w:rsid w:val="00296840"/>
    <w:rsid w:val="00296BFF"/>
    <w:rsid w:val="00296D21"/>
    <w:rsid w:val="00296DF6"/>
    <w:rsid w:val="00296E6B"/>
    <w:rsid w:val="00296FCC"/>
    <w:rsid w:val="002972A8"/>
    <w:rsid w:val="002975F6"/>
    <w:rsid w:val="00297AE6"/>
    <w:rsid w:val="00297BDA"/>
    <w:rsid w:val="00297E07"/>
    <w:rsid w:val="002A0354"/>
    <w:rsid w:val="002A074E"/>
    <w:rsid w:val="002A09E7"/>
    <w:rsid w:val="002A0A0F"/>
    <w:rsid w:val="002A0D25"/>
    <w:rsid w:val="002A0F46"/>
    <w:rsid w:val="002A0FED"/>
    <w:rsid w:val="002A10AC"/>
    <w:rsid w:val="002A13AF"/>
    <w:rsid w:val="002A1C18"/>
    <w:rsid w:val="002A1C60"/>
    <w:rsid w:val="002A1D6F"/>
    <w:rsid w:val="002A1E20"/>
    <w:rsid w:val="002A24F5"/>
    <w:rsid w:val="002A26DE"/>
    <w:rsid w:val="002A279F"/>
    <w:rsid w:val="002A2A7B"/>
    <w:rsid w:val="002A2CB0"/>
    <w:rsid w:val="002A2DD7"/>
    <w:rsid w:val="002A326D"/>
    <w:rsid w:val="002A34F5"/>
    <w:rsid w:val="002A3545"/>
    <w:rsid w:val="002A36FF"/>
    <w:rsid w:val="002A3704"/>
    <w:rsid w:val="002A37CB"/>
    <w:rsid w:val="002A391A"/>
    <w:rsid w:val="002A39C8"/>
    <w:rsid w:val="002A3A8F"/>
    <w:rsid w:val="002A40C4"/>
    <w:rsid w:val="002A4366"/>
    <w:rsid w:val="002A4856"/>
    <w:rsid w:val="002A4860"/>
    <w:rsid w:val="002A5184"/>
    <w:rsid w:val="002A5204"/>
    <w:rsid w:val="002A5290"/>
    <w:rsid w:val="002A53B8"/>
    <w:rsid w:val="002A5E2A"/>
    <w:rsid w:val="002A626B"/>
    <w:rsid w:val="002A63F1"/>
    <w:rsid w:val="002A6522"/>
    <w:rsid w:val="002A6DE4"/>
    <w:rsid w:val="002A7147"/>
    <w:rsid w:val="002A71C1"/>
    <w:rsid w:val="002A7354"/>
    <w:rsid w:val="002A77E6"/>
    <w:rsid w:val="002A78FF"/>
    <w:rsid w:val="002A7A0A"/>
    <w:rsid w:val="002A7AAE"/>
    <w:rsid w:val="002A7C5B"/>
    <w:rsid w:val="002B0256"/>
    <w:rsid w:val="002B0263"/>
    <w:rsid w:val="002B0267"/>
    <w:rsid w:val="002B06E0"/>
    <w:rsid w:val="002B07B4"/>
    <w:rsid w:val="002B0BE5"/>
    <w:rsid w:val="002B0C20"/>
    <w:rsid w:val="002B0FDC"/>
    <w:rsid w:val="002B14CE"/>
    <w:rsid w:val="002B15C2"/>
    <w:rsid w:val="002B1EB0"/>
    <w:rsid w:val="002B2658"/>
    <w:rsid w:val="002B2BC5"/>
    <w:rsid w:val="002B2BE9"/>
    <w:rsid w:val="002B2E08"/>
    <w:rsid w:val="002B2F92"/>
    <w:rsid w:val="002B3049"/>
    <w:rsid w:val="002B3198"/>
    <w:rsid w:val="002B3331"/>
    <w:rsid w:val="002B3503"/>
    <w:rsid w:val="002B369E"/>
    <w:rsid w:val="002B387E"/>
    <w:rsid w:val="002B390F"/>
    <w:rsid w:val="002B3A76"/>
    <w:rsid w:val="002B3B79"/>
    <w:rsid w:val="002B3DDE"/>
    <w:rsid w:val="002B3E97"/>
    <w:rsid w:val="002B3F96"/>
    <w:rsid w:val="002B41C8"/>
    <w:rsid w:val="002B4411"/>
    <w:rsid w:val="002B4C66"/>
    <w:rsid w:val="002B4D0E"/>
    <w:rsid w:val="002B4D7C"/>
    <w:rsid w:val="002B4E17"/>
    <w:rsid w:val="002B4F52"/>
    <w:rsid w:val="002B5108"/>
    <w:rsid w:val="002B5151"/>
    <w:rsid w:val="002B5162"/>
    <w:rsid w:val="002B52C4"/>
    <w:rsid w:val="002B5396"/>
    <w:rsid w:val="002B539C"/>
    <w:rsid w:val="002B57A4"/>
    <w:rsid w:val="002B5C3E"/>
    <w:rsid w:val="002B5FC6"/>
    <w:rsid w:val="002B6217"/>
    <w:rsid w:val="002B6398"/>
    <w:rsid w:val="002B6510"/>
    <w:rsid w:val="002B669A"/>
    <w:rsid w:val="002B67C7"/>
    <w:rsid w:val="002B68D6"/>
    <w:rsid w:val="002B6B46"/>
    <w:rsid w:val="002B6B50"/>
    <w:rsid w:val="002B6B8E"/>
    <w:rsid w:val="002B6C73"/>
    <w:rsid w:val="002B6E22"/>
    <w:rsid w:val="002B6F2F"/>
    <w:rsid w:val="002B700F"/>
    <w:rsid w:val="002B70E7"/>
    <w:rsid w:val="002B7547"/>
    <w:rsid w:val="002B7801"/>
    <w:rsid w:val="002B79D6"/>
    <w:rsid w:val="002B7BDA"/>
    <w:rsid w:val="002B7EF2"/>
    <w:rsid w:val="002C03B2"/>
    <w:rsid w:val="002C03E4"/>
    <w:rsid w:val="002C04F7"/>
    <w:rsid w:val="002C078F"/>
    <w:rsid w:val="002C083F"/>
    <w:rsid w:val="002C0970"/>
    <w:rsid w:val="002C0D18"/>
    <w:rsid w:val="002C1027"/>
    <w:rsid w:val="002C1101"/>
    <w:rsid w:val="002C1F7A"/>
    <w:rsid w:val="002C1FD4"/>
    <w:rsid w:val="002C212B"/>
    <w:rsid w:val="002C21D9"/>
    <w:rsid w:val="002C2309"/>
    <w:rsid w:val="002C23AE"/>
    <w:rsid w:val="002C272A"/>
    <w:rsid w:val="002C285F"/>
    <w:rsid w:val="002C28A9"/>
    <w:rsid w:val="002C2DBE"/>
    <w:rsid w:val="002C2F06"/>
    <w:rsid w:val="002C3197"/>
    <w:rsid w:val="002C31E0"/>
    <w:rsid w:val="002C348F"/>
    <w:rsid w:val="002C35B1"/>
    <w:rsid w:val="002C3732"/>
    <w:rsid w:val="002C3D59"/>
    <w:rsid w:val="002C3ECA"/>
    <w:rsid w:val="002C40C8"/>
    <w:rsid w:val="002C4239"/>
    <w:rsid w:val="002C43A8"/>
    <w:rsid w:val="002C4909"/>
    <w:rsid w:val="002C496D"/>
    <w:rsid w:val="002C4E5A"/>
    <w:rsid w:val="002C567D"/>
    <w:rsid w:val="002C5E3E"/>
    <w:rsid w:val="002C60FE"/>
    <w:rsid w:val="002C643B"/>
    <w:rsid w:val="002C64C7"/>
    <w:rsid w:val="002C681A"/>
    <w:rsid w:val="002C68D8"/>
    <w:rsid w:val="002C6AE7"/>
    <w:rsid w:val="002C6B6A"/>
    <w:rsid w:val="002C6D6E"/>
    <w:rsid w:val="002C6E3F"/>
    <w:rsid w:val="002C704B"/>
    <w:rsid w:val="002C7135"/>
    <w:rsid w:val="002C7887"/>
    <w:rsid w:val="002C78B6"/>
    <w:rsid w:val="002C7AA1"/>
    <w:rsid w:val="002C7C86"/>
    <w:rsid w:val="002C7DB8"/>
    <w:rsid w:val="002C7F7E"/>
    <w:rsid w:val="002C7F7F"/>
    <w:rsid w:val="002D0096"/>
    <w:rsid w:val="002D083D"/>
    <w:rsid w:val="002D09A1"/>
    <w:rsid w:val="002D0E3A"/>
    <w:rsid w:val="002D0E4C"/>
    <w:rsid w:val="002D0F33"/>
    <w:rsid w:val="002D10EA"/>
    <w:rsid w:val="002D13D5"/>
    <w:rsid w:val="002D1659"/>
    <w:rsid w:val="002D16CA"/>
    <w:rsid w:val="002D180C"/>
    <w:rsid w:val="002D19DC"/>
    <w:rsid w:val="002D1EF7"/>
    <w:rsid w:val="002D22E0"/>
    <w:rsid w:val="002D27A4"/>
    <w:rsid w:val="002D29C3"/>
    <w:rsid w:val="002D2B21"/>
    <w:rsid w:val="002D2DBE"/>
    <w:rsid w:val="002D2FE2"/>
    <w:rsid w:val="002D340E"/>
    <w:rsid w:val="002D3421"/>
    <w:rsid w:val="002D34B3"/>
    <w:rsid w:val="002D356C"/>
    <w:rsid w:val="002D3592"/>
    <w:rsid w:val="002D3805"/>
    <w:rsid w:val="002D3970"/>
    <w:rsid w:val="002D3FD1"/>
    <w:rsid w:val="002D414E"/>
    <w:rsid w:val="002D4216"/>
    <w:rsid w:val="002D4510"/>
    <w:rsid w:val="002D45B8"/>
    <w:rsid w:val="002D46DF"/>
    <w:rsid w:val="002D48C7"/>
    <w:rsid w:val="002D4CCB"/>
    <w:rsid w:val="002D4CDF"/>
    <w:rsid w:val="002D4D8E"/>
    <w:rsid w:val="002D4EC0"/>
    <w:rsid w:val="002D4F96"/>
    <w:rsid w:val="002D5350"/>
    <w:rsid w:val="002D54EA"/>
    <w:rsid w:val="002D5506"/>
    <w:rsid w:val="002D5D61"/>
    <w:rsid w:val="002D5DB3"/>
    <w:rsid w:val="002D6597"/>
    <w:rsid w:val="002D66C6"/>
    <w:rsid w:val="002D6A32"/>
    <w:rsid w:val="002D732B"/>
    <w:rsid w:val="002D76FA"/>
    <w:rsid w:val="002D7B72"/>
    <w:rsid w:val="002D7C7E"/>
    <w:rsid w:val="002D7FCD"/>
    <w:rsid w:val="002E03CC"/>
    <w:rsid w:val="002E055A"/>
    <w:rsid w:val="002E0A5E"/>
    <w:rsid w:val="002E0B09"/>
    <w:rsid w:val="002E0B20"/>
    <w:rsid w:val="002E0D2B"/>
    <w:rsid w:val="002E0DDC"/>
    <w:rsid w:val="002E0E69"/>
    <w:rsid w:val="002E0F2C"/>
    <w:rsid w:val="002E0FB6"/>
    <w:rsid w:val="002E104F"/>
    <w:rsid w:val="002E13BE"/>
    <w:rsid w:val="002E13DC"/>
    <w:rsid w:val="002E1452"/>
    <w:rsid w:val="002E1519"/>
    <w:rsid w:val="002E174B"/>
    <w:rsid w:val="002E1C6F"/>
    <w:rsid w:val="002E1CE4"/>
    <w:rsid w:val="002E1EAC"/>
    <w:rsid w:val="002E21ED"/>
    <w:rsid w:val="002E2606"/>
    <w:rsid w:val="002E27BF"/>
    <w:rsid w:val="002E27C7"/>
    <w:rsid w:val="002E27CB"/>
    <w:rsid w:val="002E2A30"/>
    <w:rsid w:val="002E2B26"/>
    <w:rsid w:val="002E2BBC"/>
    <w:rsid w:val="002E2DFC"/>
    <w:rsid w:val="002E3819"/>
    <w:rsid w:val="002E392C"/>
    <w:rsid w:val="002E3ED2"/>
    <w:rsid w:val="002E3FAB"/>
    <w:rsid w:val="002E4185"/>
    <w:rsid w:val="002E4210"/>
    <w:rsid w:val="002E42BE"/>
    <w:rsid w:val="002E44DE"/>
    <w:rsid w:val="002E4520"/>
    <w:rsid w:val="002E48A0"/>
    <w:rsid w:val="002E49BC"/>
    <w:rsid w:val="002E4D58"/>
    <w:rsid w:val="002E4D73"/>
    <w:rsid w:val="002E5051"/>
    <w:rsid w:val="002E5286"/>
    <w:rsid w:val="002E546B"/>
    <w:rsid w:val="002E549C"/>
    <w:rsid w:val="002E54A4"/>
    <w:rsid w:val="002E562C"/>
    <w:rsid w:val="002E5A56"/>
    <w:rsid w:val="002E5DA6"/>
    <w:rsid w:val="002E6099"/>
    <w:rsid w:val="002E6576"/>
    <w:rsid w:val="002E6732"/>
    <w:rsid w:val="002E68FF"/>
    <w:rsid w:val="002E696B"/>
    <w:rsid w:val="002E6D16"/>
    <w:rsid w:val="002E6D3F"/>
    <w:rsid w:val="002E6D4D"/>
    <w:rsid w:val="002E6E51"/>
    <w:rsid w:val="002E6F40"/>
    <w:rsid w:val="002E6FC1"/>
    <w:rsid w:val="002E709C"/>
    <w:rsid w:val="002E723B"/>
    <w:rsid w:val="002E724C"/>
    <w:rsid w:val="002E72FB"/>
    <w:rsid w:val="002E7364"/>
    <w:rsid w:val="002E7736"/>
    <w:rsid w:val="002E7D04"/>
    <w:rsid w:val="002E7E60"/>
    <w:rsid w:val="002F0004"/>
    <w:rsid w:val="002F00A6"/>
    <w:rsid w:val="002F01CF"/>
    <w:rsid w:val="002F0741"/>
    <w:rsid w:val="002F0752"/>
    <w:rsid w:val="002F0954"/>
    <w:rsid w:val="002F0CC0"/>
    <w:rsid w:val="002F0CE7"/>
    <w:rsid w:val="002F1006"/>
    <w:rsid w:val="002F103F"/>
    <w:rsid w:val="002F11AC"/>
    <w:rsid w:val="002F1304"/>
    <w:rsid w:val="002F137E"/>
    <w:rsid w:val="002F14F4"/>
    <w:rsid w:val="002F15D5"/>
    <w:rsid w:val="002F1756"/>
    <w:rsid w:val="002F18E3"/>
    <w:rsid w:val="002F1BFE"/>
    <w:rsid w:val="002F2182"/>
    <w:rsid w:val="002F2596"/>
    <w:rsid w:val="002F27E5"/>
    <w:rsid w:val="002F29C9"/>
    <w:rsid w:val="002F29D3"/>
    <w:rsid w:val="002F2DC6"/>
    <w:rsid w:val="002F32FA"/>
    <w:rsid w:val="002F35F6"/>
    <w:rsid w:val="002F361F"/>
    <w:rsid w:val="002F3859"/>
    <w:rsid w:val="002F3B38"/>
    <w:rsid w:val="002F3BD1"/>
    <w:rsid w:val="002F3ECE"/>
    <w:rsid w:val="002F3EEE"/>
    <w:rsid w:val="002F4569"/>
    <w:rsid w:val="002F4640"/>
    <w:rsid w:val="002F48FF"/>
    <w:rsid w:val="002F49CC"/>
    <w:rsid w:val="002F4AD2"/>
    <w:rsid w:val="002F4B67"/>
    <w:rsid w:val="002F4D69"/>
    <w:rsid w:val="002F4D83"/>
    <w:rsid w:val="002F50C6"/>
    <w:rsid w:val="002F5BA8"/>
    <w:rsid w:val="002F5C61"/>
    <w:rsid w:val="002F5E7B"/>
    <w:rsid w:val="002F5FAA"/>
    <w:rsid w:val="002F6063"/>
    <w:rsid w:val="002F668A"/>
    <w:rsid w:val="002F66DE"/>
    <w:rsid w:val="002F6700"/>
    <w:rsid w:val="002F6740"/>
    <w:rsid w:val="002F676A"/>
    <w:rsid w:val="002F67D4"/>
    <w:rsid w:val="002F6A08"/>
    <w:rsid w:val="002F6B34"/>
    <w:rsid w:val="002F7117"/>
    <w:rsid w:val="002F72A9"/>
    <w:rsid w:val="002F7713"/>
    <w:rsid w:val="002F7B4F"/>
    <w:rsid w:val="002F7C61"/>
    <w:rsid w:val="002F7CA9"/>
    <w:rsid w:val="002F7F16"/>
    <w:rsid w:val="00300046"/>
    <w:rsid w:val="0030015A"/>
    <w:rsid w:val="0030026D"/>
    <w:rsid w:val="003002F0"/>
    <w:rsid w:val="003004DB"/>
    <w:rsid w:val="003005E6"/>
    <w:rsid w:val="00300D37"/>
    <w:rsid w:val="0030155B"/>
    <w:rsid w:val="00301CA8"/>
    <w:rsid w:val="00301FC0"/>
    <w:rsid w:val="00302135"/>
    <w:rsid w:val="003021DD"/>
    <w:rsid w:val="0030237F"/>
    <w:rsid w:val="00302405"/>
    <w:rsid w:val="00302560"/>
    <w:rsid w:val="00302D6B"/>
    <w:rsid w:val="00302D6E"/>
    <w:rsid w:val="00302DDA"/>
    <w:rsid w:val="00302E32"/>
    <w:rsid w:val="00302E35"/>
    <w:rsid w:val="00302F77"/>
    <w:rsid w:val="003034BB"/>
    <w:rsid w:val="00303599"/>
    <w:rsid w:val="00303888"/>
    <w:rsid w:val="0030392D"/>
    <w:rsid w:val="00303B1B"/>
    <w:rsid w:val="00303D20"/>
    <w:rsid w:val="0030402B"/>
    <w:rsid w:val="003042A3"/>
    <w:rsid w:val="003047EB"/>
    <w:rsid w:val="003049C7"/>
    <w:rsid w:val="00304ACA"/>
    <w:rsid w:val="00304C8C"/>
    <w:rsid w:val="00304E5B"/>
    <w:rsid w:val="00304F9C"/>
    <w:rsid w:val="003052A4"/>
    <w:rsid w:val="003053E5"/>
    <w:rsid w:val="0030567B"/>
    <w:rsid w:val="00305C00"/>
    <w:rsid w:val="00305D32"/>
    <w:rsid w:val="00305F57"/>
    <w:rsid w:val="0030624C"/>
    <w:rsid w:val="0030625D"/>
    <w:rsid w:val="00306365"/>
    <w:rsid w:val="00306A75"/>
    <w:rsid w:val="00306E61"/>
    <w:rsid w:val="003071CC"/>
    <w:rsid w:val="003071F0"/>
    <w:rsid w:val="003077A7"/>
    <w:rsid w:val="00307889"/>
    <w:rsid w:val="00307895"/>
    <w:rsid w:val="003079E8"/>
    <w:rsid w:val="00307BD9"/>
    <w:rsid w:val="00307E6D"/>
    <w:rsid w:val="0030C95F"/>
    <w:rsid w:val="00310100"/>
    <w:rsid w:val="003106FD"/>
    <w:rsid w:val="00310710"/>
    <w:rsid w:val="003109B3"/>
    <w:rsid w:val="00311110"/>
    <w:rsid w:val="00311221"/>
    <w:rsid w:val="00311265"/>
    <w:rsid w:val="0031129B"/>
    <w:rsid w:val="003112A5"/>
    <w:rsid w:val="00311383"/>
    <w:rsid w:val="0031145A"/>
    <w:rsid w:val="003115C7"/>
    <w:rsid w:val="00311A2B"/>
    <w:rsid w:val="003121A5"/>
    <w:rsid w:val="003123F1"/>
    <w:rsid w:val="00312795"/>
    <w:rsid w:val="003135DE"/>
    <w:rsid w:val="0031362B"/>
    <w:rsid w:val="00313635"/>
    <w:rsid w:val="00313657"/>
    <w:rsid w:val="00313681"/>
    <w:rsid w:val="003136A3"/>
    <w:rsid w:val="003137C6"/>
    <w:rsid w:val="00313B44"/>
    <w:rsid w:val="00313DAD"/>
    <w:rsid w:val="003141BB"/>
    <w:rsid w:val="003142C7"/>
    <w:rsid w:val="003142CE"/>
    <w:rsid w:val="00314414"/>
    <w:rsid w:val="0031451F"/>
    <w:rsid w:val="00314529"/>
    <w:rsid w:val="00314569"/>
    <w:rsid w:val="0031464B"/>
    <w:rsid w:val="0031477E"/>
    <w:rsid w:val="0031483A"/>
    <w:rsid w:val="00314914"/>
    <w:rsid w:val="00314A16"/>
    <w:rsid w:val="00314B5B"/>
    <w:rsid w:val="00314B7D"/>
    <w:rsid w:val="00314FC8"/>
    <w:rsid w:val="00315144"/>
    <w:rsid w:val="00315196"/>
    <w:rsid w:val="0031556F"/>
    <w:rsid w:val="00315B32"/>
    <w:rsid w:val="00315FBA"/>
    <w:rsid w:val="00316504"/>
    <w:rsid w:val="00316661"/>
    <w:rsid w:val="00316685"/>
    <w:rsid w:val="00316D5B"/>
    <w:rsid w:val="00316E95"/>
    <w:rsid w:val="003170D5"/>
    <w:rsid w:val="0031730A"/>
    <w:rsid w:val="003176AB"/>
    <w:rsid w:val="00317B97"/>
    <w:rsid w:val="00317F05"/>
    <w:rsid w:val="003200C7"/>
    <w:rsid w:val="00320A68"/>
    <w:rsid w:val="00320A89"/>
    <w:rsid w:val="00320BB4"/>
    <w:rsid w:val="00320D12"/>
    <w:rsid w:val="00320F24"/>
    <w:rsid w:val="003212E7"/>
    <w:rsid w:val="003214F7"/>
    <w:rsid w:val="00321697"/>
    <w:rsid w:val="003217DA"/>
    <w:rsid w:val="003218AC"/>
    <w:rsid w:val="00321A0A"/>
    <w:rsid w:val="00322116"/>
    <w:rsid w:val="00322171"/>
    <w:rsid w:val="003222CE"/>
    <w:rsid w:val="003224A5"/>
    <w:rsid w:val="00322672"/>
    <w:rsid w:val="003228D6"/>
    <w:rsid w:val="003228E9"/>
    <w:rsid w:val="00322A68"/>
    <w:rsid w:val="00322D7F"/>
    <w:rsid w:val="00322E5E"/>
    <w:rsid w:val="00322F77"/>
    <w:rsid w:val="00323317"/>
    <w:rsid w:val="0032334E"/>
    <w:rsid w:val="0032369C"/>
    <w:rsid w:val="0032375B"/>
    <w:rsid w:val="00323975"/>
    <w:rsid w:val="003239FA"/>
    <w:rsid w:val="00323E6B"/>
    <w:rsid w:val="00324456"/>
    <w:rsid w:val="00324474"/>
    <w:rsid w:val="00324712"/>
    <w:rsid w:val="003249E5"/>
    <w:rsid w:val="00324A5A"/>
    <w:rsid w:val="00324E82"/>
    <w:rsid w:val="00325082"/>
    <w:rsid w:val="00325205"/>
    <w:rsid w:val="00325832"/>
    <w:rsid w:val="00326348"/>
    <w:rsid w:val="0032686D"/>
    <w:rsid w:val="00326B99"/>
    <w:rsid w:val="00326C17"/>
    <w:rsid w:val="00326C7C"/>
    <w:rsid w:val="00326CB3"/>
    <w:rsid w:val="00327112"/>
    <w:rsid w:val="003272A5"/>
    <w:rsid w:val="0032739E"/>
    <w:rsid w:val="00327A92"/>
    <w:rsid w:val="00327ABB"/>
    <w:rsid w:val="00327B13"/>
    <w:rsid w:val="00327C17"/>
    <w:rsid w:val="00327EB8"/>
    <w:rsid w:val="0033018D"/>
    <w:rsid w:val="0033037E"/>
    <w:rsid w:val="003303FF"/>
    <w:rsid w:val="00330727"/>
    <w:rsid w:val="0033143E"/>
    <w:rsid w:val="0033147C"/>
    <w:rsid w:val="00331FBC"/>
    <w:rsid w:val="00332526"/>
    <w:rsid w:val="0033266F"/>
    <w:rsid w:val="00332908"/>
    <w:rsid w:val="00332A25"/>
    <w:rsid w:val="00332B8B"/>
    <w:rsid w:val="003333AA"/>
    <w:rsid w:val="0033351E"/>
    <w:rsid w:val="00333659"/>
    <w:rsid w:val="00333C2A"/>
    <w:rsid w:val="00333D26"/>
    <w:rsid w:val="00333DC4"/>
    <w:rsid w:val="00333FBB"/>
    <w:rsid w:val="00334147"/>
    <w:rsid w:val="003341F4"/>
    <w:rsid w:val="0033436E"/>
    <w:rsid w:val="0033442A"/>
    <w:rsid w:val="003344C6"/>
    <w:rsid w:val="003344FA"/>
    <w:rsid w:val="00334708"/>
    <w:rsid w:val="0033485C"/>
    <w:rsid w:val="00334E5D"/>
    <w:rsid w:val="00334E8A"/>
    <w:rsid w:val="00334F86"/>
    <w:rsid w:val="00335189"/>
    <w:rsid w:val="00335250"/>
    <w:rsid w:val="00335B79"/>
    <w:rsid w:val="00335CB1"/>
    <w:rsid w:val="00335E3C"/>
    <w:rsid w:val="0033638C"/>
    <w:rsid w:val="00336598"/>
    <w:rsid w:val="003367FF"/>
    <w:rsid w:val="003368C8"/>
    <w:rsid w:val="003370EC"/>
    <w:rsid w:val="0033746E"/>
    <w:rsid w:val="0033751F"/>
    <w:rsid w:val="00337584"/>
    <w:rsid w:val="003376EA"/>
    <w:rsid w:val="003379A6"/>
    <w:rsid w:val="003379D7"/>
    <w:rsid w:val="00337E4E"/>
    <w:rsid w:val="00337FF6"/>
    <w:rsid w:val="0034028E"/>
    <w:rsid w:val="003404F8"/>
    <w:rsid w:val="003404FE"/>
    <w:rsid w:val="003405F7"/>
    <w:rsid w:val="0034085C"/>
    <w:rsid w:val="003409EB"/>
    <w:rsid w:val="003416F2"/>
    <w:rsid w:val="00341A50"/>
    <w:rsid w:val="00341D62"/>
    <w:rsid w:val="00342187"/>
    <w:rsid w:val="0034268F"/>
    <w:rsid w:val="003426A3"/>
    <w:rsid w:val="00342725"/>
    <w:rsid w:val="00342AF5"/>
    <w:rsid w:val="00342F8F"/>
    <w:rsid w:val="0034301C"/>
    <w:rsid w:val="00343021"/>
    <w:rsid w:val="003433C0"/>
    <w:rsid w:val="003439C5"/>
    <w:rsid w:val="00343A9B"/>
    <w:rsid w:val="00343B62"/>
    <w:rsid w:val="00343DA3"/>
    <w:rsid w:val="00343DFB"/>
    <w:rsid w:val="003442F6"/>
    <w:rsid w:val="00344FE7"/>
    <w:rsid w:val="00345220"/>
    <w:rsid w:val="003455DC"/>
    <w:rsid w:val="003458FC"/>
    <w:rsid w:val="00345ADC"/>
    <w:rsid w:val="00345EB8"/>
    <w:rsid w:val="003463C9"/>
    <w:rsid w:val="003463F0"/>
    <w:rsid w:val="00346847"/>
    <w:rsid w:val="00346AF7"/>
    <w:rsid w:val="00346B3A"/>
    <w:rsid w:val="00346DBF"/>
    <w:rsid w:val="00346EC0"/>
    <w:rsid w:val="0034799F"/>
    <w:rsid w:val="003479E0"/>
    <w:rsid w:val="003479FE"/>
    <w:rsid w:val="00347D4F"/>
    <w:rsid w:val="003500D4"/>
    <w:rsid w:val="00350457"/>
    <w:rsid w:val="003507EF"/>
    <w:rsid w:val="003509C2"/>
    <w:rsid w:val="00350FAF"/>
    <w:rsid w:val="00351181"/>
    <w:rsid w:val="0035134A"/>
    <w:rsid w:val="00351E53"/>
    <w:rsid w:val="00351EE7"/>
    <w:rsid w:val="00352108"/>
    <w:rsid w:val="00352322"/>
    <w:rsid w:val="003525A3"/>
    <w:rsid w:val="00352651"/>
    <w:rsid w:val="0035293D"/>
    <w:rsid w:val="00352D6B"/>
    <w:rsid w:val="00352DB0"/>
    <w:rsid w:val="00352E8D"/>
    <w:rsid w:val="00352FE6"/>
    <w:rsid w:val="00353D4A"/>
    <w:rsid w:val="00353FCA"/>
    <w:rsid w:val="003541ED"/>
    <w:rsid w:val="0035488E"/>
    <w:rsid w:val="00354A01"/>
    <w:rsid w:val="00354FAD"/>
    <w:rsid w:val="003551BF"/>
    <w:rsid w:val="00355269"/>
    <w:rsid w:val="00355725"/>
    <w:rsid w:val="00355749"/>
    <w:rsid w:val="003558CB"/>
    <w:rsid w:val="00355B91"/>
    <w:rsid w:val="00355E13"/>
    <w:rsid w:val="003560D5"/>
    <w:rsid w:val="00356276"/>
    <w:rsid w:val="00356342"/>
    <w:rsid w:val="00356688"/>
    <w:rsid w:val="003569AB"/>
    <w:rsid w:val="003569CD"/>
    <w:rsid w:val="00356C2B"/>
    <w:rsid w:val="003578D8"/>
    <w:rsid w:val="00357A0A"/>
    <w:rsid w:val="00357A45"/>
    <w:rsid w:val="003600FA"/>
    <w:rsid w:val="0036012E"/>
    <w:rsid w:val="0036019A"/>
    <w:rsid w:val="00360628"/>
    <w:rsid w:val="00360660"/>
    <w:rsid w:val="00360773"/>
    <w:rsid w:val="003607FE"/>
    <w:rsid w:val="00360963"/>
    <w:rsid w:val="00360F03"/>
    <w:rsid w:val="00360F20"/>
    <w:rsid w:val="003610B8"/>
    <w:rsid w:val="003611DE"/>
    <w:rsid w:val="003619EF"/>
    <w:rsid w:val="00361AE0"/>
    <w:rsid w:val="00362272"/>
    <w:rsid w:val="00362382"/>
    <w:rsid w:val="003626DE"/>
    <w:rsid w:val="00362779"/>
    <w:rsid w:val="00362802"/>
    <w:rsid w:val="003629D5"/>
    <w:rsid w:val="00362D24"/>
    <w:rsid w:val="00363424"/>
    <w:rsid w:val="00363A18"/>
    <w:rsid w:val="003646B3"/>
    <w:rsid w:val="003647C9"/>
    <w:rsid w:val="003647EC"/>
    <w:rsid w:val="00364829"/>
    <w:rsid w:val="003648AB"/>
    <w:rsid w:val="003648B6"/>
    <w:rsid w:val="00364B7F"/>
    <w:rsid w:val="00364C17"/>
    <w:rsid w:val="00364DA6"/>
    <w:rsid w:val="003652A6"/>
    <w:rsid w:val="00365565"/>
    <w:rsid w:val="00365918"/>
    <w:rsid w:val="00365EC5"/>
    <w:rsid w:val="00365FD6"/>
    <w:rsid w:val="00366090"/>
    <w:rsid w:val="003661E7"/>
    <w:rsid w:val="00366228"/>
    <w:rsid w:val="0036633B"/>
    <w:rsid w:val="00366527"/>
    <w:rsid w:val="00366870"/>
    <w:rsid w:val="00366989"/>
    <w:rsid w:val="00366C2B"/>
    <w:rsid w:val="00367497"/>
    <w:rsid w:val="003674AF"/>
    <w:rsid w:val="003677C9"/>
    <w:rsid w:val="00367C10"/>
    <w:rsid w:val="00367D90"/>
    <w:rsid w:val="00367F20"/>
    <w:rsid w:val="003700E8"/>
    <w:rsid w:val="00370211"/>
    <w:rsid w:val="003706FC"/>
    <w:rsid w:val="00370741"/>
    <w:rsid w:val="003707BF"/>
    <w:rsid w:val="00370F42"/>
    <w:rsid w:val="003717A6"/>
    <w:rsid w:val="003717DB"/>
    <w:rsid w:val="00371869"/>
    <w:rsid w:val="003719BE"/>
    <w:rsid w:val="003719FE"/>
    <w:rsid w:val="00371D09"/>
    <w:rsid w:val="00372173"/>
    <w:rsid w:val="003725F9"/>
    <w:rsid w:val="0037262B"/>
    <w:rsid w:val="003727F3"/>
    <w:rsid w:val="00372A6F"/>
    <w:rsid w:val="00372AE4"/>
    <w:rsid w:val="00372F94"/>
    <w:rsid w:val="003732A8"/>
    <w:rsid w:val="003732F9"/>
    <w:rsid w:val="00373547"/>
    <w:rsid w:val="00373768"/>
    <w:rsid w:val="00373888"/>
    <w:rsid w:val="003738F3"/>
    <w:rsid w:val="00373D8D"/>
    <w:rsid w:val="00373FA2"/>
    <w:rsid w:val="003740BD"/>
    <w:rsid w:val="0037436B"/>
    <w:rsid w:val="00374419"/>
    <w:rsid w:val="0037443C"/>
    <w:rsid w:val="003744D7"/>
    <w:rsid w:val="00374793"/>
    <w:rsid w:val="00374B96"/>
    <w:rsid w:val="00374BA1"/>
    <w:rsid w:val="00374CBF"/>
    <w:rsid w:val="00374FCC"/>
    <w:rsid w:val="003751F3"/>
    <w:rsid w:val="00375239"/>
    <w:rsid w:val="00375786"/>
    <w:rsid w:val="00375CA6"/>
    <w:rsid w:val="00375F2C"/>
    <w:rsid w:val="0037617D"/>
    <w:rsid w:val="0037642A"/>
    <w:rsid w:val="003766E0"/>
    <w:rsid w:val="003768D9"/>
    <w:rsid w:val="00376C26"/>
    <w:rsid w:val="00376D0D"/>
    <w:rsid w:val="00376D6F"/>
    <w:rsid w:val="003770B0"/>
    <w:rsid w:val="003771D3"/>
    <w:rsid w:val="00377437"/>
    <w:rsid w:val="003774BB"/>
    <w:rsid w:val="00377890"/>
    <w:rsid w:val="003778C3"/>
    <w:rsid w:val="00377C6E"/>
    <w:rsid w:val="00377C78"/>
    <w:rsid w:val="00377D6D"/>
    <w:rsid w:val="00377EFF"/>
    <w:rsid w:val="00380398"/>
    <w:rsid w:val="00380915"/>
    <w:rsid w:val="00380CA6"/>
    <w:rsid w:val="00380D3E"/>
    <w:rsid w:val="00380E9C"/>
    <w:rsid w:val="00381159"/>
    <w:rsid w:val="00381353"/>
    <w:rsid w:val="003814BA"/>
    <w:rsid w:val="0038194E"/>
    <w:rsid w:val="003819E8"/>
    <w:rsid w:val="00381BA8"/>
    <w:rsid w:val="00382074"/>
    <w:rsid w:val="003820D3"/>
    <w:rsid w:val="00382604"/>
    <w:rsid w:val="0038275C"/>
    <w:rsid w:val="00382966"/>
    <w:rsid w:val="0038303D"/>
    <w:rsid w:val="00383097"/>
    <w:rsid w:val="00383160"/>
    <w:rsid w:val="00383223"/>
    <w:rsid w:val="00383260"/>
    <w:rsid w:val="003837E4"/>
    <w:rsid w:val="003839A4"/>
    <w:rsid w:val="00383BB5"/>
    <w:rsid w:val="00383F98"/>
    <w:rsid w:val="00384061"/>
    <w:rsid w:val="0038426F"/>
    <w:rsid w:val="003843C3"/>
    <w:rsid w:val="003844EC"/>
    <w:rsid w:val="003845E7"/>
    <w:rsid w:val="00384688"/>
    <w:rsid w:val="003847CF"/>
    <w:rsid w:val="00384892"/>
    <w:rsid w:val="00384BD9"/>
    <w:rsid w:val="00384BE2"/>
    <w:rsid w:val="00384D72"/>
    <w:rsid w:val="00384EA4"/>
    <w:rsid w:val="003850D1"/>
    <w:rsid w:val="00385376"/>
    <w:rsid w:val="00385712"/>
    <w:rsid w:val="00385814"/>
    <w:rsid w:val="00385877"/>
    <w:rsid w:val="0038590E"/>
    <w:rsid w:val="0038598F"/>
    <w:rsid w:val="00385A20"/>
    <w:rsid w:val="00385DBA"/>
    <w:rsid w:val="00385E86"/>
    <w:rsid w:val="003864D6"/>
    <w:rsid w:val="00386647"/>
    <w:rsid w:val="00386914"/>
    <w:rsid w:val="00386A26"/>
    <w:rsid w:val="00386AFF"/>
    <w:rsid w:val="00386B77"/>
    <w:rsid w:val="00386DE3"/>
    <w:rsid w:val="00387371"/>
    <w:rsid w:val="003873C7"/>
    <w:rsid w:val="00387486"/>
    <w:rsid w:val="00390101"/>
    <w:rsid w:val="00390162"/>
    <w:rsid w:val="003902CD"/>
    <w:rsid w:val="0039032B"/>
    <w:rsid w:val="003908E7"/>
    <w:rsid w:val="00390976"/>
    <w:rsid w:val="00390AB5"/>
    <w:rsid w:val="0039125A"/>
    <w:rsid w:val="00391406"/>
    <w:rsid w:val="003916A6"/>
    <w:rsid w:val="00391B27"/>
    <w:rsid w:val="00391E7E"/>
    <w:rsid w:val="00391E9E"/>
    <w:rsid w:val="003925CB"/>
    <w:rsid w:val="00392DA0"/>
    <w:rsid w:val="00392DDF"/>
    <w:rsid w:val="00393314"/>
    <w:rsid w:val="00393360"/>
    <w:rsid w:val="003938BE"/>
    <w:rsid w:val="003939D0"/>
    <w:rsid w:val="00394083"/>
    <w:rsid w:val="0039417B"/>
    <w:rsid w:val="00394A4B"/>
    <w:rsid w:val="00394B59"/>
    <w:rsid w:val="00394CF6"/>
    <w:rsid w:val="003953A3"/>
    <w:rsid w:val="003957B6"/>
    <w:rsid w:val="003957F2"/>
    <w:rsid w:val="0039589A"/>
    <w:rsid w:val="00395CA8"/>
    <w:rsid w:val="00395D17"/>
    <w:rsid w:val="00396027"/>
    <w:rsid w:val="003960D8"/>
    <w:rsid w:val="003962A9"/>
    <w:rsid w:val="003962DD"/>
    <w:rsid w:val="003963BB"/>
    <w:rsid w:val="003969B2"/>
    <w:rsid w:val="00396AB3"/>
    <w:rsid w:val="00396D07"/>
    <w:rsid w:val="0039761F"/>
    <w:rsid w:val="0039777E"/>
    <w:rsid w:val="0039797C"/>
    <w:rsid w:val="0039798B"/>
    <w:rsid w:val="003A006D"/>
    <w:rsid w:val="003A0204"/>
    <w:rsid w:val="003A032A"/>
    <w:rsid w:val="003A0448"/>
    <w:rsid w:val="003A05EC"/>
    <w:rsid w:val="003A0C8F"/>
    <w:rsid w:val="003A0DBC"/>
    <w:rsid w:val="003A13A0"/>
    <w:rsid w:val="003A1653"/>
    <w:rsid w:val="003A18DC"/>
    <w:rsid w:val="003A1910"/>
    <w:rsid w:val="003A1B6A"/>
    <w:rsid w:val="003A1BB0"/>
    <w:rsid w:val="003A1BB3"/>
    <w:rsid w:val="003A1C81"/>
    <w:rsid w:val="003A1E12"/>
    <w:rsid w:val="003A1F62"/>
    <w:rsid w:val="003A217F"/>
    <w:rsid w:val="003A23E9"/>
    <w:rsid w:val="003A240C"/>
    <w:rsid w:val="003A2562"/>
    <w:rsid w:val="003A27BB"/>
    <w:rsid w:val="003A281B"/>
    <w:rsid w:val="003A283E"/>
    <w:rsid w:val="003A287D"/>
    <w:rsid w:val="003A2BF5"/>
    <w:rsid w:val="003A2E04"/>
    <w:rsid w:val="003A3780"/>
    <w:rsid w:val="003A379B"/>
    <w:rsid w:val="003A3B24"/>
    <w:rsid w:val="003A3D9B"/>
    <w:rsid w:val="003A3FC8"/>
    <w:rsid w:val="003A405E"/>
    <w:rsid w:val="003A40C8"/>
    <w:rsid w:val="003A4308"/>
    <w:rsid w:val="003A4566"/>
    <w:rsid w:val="003A45E7"/>
    <w:rsid w:val="003A4736"/>
    <w:rsid w:val="003A48F6"/>
    <w:rsid w:val="003A4A31"/>
    <w:rsid w:val="003A4EDE"/>
    <w:rsid w:val="003A5138"/>
    <w:rsid w:val="003A5254"/>
    <w:rsid w:val="003A572C"/>
    <w:rsid w:val="003A59EA"/>
    <w:rsid w:val="003A5C9C"/>
    <w:rsid w:val="003A64C8"/>
    <w:rsid w:val="003A64F1"/>
    <w:rsid w:val="003A6675"/>
    <w:rsid w:val="003A66F1"/>
    <w:rsid w:val="003A681E"/>
    <w:rsid w:val="003A6A62"/>
    <w:rsid w:val="003A6A72"/>
    <w:rsid w:val="003A6D37"/>
    <w:rsid w:val="003A7012"/>
    <w:rsid w:val="003A713B"/>
    <w:rsid w:val="003A7CDB"/>
    <w:rsid w:val="003B0434"/>
    <w:rsid w:val="003B055A"/>
    <w:rsid w:val="003B0F79"/>
    <w:rsid w:val="003B12BA"/>
    <w:rsid w:val="003B164A"/>
    <w:rsid w:val="003B1703"/>
    <w:rsid w:val="003B185D"/>
    <w:rsid w:val="003B18B9"/>
    <w:rsid w:val="003B19F9"/>
    <w:rsid w:val="003B1A49"/>
    <w:rsid w:val="003B1B1F"/>
    <w:rsid w:val="003B1BCD"/>
    <w:rsid w:val="003B227E"/>
    <w:rsid w:val="003B2F18"/>
    <w:rsid w:val="003B3E57"/>
    <w:rsid w:val="003B417C"/>
    <w:rsid w:val="003B446C"/>
    <w:rsid w:val="003B44A0"/>
    <w:rsid w:val="003B481D"/>
    <w:rsid w:val="003B489A"/>
    <w:rsid w:val="003B4A92"/>
    <w:rsid w:val="003B525E"/>
    <w:rsid w:val="003B5D32"/>
    <w:rsid w:val="003B60A7"/>
    <w:rsid w:val="003B6797"/>
    <w:rsid w:val="003B67E5"/>
    <w:rsid w:val="003B68C9"/>
    <w:rsid w:val="003B6A48"/>
    <w:rsid w:val="003B6C4D"/>
    <w:rsid w:val="003B70CA"/>
    <w:rsid w:val="003B7451"/>
    <w:rsid w:val="003B765C"/>
    <w:rsid w:val="003B7E4C"/>
    <w:rsid w:val="003B7F44"/>
    <w:rsid w:val="003C000A"/>
    <w:rsid w:val="003C0077"/>
    <w:rsid w:val="003C0143"/>
    <w:rsid w:val="003C04C0"/>
    <w:rsid w:val="003C07CD"/>
    <w:rsid w:val="003C0839"/>
    <w:rsid w:val="003C08F5"/>
    <w:rsid w:val="003C0A3A"/>
    <w:rsid w:val="003C0D2C"/>
    <w:rsid w:val="003C12B9"/>
    <w:rsid w:val="003C1845"/>
    <w:rsid w:val="003C1D76"/>
    <w:rsid w:val="003C1E90"/>
    <w:rsid w:val="003C1EC0"/>
    <w:rsid w:val="003C1EE8"/>
    <w:rsid w:val="003C256E"/>
    <w:rsid w:val="003C286F"/>
    <w:rsid w:val="003C2E40"/>
    <w:rsid w:val="003C32F5"/>
    <w:rsid w:val="003C3387"/>
    <w:rsid w:val="003C3662"/>
    <w:rsid w:val="003C36EF"/>
    <w:rsid w:val="003C37B8"/>
    <w:rsid w:val="003C38CF"/>
    <w:rsid w:val="003C3A4F"/>
    <w:rsid w:val="003C3CA6"/>
    <w:rsid w:val="003C400E"/>
    <w:rsid w:val="003C45A9"/>
    <w:rsid w:val="003C46DA"/>
    <w:rsid w:val="003C4D0B"/>
    <w:rsid w:val="003C5384"/>
    <w:rsid w:val="003C5BCD"/>
    <w:rsid w:val="003C5C22"/>
    <w:rsid w:val="003C5E97"/>
    <w:rsid w:val="003C5F51"/>
    <w:rsid w:val="003C6220"/>
    <w:rsid w:val="003C6AEE"/>
    <w:rsid w:val="003C6D90"/>
    <w:rsid w:val="003C6E46"/>
    <w:rsid w:val="003C71FA"/>
    <w:rsid w:val="003C7254"/>
    <w:rsid w:val="003C7297"/>
    <w:rsid w:val="003C7317"/>
    <w:rsid w:val="003C7410"/>
    <w:rsid w:val="003C74F2"/>
    <w:rsid w:val="003C7DCB"/>
    <w:rsid w:val="003D0579"/>
    <w:rsid w:val="003D0C91"/>
    <w:rsid w:val="003D0EE2"/>
    <w:rsid w:val="003D1337"/>
    <w:rsid w:val="003D168B"/>
    <w:rsid w:val="003D1D84"/>
    <w:rsid w:val="003D1DED"/>
    <w:rsid w:val="003D1EE4"/>
    <w:rsid w:val="003D1FB2"/>
    <w:rsid w:val="003D22B7"/>
    <w:rsid w:val="003D22CB"/>
    <w:rsid w:val="003D26B0"/>
    <w:rsid w:val="003D292C"/>
    <w:rsid w:val="003D2A50"/>
    <w:rsid w:val="003D2AA5"/>
    <w:rsid w:val="003D2B75"/>
    <w:rsid w:val="003D2C4A"/>
    <w:rsid w:val="003D31E6"/>
    <w:rsid w:val="003D3378"/>
    <w:rsid w:val="003D356C"/>
    <w:rsid w:val="003D39E7"/>
    <w:rsid w:val="003D3C2B"/>
    <w:rsid w:val="003D3C61"/>
    <w:rsid w:val="003D3FAD"/>
    <w:rsid w:val="003D4387"/>
    <w:rsid w:val="003D4682"/>
    <w:rsid w:val="003D48B7"/>
    <w:rsid w:val="003D4C52"/>
    <w:rsid w:val="003D4D50"/>
    <w:rsid w:val="003D520F"/>
    <w:rsid w:val="003D5451"/>
    <w:rsid w:val="003D6119"/>
    <w:rsid w:val="003D63DF"/>
    <w:rsid w:val="003D6418"/>
    <w:rsid w:val="003D64EF"/>
    <w:rsid w:val="003D657C"/>
    <w:rsid w:val="003D6FB8"/>
    <w:rsid w:val="003D7116"/>
    <w:rsid w:val="003D72E6"/>
    <w:rsid w:val="003D7BC0"/>
    <w:rsid w:val="003D7BFC"/>
    <w:rsid w:val="003D7BFF"/>
    <w:rsid w:val="003D7C33"/>
    <w:rsid w:val="003D7C81"/>
    <w:rsid w:val="003E049F"/>
    <w:rsid w:val="003E073B"/>
    <w:rsid w:val="003E0BF4"/>
    <w:rsid w:val="003E0C69"/>
    <w:rsid w:val="003E0DCD"/>
    <w:rsid w:val="003E1096"/>
    <w:rsid w:val="003E1251"/>
    <w:rsid w:val="003E1406"/>
    <w:rsid w:val="003E1521"/>
    <w:rsid w:val="003E1B50"/>
    <w:rsid w:val="003E2641"/>
    <w:rsid w:val="003E2CA8"/>
    <w:rsid w:val="003E35DD"/>
    <w:rsid w:val="003E37A3"/>
    <w:rsid w:val="003E3823"/>
    <w:rsid w:val="003E38BC"/>
    <w:rsid w:val="003E3F89"/>
    <w:rsid w:val="003E4247"/>
    <w:rsid w:val="003E444F"/>
    <w:rsid w:val="003E4774"/>
    <w:rsid w:val="003E4B79"/>
    <w:rsid w:val="003E4D8C"/>
    <w:rsid w:val="003E4DE5"/>
    <w:rsid w:val="003E5260"/>
    <w:rsid w:val="003E54C5"/>
    <w:rsid w:val="003E561E"/>
    <w:rsid w:val="003E594E"/>
    <w:rsid w:val="003E63E4"/>
    <w:rsid w:val="003E673C"/>
    <w:rsid w:val="003E6953"/>
    <w:rsid w:val="003E6970"/>
    <w:rsid w:val="003E69CC"/>
    <w:rsid w:val="003E6EF6"/>
    <w:rsid w:val="003E72B6"/>
    <w:rsid w:val="003E7699"/>
    <w:rsid w:val="003E774F"/>
    <w:rsid w:val="003F03B0"/>
    <w:rsid w:val="003F048A"/>
    <w:rsid w:val="003F06C7"/>
    <w:rsid w:val="003F0715"/>
    <w:rsid w:val="003F1480"/>
    <w:rsid w:val="003F152B"/>
    <w:rsid w:val="003F1731"/>
    <w:rsid w:val="003F1939"/>
    <w:rsid w:val="003F1BF5"/>
    <w:rsid w:val="003F1C26"/>
    <w:rsid w:val="003F2164"/>
    <w:rsid w:val="003F234E"/>
    <w:rsid w:val="003F2776"/>
    <w:rsid w:val="003F27A2"/>
    <w:rsid w:val="003F27CD"/>
    <w:rsid w:val="003F28FC"/>
    <w:rsid w:val="003F2E1D"/>
    <w:rsid w:val="003F3099"/>
    <w:rsid w:val="003F311E"/>
    <w:rsid w:val="003F357E"/>
    <w:rsid w:val="003F3766"/>
    <w:rsid w:val="003F3913"/>
    <w:rsid w:val="003F3F2B"/>
    <w:rsid w:val="003F4123"/>
    <w:rsid w:val="003F42CE"/>
    <w:rsid w:val="003F4D16"/>
    <w:rsid w:val="003F4D19"/>
    <w:rsid w:val="003F4E20"/>
    <w:rsid w:val="003F4E4E"/>
    <w:rsid w:val="003F4EE5"/>
    <w:rsid w:val="003F530F"/>
    <w:rsid w:val="003F5469"/>
    <w:rsid w:val="003F5D3D"/>
    <w:rsid w:val="003F5DD7"/>
    <w:rsid w:val="003F5EB1"/>
    <w:rsid w:val="003F6444"/>
    <w:rsid w:val="003F66EF"/>
    <w:rsid w:val="003F6B78"/>
    <w:rsid w:val="003F6C3B"/>
    <w:rsid w:val="003F6C97"/>
    <w:rsid w:val="003F6CE6"/>
    <w:rsid w:val="003F7108"/>
    <w:rsid w:val="003F75B6"/>
    <w:rsid w:val="003F7790"/>
    <w:rsid w:val="003F7882"/>
    <w:rsid w:val="003F79E2"/>
    <w:rsid w:val="003F7C15"/>
    <w:rsid w:val="003F7EB7"/>
    <w:rsid w:val="003F7F3E"/>
    <w:rsid w:val="003FFDAD"/>
    <w:rsid w:val="004000C8"/>
    <w:rsid w:val="004004C4"/>
    <w:rsid w:val="0040076B"/>
    <w:rsid w:val="004010FB"/>
    <w:rsid w:val="004012C1"/>
    <w:rsid w:val="00401631"/>
    <w:rsid w:val="004022DC"/>
    <w:rsid w:val="00402370"/>
    <w:rsid w:val="00402371"/>
    <w:rsid w:val="0040280E"/>
    <w:rsid w:val="00402B5F"/>
    <w:rsid w:val="00402FEE"/>
    <w:rsid w:val="00403240"/>
    <w:rsid w:val="0040337D"/>
    <w:rsid w:val="004038B8"/>
    <w:rsid w:val="00403930"/>
    <w:rsid w:val="00403D91"/>
    <w:rsid w:val="00403DE9"/>
    <w:rsid w:val="00403FC6"/>
    <w:rsid w:val="0040437E"/>
    <w:rsid w:val="0040450A"/>
    <w:rsid w:val="004047B6"/>
    <w:rsid w:val="00405046"/>
    <w:rsid w:val="004051A4"/>
    <w:rsid w:val="00405614"/>
    <w:rsid w:val="00405695"/>
    <w:rsid w:val="00405887"/>
    <w:rsid w:val="004058C9"/>
    <w:rsid w:val="004058CF"/>
    <w:rsid w:val="00405A4E"/>
    <w:rsid w:val="00405D02"/>
    <w:rsid w:val="00406B80"/>
    <w:rsid w:val="00406BD9"/>
    <w:rsid w:val="00406D73"/>
    <w:rsid w:val="00407111"/>
    <w:rsid w:val="004076D6"/>
    <w:rsid w:val="004079EB"/>
    <w:rsid w:val="0041080A"/>
    <w:rsid w:val="00411064"/>
    <w:rsid w:val="00411185"/>
    <w:rsid w:val="00411202"/>
    <w:rsid w:val="00411424"/>
    <w:rsid w:val="00411A93"/>
    <w:rsid w:val="00411CA6"/>
    <w:rsid w:val="00411CCF"/>
    <w:rsid w:val="00411D23"/>
    <w:rsid w:val="00411FAB"/>
    <w:rsid w:val="0041200A"/>
    <w:rsid w:val="004120AE"/>
    <w:rsid w:val="0041256D"/>
    <w:rsid w:val="0041258E"/>
    <w:rsid w:val="00412644"/>
    <w:rsid w:val="00412764"/>
    <w:rsid w:val="00412F2C"/>
    <w:rsid w:val="0041307B"/>
    <w:rsid w:val="004133E1"/>
    <w:rsid w:val="004134D8"/>
    <w:rsid w:val="00413579"/>
    <w:rsid w:val="00413B37"/>
    <w:rsid w:val="00413C34"/>
    <w:rsid w:val="0041403A"/>
    <w:rsid w:val="00414182"/>
    <w:rsid w:val="004144A7"/>
    <w:rsid w:val="00414845"/>
    <w:rsid w:val="00414902"/>
    <w:rsid w:val="00414A6C"/>
    <w:rsid w:val="00414C07"/>
    <w:rsid w:val="00414DA3"/>
    <w:rsid w:val="00414E7D"/>
    <w:rsid w:val="004158A2"/>
    <w:rsid w:val="0041595B"/>
    <w:rsid w:val="00415A18"/>
    <w:rsid w:val="00415D83"/>
    <w:rsid w:val="00415EC2"/>
    <w:rsid w:val="00415F53"/>
    <w:rsid w:val="00415FCE"/>
    <w:rsid w:val="004164BA"/>
    <w:rsid w:val="004166E0"/>
    <w:rsid w:val="00416860"/>
    <w:rsid w:val="0041687E"/>
    <w:rsid w:val="00416E50"/>
    <w:rsid w:val="00417555"/>
    <w:rsid w:val="004175D8"/>
    <w:rsid w:val="004179C5"/>
    <w:rsid w:val="004200DA"/>
    <w:rsid w:val="00420225"/>
    <w:rsid w:val="0042028F"/>
    <w:rsid w:val="004203E3"/>
    <w:rsid w:val="00420A98"/>
    <w:rsid w:val="00420D1F"/>
    <w:rsid w:val="00421260"/>
    <w:rsid w:val="004213F8"/>
    <w:rsid w:val="004214B6"/>
    <w:rsid w:val="004215A2"/>
    <w:rsid w:val="004217DA"/>
    <w:rsid w:val="004217EB"/>
    <w:rsid w:val="00421950"/>
    <w:rsid w:val="004221DC"/>
    <w:rsid w:val="004222DA"/>
    <w:rsid w:val="004224E6"/>
    <w:rsid w:val="004228B5"/>
    <w:rsid w:val="00422C5F"/>
    <w:rsid w:val="00422CE6"/>
    <w:rsid w:val="00422DB4"/>
    <w:rsid w:val="00422F3B"/>
    <w:rsid w:val="004231ED"/>
    <w:rsid w:val="0042393B"/>
    <w:rsid w:val="00423C43"/>
    <w:rsid w:val="00423C6C"/>
    <w:rsid w:val="00423DCC"/>
    <w:rsid w:val="00423DE9"/>
    <w:rsid w:val="0042449A"/>
    <w:rsid w:val="004248A3"/>
    <w:rsid w:val="00424B10"/>
    <w:rsid w:val="00425058"/>
    <w:rsid w:val="004252BE"/>
    <w:rsid w:val="0042538D"/>
    <w:rsid w:val="004257BC"/>
    <w:rsid w:val="004259BF"/>
    <w:rsid w:val="00425EC0"/>
    <w:rsid w:val="00425EF6"/>
    <w:rsid w:val="00426260"/>
    <w:rsid w:val="00426612"/>
    <w:rsid w:val="004268B7"/>
    <w:rsid w:val="00426932"/>
    <w:rsid w:val="004269D7"/>
    <w:rsid w:val="00426B09"/>
    <w:rsid w:val="00426C74"/>
    <w:rsid w:val="00426D2B"/>
    <w:rsid w:val="00426F02"/>
    <w:rsid w:val="00426F08"/>
    <w:rsid w:val="004271DA"/>
    <w:rsid w:val="00427377"/>
    <w:rsid w:val="00427A9A"/>
    <w:rsid w:val="004300BC"/>
    <w:rsid w:val="0043028E"/>
    <w:rsid w:val="0043046F"/>
    <w:rsid w:val="0043051C"/>
    <w:rsid w:val="004305EE"/>
    <w:rsid w:val="00430C97"/>
    <w:rsid w:val="004313FC"/>
    <w:rsid w:val="004316E9"/>
    <w:rsid w:val="00431922"/>
    <w:rsid w:val="00431ED2"/>
    <w:rsid w:val="0043206A"/>
    <w:rsid w:val="004321E2"/>
    <w:rsid w:val="0043227E"/>
    <w:rsid w:val="004322DE"/>
    <w:rsid w:val="00432AFC"/>
    <w:rsid w:val="00432BE6"/>
    <w:rsid w:val="00432C03"/>
    <w:rsid w:val="00432DCB"/>
    <w:rsid w:val="00432DEA"/>
    <w:rsid w:val="00433002"/>
    <w:rsid w:val="004331F5"/>
    <w:rsid w:val="00433522"/>
    <w:rsid w:val="00433CA5"/>
    <w:rsid w:val="0043403E"/>
    <w:rsid w:val="004342E6"/>
    <w:rsid w:val="004343F6"/>
    <w:rsid w:val="004343FA"/>
    <w:rsid w:val="0043461C"/>
    <w:rsid w:val="00434691"/>
    <w:rsid w:val="004347D5"/>
    <w:rsid w:val="004348B0"/>
    <w:rsid w:val="0043491F"/>
    <w:rsid w:val="00434922"/>
    <w:rsid w:val="00434F1B"/>
    <w:rsid w:val="00435050"/>
    <w:rsid w:val="00435138"/>
    <w:rsid w:val="0043521B"/>
    <w:rsid w:val="0043544D"/>
    <w:rsid w:val="0043569C"/>
    <w:rsid w:val="00435A78"/>
    <w:rsid w:val="00435A9B"/>
    <w:rsid w:val="00435FA5"/>
    <w:rsid w:val="00435FB6"/>
    <w:rsid w:val="004363CC"/>
    <w:rsid w:val="004364C7"/>
    <w:rsid w:val="00436CBF"/>
    <w:rsid w:val="00436D13"/>
    <w:rsid w:val="00436D77"/>
    <w:rsid w:val="00436FBC"/>
    <w:rsid w:val="004371BF"/>
    <w:rsid w:val="004376C1"/>
    <w:rsid w:val="00437919"/>
    <w:rsid w:val="00437F8C"/>
    <w:rsid w:val="0044011A"/>
    <w:rsid w:val="004404A2"/>
    <w:rsid w:val="00440546"/>
    <w:rsid w:val="004406B0"/>
    <w:rsid w:val="00440B37"/>
    <w:rsid w:val="00440BDA"/>
    <w:rsid w:val="00440CB9"/>
    <w:rsid w:val="00441020"/>
    <w:rsid w:val="004410D0"/>
    <w:rsid w:val="00441210"/>
    <w:rsid w:val="00441213"/>
    <w:rsid w:val="0044125D"/>
    <w:rsid w:val="00441264"/>
    <w:rsid w:val="00441555"/>
    <w:rsid w:val="0044167C"/>
    <w:rsid w:val="00441892"/>
    <w:rsid w:val="00441DCF"/>
    <w:rsid w:val="00441E76"/>
    <w:rsid w:val="00442013"/>
    <w:rsid w:val="004421D6"/>
    <w:rsid w:val="0044233C"/>
    <w:rsid w:val="004425A2"/>
    <w:rsid w:val="0044269B"/>
    <w:rsid w:val="00442CAF"/>
    <w:rsid w:val="00443622"/>
    <w:rsid w:val="00443717"/>
    <w:rsid w:val="0044374B"/>
    <w:rsid w:val="00443787"/>
    <w:rsid w:val="00443D0D"/>
    <w:rsid w:val="00443E88"/>
    <w:rsid w:val="00444197"/>
    <w:rsid w:val="004447AC"/>
    <w:rsid w:val="00444A16"/>
    <w:rsid w:val="00444AD0"/>
    <w:rsid w:val="00444CC2"/>
    <w:rsid w:val="00444FCB"/>
    <w:rsid w:val="00445070"/>
    <w:rsid w:val="0044509F"/>
    <w:rsid w:val="00445499"/>
    <w:rsid w:val="004454C4"/>
    <w:rsid w:val="004454EE"/>
    <w:rsid w:val="00445642"/>
    <w:rsid w:val="0044569C"/>
    <w:rsid w:val="00445C17"/>
    <w:rsid w:val="0044611B"/>
    <w:rsid w:val="00446384"/>
    <w:rsid w:val="00446E7C"/>
    <w:rsid w:val="0044747C"/>
    <w:rsid w:val="00447AF1"/>
    <w:rsid w:val="00447DD9"/>
    <w:rsid w:val="00447FB9"/>
    <w:rsid w:val="00450014"/>
    <w:rsid w:val="004500A0"/>
    <w:rsid w:val="004501D1"/>
    <w:rsid w:val="0045043C"/>
    <w:rsid w:val="004509DE"/>
    <w:rsid w:val="00450D90"/>
    <w:rsid w:val="004517FD"/>
    <w:rsid w:val="0045215E"/>
    <w:rsid w:val="00452381"/>
    <w:rsid w:val="004527B8"/>
    <w:rsid w:val="0045289C"/>
    <w:rsid w:val="00452A75"/>
    <w:rsid w:val="00452EFB"/>
    <w:rsid w:val="00452F71"/>
    <w:rsid w:val="004530BD"/>
    <w:rsid w:val="00453207"/>
    <w:rsid w:val="004534CE"/>
    <w:rsid w:val="0045364F"/>
    <w:rsid w:val="00453701"/>
    <w:rsid w:val="00453857"/>
    <w:rsid w:val="00453A18"/>
    <w:rsid w:val="00453BA0"/>
    <w:rsid w:val="00453C06"/>
    <w:rsid w:val="00453FF9"/>
    <w:rsid w:val="004541EA"/>
    <w:rsid w:val="00454459"/>
    <w:rsid w:val="00454CF5"/>
    <w:rsid w:val="00454EB7"/>
    <w:rsid w:val="004551A2"/>
    <w:rsid w:val="00455399"/>
    <w:rsid w:val="004553BC"/>
    <w:rsid w:val="00455514"/>
    <w:rsid w:val="004555E2"/>
    <w:rsid w:val="0045569A"/>
    <w:rsid w:val="00455738"/>
    <w:rsid w:val="004557FD"/>
    <w:rsid w:val="00455B90"/>
    <w:rsid w:val="00455C61"/>
    <w:rsid w:val="004561B8"/>
    <w:rsid w:val="00456201"/>
    <w:rsid w:val="00456684"/>
    <w:rsid w:val="00456709"/>
    <w:rsid w:val="004568A1"/>
    <w:rsid w:val="00456B06"/>
    <w:rsid w:val="00456BD5"/>
    <w:rsid w:val="00456D7C"/>
    <w:rsid w:val="00456E19"/>
    <w:rsid w:val="00456E2B"/>
    <w:rsid w:val="0045710B"/>
    <w:rsid w:val="00457461"/>
    <w:rsid w:val="004578C7"/>
    <w:rsid w:val="00457F0C"/>
    <w:rsid w:val="004601A8"/>
    <w:rsid w:val="00460280"/>
    <w:rsid w:val="0046029A"/>
    <w:rsid w:val="0046059C"/>
    <w:rsid w:val="004607F5"/>
    <w:rsid w:val="00460829"/>
    <w:rsid w:val="00460A1D"/>
    <w:rsid w:val="00460E78"/>
    <w:rsid w:val="004611BD"/>
    <w:rsid w:val="00461A09"/>
    <w:rsid w:val="00461B8D"/>
    <w:rsid w:val="00461BEC"/>
    <w:rsid w:val="004620AB"/>
    <w:rsid w:val="00462222"/>
    <w:rsid w:val="0046229C"/>
    <w:rsid w:val="004623C7"/>
    <w:rsid w:val="004623DF"/>
    <w:rsid w:val="00462A0F"/>
    <w:rsid w:val="004636A4"/>
    <w:rsid w:val="00463744"/>
    <w:rsid w:val="004637E3"/>
    <w:rsid w:val="00463815"/>
    <w:rsid w:val="00463A8A"/>
    <w:rsid w:val="00463DE5"/>
    <w:rsid w:val="00464090"/>
    <w:rsid w:val="00464484"/>
    <w:rsid w:val="00464842"/>
    <w:rsid w:val="00464AE6"/>
    <w:rsid w:val="00464E4C"/>
    <w:rsid w:val="00465767"/>
    <w:rsid w:val="00465A10"/>
    <w:rsid w:val="00465D36"/>
    <w:rsid w:val="00465E24"/>
    <w:rsid w:val="004661C8"/>
    <w:rsid w:val="0046642B"/>
    <w:rsid w:val="004666EC"/>
    <w:rsid w:val="004669DA"/>
    <w:rsid w:val="00466A3E"/>
    <w:rsid w:val="00467108"/>
    <w:rsid w:val="0046747F"/>
    <w:rsid w:val="00467B40"/>
    <w:rsid w:val="00467D91"/>
    <w:rsid w:val="00470362"/>
    <w:rsid w:val="004703EA"/>
    <w:rsid w:val="00470664"/>
    <w:rsid w:val="00470827"/>
    <w:rsid w:val="00470C88"/>
    <w:rsid w:val="00470CAE"/>
    <w:rsid w:val="00470E09"/>
    <w:rsid w:val="00471008"/>
    <w:rsid w:val="004717A6"/>
    <w:rsid w:val="00471B45"/>
    <w:rsid w:val="00471EEB"/>
    <w:rsid w:val="00471F5E"/>
    <w:rsid w:val="004721E7"/>
    <w:rsid w:val="004722EC"/>
    <w:rsid w:val="00472C0B"/>
    <w:rsid w:val="00472DC9"/>
    <w:rsid w:val="00473413"/>
    <w:rsid w:val="00473537"/>
    <w:rsid w:val="0047388F"/>
    <w:rsid w:val="004738BB"/>
    <w:rsid w:val="00473D4F"/>
    <w:rsid w:val="004740D3"/>
    <w:rsid w:val="0047411E"/>
    <w:rsid w:val="00474244"/>
    <w:rsid w:val="004748CA"/>
    <w:rsid w:val="00474C1D"/>
    <w:rsid w:val="00474D30"/>
    <w:rsid w:val="004753B2"/>
    <w:rsid w:val="004756EC"/>
    <w:rsid w:val="004758B7"/>
    <w:rsid w:val="004759AC"/>
    <w:rsid w:val="004759C3"/>
    <w:rsid w:val="00475DE0"/>
    <w:rsid w:val="004763E1"/>
    <w:rsid w:val="0047662A"/>
    <w:rsid w:val="004769AE"/>
    <w:rsid w:val="00476BA4"/>
    <w:rsid w:val="00476D52"/>
    <w:rsid w:val="004772FE"/>
    <w:rsid w:val="0047732D"/>
    <w:rsid w:val="004773A8"/>
    <w:rsid w:val="00477936"/>
    <w:rsid w:val="00477A79"/>
    <w:rsid w:val="004801AF"/>
    <w:rsid w:val="0048083F"/>
    <w:rsid w:val="0048099C"/>
    <w:rsid w:val="00480A60"/>
    <w:rsid w:val="00480EC4"/>
    <w:rsid w:val="00481032"/>
    <w:rsid w:val="004811CF"/>
    <w:rsid w:val="00481631"/>
    <w:rsid w:val="00481928"/>
    <w:rsid w:val="00481C3B"/>
    <w:rsid w:val="00481CDA"/>
    <w:rsid w:val="00482191"/>
    <w:rsid w:val="004823BB"/>
    <w:rsid w:val="0048248A"/>
    <w:rsid w:val="004824EB"/>
    <w:rsid w:val="004827A5"/>
    <w:rsid w:val="00482AB6"/>
    <w:rsid w:val="00482B9F"/>
    <w:rsid w:val="00482C01"/>
    <w:rsid w:val="00482F18"/>
    <w:rsid w:val="00482FDA"/>
    <w:rsid w:val="004831C8"/>
    <w:rsid w:val="00483715"/>
    <w:rsid w:val="00483819"/>
    <w:rsid w:val="0048386A"/>
    <w:rsid w:val="0048389D"/>
    <w:rsid w:val="004838AD"/>
    <w:rsid w:val="00483CFB"/>
    <w:rsid w:val="00483DFF"/>
    <w:rsid w:val="00483E25"/>
    <w:rsid w:val="00483E30"/>
    <w:rsid w:val="004840C7"/>
    <w:rsid w:val="00484185"/>
    <w:rsid w:val="00484838"/>
    <w:rsid w:val="00484B2D"/>
    <w:rsid w:val="00484F68"/>
    <w:rsid w:val="00484FC8"/>
    <w:rsid w:val="004853CF"/>
    <w:rsid w:val="004853E0"/>
    <w:rsid w:val="00485483"/>
    <w:rsid w:val="004858C8"/>
    <w:rsid w:val="00485A86"/>
    <w:rsid w:val="00485AEF"/>
    <w:rsid w:val="00485C30"/>
    <w:rsid w:val="00486135"/>
    <w:rsid w:val="00486138"/>
    <w:rsid w:val="00486155"/>
    <w:rsid w:val="004862D3"/>
    <w:rsid w:val="004865FB"/>
    <w:rsid w:val="004866A8"/>
    <w:rsid w:val="0048676A"/>
    <w:rsid w:val="00486AF3"/>
    <w:rsid w:val="00486B14"/>
    <w:rsid w:val="00486B9A"/>
    <w:rsid w:val="00486D0A"/>
    <w:rsid w:val="00486D9D"/>
    <w:rsid w:val="0048795D"/>
    <w:rsid w:val="00487C8A"/>
    <w:rsid w:val="00487D36"/>
    <w:rsid w:val="004904FB"/>
    <w:rsid w:val="004908ED"/>
    <w:rsid w:val="00490C3B"/>
    <w:rsid w:val="0049124D"/>
    <w:rsid w:val="00491329"/>
    <w:rsid w:val="0049184B"/>
    <w:rsid w:val="00491955"/>
    <w:rsid w:val="00491A2F"/>
    <w:rsid w:val="00491A8C"/>
    <w:rsid w:val="00492150"/>
    <w:rsid w:val="00492174"/>
    <w:rsid w:val="004925E0"/>
    <w:rsid w:val="004926A6"/>
    <w:rsid w:val="00492C29"/>
    <w:rsid w:val="00492FE2"/>
    <w:rsid w:val="004931E7"/>
    <w:rsid w:val="0049362D"/>
    <w:rsid w:val="00493B92"/>
    <w:rsid w:val="00493C0E"/>
    <w:rsid w:val="00493CB6"/>
    <w:rsid w:val="004942E8"/>
    <w:rsid w:val="00494506"/>
    <w:rsid w:val="00494616"/>
    <w:rsid w:val="00494730"/>
    <w:rsid w:val="00494767"/>
    <w:rsid w:val="004947C6"/>
    <w:rsid w:val="00494CBF"/>
    <w:rsid w:val="00494DB2"/>
    <w:rsid w:val="0049532C"/>
    <w:rsid w:val="004955EA"/>
    <w:rsid w:val="00495633"/>
    <w:rsid w:val="00495751"/>
    <w:rsid w:val="00495A90"/>
    <w:rsid w:val="00495BCF"/>
    <w:rsid w:val="0049606D"/>
    <w:rsid w:val="004961BF"/>
    <w:rsid w:val="0049645A"/>
    <w:rsid w:val="004965D7"/>
    <w:rsid w:val="004965E0"/>
    <w:rsid w:val="00496654"/>
    <w:rsid w:val="00496935"/>
    <w:rsid w:val="00496C83"/>
    <w:rsid w:val="00496CB5"/>
    <w:rsid w:val="00496D26"/>
    <w:rsid w:val="00496D60"/>
    <w:rsid w:val="00497103"/>
    <w:rsid w:val="00497BFF"/>
    <w:rsid w:val="00497DF7"/>
    <w:rsid w:val="004A0296"/>
    <w:rsid w:val="004A075E"/>
    <w:rsid w:val="004A08EA"/>
    <w:rsid w:val="004A0E2D"/>
    <w:rsid w:val="004A11F1"/>
    <w:rsid w:val="004A12C5"/>
    <w:rsid w:val="004A149D"/>
    <w:rsid w:val="004A159A"/>
    <w:rsid w:val="004A1648"/>
    <w:rsid w:val="004A1989"/>
    <w:rsid w:val="004A2578"/>
    <w:rsid w:val="004A27BA"/>
    <w:rsid w:val="004A27F0"/>
    <w:rsid w:val="004A3268"/>
    <w:rsid w:val="004A3350"/>
    <w:rsid w:val="004A338E"/>
    <w:rsid w:val="004A33A1"/>
    <w:rsid w:val="004A39C0"/>
    <w:rsid w:val="004A44EC"/>
    <w:rsid w:val="004A466B"/>
    <w:rsid w:val="004A4691"/>
    <w:rsid w:val="004A49BF"/>
    <w:rsid w:val="004A4AEA"/>
    <w:rsid w:val="004A4EF0"/>
    <w:rsid w:val="004A5195"/>
    <w:rsid w:val="004A51E2"/>
    <w:rsid w:val="004A54D3"/>
    <w:rsid w:val="004A5585"/>
    <w:rsid w:val="004A56B3"/>
    <w:rsid w:val="004A5ACC"/>
    <w:rsid w:val="004A5EE2"/>
    <w:rsid w:val="004A5F53"/>
    <w:rsid w:val="004A5FDB"/>
    <w:rsid w:val="004A5FDE"/>
    <w:rsid w:val="004A625C"/>
    <w:rsid w:val="004A63A0"/>
    <w:rsid w:val="004A66E6"/>
    <w:rsid w:val="004A6825"/>
    <w:rsid w:val="004A6872"/>
    <w:rsid w:val="004A6882"/>
    <w:rsid w:val="004A6915"/>
    <w:rsid w:val="004A69B9"/>
    <w:rsid w:val="004A6A6D"/>
    <w:rsid w:val="004A6F8C"/>
    <w:rsid w:val="004A72B0"/>
    <w:rsid w:val="004A76C9"/>
    <w:rsid w:val="004A7DE9"/>
    <w:rsid w:val="004B0157"/>
    <w:rsid w:val="004B05AD"/>
    <w:rsid w:val="004B076F"/>
    <w:rsid w:val="004B0B0E"/>
    <w:rsid w:val="004B0B2B"/>
    <w:rsid w:val="004B0F1A"/>
    <w:rsid w:val="004B101C"/>
    <w:rsid w:val="004B1367"/>
    <w:rsid w:val="004B1456"/>
    <w:rsid w:val="004B1D55"/>
    <w:rsid w:val="004B217E"/>
    <w:rsid w:val="004B228E"/>
    <w:rsid w:val="004B29A1"/>
    <w:rsid w:val="004B2B05"/>
    <w:rsid w:val="004B2CD1"/>
    <w:rsid w:val="004B311D"/>
    <w:rsid w:val="004B312E"/>
    <w:rsid w:val="004B3511"/>
    <w:rsid w:val="004B3672"/>
    <w:rsid w:val="004B3C14"/>
    <w:rsid w:val="004B3F65"/>
    <w:rsid w:val="004B4073"/>
    <w:rsid w:val="004B477D"/>
    <w:rsid w:val="004B49B0"/>
    <w:rsid w:val="004B51ED"/>
    <w:rsid w:val="004B538A"/>
    <w:rsid w:val="004B5398"/>
    <w:rsid w:val="004B5504"/>
    <w:rsid w:val="004B5667"/>
    <w:rsid w:val="004B57AC"/>
    <w:rsid w:val="004B5919"/>
    <w:rsid w:val="004B599C"/>
    <w:rsid w:val="004B5A70"/>
    <w:rsid w:val="004B5BCA"/>
    <w:rsid w:val="004B5C2C"/>
    <w:rsid w:val="004B5D4C"/>
    <w:rsid w:val="004B5EB9"/>
    <w:rsid w:val="004B5F80"/>
    <w:rsid w:val="004B5F96"/>
    <w:rsid w:val="004B6101"/>
    <w:rsid w:val="004B6422"/>
    <w:rsid w:val="004B66B8"/>
    <w:rsid w:val="004B6706"/>
    <w:rsid w:val="004B694B"/>
    <w:rsid w:val="004B69AF"/>
    <w:rsid w:val="004B6BE7"/>
    <w:rsid w:val="004B6D03"/>
    <w:rsid w:val="004B6E48"/>
    <w:rsid w:val="004B7270"/>
    <w:rsid w:val="004B74CF"/>
    <w:rsid w:val="004B7B9E"/>
    <w:rsid w:val="004C01A7"/>
    <w:rsid w:val="004C022A"/>
    <w:rsid w:val="004C0748"/>
    <w:rsid w:val="004C0918"/>
    <w:rsid w:val="004C0D7A"/>
    <w:rsid w:val="004C0E08"/>
    <w:rsid w:val="004C0F18"/>
    <w:rsid w:val="004C0FE3"/>
    <w:rsid w:val="004C1742"/>
    <w:rsid w:val="004C1B05"/>
    <w:rsid w:val="004C1F76"/>
    <w:rsid w:val="004C2163"/>
    <w:rsid w:val="004C2320"/>
    <w:rsid w:val="004C2674"/>
    <w:rsid w:val="004C2A21"/>
    <w:rsid w:val="004C2AED"/>
    <w:rsid w:val="004C2D85"/>
    <w:rsid w:val="004C2FC9"/>
    <w:rsid w:val="004C3134"/>
    <w:rsid w:val="004C35D1"/>
    <w:rsid w:val="004C3BFB"/>
    <w:rsid w:val="004C4059"/>
    <w:rsid w:val="004C45FD"/>
    <w:rsid w:val="004C48C7"/>
    <w:rsid w:val="004C4975"/>
    <w:rsid w:val="004C4DEE"/>
    <w:rsid w:val="004C5085"/>
    <w:rsid w:val="004C514D"/>
    <w:rsid w:val="004C55F8"/>
    <w:rsid w:val="004C5ADB"/>
    <w:rsid w:val="004C5D17"/>
    <w:rsid w:val="004C5D6D"/>
    <w:rsid w:val="004C621E"/>
    <w:rsid w:val="004C68CE"/>
    <w:rsid w:val="004C6A46"/>
    <w:rsid w:val="004C6D80"/>
    <w:rsid w:val="004C6E33"/>
    <w:rsid w:val="004C7107"/>
    <w:rsid w:val="004C74DD"/>
    <w:rsid w:val="004C77FF"/>
    <w:rsid w:val="004C7840"/>
    <w:rsid w:val="004C793A"/>
    <w:rsid w:val="004C7BA9"/>
    <w:rsid w:val="004C7C9F"/>
    <w:rsid w:val="004C7D6B"/>
    <w:rsid w:val="004D02CA"/>
    <w:rsid w:val="004D0359"/>
    <w:rsid w:val="004D0893"/>
    <w:rsid w:val="004D1085"/>
    <w:rsid w:val="004D10D7"/>
    <w:rsid w:val="004D1212"/>
    <w:rsid w:val="004D1352"/>
    <w:rsid w:val="004D175C"/>
    <w:rsid w:val="004D1DE4"/>
    <w:rsid w:val="004D1E62"/>
    <w:rsid w:val="004D20B1"/>
    <w:rsid w:val="004D2682"/>
    <w:rsid w:val="004D2691"/>
    <w:rsid w:val="004D2C7D"/>
    <w:rsid w:val="004D2D57"/>
    <w:rsid w:val="004D2DD1"/>
    <w:rsid w:val="004D2E64"/>
    <w:rsid w:val="004D2EDA"/>
    <w:rsid w:val="004D32D3"/>
    <w:rsid w:val="004D350B"/>
    <w:rsid w:val="004D361B"/>
    <w:rsid w:val="004D3DD5"/>
    <w:rsid w:val="004D3F3B"/>
    <w:rsid w:val="004D3F92"/>
    <w:rsid w:val="004D414A"/>
    <w:rsid w:val="004D4175"/>
    <w:rsid w:val="004D41F7"/>
    <w:rsid w:val="004D432E"/>
    <w:rsid w:val="004D455D"/>
    <w:rsid w:val="004D472C"/>
    <w:rsid w:val="004D48DE"/>
    <w:rsid w:val="004D4C54"/>
    <w:rsid w:val="004D4EA3"/>
    <w:rsid w:val="004D5399"/>
    <w:rsid w:val="004D567E"/>
    <w:rsid w:val="004D5A89"/>
    <w:rsid w:val="004D5BBC"/>
    <w:rsid w:val="004D668F"/>
    <w:rsid w:val="004D682D"/>
    <w:rsid w:val="004D6DBF"/>
    <w:rsid w:val="004D717E"/>
    <w:rsid w:val="004D7474"/>
    <w:rsid w:val="004D7549"/>
    <w:rsid w:val="004D7713"/>
    <w:rsid w:val="004D7769"/>
    <w:rsid w:val="004D7888"/>
    <w:rsid w:val="004D7D26"/>
    <w:rsid w:val="004D7E82"/>
    <w:rsid w:val="004D7FC3"/>
    <w:rsid w:val="004E00FB"/>
    <w:rsid w:val="004E013F"/>
    <w:rsid w:val="004E0310"/>
    <w:rsid w:val="004E0650"/>
    <w:rsid w:val="004E0AD0"/>
    <w:rsid w:val="004E0C2B"/>
    <w:rsid w:val="004E0CCA"/>
    <w:rsid w:val="004E0D2D"/>
    <w:rsid w:val="004E1481"/>
    <w:rsid w:val="004E14CC"/>
    <w:rsid w:val="004E1CE7"/>
    <w:rsid w:val="004E1DE7"/>
    <w:rsid w:val="004E25AB"/>
    <w:rsid w:val="004E2994"/>
    <w:rsid w:val="004E299A"/>
    <w:rsid w:val="004E2BE9"/>
    <w:rsid w:val="004E2C59"/>
    <w:rsid w:val="004E30C8"/>
    <w:rsid w:val="004E32DD"/>
    <w:rsid w:val="004E3976"/>
    <w:rsid w:val="004E39AC"/>
    <w:rsid w:val="004E3AC9"/>
    <w:rsid w:val="004E3BD0"/>
    <w:rsid w:val="004E3BF1"/>
    <w:rsid w:val="004E3C4B"/>
    <w:rsid w:val="004E4100"/>
    <w:rsid w:val="004E427E"/>
    <w:rsid w:val="004E451B"/>
    <w:rsid w:val="004E46CB"/>
    <w:rsid w:val="004E4882"/>
    <w:rsid w:val="004E4A26"/>
    <w:rsid w:val="004E4B19"/>
    <w:rsid w:val="004E4D67"/>
    <w:rsid w:val="004E5359"/>
    <w:rsid w:val="004E5569"/>
    <w:rsid w:val="004E568F"/>
    <w:rsid w:val="004E5959"/>
    <w:rsid w:val="004E59E1"/>
    <w:rsid w:val="004E5C60"/>
    <w:rsid w:val="004E5E4D"/>
    <w:rsid w:val="004E5E5C"/>
    <w:rsid w:val="004E6426"/>
    <w:rsid w:val="004E6503"/>
    <w:rsid w:val="004E67BB"/>
    <w:rsid w:val="004E6C73"/>
    <w:rsid w:val="004E6DA5"/>
    <w:rsid w:val="004E6FD1"/>
    <w:rsid w:val="004E702B"/>
    <w:rsid w:val="004E7048"/>
    <w:rsid w:val="004E7455"/>
    <w:rsid w:val="004E74E1"/>
    <w:rsid w:val="004E76CE"/>
    <w:rsid w:val="004E77B9"/>
    <w:rsid w:val="004E77BB"/>
    <w:rsid w:val="004F002C"/>
    <w:rsid w:val="004F055F"/>
    <w:rsid w:val="004F0565"/>
    <w:rsid w:val="004F0643"/>
    <w:rsid w:val="004F09B0"/>
    <w:rsid w:val="004F09F5"/>
    <w:rsid w:val="004F0A0A"/>
    <w:rsid w:val="004F0DFB"/>
    <w:rsid w:val="004F0F6A"/>
    <w:rsid w:val="004F11A6"/>
    <w:rsid w:val="004F1344"/>
    <w:rsid w:val="004F1488"/>
    <w:rsid w:val="004F14EB"/>
    <w:rsid w:val="004F1A05"/>
    <w:rsid w:val="004F1A74"/>
    <w:rsid w:val="004F21A4"/>
    <w:rsid w:val="004F2504"/>
    <w:rsid w:val="004F266C"/>
    <w:rsid w:val="004F2756"/>
    <w:rsid w:val="004F28E2"/>
    <w:rsid w:val="004F2D72"/>
    <w:rsid w:val="004F2F9C"/>
    <w:rsid w:val="004F3500"/>
    <w:rsid w:val="004F37CC"/>
    <w:rsid w:val="004F39A6"/>
    <w:rsid w:val="004F3ADC"/>
    <w:rsid w:val="004F3C67"/>
    <w:rsid w:val="004F3CC8"/>
    <w:rsid w:val="004F3D99"/>
    <w:rsid w:val="004F3DA9"/>
    <w:rsid w:val="004F3F0E"/>
    <w:rsid w:val="004F429E"/>
    <w:rsid w:val="004F42F5"/>
    <w:rsid w:val="004F43ED"/>
    <w:rsid w:val="004F45C5"/>
    <w:rsid w:val="004F461A"/>
    <w:rsid w:val="004F492B"/>
    <w:rsid w:val="004F4A96"/>
    <w:rsid w:val="004F4E21"/>
    <w:rsid w:val="004F4FF0"/>
    <w:rsid w:val="004F5210"/>
    <w:rsid w:val="004F55C5"/>
    <w:rsid w:val="004F55EE"/>
    <w:rsid w:val="004F5AAB"/>
    <w:rsid w:val="004F5DB9"/>
    <w:rsid w:val="004F63C1"/>
    <w:rsid w:val="004F6552"/>
    <w:rsid w:val="004F690C"/>
    <w:rsid w:val="004F6D2F"/>
    <w:rsid w:val="004F6ED8"/>
    <w:rsid w:val="004F7102"/>
    <w:rsid w:val="004F75B1"/>
    <w:rsid w:val="004F7634"/>
    <w:rsid w:val="004F7644"/>
    <w:rsid w:val="004F76A5"/>
    <w:rsid w:val="004F7745"/>
    <w:rsid w:val="004F7BD9"/>
    <w:rsid w:val="004F7F96"/>
    <w:rsid w:val="004F9169"/>
    <w:rsid w:val="0050006F"/>
    <w:rsid w:val="005002F1"/>
    <w:rsid w:val="005003E9"/>
    <w:rsid w:val="005003F8"/>
    <w:rsid w:val="00500AD3"/>
    <w:rsid w:val="00500C99"/>
    <w:rsid w:val="00500EC9"/>
    <w:rsid w:val="0050137D"/>
    <w:rsid w:val="0050152D"/>
    <w:rsid w:val="005015CC"/>
    <w:rsid w:val="00501D35"/>
    <w:rsid w:val="00501F42"/>
    <w:rsid w:val="00502022"/>
    <w:rsid w:val="00502541"/>
    <w:rsid w:val="0050293C"/>
    <w:rsid w:val="00502B30"/>
    <w:rsid w:val="00503120"/>
    <w:rsid w:val="005034ED"/>
    <w:rsid w:val="00503C21"/>
    <w:rsid w:val="00503C32"/>
    <w:rsid w:val="00503E2A"/>
    <w:rsid w:val="00503F55"/>
    <w:rsid w:val="0050411E"/>
    <w:rsid w:val="005041E3"/>
    <w:rsid w:val="00504813"/>
    <w:rsid w:val="005049FE"/>
    <w:rsid w:val="00504B07"/>
    <w:rsid w:val="00504E99"/>
    <w:rsid w:val="005051C0"/>
    <w:rsid w:val="005053DA"/>
    <w:rsid w:val="0050561D"/>
    <w:rsid w:val="0050574F"/>
    <w:rsid w:val="00505809"/>
    <w:rsid w:val="005058AD"/>
    <w:rsid w:val="00505CBF"/>
    <w:rsid w:val="00505DBD"/>
    <w:rsid w:val="00505E95"/>
    <w:rsid w:val="00506241"/>
    <w:rsid w:val="00506B4A"/>
    <w:rsid w:val="00506D41"/>
    <w:rsid w:val="00506D53"/>
    <w:rsid w:val="00507179"/>
    <w:rsid w:val="00507BC7"/>
    <w:rsid w:val="00507DBE"/>
    <w:rsid w:val="0051020A"/>
    <w:rsid w:val="00510683"/>
    <w:rsid w:val="00510935"/>
    <w:rsid w:val="00510A5E"/>
    <w:rsid w:val="0051111B"/>
    <w:rsid w:val="00511555"/>
    <w:rsid w:val="00511623"/>
    <w:rsid w:val="00511E9B"/>
    <w:rsid w:val="0051205A"/>
    <w:rsid w:val="005120F2"/>
    <w:rsid w:val="005123B0"/>
    <w:rsid w:val="00512C12"/>
    <w:rsid w:val="00512D36"/>
    <w:rsid w:val="0051334F"/>
    <w:rsid w:val="0051350E"/>
    <w:rsid w:val="00513619"/>
    <w:rsid w:val="00513BD6"/>
    <w:rsid w:val="00513BED"/>
    <w:rsid w:val="0051403F"/>
    <w:rsid w:val="00514315"/>
    <w:rsid w:val="005144D3"/>
    <w:rsid w:val="005149D7"/>
    <w:rsid w:val="00514A03"/>
    <w:rsid w:val="00514F05"/>
    <w:rsid w:val="005151AE"/>
    <w:rsid w:val="00515662"/>
    <w:rsid w:val="00515821"/>
    <w:rsid w:val="00515B1B"/>
    <w:rsid w:val="00515EB7"/>
    <w:rsid w:val="005160B2"/>
    <w:rsid w:val="00516398"/>
    <w:rsid w:val="005164E9"/>
    <w:rsid w:val="00516565"/>
    <w:rsid w:val="0051678F"/>
    <w:rsid w:val="00516903"/>
    <w:rsid w:val="00516CA3"/>
    <w:rsid w:val="00516E45"/>
    <w:rsid w:val="00516F59"/>
    <w:rsid w:val="00516F6B"/>
    <w:rsid w:val="00517341"/>
    <w:rsid w:val="00517442"/>
    <w:rsid w:val="0051744F"/>
    <w:rsid w:val="00517738"/>
    <w:rsid w:val="00517993"/>
    <w:rsid w:val="00517B58"/>
    <w:rsid w:val="00517D70"/>
    <w:rsid w:val="00517ED9"/>
    <w:rsid w:val="00520218"/>
    <w:rsid w:val="005203EE"/>
    <w:rsid w:val="00521270"/>
    <w:rsid w:val="005214BC"/>
    <w:rsid w:val="0052175B"/>
    <w:rsid w:val="00521772"/>
    <w:rsid w:val="005217E7"/>
    <w:rsid w:val="005218B0"/>
    <w:rsid w:val="00521AC1"/>
    <w:rsid w:val="00521B48"/>
    <w:rsid w:val="00521FCD"/>
    <w:rsid w:val="00522759"/>
    <w:rsid w:val="005227C7"/>
    <w:rsid w:val="00522855"/>
    <w:rsid w:val="005228EF"/>
    <w:rsid w:val="0052295E"/>
    <w:rsid w:val="00522BE3"/>
    <w:rsid w:val="00522F3D"/>
    <w:rsid w:val="0052384F"/>
    <w:rsid w:val="005239BA"/>
    <w:rsid w:val="00523B97"/>
    <w:rsid w:val="00523BF1"/>
    <w:rsid w:val="00523C70"/>
    <w:rsid w:val="00523FC3"/>
    <w:rsid w:val="00524042"/>
    <w:rsid w:val="005241CA"/>
    <w:rsid w:val="00524395"/>
    <w:rsid w:val="00524642"/>
    <w:rsid w:val="005249E2"/>
    <w:rsid w:val="00524A56"/>
    <w:rsid w:val="00524A59"/>
    <w:rsid w:val="00524AA4"/>
    <w:rsid w:val="00524C1A"/>
    <w:rsid w:val="005251F1"/>
    <w:rsid w:val="005255BE"/>
    <w:rsid w:val="0052631D"/>
    <w:rsid w:val="0052646B"/>
    <w:rsid w:val="0052648D"/>
    <w:rsid w:val="00526747"/>
    <w:rsid w:val="005267A3"/>
    <w:rsid w:val="00526A30"/>
    <w:rsid w:val="00526EEE"/>
    <w:rsid w:val="00526F20"/>
    <w:rsid w:val="00526FF7"/>
    <w:rsid w:val="0052709A"/>
    <w:rsid w:val="0052766C"/>
    <w:rsid w:val="0052767E"/>
    <w:rsid w:val="005278F2"/>
    <w:rsid w:val="005279B2"/>
    <w:rsid w:val="00527A8B"/>
    <w:rsid w:val="00527D32"/>
    <w:rsid w:val="005302E9"/>
    <w:rsid w:val="00530879"/>
    <w:rsid w:val="00530D4F"/>
    <w:rsid w:val="00530DC1"/>
    <w:rsid w:val="00531264"/>
    <w:rsid w:val="00531316"/>
    <w:rsid w:val="005315E6"/>
    <w:rsid w:val="00531717"/>
    <w:rsid w:val="00531773"/>
    <w:rsid w:val="00531A31"/>
    <w:rsid w:val="00531C8A"/>
    <w:rsid w:val="00531CAF"/>
    <w:rsid w:val="005322A6"/>
    <w:rsid w:val="0053274D"/>
    <w:rsid w:val="005328EC"/>
    <w:rsid w:val="00532D9E"/>
    <w:rsid w:val="00532E67"/>
    <w:rsid w:val="005334D5"/>
    <w:rsid w:val="00533518"/>
    <w:rsid w:val="005335DB"/>
    <w:rsid w:val="00533634"/>
    <w:rsid w:val="00533B81"/>
    <w:rsid w:val="00533D38"/>
    <w:rsid w:val="00533F96"/>
    <w:rsid w:val="00533FA1"/>
    <w:rsid w:val="00534529"/>
    <w:rsid w:val="00534555"/>
    <w:rsid w:val="005345E9"/>
    <w:rsid w:val="00534C5F"/>
    <w:rsid w:val="00534F9B"/>
    <w:rsid w:val="0053503A"/>
    <w:rsid w:val="00535283"/>
    <w:rsid w:val="005352E4"/>
    <w:rsid w:val="00535404"/>
    <w:rsid w:val="00535414"/>
    <w:rsid w:val="00535701"/>
    <w:rsid w:val="00535A89"/>
    <w:rsid w:val="00535C41"/>
    <w:rsid w:val="005364C0"/>
    <w:rsid w:val="005366B1"/>
    <w:rsid w:val="00536957"/>
    <w:rsid w:val="005369ED"/>
    <w:rsid w:val="00536D87"/>
    <w:rsid w:val="00536DB7"/>
    <w:rsid w:val="00536FCA"/>
    <w:rsid w:val="00537269"/>
    <w:rsid w:val="0053775F"/>
    <w:rsid w:val="00537A02"/>
    <w:rsid w:val="00537B08"/>
    <w:rsid w:val="00537CBB"/>
    <w:rsid w:val="005401FD"/>
    <w:rsid w:val="00540FDD"/>
    <w:rsid w:val="00541084"/>
    <w:rsid w:val="00541139"/>
    <w:rsid w:val="00541424"/>
    <w:rsid w:val="005414FA"/>
    <w:rsid w:val="00541A88"/>
    <w:rsid w:val="00541DEB"/>
    <w:rsid w:val="00541EC4"/>
    <w:rsid w:val="00541FF9"/>
    <w:rsid w:val="00542178"/>
    <w:rsid w:val="005421B0"/>
    <w:rsid w:val="00543528"/>
    <w:rsid w:val="0054383B"/>
    <w:rsid w:val="00543A05"/>
    <w:rsid w:val="0054400F"/>
    <w:rsid w:val="00544089"/>
    <w:rsid w:val="00544954"/>
    <w:rsid w:val="00544993"/>
    <w:rsid w:val="00544B74"/>
    <w:rsid w:val="00544C86"/>
    <w:rsid w:val="00544FA0"/>
    <w:rsid w:val="0054513E"/>
    <w:rsid w:val="00545238"/>
    <w:rsid w:val="005455A9"/>
    <w:rsid w:val="00545866"/>
    <w:rsid w:val="00545932"/>
    <w:rsid w:val="0054597F"/>
    <w:rsid w:val="00545ADC"/>
    <w:rsid w:val="00545CA4"/>
    <w:rsid w:val="00545E6E"/>
    <w:rsid w:val="00546356"/>
    <w:rsid w:val="005465B5"/>
    <w:rsid w:val="0054673F"/>
    <w:rsid w:val="00546AFD"/>
    <w:rsid w:val="00546D3B"/>
    <w:rsid w:val="00546F51"/>
    <w:rsid w:val="0054720A"/>
    <w:rsid w:val="0054761F"/>
    <w:rsid w:val="00547A58"/>
    <w:rsid w:val="00547B19"/>
    <w:rsid w:val="00550008"/>
    <w:rsid w:val="005502FD"/>
    <w:rsid w:val="00550648"/>
    <w:rsid w:val="005509C7"/>
    <w:rsid w:val="00550B21"/>
    <w:rsid w:val="00550BF7"/>
    <w:rsid w:val="00550E88"/>
    <w:rsid w:val="00550ECD"/>
    <w:rsid w:val="005511DC"/>
    <w:rsid w:val="00551610"/>
    <w:rsid w:val="005518ED"/>
    <w:rsid w:val="00551B35"/>
    <w:rsid w:val="00551D1A"/>
    <w:rsid w:val="00551EFF"/>
    <w:rsid w:val="00552222"/>
    <w:rsid w:val="005522A5"/>
    <w:rsid w:val="00552433"/>
    <w:rsid w:val="005524BB"/>
    <w:rsid w:val="00552D83"/>
    <w:rsid w:val="00552F22"/>
    <w:rsid w:val="00553678"/>
    <w:rsid w:val="0055375B"/>
    <w:rsid w:val="005537D7"/>
    <w:rsid w:val="0055382E"/>
    <w:rsid w:val="00553A47"/>
    <w:rsid w:val="00553EA8"/>
    <w:rsid w:val="00553F03"/>
    <w:rsid w:val="00554090"/>
    <w:rsid w:val="0055410C"/>
    <w:rsid w:val="00554376"/>
    <w:rsid w:val="005546A1"/>
    <w:rsid w:val="00554BBF"/>
    <w:rsid w:val="00554DF4"/>
    <w:rsid w:val="00554E00"/>
    <w:rsid w:val="0055511E"/>
    <w:rsid w:val="005551EC"/>
    <w:rsid w:val="00555403"/>
    <w:rsid w:val="00555604"/>
    <w:rsid w:val="00555D54"/>
    <w:rsid w:val="00555E02"/>
    <w:rsid w:val="00556275"/>
    <w:rsid w:val="00556580"/>
    <w:rsid w:val="00556832"/>
    <w:rsid w:val="00556A05"/>
    <w:rsid w:val="00556A80"/>
    <w:rsid w:val="00556D2F"/>
    <w:rsid w:val="00556DF0"/>
    <w:rsid w:val="00556DF4"/>
    <w:rsid w:val="00556FEC"/>
    <w:rsid w:val="005570A7"/>
    <w:rsid w:val="005571A3"/>
    <w:rsid w:val="005575BB"/>
    <w:rsid w:val="00557631"/>
    <w:rsid w:val="0055790B"/>
    <w:rsid w:val="00557A30"/>
    <w:rsid w:val="00557BAD"/>
    <w:rsid w:val="0056071A"/>
    <w:rsid w:val="005608ED"/>
    <w:rsid w:val="00560BE4"/>
    <w:rsid w:val="00560E87"/>
    <w:rsid w:val="005613A6"/>
    <w:rsid w:val="00561870"/>
    <w:rsid w:val="005619EB"/>
    <w:rsid w:val="00561B1E"/>
    <w:rsid w:val="00561B28"/>
    <w:rsid w:val="00561B89"/>
    <w:rsid w:val="00561E9E"/>
    <w:rsid w:val="00561EF1"/>
    <w:rsid w:val="00561F92"/>
    <w:rsid w:val="005620C6"/>
    <w:rsid w:val="005625CC"/>
    <w:rsid w:val="00562862"/>
    <w:rsid w:val="005628FE"/>
    <w:rsid w:val="00562A33"/>
    <w:rsid w:val="00562F25"/>
    <w:rsid w:val="00562FDB"/>
    <w:rsid w:val="005631AA"/>
    <w:rsid w:val="0056322D"/>
    <w:rsid w:val="0056391A"/>
    <w:rsid w:val="00563D78"/>
    <w:rsid w:val="00563DCD"/>
    <w:rsid w:val="00564330"/>
    <w:rsid w:val="00564591"/>
    <w:rsid w:val="00564918"/>
    <w:rsid w:val="00564E78"/>
    <w:rsid w:val="00564F01"/>
    <w:rsid w:val="0056503E"/>
    <w:rsid w:val="0056508D"/>
    <w:rsid w:val="00565137"/>
    <w:rsid w:val="00565154"/>
    <w:rsid w:val="00565796"/>
    <w:rsid w:val="00565868"/>
    <w:rsid w:val="005658CB"/>
    <w:rsid w:val="00565AA9"/>
    <w:rsid w:val="00565D4A"/>
    <w:rsid w:val="00565DA8"/>
    <w:rsid w:val="00565DE6"/>
    <w:rsid w:val="00565EC4"/>
    <w:rsid w:val="0056619B"/>
    <w:rsid w:val="0056619E"/>
    <w:rsid w:val="005661C3"/>
    <w:rsid w:val="00566310"/>
    <w:rsid w:val="00566627"/>
    <w:rsid w:val="005667B2"/>
    <w:rsid w:val="00566AC8"/>
    <w:rsid w:val="00566E6F"/>
    <w:rsid w:val="00566F4C"/>
    <w:rsid w:val="005670B0"/>
    <w:rsid w:val="0056714C"/>
    <w:rsid w:val="005672D9"/>
    <w:rsid w:val="005673E3"/>
    <w:rsid w:val="005674E6"/>
    <w:rsid w:val="00567B57"/>
    <w:rsid w:val="00567C72"/>
    <w:rsid w:val="00567CF6"/>
    <w:rsid w:val="00567F90"/>
    <w:rsid w:val="00570B02"/>
    <w:rsid w:val="00570BE7"/>
    <w:rsid w:val="0057106B"/>
    <w:rsid w:val="00571227"/>
    <w:rsid w:val="0057141B"/>
    <w:rsid w:val="005718A7"/>
    <w:rsid w:val="00571EB0"/>
    <w:rsid w:val="00571F06"/>
    <w:rsid w:val="0057239A"/>
    <w:rsid w:val="005723FC"/>
    <w:rsid w:val="005724EC"/>
    <w:rsid w:val="005728A5"/>
    <w:rsid w:val="005729CC"/>
    <w:rsid w:val="00572C58"/>
    <w:rsid w:val="00572D95"/>
    <w:rsid w:val="005731E2"/>
    <w:rsid w:val="005733DD"/>
    <w:rsid w:val="005738F3"/>
    <w:rsid w:val="00573BF5"/>
    <w:rsid w:val="005742C3"/>
    <w:rsid w:val="0057433A"/>
    <w:rsid w:val="005745BD"/>
    <w:rsid w:val="00574727"/>
    <w:rsid w:val="00574AB0"/>
    <w:rsid w:val="00574B15"/>
    <w:rsid w:val="00574C23"/>
    <w:rsid w:val="00575310"/>
    <w:rsid w:val="0057589B"/>
    <w:rsid w:val="00575B1F"/>
    <w:rsid w:val="00575EBA"/>
    <w:rsid w:val="00576009"/>
    <w:rsid w:val="00576252"/>
    <w:rsid w:val="00576360"/>
    <w:rsid w:val="00576491"/>
    <w:rsid w:val="0057663F"/>
    <w:rsid w:val="00576675"/>
    <w:rsid w:val="0057679B"/>
    <w:rsid w:val="00576E8C"/>
    <w:rsid w:val="00577005"/>
    <w:rsid w:val="0057758B"/>
    <w:rsid w:val="00577765"/>
    <w:rsid w:val="00577939"/>
    <w:rsid w:val="00577EEA"/>
    <w:rsid w:val="005800B2"/>
    <w:rsid w:val="005800CD"/>
    <w:rsid w:val="0058010D"/>
    <w:rsid w:val="00580161"/>
    <w:rsid w:val="005802BB"/>
    <w:rsid w:val="00580910"/>
    <w:rsid w:val="00580CD7"/>
    <w:rsid w:val="00580D92"/>
    <w:rsid w:val="00580E16"/>
    <w:rsid w:val="00580E19"/>
    <w:rsid w:val="00580EDB"/>
    <w:rsid w:val="0058103F"/>
    <w:rsid w:val="00581080"/>
    <w:rsid w:val="00581479"/>
    <w:rsid w:val="00581504"/>
    <w:rsid w:val="00582435"/>
    <w:rsid w:val="00582BA7"/>
    <w:rsid w:val="00582E32"/>
    <w:rsid w:val="00582F56"/>
    <w:rsid w:val="00583208"/>
    <w:rsid w:val="0058327A"/>
    <w:rsid w:val="0058361B"/>
    <w:rsid w:val="00583B3E"/>
    <w:rsid w:val="00583CB5"/>
    <w:rsid w:val="005841B8"/>
    <w:rsid w:val="005841F2"/>
    <w:rsid w:val="00584283"/>
    <w:rsid w:val="00584949"/>
    <w:rsid w:val="005849E5"/>
    <w:rsid w:val="00584E92"/>
    <w:rsid w:val="00584FFC"/>
    <w:rsid w:val="005855FC"/>
    <w:rsid w:val="00585884"/>
    <w:rsid w:val="00585B52"/>
    <w:rsid w:val="00585BF2"/>
    <w:rsid w:val="00585C38"/>
    <w:rsid w:val="00585D7D"/>
    <w:rsid w:val="005863A4"/>
    <w:rsid w:val="00586712"/>
    <w:rsid w:val="00586B3C"/>
    <w:rsid w:val="00586CE1"/>
    <w:rsid w:val="00586DB3"/>
    <w:rsid w:val="00586DEF"/>
    <w:rsid w:val="00586FFA"/>
    <w:rsid w:val="005871C2"/>
    <w:rsid w:val="005873B5"/>
    <w:rsid w:val="005878BA"/>
    <w:rsid w:val="00587B60"/>
    <w:rsid w:val="00587EBA"/>
    <w:rsid w:val="00590204"/>
    <w:rsid w:val="0059021C"/>
    <w:rsid w:val="0059025E"/>
    <w:rsid w:val="00590276"/>
    <w:rsid w:val="005903EC"/>
    <w:rsid w:val="0059059D"/>
    <w:rsid w:val="005907A7"/>
    <w:rsid w:val="005908E1"/>
    <w:rsid w:val="0059091D"/>
    <w:rsid w:val="00590A53"/>
    <w:rsid w:val="00590AE2"/>
    <w:rsid w:val="00590D10"/>
    <w:rsid w:val="00591152"/>
    <w:rsid w:val="00591263"/>
    <w:rsid w:val="00591346"/>
    <w:rsid w:val="0059155A"/>
    <w:rsid w:val="005915A1"/>
    <w:rsid w:val="00591952"/>
    <w:rsid w:val="00591AAD"/>
    <w:rsid w:val="005922C4"/>
    <w:rsid w:val="005929CA"/>
    <w:rsid w:val="00592C9D"/>
    <w:rsid w:val="00592D80"/>
    <w:rsid w:val="00592E67"/>
    <w:rsid w:val="0059301A"/>
    <w:rsid w:val="00593147"/>
    <w:rsid w:val="005931CA"/>
    <w:rsid w:val="005936EC"/>
    <w:rsid w:val="00593939"/>
    <w:rsid w:val="0059396A"/>
    <w:rsid w:val="005941E3"/>
    <w:rsid w:val="005946C1"/>
    <w:rsid w:val="005949A6"/>
    <w:rsid w:val="00594C8E"/>
    <w:rsid w:val="00594C98"/>
    <w:rsid w:val="00594EA2"/>
    <w:rsid w:val="0059542D"/>
    <w:rsid w:val="0059549F"/>
    <w:rsid w:val="005954E4"/>
    <w:rsid w:val="00595CEA"/>
    <w:rsid w:val="00595D38"/>
    <w:rsid w:val="00596112"/>
    <w:rsid w:val="00596615"/>
    <w:rsid w:val="00596AF4"/>
    <w:rsid w:val="00596CB6"/>
    <w:rsid w:val="00596F84"/>
    <w:rsid w:val="00596FC1"/>
    <w:rsid w:val="0059704D"/>
    <w:rsid w:val="00597488"/>
    <w:rsid w:val="00597556"/>
    <w:rsid w:val="00597680"/>
    <w:rsid w:val="00597797"/>
    <w:rsid w:val="0059780E"/>
    <w:rsid w:val="00597977"/>
    <w:rsid w:val="00597A59"/>
    <w:rsid w:val="005A004D"/>
    <w:rsid w:val="005A056B"/>
    <w:rsid w:val="005A065A"/>
    <w:rsid w:val="005A0B22"/>
    <w:rsid w:val="005A0B28"/>
    <w:rsid w:val="005A0C19"/>
    <w:rsid w:val="005A1275"/>
    <w:rsid w:val="005A1435"/>
    <w:rsid w:val="005A15C9"/>
    <w:rsid w:val="005A177B"/>
    <w:rsid w:val="005A1943"/>
    <w:rsid w:val="005A22DA"/>
    <w:rsid w:val="005A24B4"/>
    <w:rsid w:val="005A2555"/>
    <w:rsid w:val="005A2760"/>
    <w:rsid w:val="005A27DE"/>
    <w:rsid w:val="005A2A16"/>
    <w:rsid w:val="005A2BC5"/>
    <w:rsid w:val="005A2CC6"/>
    <w:rsid w:val="005A2DB0"/>
    <w:rsid w:val="005A2F8E"/>
    <w:rsid w:val="005A316E"/>
    <w:rsid w:val="005A330F"/>
    <w:rsid w:val="005A3662"/>
    <w:rsid w:val="005A3A39"/>
    <w:rsid w:val="005A3ADB"/>
    <w:rsid w:val="005A3B04"/>
    <w:rsid w:val="005A3B0D"/>
    <w:rsid w:val="005A3E31"/>
    <w:rsid w:val="005A3F78"/>
    <w:rsid w:val="005A4AEE"/>
    <w:rsid w:val="005A4BCA"/>
    <w:rsid w:val="005A4E81"/>
    <w:rsid w:val="005A51EB"/>
    <w:rsid w:val="005A5386"/>
    <w:rsid w:val="005A53B6"/>
    <w:rsid w:val="005A5774"/>
    <w:rsid w:val="005A5903"/>
    <w:rsid w:val="005A59A3"/>
    <w:rsid w:val="005A5D8D"/>
    <w:rsid w:val="005A5FD9"/>
    <w:rsid w:val="005A61EA"/>
    <w:rsid w:val="005A63EA"/>
    <w:rsid w:val="005A687D"/>
    <w:rsid w:val="005A6A55"/>
    <w:rsid w:val="005A6BE0"/>
    <w:rsid w:val="005A6F7A"/>
    <w:rsid w:val="005A7359"/>
    <w:rsid w:val="005A73A7"/>
    <w:rsid w:val="005A7975"/>
    <w:rsid w:val="005A7B82"/>
    <w:rsid w:val="005A7EA9"/>
    <w:rsid w:val="005B00A3"/>
    <w:rsid w:val="005B0318"/>
    <w:rsid w:val="005B0348"/>
    <w:rsid w:val="005B0582"/>
    <w:rsid w:val="005B05E0"/>
    <w:rsid w:val="005B0677"/>
    <w:rsid w:val="005B0791"/>
    <w:rsid w:val="005B09C5"/>
    <w:rsid w:val="005B0AA7"/>
    <w:rsid w:val="005B191D"/>
    <w:rsid w:val="005B1B4A"/>
    <w:rsid w:val="005B2182"/>
    <w:rsid w:val="005B2493"/>
    <w:rsid w:val="005B2788"/>
    <w:rsid w:val="005B2B36"/>
    <w:rsid w:val="005B2DB2"/>
    <w:rsid w:val="005B3224"/>
    <w:rsid w:val="005B324B"/>
    <w:rsid w:val="005B3423"/>
    <w:rsid w:val="005B35BB"/>
    <w:rsid w:val="005B3696"/>
    <w:rsid w:val="005B383B"/>
    <w:rsid w:val="005B39C7"/>
    <w:rsid w:val="005B3BA6"/>
    <w:rsid w:val="005B3F80"/>
    <w:rsid w:val="005B4211"/>
    <w:rsid w:val="005B42F6"/>
    <w:rsid w:val="005B451B"/>
    <w:rsid w:val="005B4A95"/>
    <w:rsid w:val="005B4D10"/>
    <w:rsid w:val="005B53CB"/>
    <w:rsid w:val="005B5B73"/>
    <w:rsid w:val="005B61FC"/>
    <w:rsid w:val="005B6456"/>
    <w:rsid w:val="005B66A9"/>
    <w:rsid w:val="005B6A75"/>
    <w:rsid w:val="005B748F"/>
    <w:rsid w:val="005B770E"/>
    <w:rsid w:val="005B7A2D"/>
    <w:rsid w:val="005B7B88"/>
    <w:rsid w:val="005B7B97"/>
    <w:rsid w:val="005B7F5B"/>
    <w:rsid w:val="005C005F"/>
    <w:rsid w:val="005C0120"/>
    <w:rsid w:val="005C039D"/>
    <w:rsid w:val="005C0639"/>
    <w:rsid w:val="005C082B"/>
    <w:rsid w:val="005C09A4"/>
    <w:rsid w:val="005C09B3"/>
    <w:rsid w:val="005C0BF8"/>
    <w:rsid w:val="005C0F2E"/>
    <w:rsid w:val="005C0F52"/>
    <w:rsid w:val="005C11CB"/>
    <w:rsid w:val="005C124D"/>
    <w:rsid w:val="005C13C0"/>
    <w:rsid w:val="005C1627"/>
    <w:rsid w:val="005C1903"/>
    <w:rsid w:val="005C1A42"/>
    <w:rsid w:val="005C1A66"/>
    <w:rsid w:val="005C1F8A"/>
    <w:rsid w:val="005C2055"/>
    <w:rsid w:val="005C272A"/>
    <w:rsid w:val="005C275D"/>
    <w:rsid w:val="005C28D1"/>
    <w:rsid w:val="005C29DF"/>
    <w:rsid w:val="005C2C64"/>
    <w:rsid w:val="005C2E37"/>
    <w:rsid w:val="005C309A"/>
    <w:rsid w:val="005C3124"/>
    <w:rsid w:val="005C3198"/>
    <w:rsid w:val="005C32CF"/>
    <w:rsid w:val="005C3534"/>
    <w:rsid w:val="005C3F8D"/>
    <w:rsid w:val="005C3FDE"/>
    <w:rsid w:val="005C4486"/>
    <w:rsid w:val="005C466D"/>
    <w:rsid w:val="005C4801"/>
    <w:rsid w:val="005C497E"/>
    <w:rsid w:val="005C5097"/>
    <w:rsid w:val="005C5281"/>
    <w:rsid w:val="005C530D"/>
    <w:rsid w:val="005C56CC"/>
    <w:rsid w:val="005C5A66"/>
    <w:rsid w:val="005C5B4C"/>
    <w:rsid w:val="005C5D47"/>
    <w:rsid w:val="005C6628"/>
    <w:rsid w:val="005C6650"/>
    <w:rsid w:val="005C6F8D"/>
    <w:rsid w:val="005C70C9"/>
    <w:rsid w:val="005C71BB"/>
    <w:rsid w:val="005C734D"/>
    <w:rsid w:val="005C769A"/>
    <w:rsid w:val="005C7A93"/>
    <w:rsid w:val="005C7B22"/>
    <w:rsid w:val="005D013B"/>
    <w:rsid w:val="005D0285"/>
    <w:rsid w:val="005D0866"/>
    <w:rsid w:val="005D0F4E"/>
    <w:rsid w:val="005D0FC1"/>
    <w:rsid w:val="005D1953"/>
    <w:rsid w:val="005D1A58"/>
    <w:rsid w:val="005D1F86"/>
    <w:rsid w:val="005D22B9"/>
    <w:rsid w:val="005D251B"/>
    <w:rsid w:val="005D2607"/>
    <w:rsid w:val="005D26C7"/>
    <w:rsid w:val="005D2A1F"/>
    <w:rsid w:val="005D3C7A"/>
    <w:rsid w:val="005D3F84"/>
    <w:rsid w:val="005D40E5"/>
    <w:rsid w:val="005D4163"/>
    <w:rsid w:val="005D44CC"/>
    <w:rsid w:val="005D474E"/>
    <w:rsid w:val="005D47B5"/>
    <w:rsid w:val="005D47FE"/>
    <w:rsid w:val="005D48C9"/>
    <w:rsid w:val="005D4CEE"/>
    <w:rsid w:val="005D4F80"/>
    <w:rsid w:val="005D5193"/>
    <w:rsid w:val="005D57A1"/>
    <w:rsid w:val="005D5849"/>
    <w:rsid w:val="005D5ADB"/>
    <w:rsid w:val="005D5B59"/>
    <w:rsid w:val="005D5C42"/>
    <w:rsid w:val="005D5F3F"/>
    <w:rsid w:val="005D60A3"/>
    <w:rsid w:val="005D62E8"/>
    <w:rsid w:val="005D64F8"/>
    <w:rsid w:val="005D65FB"/>
    <w:rsid w:val="005D675E"/>
    <w:rsid w:val="005D6D33"/>
    <w:rsid w:val="005D6EE8"/>
    <w:rsid w:val="005D6F78"/>
    <w:rsid w:val="005D6FDC"/>
    <w:rsid w:val="005D74CB"/>
    <w:rsid w:val="005D7631"/>
    <w:rsid w:val="005D7852"/>
    <w:rsid w:val="005D78AC"/>
    <w:rsid w:val="005D796D"/>
    <w:rsid w:val="005D7C2C"/>
    <w:rsid w:val="005D7E20"/>
    <w:rsid w:val="005D7FA0"/>
    <w:rsid w:val="005E03C5"/>
    <w:rsid w:val="005E05BD"/>
    <w:rsid w:val="005E05ED"/>
    <w:rsid w:val="005E0ADE"/>
    <w:rsid w:val="005E0B8A"/>
    <w:rsid w:val="005E0CCF"/>
    <w:rsid w:val="005E0D03"/>
    <w:rsid w:val="005E0E5C"/>
    <w:rsid w:val="005E0FE9"/>
    <w:rsid w:val="005E144D"/>
    <w:rsid w:val="005E19E9"/>
    <w:rsid w:val="005E1D2A"/>
    <w:rsid w:val="005E1DC9"/>
    <w:rsid w:val="005E1F72"/>
    <w:rsid w:val="005E23F6"/>
    <w:rsid w:val="005E2618"/>
    <w:rsid w:val="005E2782"/>
    <w:rsid w:val="005E27FC"/>
    <w:rsid w:val="005E2ABA"/>
    <w:rsid w:val="005E2E01"/>
    <w:rsid w:val="005E2E63"/>
    <w:rsid w:val="005E30D5"/>
    <w:rsid w:val="005E32D4"/>
    <w:rsid w:val="005E373D"/>
    <w:rsid w:val="005E3A58"/>
    <w:rsid w:val="005E3B91"/>
    <w:rsid w:val="005E3CBA"/>
    <w:rsid w:val="005E3E39"/>
    <w:rsid w:val="005E413C"/>
    <w:rsid w:val="005E462D"/>
    <w:rsid w:val="005E4B34"/>
    <w:rsid w:val="005E4D97"/>
    <w:rsid w:val="005E4EEF"/>
    <w:rsid w:val="005E51CB"/>
    <w:rsid w:val="005E5673"/>
    <w:rsid w:val="005E5853"/>
    <w:rsid w:val="005E58CF"/>
    <w:rsid w:val="005E5EE8"/>
    <w:rsid w:val="005E639F"/>
    <w:rsid w:val="005E642C"/>
    <w:rsid w:val="005E6574"/>
    <w:rsid w:val="005E6584"/>
    <w:rsid w:val="005E6604"/>
    <w:rsid w:val="005E6C50"/>
    <w:rsid w:val="005E7030"/>
    <w:rsid w:val="005E7160"/>
    <w:rsid w:val="005E7786"/>
    <w:rsid w:val="005E7A4E"/>
    <w:rsid w:val="005F07F9"/>
    <w:rsid w:val="005F088A"/>
    <w:rsid w:val="005F0978"/>
    <w:rsid w:val="005F0A5B"/>
    <w:rsid w:val="005F0C58"/>
    <w:rsid w:val="005F0E52"/>
    <w:rsid w:val="005F0F58"/>
    <w:rsid w:val="005F12B2"/>
    <w:rsid w:val="005F159C"/>
    <w:rsid w:val="005F16FE"/>
    <w:rsid w:val="005F178A"/>
    <w:rsid w:val="005F198C"/>
    <w:rsid w:val="005F1AEC"/>
    <w:rsid w:val="005F1BD5"/>
    <w:rsid w:val="005F1C53"/>
    <w:rsid w:val="005F1E87"/>
    <w:rsid w:val="005F1F52"/>
    <w:rsid w:val="005F2090"/>
    <w:rsid w:val="005F2342"/>
    <w:rsid w:val="005F289E"/>
    <w:rsid w:val="005F28A9"/>
    <w:rsid w:val="005F2ABB"/>
    <w:rsid w:val="005F2E31"/>
    <w:rsid w:val="005F2EDA"/>
    <w:rsid w:val="005F31AC"/>
    <w:rsid w:val="005F3591"/>
    <w:rsid w:val="005F36D5"/>
    <w:rsid w:val="005F37A3"/>
    <w:rsid w:val="005F3C9F"/>
    <w:rsid w:val="005F4207"/>
    <w:rsid w:val="005F423C"/>
    <w:rsid w:val="005F43ED"/>
    <w:rsid w:val="005F4455"/>
    <w:rsid w:val="005F4965"/>
    <w:rsid w:val="005F4C9D"/>
    <w:rsid w:val="005F4D56"/>
    <w:rsid w:val="005F505F"/>
    <w:rsid w:val="005F5B70"/>
    <w:rsid w:val="005F5BC0"/>
    <w:rsid w:val="005F5DB2"/>
    <w:rsid w:val="005F5F26"/>
    <w:rsid w:val="005F5FC8"/>
    <w:rsid w:val="005F60E6"/>
    <w:rsid w:val="005F6461"/>
    <w:rsid w:val="005F6475"/>
    <w:rsid w:val="005F67E2"/>
    <w:rsid w:val="005F6B9B"/>
    <w:rsid w:val="005F6ED4"/>
    <w:rsid w:val="005F70ED"/>
    <w:rsid w:val="005F71C4"/>
    <w:rsid w:val="005F7253"/>
    <w:rsid w:val="005F74FF"/>
    <w:rsid w:val="005F7789"/>
    <w:rsid w:val="005F779C"/>
    <w:rsid w:val="006000E2"/>
    <w:rsid w:val="006001EF"/>
    <w:rsid w:val="006003DC"/>
    <w:rsid w:val="0060044A"/>
    <w:rsid w:val="006008CF"/>
    <w:rsid w:val="006009F9"/>
    <w:rsid w:val="00600B0F"/>
    <w:rsid w:val="00600C77"/>
    <w:rsid w:val="00600DB7"/>
    <w:rsid w:val="00600F45"/>
    <w:rsid w:val="00600F60"/>
    <w:rsid w:val="00601099"/>
    <w:rsid w:val="006013D3"/>
    <w:rsid w:val="00601457"/>
    <w:rsid w:val="006014F7"/>
    <w:rsid w:val="0060160E"/>
    <w:rsid w:val="0060167E"/>
    <w:rsid w:val="006016E3"/>
    <w:rsid w:val="00601C1B"/>
    <w:rsid w:val="00601C99"/>
    <w:rsid w:val="00601E9F"/>
    <w:rsid w:val="00601EA6"/>
    <w:rsid w:val="00602058"/>
    <w:rsid w:val="006020A5"/>
    <w:rsid w:val="00602335"/>
    <w:rsid w:val="006023D5"/>
    <w:rsid w:val="00602664"/>
    <w:rsid w:val="006027BA"/>
    <w:rsid w:val="006028B5"/>
    <w:rsid w:val="00602AC5"/>
    <w:rsid w:val="00602D02"/>
    <w:rsid w:val="00602EF9"/>
    <w:rsid w:val="0060313E"/>
    <w:rsid w:val="00603433"/>
    <w:rsid w:val="006036AF"/>
    <w:rsid w:val="00603CAD"/>
    <w:rsid w:val="00604056"/>
    <w:rsid w:val="00604589"/>
    <w:rsid w:val="0060481E"/>
    <w:rsid w:val="006049D3"/>
    <w:rsid w:val="00604A8E"/>
    <w:rsid w:val="00604C6B"/>
    <w:rsid w:val="00604D61"/>
    <w:rsid w:val="00604EE2"/>
    <w:rsid w:val="00604F25"/>
    <w:rsid w:val="0060518C"/>
    <w:rsid w:val="006052CE"/>
    <w:rsid w:val="0060572C"/>
    <w:rsid w:val="00605A0D"/>
    <w:rsid w:val="00605C26"/>
    <w:rsid w:val="0060615E"/>
    <w:rsid w:val="0060671F"/>
    <w:rsid w:val="00606A53"/>
    <w:rsid w:val="00606EB7"/>
    <w:rsid w:val="00607137"/>
    <w:rsid w:val="00607228"/>
    <w:rsid w:val="006075C7"/>
    <w:rsid w:val="006075FC"/>
    <w:rsid w:val="006076EF"/>
    <w:rsid w:val="00607A8B"/>
    <w:rsid w:val="00607ED8"/>
    <w:rsid w:val="00607F72"/>
    <w:rsid w:val="0061047A"/>
    <w:rsid w:val="006105A0"/>
    <w:rsid w:val="00610EA8"/>
    <w:rsid w:val="00611157"/>
    <w:rsid w:val="00611321"/>
    <w:rsid w:val="006118DA"/>
    <w:rsid w:val="0061211E"/>
    <w:rsid w:val="00612406"/>
    <w:rsid w:val="00612524"/>
    <w:rsid w:val="00612572"/>
    <w:rsid w:val="006126A2"/>
    <w:rsid w:val="006126C7"/>
    <w:rsid w:val="0061286F"/>
    <w:rsid w:val="00612A49"/>
    <w:rsid w:val="00612A6A"/>
    <w:rsid w:val="00612BEB"/>
    <w:rsid w:val="00613157"/>
    <w:rsid w:val="006134E0"/>
    <w:rsid w:val="006136B8"/>
    <w:rsid w:val="006136F1"/>
    <w:rsid w:val="0061387D"/>
    <w:rsid w:val="00613EE7"/>
    <w:rsid w:val="0061433C"/>
    <w:rsid w:val="00614734"/>
    <w:rsid w:val="00614AE4"/>
    <w:rsid w:val="00614D47"/>
    <w:rsid w:val="00615096"/>
    <w:rsid w:val="0061542D"/>
    <w:rsid w:val="00615526"/>
    <w:rsid w:val="00615714"/>
    <w:rsid w:val="00615BD9"/>
    <w:rsid w:val="00615BDC"/>
    <w:rsid w:val="00615C79"/>
    <w:rsid w:val="006162F4"/>
    <w:rsid w:val="0061674F"/>
    <w:rsid w:val="006168FB"/>
    <w:rsid w:val="00616C85"/>
    <w:rsid w:val="00616D54"/>
    <w:rsid w:val="006170D4"/>
    <w:rsid w:val="00617147"/>
    <w:rsid w:val="0061727D"/>
    <w:rsid w:val="00617321"/>
    <w:rsid w:val="006173D5"/>
    <w:rsid w:val="006176BC"/>
    <w:rsid w:val="00617F8B"/>
    <w:rsid w:val="00617F9F"/>
    <w:rsid w:val="00620388"/>
    <w:rsid w:val="00620842"/>
    <w:rsid w:val="00620895"/>
    <w:rsid w:val="006208FA"/>
    <w:rsid w:val="00620A5F"/>
    <w:rsid w:val="00620CBA"/>
    <w:rsid w:val="00620E70"/>
    <w:rsid w:val="00620F26"/>
    <w:rsid w:val="0062145F"/>
    <w:rsid w:val="006216ED"/>
    <w:rsid w:val="00621746"/>
    <w:rsid w:val="00621D77"/>
    <w:rsid w:val="00622333"/>
    <w:rsid w:val="006225F8"/>
    <w:rsid w:val="00622672"/>
    <w:rsid w:val="006226F3"/>
    <w:rsid w:val="006229CE"/>
    <w:rsid w:val="00622A4F"/>
    <w:rsid w:val="00622B00"/>
    <w:rsid w:val="00622C18"/>
    <w:rsid w:val="00622C41"/>
    <w:rsid w:val="006230C8"/>
    <w:rsid w:val="0062316A"/>
    <w:rsid w:val="006231D8"/>
    <w:rsid w:val="00623586"/>
    <w:rsid w:val="0062376E"/>
    <w:rsid w:val="006237B2"/>
    <w:rsid w:val="0062386F"/>
    <w:rsid w:val="00623901"/>
    <w:rsid w:val="0062392F"/>
    <w:rsid w:val="00623969"/>
    <w:rsid w:val="00623D9D"/>
    <w:rsid w:val="00623DB2"/>
    <w:rsid w:val="0062415B"/>
    <w:rsid w:val="006241CC"/>
    <w:rsid w:val="006241E2"/>
    <w:rsid w:val="00624281"/>
    <w:rsid w:val="006245D8"/>
    <w:rsid w:val="00624DAE"/>
    <w:rsid w:val="006251F6"/>
    <w:rsid w:val="0062555A"/>
    <w:rsid w:val="0062579C"/>
    <w:rsid w:val="00625893"/>
    <w:rsid w:val="00625992"/>
    <w:rsid w:val="00625999"/>
    <w:rsid w:val="006259FA"/>
    <w:rsid w:val="00625A3C"/>
    <w:rsid w:val="00625AE0"/>
    <w:rsid w:val="00625E7C"/>
    <w:rsid w:val="00626123"/>
    <w:rsid w:val="006262F8"/>
    <w:rsid w:val="006263D3"/>
    <w:rsid w:val="00626448"/>
    <w:rsid w:val="0062647F"/>
    <w:rsid w:val="0062654E"/>
    <w:rsid w:val="00626561"/>
    <w:rsid w:val="0062670A"/>
    <w:rsid w:val="00626722"/>
    <w:rsid w:val="0062675C"/>
    <w:rsid w:val="00626855"/>
    <w:rsid w:val="00626ACF"/>
    <w:rsid w:val="00626F2E"/>
    <w:rsid w:val="00626FA0"/>
    <w:rsid w:val="00627002"/>
    <w:rsid w:val="0062761E"/>
    <w:rsid w:val="006276DA"/>
    <w:rsid w:val="0062773D"/>
    <w:rsid w:val="00627883"/>
    <w:rsid w:val="006278A9"/>
    <w:rsid w:val="0062793C"/>
    <w:rsid w:val="00627A50"/>
    <w:rsid w:val="00627C3B"/>
    <w:rsid w:val="00627D8B"/>
    <w:rsid w:val="0063089E"/>
    <w:rsid w:val="006308CA"/>
    <w:rsid w:val="00630A44"/>
    <w:rsid w:val="00630CBF"/>
    <w:rsid w:val="00630D9F"/>
    <w:rsid w:val="00630E6B"/>
    <w:rsid w:val="00630F80"/>
    <w:rsid w:val="006312D9"/>
    <w:rsid w:val="00631465"/>
    <w:rsid w:val="00631811"/>
    <w:rsid w:val="00632022"/>
    <w:rsid w:val="006324CD"/>
    <w:rsid w:val="0063293D"/>
    <w:rsid w:val="00632C73"/>
    <w:rsid w:val="006332F9"/>
    <w:rsid w:val="0063353E"/>
    <w:rsid w:val="0063360A"/>
    <w:rsid w:val="0063396B"/>
    <w:rsid w:val="00633EBC"/>
    <w:rsid w:val="00633EC2"/>
    <w:rsid w:val="00633FDD"/>
    <w:rsid w:val="00634262"/>
    <w:rsid w:val="00634428"/>
    <w:rsid w:val="0063449F"/>
    <w:rsid w:val="006347C4"/>
    <w:rsid w:val="00634BC4"/>
    <w:rsid w:val="00634EAC"/>
    <w:rsid w:val="00634F81"/>
    <w:rsid w:val="00635141"/>
    <w:rsid w:val="006353A7"/>
    <w:rsid w:val="006354BA"/>
    <w:rsid w:val="00635942"/>
    <w:rsid w:val="006359E7"/>
    <w:rsid w:val="00635A35"/>
    <w:rsid w:val="00635A4E"/>
    <w:rsid w:val="00635E2E"/>
    <w:rsid w:val="00635FDC"/>
    <w:rsid w:val="00636266"/>
    <w:rsid w:val="006362E9"/>
    <w:rsid w:val="006363A7"/>
    <w:rsid w:val="00636480"/>
    <w:rsid w:val="006366BA"/>
    <w:rsid w:val="00636AF0"/>
    <w:rsid w:val="00636C9B"/>
    <w:rsid w:val="00636F44"/>
    <w:rsid w:val="006370AA"/>
    <w:rsid w:val="006374DC"/>
    <w:rsid w:val="0063751E"/>
    <w:rsid w:val="0063767F"/>
    <w:rsid w:val="00637ABD"/>
    <w:rsid w:val="00637FFB"/>
    <w:rsid w:val="00640298"/>
    <w:rsid w:val="00640660"/>
    <w:rsid w:val="00640942"/>
    <w:rsid w:val="00640D7E"/>
    <w:rsid w:val="00641576"/>
    <w:rsid w:val="00641B7D"/>
    <w:rsid w:val="00641EE0"/>
    <w:rsid w:val="006420BD"/>
    <w:rsid w:val="006423AA"/>
    <w:rsid w:val="0064280A"/>
    <w:rsid w:val="00642B25"/>
    <w:rsid w:val="00642B55"/>
    <w:rsid w:val="00642CF3"/>
    <w:rsid w:val="00643594"/>
    <w:rsid w:val="00643F66"/>
    <w:rsid w:val="00643FA5"/>
    <w:rsid w:val="006440FA"/>
    <w:rsid w:val="00644303"/>
    <w:rsid w:val="0064451B"/>
    <w:rsid w:val="0064493C"/>
    <w:rsid w:val="00644CAA"/>
    <w:rsid w:val="00644CE2"/>
    <w:rsid w:val="00645547"/>
    <w:rsid w:val="0064575E"/>
    <w:rsid w:val="006457B8"/>
    <w:rsid w:val="00645C21"/>
    <w:rsid w:val="0064635D"/>
    <w:rsid w:val="00646670"/>
    <w:rsid w:val="0064682F"/>
    <w:rsid w:val="00646AE2"/>
    <w:rsid w:val="00646B12"/>
    <w:rsid w:val="00646C01"/>
    <w:rsid w:val="006470CF"/>
    <w:rsid w:val="0064746F"/>
    <w:rsid w:val="006474A7"/>
    <w:rsid w:val="0064772E"/>
    <w:rsid w:val="00647967"/>
    <w:rsid w:val="00647BE2"/>
    <w:rsid w:val="00647C76"/>
    <w:rsid w:val="00647E16"/>
    <w:rsid w:val="00650255"/>
    <w:rsid w:val="00650690"/>
    <w:rsid w:val="00650883"/>
    <w:rsid w:val="006508B1"/>
    <w:rsid w:val="00651042"/>
    <w:rsid w:val="006510BA"/>
    <w:rsid w:val="00651111"/>
    <w:rsid w:val="00651245"/>
    <w:rsid w:val="006516FA"/>
    <w:rsid w:val="00651831"/>
    <w:rsid w:val="00651A0E"/>
    <w:rsid w:val="00651D31"/>
    <w:rsid w:val="00651ED6"/>
    <w:rsid w:val="00651F95"/>
    <w:rsid w:val="0065235E"/>
    <w:rsid w:val="006527BA"/>
    <w:rsid w:val="00652FE3"/>
    <w:rsid w:val="00653300"/>
    <w:rsid w:val="00653387"/>
    <w:rsid w:val="0065359F"/>
    <w:rsid w:val="0065377E"/>
    <w:rsid w:val="00653A17"/>
    <w:rsid w:val="00653B52"/>
    <w:rsid w:val="00653E30"/>
    <w:rsid w:val="00653F2F"/>
    <w:rsid w:val="0065442E"/>
    <w:rsid w:val="0065452D"/>
    <w:rsid w:val="006545D4"/>
    <w:rsid w:val="006547EC"/>
    <w:rsid w:val="00654897"/>
    <w:rsid w:val="00654E11"/>
    <w:rsid w:val="00654EB0"/>
    <w:rsid w:val="00654EC9"/>
    <w:rsid w:val="00655019"/>
    <w:rsid w:val="00655110"/>
    <w:rsid w:val="00655157"/>
    <w:rsid w:val="0065536F"/>
    <w:rsid w:val="006553FA"/>
    <w:rsid w:val="00655710"/>
    <w:rsid w:val="0065592E"/>
    <w:rsid w:val="00655E44"/>
    <w:rsid w:val="00655FC0"/>
    <w:rsid w:val="00656031"/>
    <w:rsid w:val="00656134"/>
    <w:rsid w:val="00656275"/>
    <w:rsid w:val="0065627E"/>
    <w:rsid w:val="00656295"/>
    <w:rsid w:val="00656618"/>
    <w:rsid w:val="006566DB"/>
    <w:rsid w:val="00656879"/>
    <w:rsid w:val="00656D73"/>
    <w:rsid w:val="00657060"/>
    <w:rsid w:val="006570FE"/>
    <w:rsid w:val="0065744F"/>
    <w:rsid w:val="0065779D"/>
    <w:rsid w:val="00657A0A"/>
    <w:rsid w:val="00657D4B"/>
    <w:rsid w:val="006600A6"/>
    <w:rsid w:val="00660143"/>
    <w:rsid w:val="0066042C"/>
    <w:rsid w:val="00660606"/>
    <w:rsid w:val="006608E5"/>
    <w:rsid w:val="00660BEA"/>
    <w:rsid w:val="00660CEF"/>
    <w:rsid w:val="00660E2B"/>
    <w:rsid w:val="00660E91"/>
    <w:rsid w:val="00660F42"/>
    <w:rsid w:val="00661082"/>
    <w:rsid w:val="006618F0"/>
    <w:rsid w:val="00662201"/>
    <w:rsid w:val="00662739"/>
    <w:rsid w:val="00662901"/>
    <w:rsid w:val="00662AFC"/>
    <w:rsid w:val="00662B32"/>
    <w:rsid w:val="00662BC5"/>
    <w:rsid w:val="00662D21"/>
    <w:rsid w:val="00662D8B"/>
    <w:rsid w:val="006630CF"/>
    <w:rsid w:val="006630EE"/>
    <w:rsid w:val="00663133"/>
    <w:rsid w:val="00663186"/>
    <w:rsid w:val="00663532"/>
    <w:rsid w:val="00663650"/>
    <w:rsid w:val="00663761"/>
    <w:rsid w:val="00663D0E"/>
    <w:rsid w:val="00663DFB"/>
    <w:rsid w:val="00663E12"/>
    <w:rsid w:val="00663E5C"/>
    <w:rsid w:val="006640B5"/>
    <w:rsid w:val="00664959"/>
    <w:rsid w:val="006649EF"/>
    <w:rsid w:val="00664EE2"/>
    <w:rsid w:val="006651D1"/>
    <w:rsid w:val="00665E1E"/>
    <w:rsid w:val="00666541"/>
    <w:rsid w:val="0066675C"/>
    <w:rsid w:val="00666785"/>
    <w:rsid w:val="00666822"/>
    <w:rsid w:val="0066693C"/>
    <w:rsid w:val="006669DC"/>
    <w:rsid w:val="00666D31"/>
    <w:rsid w:val="00666E5F"/>
    <w:rsid w:val="00666E70"/>
    <w:rsid w:val="006675A8"/>
    <w:rsid w:val="006676A9"/>
    <w:rsid w:val="006679BA"/>
    <w:rsid w:val="00667A20"/>
    <w:rsid w:val="00667B55"/>
    <w:rsid w:val="00667BA6"/>
    <w:rsid w:val="0067069C"/>
    <w:rsid w:val="00670AFF"/>
    <w:rsid w:val="00670C8E"/>
    <w:rsid w:val="00670F02"/>
    <w:rsid w:val="00670F07"/>
    <w:rsid w:val="00670FC9"/>
    <w:rsid w:val="006714EB"/>
    <w:rsid w:val="00671C3C"/>
    <w:rsid w:val="00671E51"/>
    <w:rsid w:val="00672028"/>
    <w:rsid w:val="00672244"/>
    <w:rsid w:val="00672391"/>
    <w:rsid w:val="006724D6"/>
    <w:rsid w:val="00672565"/>
    <w:rsid w:val="00672784"/>
    <w:rsid w:val="00672839"/>
    <w:rsid w:val="006728FF"/>
    <w:rsid w:val="00672F07"/>
    <w:rsid w:val="00672F0C"/>
    <w:rsid w:val="00673273"/>
    <w:rsid w:val="00673305"/>
    <w:rsid w:val="006736A8"/>
    <w:rsid w:val="006739BE"/>
    <w:rsid w:val="00673B63"/>
    <w:rsid w:val="00673EAE"/>
    <w:rsid w:val="00674450"/>
    <w:rsid w:val="00674601"/>
    <w:rsid w:val="0067496E"/>
    <w:rsid w:val="00674C2C"/>
    <w:rsid w:val="00674CEB"/>
    <w:rsid w:val="00674F88"/>
    <w:rsid w:val="0067501D"/>
    <w:rsid w:val="00675253"/>
    <w:rsid w:val="006758AA"/>
    <w:rsid w:val="00675913"/>
    <w:rsid w:val="006759D7"/>
    <w:rsid w:val="00675E37"/>
    <w:rsid w:val="00675F74"/>
    <w:rsid w:val="0067618F"/>
    <w:rsid w:val="006762FD"/>
    <w:rsid w:val="006763A2"/>
    <w:rsid w:val="00676565"/>
    <w:rsid w:val="00676B80"/>
    <w:rsid w:val="00676D53"/>
    <w:rsid w:val="006770D0"/>
    <w:rsid w:val="00677378"/>
    <w:rsid w:val="006773C2"/>
    <w:rsid w:val="006773D1"/>
    <w:rsid w:val="006774E3"/>
    <w:rsid w:val="00677520"/>
    <w:rsid w:val="0067788D"/>
    <w:rsid w:val="006779C5"/>
    <w:rsid w:val="00677B60"/>
    <w:rsid w:val="00677D35"/>
    <w:rsid w:val="00677DF3"/>
    <w:rsid w:val="006801E9"/>
    <w:rsid w:val="006804A5"/>
    <w:rsid w:val="00680552"/>
    <w:rsid w:val="006805BE"/>
    <w:rsid w:val="00680629"/>
    <w:rsid w:val="006806DC"/>
    <w:rsid w:val="00680731"/>
    <w:rsid w:val="00680978"/>
    <w:rsid w:val="00680B3E"/>
    <w:rsid w:val="00680BCD"/>
    <w:rsid w:val="00680FA2"/>
    <w:rsid w:val="006810DF"/>
    <w:rsid w:val="0068128A"/>
    <w:rsid w:val="00681705"/>
    <w:rsid w:val="00681741"/>
    <w:rsid w:val="00681B70"/>
    <w:rsid w:val="00681DDD"/>
    <w:rsid w:val="00681DF9"/>
    <w:rsid w:val="00682314"/>
    <w:rsid w:val="006824A2"/>
    <w:rsid w:val="00682877"/>
    <w:rsid w:val="00682BC1"/>
    <w:rsid w:val="00682EB1"/>
    <w:rsid w:val="006832AD"/>
    <w:rsid w:val="00683509"/>
    <w:rsid w:val="00683AE3"/>
    <w:rsid w:val="0068407E"/>
    <w:rsid w:val="00684188"/>
    <w:rsid w:val="00684259"/>
    <w:rsid w:val="006847C3"/>
    <w:rsid w:val="00684877"/>
    <w:rsid w:val="00684C61"/>
    <w:rsid w:val="00684D05"/>
    <w:rsid w:val="00684E11"/>
    <w:rsid w:val="00685045"/>
    <w:rsid w:val="00685099"/>
    <w:rsid w:val="00685136"/>
    <w:rsid w:val="00685138"/>
    <w:rsid w:val="006853AB"/>
    <w:rsid w:val="006856F3"/>
    <w:rsid w:val="00685A55"/>
    <w:rsid w:val="00685B4C"/>
    <w:rsid w:val="00685B6C"/>
    <w:rsid w:val="00685B99"/>
    <w:rsid w:val="00685F10"/>
    <w:rsid w:val="0068600C"/>
    <w:rsid w:val="00686450"/>
    <w:rsid w:val="00686491"/>
    <w:rsid w:val="00686926"/>
    <w:rsid w:val="00686F41"/>
    <w:rsid w:val="00686FED"/>
    <w:rsid w:val="006871F6"/>
    <w:rsid w:val="0068727B"/>
    <w:rsid w:val="006875EC"/>
    <w:rsid w:val="00687631"/>
    <w:rsid w:val="006877B2"/>
    <w:rsid w:val="00687978"/>
    <w:rsid w:val="00687AA1"/>
    <w:rsid w:val="00687ED0"/>
    <w:rsid w:val="00687F3B"/>
    <w:rsid w:val="00690313"/>
    <w:rsid w:val="006904D1"/>
    <w:rsid w:val="00690540"/>
    <w:rsid w:val="006906CB"/>
    <w:rsid w:val="006907AD"/>
    <w:rsid w:val="00690931"/>
    <w:rsid w:val="00690CEB"/>
    <w:rsid w:val="00691448"/>
    <w:rsid w:val="00691519"/>
    <w:rsid w:val="00691B98"/>
    <w:rsid w:val="00691C35"/>
    <w:rsid w:val="00691CB1"/>
    <w:rsid w:val="00691E2B"/>
    <w:rsid w:val="00691E83"/>
    <w:rsid w:val="0069211B"/>
    <w:rsid w:val="00692CC6"/>
    <w:rsid w:val="00692F66"/>
    <w:rsid w:val="0069307E"/>
    <w:rsid w:val="00693094"/>
    <w:rsid w:val="00693185"/>
    <w:rsid w:val="00693274"/>
    <w:rsid w:val="006936F4"/>
    <w:rsid w:val="0069395C"/>
    <w:rsid w:val="00693B4E"/>
    <w:rsid w:val="00693C36"/>
    <w:rsid w:val="00693CFF"/>
    <w:rsid w:val="00694443"/>
    <w:rsid w:val="0069456E"/>
    <w:rsid w:val="006946B7"/>
    <w:rsid w:val="00694838"/>
    <w:rsid w:val="00694F46"/>
    <w:rsid w:val="00695312"/>
    <w:rsid w:val="006953D5"/>
    <w:rsid w:val="00695696"/>
    <w:rsid w:val="006956D6"/>
    <w:rsid w:val="00695C02"/>
    <w:rsid w:val="006962B8"/>
    <w:rsid w:val="006964F1"/>
    <w:rsid w:val="0069670C"/>
    <w:rsid w:val="00696A31"/>
    <w:rsid w:val="00696D98"/>
    <w:rsid w:val="00697276"/>
    <w:rsid w:val="006974BB"/>
    <w:rsid w:val="0069777A"/>
    <w:rsid w:val="006977B1"/>
    <w:rsid w:val="0069789F"/>
    <w:rsid w:val="006978F4"/>
    <w:rsid w:val="00697914"/>
    <w:rsid w:val="0069796D"/>
    <w:rsid w:val="00697D6B"/>
    <w:rsid w:val="006A017C"/>
    <w:rsid w:val="006A06D4"/>
    <w:rsid w:val="006A0BEC"/>
    <w:rsid w:val="006A0C2F"/>
    <w:rsid w:val="006A0C35"/>
    <w:rsid w:val="006A0D68"/>
    <w:rsid w:val="006A123D"/>
    <w:rsid w:val="006A129E"/>
    <w:rsid w:val="006A13F9"/>
    <w:rsid w:val="006A1408"/>
    <w:rsid w:val="006A166D"/>
    <w:rsid w:val="006A18F9"/>
    <w:rsid w:val="006A1973"/>
    <w:rsid w:val="006A1AFE"/>
    <w:rsid w:val="006A1B29"/>
    <w:rsid w:val="006A1C93"/>
    <w:rsid w:val="006A22FA"/>
    <w:rsid w:val="006A27EA"/>
    <w:rsid w:val="006A28DB"/>
    <w:rsid w:val="006A2977"/>
    <w:rsid w:val="006A2BDA"/>
    <w:rsid w:val="006A2DC8"/>
    <w:rsid w:val="006A308B"/>
    <w:rsid w:val="006A3335"/>
    <w:rsid w:val="006A3862"/>
    <w:rsid w:val="006A39E8"/>
    <w:rsid w:val="006A3B93"/>
    <w:rsid w:val="006A3CD1"/>
    <w:rsid w:val="006A3D08"/>
    <w:rsid w:val="006A3DE8"/>
    <w:rsid w:val="006A414A"/>
    <w:rsid w:val="006A437A"/>
    <w:rsid w:val="006A4441"/>
    <w:rsid w:val="006A44B4"/>
    <w:rsid w:val="006A461C"/>
    <w:rsid w:val="006A467A"/>
    <w:rsid w:val="006A46F3"/>
    <w:rsid w:val="006A4E97"/>
    <w:rsid w:val="006A5188"/>
    <w:rsid w:val="006A531F"/>
    <w:rsid w:val="006A532E"/>
    <w:rsid w:val="006A5425"/>
    <w:rsid w:val="006A55F1"/>
    <w:rsid w:val="006A5744"/>
    <w:rsid w:val="006A57F3"/>
    <w:rsid w:val="006A58DE"/>
    <w:rsid w:val="006A5A4A"/>
    <w:rsid w:val="006A5AAA"/>
    <w:rsid w:val="006A5BB4"/>
    <w:rsid w:val="006A5D75"/>
    <w:rsid w:val="006A6609"/>
    <w:rsid w:val="006A6672"/>
    <w:rsid w:val="006A681C"/>
    <w:rsid w:val="006A6900"/>
    <w:rsid w:val="006A6C47"/>
    <w:rsid w:val="006A6C6B"/>
    <w:rsid w:val="006A6DAD"/>
    <w:rsid w:val="006A7020"/>
    <w:rsid w:val="006A702D"/>
    <w:rsid w:val="006A7414"/>
    <w:rsid w:val="006A76F8"/>
    <w:rsid w:val="006A7733"/>
    <w:rsid w:val="006A7A30"/>
    <w:rsid w:val="006A7BAA"/>
    <w:rsid w:val="006B01F4"/>
    <w:rsid w:val="006B03FC"/>
    <w:rsid w:val="006B0670"/>
    <w:rsid w:val="006B06FA"/>
    <w:rsid w:val="006B0796"/>
    <w:rsid w:val="006B0A49"/>
    <w:rsid w:val="006B0E67"/>
    <w:rsid w:val="006B138B"/>
    <w:rsid w:val="006B1426"/>
    <w:rsid w:val="006B1538"/>
    <w:rsid w:val="006B18C7"/>
    <w:rsid w:val="006B1A01"/>
    <w:rsid w:val="006B1F7E"/>
    <w:rsid w:val="006B213A"/>
    <w:rsid w:val="006B21D1"/>
    <w:rsid w:val="006B2278"/>
    <w:rsid w:val="006B25AE"/>
    <w:rsid w:val="006B2BE4"/>
    <w:rsid w:val="006B2D12"/>
    <w:rsid w:val="006B2DED"/>
    <w:rsid w:val="006B2E48"/>
    <w:rsid w:val="006B37A8"/>
    <w:rsid w:val="006B3D64"/>
    <w:rsid w:val="006B3E83"/>
    <w:rsid w:val="006B4040"/>
    <w:rsid w:val="006B440D"/>
    <w:rsid w:val="006B48F2"/>
    <w:rsid w:val="006B4B92"/>
    <w:rsid w:val="006B4CA5"/>
    <w:rsid w:val="006B4CC7"/>
    <w:rsid w:val="006B4D37"/>
    <w:rsid w:val="006B4E6E"/>
    <w:rsid w:val="006B4EAA"/>
    <w:rsid w:val="006B4F9B"/>
    <w:rsid w:val="006B51BD"/>
    <w:rsid w:val="006B55BC"/>
    <w:rsid w:val="006B56AB"/>
    <w:rsid w:val="006B596F"/>
    <w:rsid w:val="006B59A2"/>
    <w:rsid w:val="006B6419"/>
    <w:rsid w:val="006B6621"/>
    <w:rsid w:val="006B6867"/>
    <w:rsid w:val="006B6DDD"/>
    <w:rsid w:val="006B75AA"/>
    <w:rsid w:val="006B79A8"/>
    <w:rsid w:val="006B7E59"/>
    <w:rsid w:val="006C0173"/>
    <w:rsid w:val="006C06B0"/>
    <w:rsid w:val="006C081E"/>
    <w:rsid w:val="006C0926"/>
    <w:rsid w:val="006C0AEE"/>
    <w:rsid w:val="006C0D8B"/>
    <w:rsid w:val="006C0D9A"/>
    <w:rsid w:val="006C0DE9"/>
    <w:rsid w:val="006C0DEA"/>
    <w:rsid w:val="006C128E"/>
    <w:rsid w:val="006C168A"/>
    <w:rsid w:val="006C1701"/>
    <w:rsid w:val="006C171C"/>
    <w:rsid w:val="006C1900"/>
    <w:rsid w:val="006C196A"/>
    <w:rsid w:val="006C199B"/>
    <w:rsid w:val="006C1B5F"/>
    <w:rsid w:val="006C1F4F"/>
    <w:rsid w:val="006C2519"/>
    <w:rsid w:val="006C26B2"/>
    <w:rsid w:val="006C274A"/>
    <w:rsid w:val="006C2867"/>
    <w:rsid w:val="006C2E91"/>
    <w:rsid w:val="006C3052"/>
    <w:rsid w:val="006C3097"/>
    <w:rsid w:val="006C33AA"/>
    <w:rsid w:val="006C365D"/>
    <w:rsid w:val="006C38B0"/>
    <w:rsid w:val="006C427A"/>
    <w:rsid w:val="006C42D6"/>
    <w:rsid w:val="006C4A08"/>
    <w:rsid w:val="006C4AFB"/>
    <w:rsid w:val="006C4D15"/>
    <w:rsid w:val="006C4D21"/>
    <w:rsid w:val="006C53A6"/>
    <w:rsid w:val="006C551F"/>
    <w:rsid w:val="006C5730"/>
    <w:rsid w:val="006C584B"/>
    <w:rsid w:val="006C5891"/>
    <w:rsid w:val="006C5B00"/>
    <w:rsid w:val="006C5C27"/>
    <w:rsid w:val="006C5FEA"/>
    <w:rsid w:val="006C60D6"/>
    <w:rsid w:val="006C62A8"/>
    <w:rsid w:val="006C65F0"/>
    <w:rsid w:val="006C672F"/>
    <w:rsid w:val="006C67C2"/>
    <w:rsid w:val="006C6E25"/>
    <w:rsid w:val="006C70F4"/>
    <w:rsid w:val="006C74A0"/>
    <w:rsid w:val="006C76BE"/>
    <w:rsid w:val="006C792A"/>
    <w:rsid w:val="006C7A93"/>
    <w:rsid w:val="006C7C8B"/>
    <w:rsid w:val="006C7E60"/>
    <w:rsid w:val="006D0265"/>
    <w:rsid w:val="006D075F"/>
    <w:rsid w:val="006D0B0A"/>
    <w:rsid w:val="006D0B96"/>
    <w:rsid w:val="006D0BCF"/>
    <w:rsid w:val="006D0D8A"/>
    <w:rsid w:val="006D1297"/>
    <w:rsid w:val="006D1546"/>
    <w:rsid w:val="006D18A2"/>
    <w:rsid w:val="006D19CD"/>
    <w:rsid w:val="006D1A25"/>
    <w:rsid w:val="006D1AAB"/>
    <w:rsid w:val="006D1C26"/>
    <w:rsid w:val="006D1CDA"/>
    <w:rsid w:val="006D1E94"/>
    <w:rsid w:val="006D2330"/>
    <w:rsid w:val="006D2825"/>
    <w:rsid w:val="006D294C"/>
    <w:rsid w:val="006D2C38"/>
    <w:rsid w:val="006D303B"/>
    <w:rsid w:val="006D31D3"/>
    <w:rsid w:val="006D358D"/>
    <w:rsid w:val="006D36A1"/>
    <w:rsid w:val="006D3881"/>
    <w:rsid w:val="006D38A7"/>
    <w:rsid w:val="006D38FE"/>
    <w:rsid w:val="006D3CC2"/>
    <w:rsid w:val="006D4120"/>
    <w:rsid w:val="006D41C3"/>
    <w:rsid w:val="006D42B3"/>
    <w:rsid w:val="006D43CB"/>
    <w:rsid w:val="006D46B4"/>
    <w:rsid w:val="006D4803"/>
    <w:rsid w:val="006D49B2"/>
    <w:rsid w:val="006D4B4D"/>
    <w:rsid w:val="006D4DED"/>
    <w:rsid w:val="006D50EE"/>
    <w:rsid w:val="006D53F3"/>
    <w:rsid w:val="006D54BD"/>
    <w:rsid w:val="006D5540"/>
    <w:rsid w:val="006D597F"/>
    <w:rsid w:val="006D59DA"/>
    <w:rsid w:val="006D5B77"/>
    <w:rsid w:val="006D5C4D"/>
    <w:rsid w:val="006D5FE0"/>
    <w:rsid w:val="006D65BD"/>
    <w:rsid w:val="006D66B7"/>
    <w:rsid w:val="006D68A7"/>
    <w:rsid w:val="006D6BB0"/>
    <w:rsid w:val="006D6D1E"/>
    <w:rsid w:val="006D6EA0"/>
    <w:rsid w:val="006D70FE"/>
    <w:rsid w:val="006D738A"/>
    <w:rsid w:val="006D74D5"/>
    <w:rsid w:val="006D75B3"/>
    <w:rsid w:val="006D75E1"/>
    <w:rsid w:val="006D7611"/>
    <w:rsid w:val="006D770A"/>
    <w:rsid w:val="006D7B8A"/>
    <w:rsid w:val="006D7D7B"/>
    <w:rsid w:val="006D7E0C"/>
    <w:rsid w:val="006E02B0"/>
    <w:rsid w:val="006E0457"/>
    <w:rsid w:val="006E0710"/>
    <w:rsid w:val="006E0C0E"/>
    <w:rsid w:val="006E1296"/>
    <w:rsid w:val="006E18C7"/>
    <w:rsid w:val="006E1BB0"/>
    <w:rsid w:val="006E1E50"/>
    <w:rsid w:val="006E1EA7"/>
    <w:rsid w:val="006E253B"/>
    <w:rsid w:val="006E2600"/>
    <w:rsid w:val="006E2640"/>
    <w:rsid w:val="006E2654"/>
    <w:rsid w:val="006E2780"/>
    <w:rsid w:val="006E2797"/>
    <w:rsid w:val="006E2BC4"/>
    <w:rsid w:val="006E2C0C"/>
    <w:rsid w:val="006E3662"/>
    <w:rsid w:val="006E37DE"/>
    <w:rsid w:val="006E3ED6"/>
    <w:rsid w:val="006E4092"/>
    <w:rsid w:val="006E4353"/>
    <w:rsid w:val="006E43A3"/>
    <w:rsid w:val="006E48E4"/>
    <w:rsid w:val="006E4BBD"/>
    <w:rsid w:val="006E4F42"/>
    <w:rsid w:val="006E5155"/>
    <w:rsid w:val="006E539D"/>
    <w:rsid w:val="006E562D"/>
    <w:rsid w:val="006E589D"/>
    <w:rsid w:val="006E606E"/>
    <w:rsid w:val="006E6188"/>
    <w:rsid w:val="006E6421"/>
    <w:rsid w:val="006E6806"/>
    <w:rsid w:val="006E680C"/>
    <w:rsid w:val="006E6955"/>
    <w:rsid w:val="006E69CD"/>
    <w:rsid w:val="006E6BD6"/>
    <w:rsid w:val="006E6F4F"/>
    <w:rsid w:val="006E727D"/>
    <w:rsid w:val="006E7293"/>
    <w:rsid w:val="006E74C9"/>
    <w:rsid w:val="006E75EB"/>
    <w:rsid w:val="006E7600"/>
    <w:rsid w:val="006E765D"/>
    <w:rsid w:val="006E7AC9"/>
    <w:rsid w:val="006E7AFB"/>
    <w:rsid w:val="006E7B24"/>
    <w:rsid w:val="006E7E5F"/>
    <w:rsid w:val="006F040B"/>
    <w:rsid w:val="006F05F0"/>
    <w:rsid w:val="006F0629"/>
    <w:rsid w:val="006F0775"/>
    <w:rsid w:val="006F07EC"/>
    <w:rsid w:val="006F08A8"/>
    <w:rsid w:val="006F0BAD"/>
    <w:rsid w:val="006F0CFF"/>
    <w:rsid w:val="006F0D3E"/>
    <w:rsid w:val="006F0E9B"/>
    <w:rsid w:val="006F1AEF"/>
    <w:rsid w:val="006F1B0C"/>
    <w:rsid w:val="006F1D4B"/>
    <w:rsid w:val="006F1DF2"/>
    <w:rsid w:val="006F2071"/>
    <w:rsid w:val="006F2416"/>
    <w:rsid w:val="006F243C"/>
    <w:rsid w:val="006F24F1"/>
    <w:rsid w:val="006F25A6"/>
    <w:rsid w:val="006F30D0"/>
    <w:rsid w:val="006F314E"/>
    <w:rsid w:val="006F32C6"/>
    <w:rsid w:val="006F3511"/>
    <w:rsid w:val="006F380B"/>
    <w:rsid w:val="006F3BB5"/>
    <w:rsid w:val="006F41DC"/>
    <w:rsid w:val="006F421E"/>
    <w:rsid w:val="006F4564"/>
    <w:rsid w:val="006F4D0C"/>
    <w:rsid w:val="006F4FD3"/>
    <w:rsid w:val="006F50D6"/>
    <w:rsid w:val="006F5295"/>
    <w:rsid w:val="006F5308"/>
    <w:rsid w:val="006F56E2"/>
    <w:rsid w:val="006F57D8"/>
    <w:rsid w:val="006F5D17"/>
    <w:rsid w:val="006F5E83"/>
    <w:rsid w:val="006F6066"/>
    <w:rsid w:val="006F61E4"/>
    <w:rsid w:val="006F621A"/>
    <w:rsid w:val="006F65AB"/>
    <w:rsid w:val="006F6A48"/>
    <w:rsid w:val="006F6A88"/>
    <w:rsid w:val="006F6E65"/>
    <w:rsid w:val="006F6F55"/>
    <w:rsid w:val="006F7205"/>
    <w:rsid w:val="006F781A"/>
    <w:rsid w:val="006F78AE"/>
    <w:rsid w:val="006F790B"/>
    <w:rsid w:val="006F7C4B"/>
    <w:rsid w:val="0070009E"/>
    <w:rsid w:val="0070040E"/>
    <w:rsid w:val="00700557"/>
    <w:rsid w:val="0070065D"/>
    <w:rsid w:val="00700999"/>
    <w:rsid w:val="00700FC5"/>
    <w:rsid w:val="00701189"/>
    <w:rsid w:val="00701624"/>
    <w:rsid w:val="00701672"/>
    <w:rsid w:val="00701866"/>
    <w:rsid w:val="007021D4"/>
    <w:rsid w:val="007024DA"/>
    <w:rsid w:val="007024F9"/>
    <w:rsid w:val="00702738"/>
    <w:rsid w:val="00702A3E"/>
    <w:rsid w:val="00702C62"/>
    <w:rsid w:val="00702D68"/>
    <w:rsid w:val="00702FF6"/>
    <w:rsid w:val="00703525"/>
    <w:rsid w:val="00703538"/>
    <w:rsid w:val="0070367F"/>
    <w:rsid w:val="00703903"/>
    <w:rsid w:val="00703CA9"/>
    <w:rsid w:val="00703CF2"/>
    <w:rsid w:val="007040D1"/>
    <w:rsid w:val="007043D7"/>
    <w:rsid w:val="007044EF"/>
    <w:rsid w:val="0070460D"/>
    <w:rsid w:val="0070489F"/>
    <w:rsid w:val="007048FF"/>
    <w:rsid w:val="00704F57"/>
    <w:rsid w:val="00704F5D"/>
    <w:rsid w:val="00705181"/>
    <w:rsid w:val="0070533F"/>
    <w:rsid w:val="00705524"/>
    <w:rsid w:val="007058D5"/>
    <w:rsid w:val="00705B7E"/>
    <w:rsid w:val="00705CE3"/>
    <w:rsid w:val="00705D29"/>
    <w:rsid w:val="00705EB3"/>
    <w:rsid w:val="00705F47"/>
    <w:rsid w:val="00705FEF"/>
    <w:rsid w:val="00706064"/>
    <w:rsid w:val="007064B6"/>
    <w:rsid w:val="007065C0"/>
    <w:rsid w:val="0070669C"/>
    <w:rsid w:val="00706C8A"/>
    <w:rsid w:val="00706D36"/>
    <w:rsid w:val="00706F59"/>
    <w:rsid w:val="00706FAF"/>
    <w:rsid w:val="00707977"/>
    <w:rsid w:val="00707B36"/>
    <w:rsid w:val="00707D45"/>
    <w:rsid w:val="00707E21"/>
    <w:rsid w:val="00707EAF"/>
    <w:rsid w:val="0070B142"/>
    <w:rsid w:val="00710316"/>
    <w:rsid w:val="00710568"/>
    <w:rsid w:val="0071068A"/>
    <w:rsid w:val="0071089C"/>
    <w:rsid w:val="00711005"/>
    <w:rsid w:val="00711252"/>
    <w:rsid w:val="00711307"/>
    <w:rsid w:val="00711317"/>
    <w:rsid w:val="00711324"/>
    <w:rsid w:val="0071154B"/>
    <w:rsid w:val="00711A9B"/>
    <w:rsid w:val="00711ABA"/>
    <w:rsid w:val="00711B3C"/>
    <w:rsid w:val="00711C79"/>
    <w:rsid w:val="00711F53"/>
    <w:rsid w:val="00711FF8"/>
    <w:rsid w:val="00712201"/>
    <w:rsid w:val="00712AB1"/>
    <w:rsid w:val="00712CA8"/>
    <w:rsid w:val="00712FF1"/>
    <w:rsid w:val="0071307C"/>
    <w:rsid w:val="0071310D"/>
    <w:rsid w:val="0071353A"/>
    <w:rsid w:val="00713595"/>
    <w:rsid w:val="00713921"/>
    <w:rsid w:val="00713930"/>
    <w:rsid w:val="00713AC6"/>
    <w:rsid w:val="00713C7D"/>
    <w:rsid w:val="00713D1A"/>
    <w:rsid w:val="00713D70"/>
    <w:rsid w:val="00714082"/>
    <w:rsid w:val="00714111"/>
    <w:rsid w:val="007145A6"/>
    <w:rsid w:val="0071464E"/>
    <w:rsid w:val="00714981"/>
    <w:rsid w:val="00714A3A"/>
    <w:rsid w:val="00714A89"/>
    <w:rsid w:val="00714AEF"/>
    <w:rsid w:val="00714BBF"/>
    <w:rsid w:val="0071501A"/>
    <w:rsid w:val="00715176"/>
    <w:rsid w:val="0071523B"/>
    <w:rsid w:val="00715481"/>
    <w:rsid w:val="007157F8"/>
    <w:rsid w:val="00715DEA"/>
    <w:rsid w:val="00715F76"/>
    <w:rsid w:val="00715FB9"/>
    <w:rsid w:val="00716292"/>
    <w:rsid w:val="007166F9"/>
    <w:rsid w:val="0071691A"/>
    <w:rsid w:val="00716E87"/>
    <w:rsid w:val="00716ED1"/>
    <w:rsid w:val="00716F8E"/>
    <w:rsid w:val="007172A0"/>
    <w:rsid w:val="00717512"/>
    <w:rsid w:val="00717606"/>
    <w:rsid w:val="00717A94"/>
    <w:rsid w:val="00717AC0"/>
    <w:rsid w:val="007201AE"/>
    <w:rsid w:val="007207D9"/>
    <w:rsid w:val="00720894"/>
    <w:rsid w:val="00720CA5"/>
    <w:rsid w:val="00720F03"/>
    <w:rsid w:val="00720F1D"/>
    <w:rsid w:val="007213D8"/>
    <w:rsid w:val="00721531"/>
    <w:rsid w:val="0072187C"/>
    <w:rsid w:val="00721A1A"/>
    <w:rsid w:val="00721C2D"/>
    <w:rsid w:val="00721F8B"/>
    <w:rsid w:val="007221A8"/>
    <w:rsid w:val="00722204"/>
    <w:rsid w:val="00722E33"/>
    <w:rsid w:val="00723AD3"/>
    <w:rsid w:val="00723BF2"/>
    <w:rsid w:val="00723C48"/>
    <w:rsid w:val="00723CAA"/>
    <w:rsid w:val="00723CE0"/>
    <w:rsid w:val="00723DC5"/>
    <w:rsid w:val="00723FE7"/>
    <w:rsid w:val="007242CD"/>
    <w:rsid w:val="007242D0"/>
    <w:rsid w:val="00724473"/>
    <w:rsid w:val="00724603"/>
    <w:rsid w:val="00724668"/>
    <w:rsid w:val="007249AF"/>
    <w:rsid w:val="00724A14"/>
    <w:rsid w:val="00724AC0"/>
    <w:rsid w:val="00724B38"/>
    <w:rsid w:val="00724C1B"/>
    <w:rsid w:val="00724CA5"/>
    <w:rsid w:val="00724F81"/>
    <w:rsid w:val="007251F4"/>
    <w:rsid w:val="00725276"/>
    <w:rsid w:val="00725302"/>
    <w:rsid w:val="0072533F"/>
    <w:rsid w:val="00725351"/>
    <w:rsid w:val="00725E53"/>
    <w:rsid w:val="00725FDD"/>
    <w:rsid w:val="007262A2"/>
    <w:rsid w:val="0072643F"/>
    <w:rsid w:val="007267C3"/>
    <w:rsid w:val="007268A8"/>
    <w:rsid w:val="00726C97"/>
    <w:rsid w:val="00726D30"/>
    <w:rsid w:val="00726D95"/>
    <w:rsid w:val="00726E17"/>
    <w:rsid w:val="0072703C"/>
    <w:rsid w:val="00727216"/>
    <w:rsid w:val="00727371"/>
    <w:rsid w:val="007275C7"/>
    <w:rsid w:val="0072782C"/>
    <w:rsid w:val="007279A3"/>
    <w:rsid w:val="00727C2C"/>
    <w:rsid w:val="007303AE"/>
    <w:rsid w:val="00730744"/>
    <w:rsid w:val="00730877"/>
    <w:rsid w:val="00730EAA"/>
    <w:rsid w:val="0073133B"/>
    <w:rsid w:val="0073136C"/>
    <w:rsid w:val="0073144D"/>
    <w:rsid w:val="007314F0"/>
    <w:rsid w:val="007319AF"/>
    <w:rsid w:val="00731C82"/>
    <w:rsid w:val="00731CA5"/>
    <w:rsid w:val="00731E8D"/>
    <w:rsid w:val="0073203D"/>
    <w:rsid w:val="0073224C"/>
    <w:rsid w:val="0073229D"/>
    <w:rsid w:val="00732658"/>
    <w:rsid w:val="007326F0"/>
    <w:rsid w:val="007329B1"/>
    <w:rsid w:val="00733063"/>
    <w:rsid w:val="007330F6"/>
    <w:rsid w:val="007331EC"/>
    <w:rsid w:val="00733242"/>
    <w:rsid w:val="0073338F"/>
    <w:rsid w:val="007336CF"/>
    <w:rsid w:val="00733866"/>
    <w:rsid w:val="0073390C"/>
    <w:rsid w:val="00733B32"/>
    <w:rsid w:val="00734082"/>
    <w:rsid w:val="00734165"/>
    <w:rsid w:val="007341B9"/>
    <w:rsid w:val="00734AFD"/>
    <w:rsid w:val="00734B52"/>
    <w:rsid w:val="00734EAB"/>
    <w:rsid w:val="00734EC4"/>
    <w:rsid w:val="007350A9"/>
    <w:rsid w:val="00735270"/>
    <w:rsid w:val="0073530C"/>
    <w:rsid w:val="00735C9E"/>
    <w:rsid w:val="00735DB2"/>
    <w:rsid w:val="00736017"/>
    <w:rsid w:val="007360EA"/>
    <w:rsid w:val="0073635E"/>
    <w:rsid w:val="00736FEF"/>
    <w:rsid w:val="007370E4"/>
    <w:rsid w:val="007371DF"/>
    <w:rsid w:val="0073733D"/>
    <w:rsid w:val="00737346"/>
    <w:rsid w:val="00737765"/>
    <w:rsid w:val="00737BA9"/>
    <w:rsid w:val="00740125"/>
    <w:rsid w:val="00740321"/>
    <w:rsid w:val="007410FA"/>
    <w:rsid w:val="00741685"/>
    <w:rsid w:val="00741DAB"/>
    <w:rsid w:val="007421C1"/>
    <w:rsid w:val="00742422"/>
    <w:rsid w:val="0074266D"/>
    <w:rsid w:val="00742984"/>
    <w:rsid w:val="00742B07"/>
    <w:rsid w:val="00742EEB"/>
    <w:rsid w:val="00742F01"/>
    <w:rsid w:val="00743027"/>
    <w:rsid w:val="0074326B"/>
    <w:rsid w:val="00743278"/>
    <w:rsid w:val="0074351B"/>
    <w:rsid w:val="0074388A"/>
    <w:rsid w:val="007439C2"/>
    <w:rsid w:val="00743D1B"/>
    <w:rsid w:val="00743F28"/>
    <w:rsid w:val="007440D7"/>
    <w:rsid w:val="007440DF"/>
    <w:rsid w:val="007441C0"/>
    <w:rsid w:val="00744379"/>
    <w:rsid w:val="007446CF"/>
    <w:rsid w:val="0074486C"/>
    <w:rsid w:val="00744954"/>
    <w:rsid w:val="00744A79"/>
    <w:rsid w:val="00744EA4"/>
    <w:rsid w:val="00744F1F"/>
    <w:rsid w:val="007454D9"/>
    <w:rsid w:val="007455A0"/>
    <w:rsid w:val="007458F1"/>
    <w:rsid w:val="00745E6D"/>
    <w:rsid w:val="0074642E"/>
    <w:rsid w:val="007465EB"/>
    <w:rsid w:val="00746D6C"/>
    <w:rsid w:val="00746DCC"/>
    <w:rsid w:val="00746E89"/>
    <w:rsid w:val="00746E99"/>
    <w:rsid w:val="00747040"/>
    <w:rsid w:val="007477E4"/>
    <w:rsid w:val="0074788B"/>
    <w:rsid w:val="007502D9"/>
    <w:rsid w:val="007504FA"/>
    <w:rsid w:val="0075065F"/>
    <w:rsid w:val="00750725"/>
    <w:rsid w:val="00750CF9"/>
    <w:rsid w:val="00750EF6"/>
    <w:rsid w:val="00750F32"/>
    <w:rsid w:val="00751113"/>
    <w:rsid w:val="00751610"/>
    <w:rsid w:val="007517B1"/>
    <w:rsid w:val="007517C4"/>
    <w:rsid w:val="00751912"/>
    <w:rsid w:val="00751928"/>
    <w:rsid w:val="00751AC5"/>
    <w:rsid w:val="00751BE9"/>
    <w:rsid w:val="00751F58"/>
    <w:rsid w:val="00751F93"/>
    <w:rsid w:val="0075203D"/>
    <w:rsid w:val="00752598"/>
    <w:rsid w:val="00752D77"/>
    <w:rsid w:val="00752D92"/>
    <w:rsid w:val="00753380"/>
    <w:rsid w:val="007533D4"/>
    <w:rsid w:val="00753429"/>
    <w:rsid w:val="00753602"/>
    <w:rsid w:val="00753670"/>
    <w:rsid w:val="00753AC0"/>
    <w:rsid w:val="00753D8C"/>
    <w:rsid w:val="00753DC9"/>
    <w:rsid w:val="00753E1B"/>
    <w:rsid w:val="00753E70"/>
    <w:rsid w:val="00753F0B"/>
    <w:rsid w:val="00753F8A"/>
    <w:rsid w:val="00754237"/>
    <w:rsid w:val="007544DF"/>
    <w:rsid w:val="0075457C"/>
    <w:rsid w:val="00754D1A"/>
    <w:rsid w:val="0075514D"/>
    <w:rsid w:val="007551EF"/>
    <w:rsid w:val="0075520B"/>
    <w:rsid w:val="0075526D"/>
    <w:rsid w:val="0075533C"/>
    <w:rsid w:val="0075538C"/>
    <w:rsid w:val="00755603"/>
    <w:rsid w:val="00755898"/>
    <w:rsid w:val="007559F3"/>
    <w:rsid w:val="00755C3F"/>
    <w:rsid w:val="00755D87"/>
    <w:rsid w:val="00755E18"/>
    <w:rsid w:val="00756069"/>
    <w:rsid w:val="0075629F"/>
    <w:rsid w:val="00756A5F"/>
    <w:rsid w:val="00756B9C"/>
    <w:rsid w:val="00756CFD"/>
    <w:rsid w:val="00756F16"/>
    <w:rsid w:val="00757733"/>
    <w:rsid w:val="007577ED"/>
    <w:rsid w:val="007578A7"/>
    <w:rsid w:val="00757939"/>
    <w:rsid w:val="00757FCD"/>
    <w:rsid w:val="00760139"/>
    <w:rsid w:val="0076021C"/>
    <w:rsid w:val="007604DE"/>
    <w:rsid w:val="007606A8"/>
    <w:rsid w:val="00760729"/>
    <w:rsid w:val="00760B2F"/>
    <w:rsid w:val="0076115B"/>
    <w:rsid w:val="0076116A"/>
    <w:rsid w:val="00761969"/>
    <w:rsid w:val="00761AB2"/>
    <w:rsid w:val="00761B69"/>
    <w:rsid w:val="00761C84"/>
    <w:rsid w:val="00761D1A"/>
    <w:rsid w:val="00761F49"/>
    <w:rsid w:val="007622AB"/>
    <w:rsid w:val="0076267B"/>
    <w:rsid w:val="007626D1"/>
    <w:rsid w:val="00762820"/>
    <w:rsid w:val="00762B03"/>
    <w:rsid w:val="0076325A"/>
    <w:rsid w:val="007633CF"/>
    <w:rsid w:val="00763BEA"/>
    <w:rsid w:val="00763E2B"/>
    <w:rsid w:val="00763EA3"/>
    <w:rsid w:val="00763F9B"/>
    <w:rsid w:val="007641ED"/>
    <w:rsid w:val="00764439"/>
    <w:rsid w:val="007644EC"/>
    <w:rsid w:val="007646F4"/>
    <w:rsid w:val="0076496C"/>
    <w:rsid w:val="00764A78"/>
    <w:rsid w:val="00764F2C"/>
    <w:rsid w:val="0076513B"/>
    <w:rsid w:val="007652BE"/>
    <w:rsid w:val="00765383"/>
    <w:rsid w:val="007653D6"/>
    <w:rsid w:val="007654BE"/>
    <w:rsid w:val="007656E9"/>
    <w:rsid w:val="007657FA"/>
    <w:rsid w:val="0076585B"/>
    <w:rsid w:val="00765880"/>
    <w:rsid w:val="0076589C"/>
    <w:rsid w:val="00765BEB"/>
    <w:rsid w:val="007662CE"/>
    <w:rsid w:val="00766826"/>
    <w:rsid w:val="007670A4"/>
    <w:rsid w:val="00767158"/>
    <w:rsid w:val="00767481"/>
    <w:rsid w:val="00767527"/>
    <w:rsid w:val="0076759B"/>
    <w:rsid w:val="007678DE"/>
    <w:rsid w:val="007679E0"/>
    <w:rsid w:val="00767B91"/>
    <w:rsid w:val="00769763"/>
    <w:rsid w:val="0077025C"/>
    <w:rsid w:val="00770597"/>
    <w:rsid w:val="00770A48"/>
    <w:rsid w:val="00770B63"/>
    <w:rsid w:val="00770FC2"/>
    <w:rsid w:val="007712F6"/>
    <w:rsid w:val="007714CC"/>
    <w:rsid w:val="00771600"/>
    <w:rsid w:val="00771730"/>
    <w:rsid w:val="0077175E"/>
    <w:rsid w:val="007718A5"/>
    <w:rsid w:val="00771948"/>
    <w:rsid w:val="007720CE"/>
    <w:rsid w:val="007723ED"/>
    <w:rsid w:val="007724AB"/>
    <w:rsid w:val="0077263F"/>
    <w:rsid w:val="0077265E"/>
    <w:rsid w:val="00772766"/>
    <w:rsid w:val="00772FAF"/>
    <w:rsid w:val="0077324E"/>
    <w:rsid w:val="00773555"/>
    <w:rsid w:val="00773648"/>
    <w:rsid w:val="00773CB4"/>
    <w:rsid w:val="00773EDC"/>
    <w:rsid w:val="00773FC1"/>
    <w:rsid w:val="007740D3"/>
    <w:rsid w:val="007743E4"/>
    <w:rsid w:val="007745D9"/>
    <w:rsid w:val="0077462A"/>
    <w:rsid w:val="0077495C"/>
    <w:rsid w:val="00774A2C"/>
    <w:rsid w:val="00774A4A"/>
    <w:rsid w:val="00774B94"/>
    <w:rsid w:val="00774B99"/>
    <w:rsid w:val="00775506"/>
    <w:rsid w:val="00775623"/>
    <w:rsid w:val="0077576F"/>
    <w:rsid w:val="00775958"/>
    <w:rsid w:val="007759F9"/>
    <w:rsid w:val="00776140"/>
    <w:rsid w:val="0077627C"/>
    <w:rsid w:val="00776425"/>
    <w:rsid w:val="00776446"/>
    <w:rsid w:val="0077675E"/>
    <w:rsid w:val="0077677C"/>
    <w:rsid w:val="007769A7"/>
    <w:rsid w:val="00776A3F"/>
    <w:rsid w:val="00776EBE"/>
    <w:rsid w:val="00777473"/>
    <w:rsid w:val="00777BA7"/>
    <w:rsid w:val="00777C27"/>
    <w:rsid w:val="00777D4D"/>
    <w:rsid w:val="00780289"/>
    <w:rsid w:val="00780910"/>
    <w:rsid w:val="007809BE"/>
    <w:rsid w:val="00780A2F"/>
    <w:rsid w:val="00780A3B"/>
    <w:rsid w:val="00780AE2"/>
    <w:rsid w:val="00780D78"/>
    <w:rsid w:val="00780E54"/>
    <w:rsid w:val="007812C1"/>
    <w:rsid w:val="007816A5"/>
    <w:rsid w:val="007816D7"/>
    <w:rsid w:val="00781914"/>
    <w:rsid w:val="00781D2D"/>
    <w:rsid w:val="00781E12"/>
    <w:rsid w:val="007820CA"/>
    <w:rsid w:val="0078227C"/>
    <w:rsid w:val="007822C3"/>
    <w:rsid w:val="007822C8"/>
    <w:rsid w:val="0078239E"/>
    <w:rsid w:val="0078245A"/>
    <w:rsid w:val="00782539"/>
    <w:rsid w:val="00782A4F"/>
    <w:rsid w:val="00782B94"/>
    <w:rsid w:val="0078309D"/>
    <w:rsid w:val="007830FA"/>
    <w:rsid w:val="0078330C"/>
    <w:rsid w:val="007838DD"/>
    <w:rsid w:val="00783CD8"/>
    <w:rsid w:val="007841A3"/>
    <w:rsid w:val="00784487"/>
    <w:rsid w:val="00784621"/>
    <w:rsid w:val="00784887"/>
    <w:rsid w:val="00784A3F"/>
    <w:rsid w:val="00784B2B"/>
    <w:rsid w:val="00784DE4"/>
    <w:rsid w:val="00784F5C"/>
    <w:rsid w:val="00784FD8"/>
    <w:rsid w:val="007851D3"/>
    <w:rsid w:val="007853C7"/>
    <w:rsid w:val="00785448"/>
    <w:rsid w:val="0078546C"/>
    <w:rsid w:val="00785790"/>
    <w:rsid w:val="007857F1"/>
    <w:rsid w:val="00785C78"/>
    <w:rsid w:val="00785EF9"/>
    <w:rsid w:val="007863EF"/>
    <w:rsid w:val="00786406"/>
    <w:rsid w:val="0078661A"/>
    <w:rsid w:val="007866FD"/>
    <w:rsid w:val="0078670C"/>
    <w:rsid w:val="00786727"/>
    <w:rsid w:val="00786886"/>
    <w:rsid w:val="0078719E"/>
    <w:rsid w:val="0078737E"/>
    <w:rsid w:val="00787400"/>
    <w:rsid w:val="00787831"/>
    <w:rsid w:val="00787876"/>
    <w:rsid w:val="0079010F"/>
    <w:rsid w:val="0079021B"/>
    <w:rsid w:val="00790277"/>
    <w:rsid w:val="0079092D"/>
    <w:rsid w:val="00790B89"/>
    <w:rsid w:val="00790EE6"/>
    <w:rsid w:val="00791118"/>
    <w:rsid w:val="00791496"/>
    <w:rsid w:val="0079224C"/>
    <w:rsid w:val="00792269"/>
    <w:rsid w:val="00792294"/>
    <w:rsid w:val="007923CE"/>
    <w:rsid w:val="007925C8"/>
    <w:rsid w:val="00792D67"/>
    <w:rsid w:val="00792E69"/>
    <w:rsid w:val="00793098"/>
    <w:rsid w:val="00793278"/>
    <w:rsid w:val="00793516"/>
    <w:rsid w:val="007936A6"/>
    <w:rsid w:val="007937CF"/>
    <w:rsid w:val="00793B66"/>
    <w:rsid w:val="00794099"/>
    <w:rsid w:val="00794147"/>
    <w:rsid w:val="0079431E"/>
    <w:rsid w:val="00794476"/>
    <w:rsid w:val="00794627"/>
    <w:rsid w:val="0079477D"/>
    <w:rsid w:val="0079496E"/>
    <w:rsid w:val="00794A7E"/>
    <w:rsid w:val="00794BDC"/>
    <w:rsid w:val="007959A7"/>
    <w:rsid w:val="00795FD3"/>
    <w:rsid w:val="00796091"/>
    <w:rsid w:val="007962F9"/>
    <w:rsid w:val="007964C6"/>
    <w:rsid w:val="007965AD"/>
    <w:rsid w:val="00796768"/>
    <w:rsid w:val="00796BCB"/>
    <w:rsid w:val="00796DF3"/>
    <w:rsid w:val="00796E52"/>
    <w:rsid w:val="00796EF3"/>
    <w:rsid w:val="00797120"/>
    <w:rsid w:val="00797B36"/>
    <w:rsid w:val="00797D51"/>
    <w:rsid w:val="00797ED9"/>
    <w:rsid w:val="007A0144"/>
    <w:rsid w:val="007A0172"/>
    <w:rsid w:val="007A01BF"/>
    <w:rsid w:val="007A02CB"/>
    <w:rsid w:val="007A03F3"/>
    <w:rsid w:val="007A066B"/>
    <w:rsid w:val="007A0683"/>
    <w:rsid w:val="007A09A6"/>
    <w:rsid w:val="007A1190"/>
    <w:rsid w:val="007A12B3"/>
    <w:rsid w:val="007A16FA"/>
    <w:rsid w:val="007A17AC"/>
    <w:rsid w:val="007A1A12"/>
    <w:rsid w:val="007A1AB7"/>
    <w:rsid w:val="007A1C90"/>
    <w:rsid w:val="007A1FDF"/>
    <w:rsid w:val="007A21F9"/>
    <w:rsid w:val="007A2290"/>
    <w:rsid w:val="007A289F"/>
    <w:rsid w:val="007A2A05"/>
    <w:rsid w:val="007A2A5B"/>
    <w:rsid w:val="007A2B72"/>
    <w:rsid w:val="007A3046"/>
    <w:rsid w:val="007A30D7"/>
    <w:rsid w:val="007A3173"/>
    <w:rsid w:val="007A37AF"/>
    <w:rsid w:val="007A37D0"/>
    <w:rsid w:val="007A37E0"/>
    <w:rsid w:val="007A3FBD"/>
    <w:rsid w:val="007A3FE2"/>
    <w:rsid w:val="007A40BE"/>
    <w:rsid w:val="007A4387"/>
    <w:rsid w:val="007A4689"/>
    <w:rsid w:val="007A497E"/>
    <w:rsid w:val="007A4A71"/>
    <w:rsid w:val="007A4DD0"/>
    <w:rsid w:val="007A4FBF"/>
    <w:rsid w:val="007A500B"/>
    <w:rsid w:val="007A5170"/>
    <w:rsid w:val="007A5329"/>
    <w:rsid w:val="007A532E"/>
    <w:rsid w:val="007A5462"/>
    <w:rsid w:val="007A59B9"/>
    <w:rsid w:val="007A5B4A"/>
    <w:rsid w:val="007A5DAE"/>
    <w:rsid w:val="007A616A"/>
    <w:rsid w:val="007A6424"/>
    <w:rsid w:val="007A69E2"/>
    <w:rsid w:val="007A6B64"/>
    <w:rsid w:val="007A6BD5"/>
    <w:rsid w:val="007A6C0A"/>
    <w:rsid w:val="007A6C88"/>
    <w:rsid w:val="007A6E5D"/>
    <w:rsid w:val="007A6F21"/>
    <w:rsid w:val="007A7081"/>
    <w:rsid w:val="007A73CC"/>
    <w:rsid w:val="007A7447"/>
    <w:rsid w:val="007A7858"/>
    <w:rsid w:val="007A7864"/>
    <w:rsid w:val="007A787D"/>
    <w:rsid w:val="007A7AC3"/>
    <w:rsid w:val="007B0B4B"/>
    <w:rsid w:val="007B0D8E"/>
    <w:rsid w:val="007B113B"/>
    <w:rsid w:val="007B12C8"/>
    <w:rsid w:val="007B1C0F"/>
    <w:rsid w:val="007B1F10"/>
    <w:rsid w:val="007B2164"/>
    <w:rsid w:val="007B2197"/>
    <w:rsid w:val="007B21F3"/>
    <w:rsid w:val="007B2221"/>
    <w:rsid w:val="007B22B0"/>
    <w:rsid w:val="007B2317"/>
    <w:rsid w:val="007B2382"/>
    <w:rsid w:val="007B28DB"/>
    <w:rsid w:val="007B2C00"/>
    <w:rsid w:val="007B2CA3"/>
    <w:rsid w:val="007B2DE1"/>
    <w:rsid w:val="007B2DE6"/>
    <w:rsid w:val="007B2FDF"/>
    <w:rsid w:val="007B3035"/>
    <w:rsid w:val="007B34CF"/>
    <w:rsid w:val="007B3B14"/>
    <w:rsid w:val="007B3B44"/>
    <w:rsid w:val="007B3EFE"/>
    <w:rsid w:val="007B4177"/>
    <w:rsid w:val="007B4253"/>
    <w:rsid w:val="007B4279"/>
    <w:rsid w:val="007B42DD"/>
    <w:rsid w:val="007B4309"/>
    <w:rsid w:val="007B448F"/>
    <w:rsid w:val="007B4E5E"/>
    <w:rsid w:val="007B4FD9"/>
    <w:rsid w:val="007B53CD"/>
    <w:rsid w:val="007B5437"/>
    <w:rsid w:val="007B550C"/>
    <w:rsid w:val="007B5887"/>
    <w:rsid w:val="007B5B1E"/>
    <w:rsid w:val="007B5B80"/>
    <w:rsid w:val="007B5C45"/>
    <w:rsid w:val="007B5F9B"/>
    <w:rsid w:val="007B6094"/>
    <w:rsid w:val="007B6163"/>
    <w:rsid w:val="007B6447"/>
    <w:rsid w:val="007B66C9"/>
    <w:rsid w:val="007B68A6"/>
    <w:rsid w:val="007B6CD3"/>
    <w:rsid w:val="007B6F2C"/>
    <w:rsid w:val="007B70A3"/>
    <w:rsid w:val="007B75E8"/>
    <w:rsid w:val="007B75FC"/>
    <w:rsid w:val="007B7860"/>
    <w:rsid w:val="007B7C0B"/>
    <w:rsid w:val="007B7CB7"/>
    <w:rsid w:val="007B7D8D"/>
    <w:rsid w:val="007B7FBE"/>
    <w:rsid w:val="007C0076"/>
    <w:rsid w:val="007C028B"/>
    <w:rsid w:val="007C0557"/>
    <w:rsid w:val="007C0B19"/>
    <w:rsid w:val="007C0E1A"/>
    <w:rsid w:val="007C0F10"/>
    <w:rsid w:val="007C0F6E"/>
    <w:rsid w:val="007C1034"/>
    <w:rsid w:val="007C1108"/>
    <w:rsid w:val="007C1158"/>
    <w:rsid w:val="007C126C"/>
    <w:rsid w:val="007C13F0"/>
    <w:rsid w:val="007C153D"/>
    <w:rsid w:val="007C15BE"/>
    <w:rsid w:val="007C1680"/>
    <w:rsid w:val="007C1A1A"/>
    <w:rsid w:val="007C1EB1"/>
    <w:rsid w:val="007C2014"/>
    <w:rsid w:val="007C26A1"/>
    <w:rsid w:val="007C2841"/>
    <w:rsid w:val="007C2B34"/>
    <w:rsid w:val="007C2B6C"/>
    <w:rsid w:val="007C2C2B"/>
    <w:rsid w:val="007C2C4B"/>
    <w:rsid w:val="007C2DEE"/>
    <w:rsid w:val="007C3076"/>
    <w:rsid w:val="007C31A5"/>
    <w:rsid w:val="007C3202"/>
    <w:rsid w:val="007C3504"/>
    <w:rsid w:val="007C3572"/>
    <w:rsid w:val="007C3877"/>
    <w:rsid w:val="007C3AFA"/>
    <w:rsid w:val="007C42B3"/>
    <w:rsid w:val="007C4523"/>
    <w:rsid w:val="007C46A1"/>
    <w:rsid w:val="007C49CE"/>
    <w:rsid w:val="007C52CE"/>
    <w:rsid w:val="007C5411"/>
    <w:rsid w:val="007C593D"/>
    <w:rsid w:val="007C5C96"/>
    <w:rsid w:val="007C5E3C"/>
    <w:rsid w:val="007C5EE8"/>
    <w:rsid w:val="007C61A1"/>
    <w:rsid w:val="007C6CBA"/>
    <w:rsid w:val="007C6F17"/>
    <w:rsid w:val="007C7164"/>
    <w:rsid w:val="007C722A"/>
    <w:rsid w:val="007C725A"/>
    <w:rsid w:val="007C7E35"/>
    <w:rsid w:val="007C7E8A"/>
    <w:rsid w:val="007C7F65"/>
    <w:rsid w:val="007D0B0C"/>
    <w:rsid w:val="007D0D44"/>
    <w:rsid w:val="007D10E7"/>
    <w:rsid w:val="007D1397"/>
    <w:rsid w:val="007D13EF"/>
    <w:rsid w:val="007D14F1"/>
    <w:rsid w:val="007D159C"/>
    <w:rsid w:val="007D1A89"/>
    <w:rsid w:val="007D1B28"/>
    <w:rsid w:val="007D1B46"/>
    <w:rsid w:val="007D1B68"/>
    <w:rsid w:val="007D1C15"/>
    <w:rsid w:val="007D1C55"/>
    <w:rsid w:val="007D2290"/>
    <w:rsid w:val="007D24A6"/>
    <w:rsid w:val="007D25F2"/>
    <w:rsid w:val="007D2665"/>
    <w:rsid w:val="007D2782"/>
    <w:rsid w:val="007D29C9"/>
    <w:rsid w:val="007D2B33"/>
    <w:rsid w:val="007D2DFF"/>
    <w:rsid w:val="007D3092"/>
    <w:rsid w:val="007D3102"/>
    <w:rsid w:val="007D33B0"/>
    <w:rsid w:val="007D34D0"/>
    <w:rsid w:val="007D36A0"/>
    <w:rsid w:val="007D3752"/>
    <w:rsid w:val="007D37BC"/>
    <w:rsid w:val="007D39C2"/>
    <w:rsid w:val="007D39E4"/>
    <w:rsid w:val="007D3C8C"/>
    <w:rsid w:val="007D4261"/>
    <w:rsid w:val="007D4709"/>
    <w:rsid w:val="007D4718"/>
    <w:rsid w:val="007D4754"/>
    <w:rsid w:val="007D476F"/>
    <w:rsid w:val="007D4810"/>
    <w:rsid w:val="007D4B69"/>
    <w:rsid w:val="007D4D60"/>
    <w:rsid w:val="007D52D6"/>
    <w:rsid w:val="007D52E2"/>
    <w:rsid w:val="007D565B"/>
    <w:rsid w:val="007D5706"/>
    <w:rsid w:val="007D592E"/>
    <w:rsid w:val="007D5A92"/>
    <w:rsid w:val="007D5FA1"/>
    <w:rsid w:val="007D608A"/>
    <w:rsid w:val="007D60AB"/>
    <w:rsid w:val="007D6148"/>
    <w:rsid w:val="007D63B9"/>
    <w:rsid w:val="007D67EB"/>
    <w:rsid w:val="007D6A94"/>
    <w:rsid w:val="007D6B6B"/>
    <w:rsid w:val="007D6CE1"/>
    <w:rsid w:val="007D6DAA"/>
    <w:rsid w:val="007D6EE4"/>
    <w:rsid w:val="007D6EF9"/>
    <w:rsid w:val="007D71A1"/>
    <w:rsid w:val="007D71F6"/>
    <w:rsid w:val="007D724B"/>
    <w:rsid w:val="007D7263"/>
    <w:rsid w:val="007D76A3"/>
    <w:rsid w:val="007D76E0"/>
    <w:rsid w:val="007D7898"/>
    <w:rsid w:val="007D7961"/>
    <w:rsid w:val="007D7C66"/>
    <w:rsid w:val="007D7C7C"/>
    <w:rsid w:val="007D7EE0"/>
    <w:rsid w:val="007E0042"/>
    <w:rsid w:val="007E00A1"/>
    <w:rsid w:val="007E0154"/>
    <w:rsid w:val="007E0224"/>
    <w:rsid w:val="007E053B"/>
    <w:rsid w:val="007E096C"/>
    <w:rsid w:val="007E0C21"/>
    <w:rsid w:val="007E0D43"/>
    <w:rsid w:val="007E0F6A"/>
    <w:rsid w:val="007E13CF"/>
    <w:rsid w:val="007E1421"/>
    <w:rsid w:val="007E166C"/>
    <w:rsid w:val="007E169C"/>
    <w:rsid w:val="007E16C2"/>
    <w:rsid w:val="007E238E"/>
    <w:rsid w:val="007E2538"/>
    <w:rsid w:val="007E2A93"/>
    <w:rsid w:val="007E33DF"/>
    <w:rsid w:val="007E372B"/>
    <w:rsid w:val="007E3781"/>
    <w:rsid w:val="007E3A9D"/>
    <w:rsid w:val="007E4042"/>
    <w:rsid w:val="007E4106"/>
    <w:rsid w:val="007E4178"/>
    <w:rsid w:val="007E4347"/>
    <w:rsid w:val="007E4740"/>
    <w:rsid w:val="007E47C6"/>
    <w:rsid w:val="007E48FA"/>
    <w:rsid w:val="007E49F9"/>
    <w:rsid w:val="007E4B66"/>
    <w:rsid w:val="007E538E"/>
    <w:rsid w:val="007E54E9"/>
    <w:rsid w:val="007E5950"/>
    <w:rsid w:val="007E5C11"/>
    <w:rsid w:val="007E5D02"/>
    <w:rsid w:val="007E5D33"/>
    <w:rsid w:val="007E615C"/>
    <w:rsid w:val="007E643D"/>
    <w:rsid w:val="007E66ED"/>
    <w:rsid w:val="007E6C8C"/>
    <w:rsid w:val="007E6FF8"/>
    <w:rsid w:val="007E700C"/>
    <w:rsid w:val="007E72F5"/>
    <w:rsid w:val="007E7315"/>
    <w:rsid w:val="007E731D"/>
    <w:rsid w:val="007E733C"/>
    <w:rsid w:val="007E78A0"/>
    <w:rsid w:val="007E7CBD"/>
    <w:rsid w:val="007E7E1E"/>
    <w:rsid w:val="007F0083"/>
    <w:rsid w:val="007F04DA"/>
    <w:rsid w:val="007F0506"/>
    <w:rsid w:val="007F0591"/>
    <w:rsid w:val="007F0598"/>
    <w:rsid w:val="007F0676"/>
    <w:rsid w:val="007F0A98"/>
    <w:rsid w:val="007F0D5E"/>
    <w:rsid w:val="007F1053"/>
    <w:rsid w:val="007F1132"/>
    <w:rsid w:val="007F1362"/>
    <w:rsid w:val="007F1442"/>
    <w:rsid w:val="007F14BB"/>
    <w:rsid w:val="007F17C4"/>
    <w:rsid w:val="007F18CC"/>
    <w:rsid w:val="007F1C7F"/>
    <w:rsid w:val="007F2159"/>
    <w:rsid w:val="007F257B"/>
    <w:rsid w:val="007F265E"/>
    <w:rsid w:val="007F288D"/>
    <w:rsid w:val="007F2A9D"/>
    <w:rsid w:val="007F2B16"/>
    <w:rsid w:val="007F2CEE"/>
    <w:rsid w:val="007F2D9A"/>
    <w:rsid w:val="007F323B"/>
    <w:rsid w:val="007F32EE"/>
    <w:rsid w:val="007F3410"/>
    <w:rsid w:val="007F3918"/>
    <w:rsid w:val="007F3A74"/>
    <w:rsid w:val="007F3AAE"/>
    <w:rsid w:val="007F3BE2"/>
    <w:rsid w:val="007F3E32"/>
    <w:rsid w:val="007F3EBF"/>
    <w:rsid w:val="007F3EFE"/>
    <w:rsid w:val="007F42BC"/>
    <w:rsid w:val="007F470A"/>
    <w:rsid w:val="007F4E3B"/>
    <w:rsid w:val="007F5541"/>
    <w:rsid w:val="007F599E"/>
    <w:rsid w:val="007F5CFC"/>
    <w:rsid w:val="007F5D07"/>
    <w:rsid w:val="007F6775"/>
    <w:rsid w:val="007F685A"/>
    <w:rsid w:val="007F6DCF"/>
    <w:rsid w:val="007F6F57"/>
    <w:rsid w:val="007F7291"/>
    <w:rsid w:val="007F7471"/>
    <w:rsid w:val="007F773C"/>
    <w:rsid w:val="007F799E"/>
    <w:rsid w:val="007F7A1A"/>
    <w:rsid w:val="007F7B1C"/>
    <w:rsid w:val="007F7BFA"/>
    <w:rsid w:val="007F7E5B"/>
    <w:rsid w:val="008000CD"/>
    <w:rsid w:val="00800191"/>
    <w:rsid w:val="00800238"/>
    <w:rsid w:val="008003D9"/>
    <w:rsid w:val="00800478"/>
    <w:rsid w:val="0080050F"/>
    <w:rsid w:val="00800604"/>
    <w:rsid w:val="0080083D"/>
    <w:rsid w:val="00800889"/>
    <w:rsid w:val="00800919"/>
    <w:rsid w:val="00800939"/>
    <w:rsid w:val="00800982"/>
    <w:rsid w:val="008009F6"/>
    <w:rsid w:val="0080109F"/>
    <w:rsid w:val="00801106"/>
    <w:rsid w:val="008011EA"/>
    <w:rsid w:val="00801317"/>
    <w:rsid w:val="008013B3"/>
    <w:rsid w:val="00801423"/>
    <w:rsid w:val="00801735"/>
    <w:rsid w:val="00801AF4"/>
    <w:rsid w:val="00801B17"/>
    <w:rsid w:val="00802463"/>
    <w:rsid w:val="00802892"/>
    <w:rsid w:val="00802EF2"/>
    <w:rsid w:val="008030E6"/>
    <w:rsid w:val="008034A9"/>
    <w:rsid w:val="00803714"/>
    <w:rsid w:val="00803721"/>
    <w:rsid w:val="00803A15"/>
    <w:rsid w:val="00803A48"/>
    <w:rsid w:val="00803F8E"/>
    <w:rsid w:val="0080492B"/>
    <w:rsid w:val="00804A59"/>
    <w:rsid w:val="00804B9E"/>
    <w:rsid w:val="00804D01"/>
    <w:rsid w:val="00804D7E"/>
    <w:rsid w:val="00804E56"/>
    <w:rsid w:val="00805625"/>
    <w:rsid w:val="00805647"/>
    <w:rsid w:val="008056EF"/>
    <w:rsid w:val="00805C3D"/>
    <w:rsid w:val="00806001"/>
    <w:rsid w:val="008061E2"/>
    <w:rsid w:val="0080631D"/>
    <w:rsid w:val="0080651B"/>
    <w:rsid w:val="0080663E"/>
    <w:rsid w:val="0080676F"/>
    <w:rsid w:val="00806D19"/>
    <w:rsid w:val="00806E91"/>
    <w:rsid w:val="00806EAE"/>
    <w:rsid w:val="00806F83"/>
    <w:rsid w:val="00807217"/>
    <w:rsid w:val="008073F0"/>
    <w:rsid w:val="008075EE"/>
    <w:rsid w:val="008075FC"/>
    <w:rsid w:val="008078B5"/>
    <w:rsid w:val="00807A19"/>
    <w:rsid w:val="00807CC1"/>
    <w:rsid w:val="00807D8E"/>
    <w:rsid w:val="00807EDE"/>
    <w:rsid w:val="008104E6"/>
    <w:rsid w:val="00810A80"/>
    <w:rsid w:val="00810DE3"/>
    <w:rsid w:val="00811A4D"/>
    <w:rsid w:val="00811B10"/>
    <w:rsid w:val="00811B98"/>
    <w:rsid w:val="00811D96"/>
    <w:rsid w:val="00811E06"/>
    <w:rsid w:val="00811E69"/>
    <w:rsid w:val="00811E6C"/>
    <w:rsid w:val="00811F00"/>
    <w:rsid w:val="0081209D"/>
    <w:rsid w:val="00812171"/>
    <w:rsid w:val="0081229F"/>
    <w:rsid w:val="00812344"/>
    <w:rsid w:val="0081254B"/>
    <w:rsid w:val="00812DCC"/>
    <w:rsid w:val="00812F0D"/>
    <w:rsid w:val="00813024"/>
    <w:rsid w:val="008130AF"/>
    <w:rsid w:val="0081338C"/>
    <w:rsid w:val="008135AD"/>
    <w:rsid w:val="00813A3F"/>
    <w:rsid w:val="00813DC4"/>
    <w:rsid w:val="00813E92"/>
    <w:rsid w:val="0081402B"/>
    <w:rsid w:val="0081404C"/>
    <w:rsid w:val="00814577"/>
    <w:rsid w:val="00814A89"/>
    <w:rsid w:val="00814A8E"/>
    <w:rsid w:val="00815073"/>
    <w:rsid w:val="00815501"/>
    <w:rsid w:val="00815781"/>
    <w:rsid w:val="00815B97"/>
    <w:rsid w:val="00816027"/>
    <w:rsid w:val="008160A1"/>
    <w:rsid w:val="008160E1"/>
    <w:rsid w:val="0081635B"/>
    <w:rsid w:val="00816864"/>
    <w:rsid w:val="00816B6A"/>
    <w:rsid w:val="00816D95"/>
    <w:rsid w:val="00816E7F"/>
    <w:rsid w:val="00817575"/>
    <w:rsid w:val="00817B1A"/>
    <w:rsid w:val="00817EA7"/>
    <w:rsid w:val="0082007F"/>
    <w:rsid w:val="008200A3"/>
    <w:rsid w:val="00820536"/>
    <w:rsid w:val="0082066A"/>
    <w:rsid w:val="008208BE"/>
    <w:rsid w:val="00820F37"/>
    <w:rsid w:val="0082100F"/>
    <w:rsid w:val="0082109D"/>
    <w:rsid w:val="00821245"/>
    <w:rsid w:val="00821990"/>
    <w:rsid w:val="00821B2C"/>
    <w:rsid w:val="00821B41"/>
    <w:rsid w:val="00821E49"/>
    <w:rsid w:val="00822378"/>
    <w:rsid w:val="00822537"/>
    <w:rsid w:val="0082260A"/>
    <w:rsid w:val="00822C23"/>
    <w:rsid w:val="00822E45"/>
    <w:rsid w:val="00823393"/>
    <w:rsid w:val="008235F7"/>
    <w:rsid w:val="0082371C"/>
    <w:rsid w:val="008238D5"/>
    <w:rsid w:val="008238F1"/>
    <w:rsid w:val="00823CB3"/>
    <w:rsid w:val="00823F5B"/>
    <w:rsid w:val="0082402C"/>
    <w:rsid w:val="008243AC"/>
    <w:rsid w:val="008244D2"/>
    <w:rsid w:val="008246E8"/>
    <w:rsid w:val="008247AC"/>
    <w:rsid w:val="008247D9"/>
    <w:rsid w:val="008248F3"/>
    <w:rsid w:val="00824BB8"/>
    <w:rsid w:val="00824C0F"/>
    <w:rsid w:val="00824E12"/>
    <w:rsid w:val="00824F76"/>
    <w:rsid w:val="00825295"/>
    <w:rsid w:val="00825FCF"/>
    <w:rsid w:val="0082601F"/>
    <w:rsid w:val="00826491"/>
    <w:rsid w:val="008264C6"/>
    <w:rsid w:val="008267DB"/>
    <w:rsid w:val="00826F6F"/>
    <w:rsid w:val="00827089"/>
    <w:rsid w:val="00827482"/>
    <w:rsid w:val="0082748E"/>
    <w:rsid w:val="008274CF"/>
    <w:rsid w:val="00827564"/>
    <w:rsid w:val="00827706"/>
    <w:rsid w:val="008277BD"/>
    <w:rsid w:val="00827908"/>
    <w:rsid w:val="00827923"/>
    <w:rsid w:val="0083009E"/>
    <w:rsid w:val="00830207"/>
    <w:rsid w:val="0083032E"/>
    <w:rsid w:val="0083035B"/>
    <w:rsid w:val="008306DC"/>
    <w:rsid w:val="008308B7"/>
    <w:rsid w:val="008309C3"/>
    <w:rsid w:val="00830B70"/>
    <w:rsid w:val="00830CA3"/>
    <w:rsid w:val="00831164"/>
    <w:rsid w:val="008312C7"/>
    <w:rsid w:val="008312F0"/>
    <w:rsid w:val="0083171C"/>
    <w:rsid w:val="008318AB"/>
    <w:rsid w:val="0083219D"/>
    <w:rsid w:val="00832207"/>
    <w:rsid w:val="008328F2"/>
    <w:rsid w:val="00832BDB"/>
    <w:rsid w:val="00832D0E"/>
    <w:rsid w:val="008331CF"/>
    <w:rsid w:val="00833387"/>
    <w:rsid w:val="00833C51"/>
    <w:rsid w:val="00833FCB"/>
    <w:rsid w:val="0083409F"/>
    <w:rsid w:val="00834336"/>
    <w:rsid w:val="008344AF"/>
    <w:rsid w:val="00834559"/>
    <w:rsid w:val="00834572"/>
    <w:rsid w:val="008354B9"/>
    <w:rsid w:val="0083568C"/>
    <w:rsid w:val="00835841"/>
    <w:rsid w:val="00835879"/>
    <w:rsid w:val="00835BE4"/>
    <w:rsid w:val="00835C30"/>
    <w:rsid w:val="00835C82"/>
    <w:rsid w:val="00835E19"/>
    <w:rsid w:val="00836184"/>
    <w:rsid w:val="0083618D"/>
    <w:rsid w:val="0083631B"/>
    <w:rsid w:val="00836407"/>
    <w:rsid w:val="00836739"/>
    <w:rsid w:val="00836DD1"/>
    <w:rsid w:val="00836F18"/>
    <w:rsid w:val="00836FB3"/>
    <w:rsid w:val="00837028"/>
    <w:rsid w:val="008370F5"/>
    <w:rsid w:val="0083738B"/>
    <w:rsid w:val="008373A4"/>
    <w:rsid w:val="0083752B"/>
    <w:rsid w:val="008375B0"/>
    <w:rsid w:val="00837733"/>
    <w:rsid w:val="00837A17"/>
    <w:rsid w:val="00837A6B"/>
    <w:rsid w:val="00837ACD"/>
    <w:rsid w:val="00837BF2"/>
    <w:rsid w:val="00837C71"/>
    <w:rsid w:val="00837D3F"/>
    <w:rsid w:val="00837FDF"/>
    <w:rsid w:val="00840151"/>
    <w:rsid w:val="0084060A"/>
    <w:rsid w:val="00840A14"/>
    <w:rsid w:val="00840A7F"/>
    <w:rsid w:val="00840BE5"/>
    <w:rsid w:val="00840D7B"/>
    <w:rsid w:val="0084129B"/>
    <w:rsid w:val="008414E0"/>
    <w:rsid w:val="0084155E"/>
    <w:rsid w:val="008416C0"/>
    <w:rsid w:val="0084175F"/>
    <w:rsid w:val="00841821"/>
    <w:rsid w:val="00841A48"/>
    <w:rsid w:val="00841F10"/>
    <w:rsid w:val="00842254"/>
    <w:rsid w:val="008422C3"/>
    <w:rsid w:val="008430B8"/>
    <w:rsid w:val="008434B9"/>
    <w:rsid w:val="008436CD"/>
    <w:rsid w:val="008436F6"/>
    <w:rsid w:val="0084374A"/>
    <w:rsid w:val="00843BD0"/>
    <w:rsid w:val="00843DE0"/>
    <w:rsid w:val="00843E33"/>
    <w:rsid w:val="00843FF0"/>
    <w:rsid w:val="0084414C"/>
    <w:rsid w:val="0084430C"/>
    <w:rsid w:val="00844401"/>
    <w:rsid w:val="0084445C"/>
    <w:rsid w:val="008444CD"/>
    <w:rsid w:val="0084458F"/>
    <w:rsid w:val="0084460C"/>
    <w:rsid w:val="00844A3C"/>
    <w:rsid w:val="00844A69"/>
    <w:rsid w:val="00844AE9"/>
    <w:rsid w:val="00844CC9"/>
    <w:rsid w:val="00844D21"/>
    <w:rsid w:val="00844F19"/>
    <w:rsid w:val="0084529E"/>
    <w:rsid w:val="00845A29"/>
    <w:rsid w:val="00845CC0"/>
    <w:rsid w:val="00845E51"/>
    <w:rsid w:val="008462BD"/>
    <w:rsid w:val="00846A95"/>
    <w:rsid w:val="00846DCC"/>
    <w:rsid w:val="008470F1"/>
    <w:rsid w:val="008472C9"/>
    <w:rsid w:val="0084773D"/>
    <w:rsid w:val="008504D6"/>
    <w:rsid w:val="008507AE"/>
    <w:rsid w:val="00850803"/>
    <w:rsid w:val="00850872"/>
    <w:rsid w:val="00850956"/>
    <w:rsid w:val="00850DE2"/>
    <w:rsid w:val="0085144C"/>
    <w:rsid w:val="0085194D"/>
    <w:rsid w:val="00851A7B"/>
    <w:rsid w:val="00851D39"/>
    <w:rsid w:val="00851DEF"/>
    <w:rsid w:val="00851EF3"/>
    <w:rsid w:val="00851F9D"/>
    <w:rsid w:val="0085207E"/>
    <w:rsid w:val="008520AE"/>
    <w:rsid w:val="008522A3"/>
    <w:rsid w:val="00852546"/>
    <w:rsid w:val="0085267A"/>
    <w:rsid w:val="00852688"/>
    <w:rsid w:val="008526DF"/>
    <w:rsid w:val="0085277E"/>
    <w:rsid w:val="0085296A"/>
    <w:rsid w:val="00852B2A"/>
    <w:rsid w:val="00852B41"/>
    <w:rsid w:val="00852F16"/>
    <w:rsid w:val="00852F59"/>
    <w:rsid w:val="00852FF2"/>
    <w:rsid w:val="00853370"/>
    <w:rsid w:val="0085346F"/>
    <w:rsid w:val="00853611"/>
    <w:rsid w:val="008537AB"/>
    <w:rsid w:val="00853DA9"/>
    <w:rsid w:val="00853F70"/>
    <w:rsid w:val="00854440"/>
    <w:rsid w:val="0085460F"/>
    <w:rsid w:val="00854773"/>
    <w:rsid w:val="00855087"/>
    <w:rsid w:val="00855144"/>
    <w:rsid w:val="00855839"/>
    <w:rsid w:val="008558E1"/>
    <w:rsid w:val="008559E4"/>
    <w:rsid w:val="00855DF0"/>
    <w:rsid w:val="0085604E"/>
    <w:rsid w:val="008560D3"/>
    <w:rsid w:val="00856142"/>
    <w:rsid w:val="008565EC"/>
    <w:rsid w:val="008566E2"/>
    <w:rsid w:val="0085682A"/>
    <w:rsid w:val="00856934"/>
    <w:rsid w:val="00856C85"/>
    <w:rsid w:val="0085720A"/>
    <w:rsid w:val="00857548"/>
    <w:rsid w:val="00857651"/>
    <w:rsid w:val="008576E1"/>
    <w:rsid w:val="00857A03"/>
    <w:rsid w:val="00857A58"/>
    <w:rsid w:val="00857A5C"/>
    <w:rsid w:val="00857C5B"/>
    <w:rsid w:val="00857DAE"/>
    <w:rsid w:val="00857E09"/>
    <w:rsid w:val="00857EB4"/>
    <w:rsid w:val="00857EFB"/>
    <w:rsid w:val="00857FC2"/>
    <w:rsid w:val="008600A6"/>
    <w:rsid w:val="008604A6"/>
    <w:rsid w:val="008604F1"/>
    <w:rsid w:val="0086085E"/>
    <w:rsid w:val="008609E9"/>
    <w:rsid w:val="00860B9E"/>
    <w:rsid w:val="00860CC0"/>
    <w:rsid w:val="00860D6A"/>
    <w:rsid w:val="00860F1B"/>
    <w:rsid w:val="0086112D"/>
    <w:rsid w:val="0086124E"/>
    <w:rsid w:val="0086137D"/>
    <w:rsid w:val="0086142B"/>
    <w:rsid w:val="008617ED"/>
    <w:rsid w:val="00861ADB"/>
    <w:rsid w:val="00861AEE"/>
    <w:rsid w:val="00861DA5"/>
    <w:rsid w:val="008621B0"/>
    <w:rsid w:val="0086289C"/>
    <w:rsid w:val="008628B1"/>
    <w:rsid w:val="00863501"/>
    <w:rsid w:val="00863504"/>
    <w:rsid w:val="00863A7A"/>
    <w:rsid w:val="00863F9D"/>
    <w:rsid w:val="008640FB"/>
    <w:rsid w:val="00864428"/>
    <w:rsid w:val="00864957"/>
    <w:rsid w:val="00864C59"/>
    <w:rsid w:val="00864CFE"/>
    <w:rsid w:val="00865065"/>
    <w:rsid w:val="00865233"/>
    <w:rsid w:val="00865552"/>
    <w:rsid w:val="008658F4"/>
    <w:rsid w:val="008659AA"/>
    <w:rsid w:val="00865B3A"/>
    <w:rsid w:val="00865E8E"/>
    <w:rsid w:val="0086612B"/>
    <w:rsid w:val="0086657A"/>
    <w:rsid w:val="00866865"/>
    <w:rsid w:val="00866EE0"/>
    <w:rsid w:val="00866EFD"/>
    <w:rsid w:val="00867211"/>
    <w:rsid w:val="008672DD"/>
    <w:rsid w:val="0086746F"/>
    <w:rsid w:val="0086783F"/>
    <w:rsid w:val="00867C12"/>
    <w:rsid w:val="00867C91"/>
    <w:rsid w:val="00867F79"/>
    <w:rsid w:val="008700A1"/>
    <w:rsid w:val="008705AC"/>
    <w:rsid w:val="008707FF"/>
    <w:rsid w:val="00870A26"/>
    <w:rsid w:val="00870B04"/>
    <w:rsid w:val="008710FF"/>
    <w:rsid w:val="008712C6"/>
    <w:rsid w:val="008713DF"/>
    <w:rsid w:val="008714A4"/>
    <w:rsid w:val="00871E13"/>
    <w:rsid w:val="00872051"/>
    <w:rsid w:val="00872191"/>
    <w:rsid w:val="00872486"/>
    <w:rsid w:val="00872619"/>
    <w:rsid w:val="00872784"/>
    <w:rsid w:val="00872865"/>
    <w:rsid w:val="00872A88"/>
    <w:rsid w:val="00872EDF"/>
    <w:rsid w:val="00872EF6"/>
    <w:rsid w:val="008731C2"/>
    <w:rsid w:val="00873204"/>
    <w:rsid w:val="00873613"/>
    <w:rsid w:val="00873FA9"/>
    <w:rsid w:val="0087400E"/>
    <w:rsid w:val="00874497"/>
    <w:rsid w:val="008744D1"/>
    <w:rsid w:val="0087454E"/>
    <w:rsid w:val="00874979"/>
    <w:rsid w:val="00874CBA"/>
    <w:rsid w:val="00874D5F"/>
    <w:rsid w:val="0087522A"/>
    <w:rsid w:val="008752CF"/>
    <w:rsid w:val="008753A7"/>
    <w:rsid w:val="008756BB"/>
    <w:rsid w:val="00875942"/>
    <w:rsid w:val="00875A11"/>
    <w:rsid w:val="00875BD4"/>
    <w:rsid w:val="00875DB2"/>
    <w:rsid w:val="00876190"/>
    <w:rsid w:val="008768D1"/>
    <w:rsid w:val="00876A83"/>
    <w:rsid w:val="00876B99"/>
    <w:rsid w:val="008770B2"/>
    <w:rsid w:val="0087786F"/>
    <w:rsid w:val="008779CE"/>
    <w:rsid w:val="00877A82"/>
    <w:rsid w:val="00877EC3"/>
    <w:rsid w:val="008800F0"/>
    <w:rsid w:val="00880178"/>
    <w:rsid w:val="008801FE"/>
    <w:rsid w:val="0088032A"/>
    <w:rsid w:val="008803A8"/>
    <w:rsid w:val="008806F0"/>
    <w:rsid w:val="00881090"/>
    <w:rsid w:val="008812C9"/>
    <w:rsid w:val="0088149E"/>
    <w:rsid w:val="00881CE9"/>
    <w:rsid w:val="00881FBD"/>
    <w:rsid w:val="00882041"/>
    <w:rsid w:val="00882419"/>
    <w:rsid w:val="00882991"/>
    <w:rsid w:val="00882A02"/>
    <w:rsid w:val="00882B9B"/>
    <w:rsid w:val="00882D56"/>
    <w:rsid w:val="00882E39"/>
    <w:rsid w:val="00882E64"/>
    <w:rsid w:val="00882EE8"/>
    <w:rsid w:val="00882EFC"/>
    <w:rsid w:val="0088300D"/>
    <w:rsid w:val="00883670"/>
    <w:rsid w:val="008836A0"/>
    <w:rsid w:val="00883A77"/>
    <w:rsid w:val="00883C1C"/>
    <w:rsid w:val="00883E97"/>
    <w:rsid w:val="00883ED2"/>
    <w:rsid w:val="00884096"/>
    <w:rsid w:val="008842BE"/>
    <w:rsid w:val="00884555"/>
    <w:rsid w:val="00884600"/>
    <w:rsid w:val="008846BD"/>
    <w:rsid w:val="00884E04"/>
    <w:rsid w:val="00884EDF"/>
    <w:rsid w:val="008850F3"/>
    <w:rsid w:val="0088519D"/>
    <w:rsid w:val="00885271"/>
    <w:rsid w:val="00885387"/>
    <w:rsid w:val="00885426"/>
    <w:rsid w:val="00885B1E"/>
    <w:rsid w:val="00885B9F"/>
    <w:rsid w:val="00885BC9"/>
    <w:rsid w:val="00885CFC"/>
    <w:rsid w:val="00885D61"/>
    <w:rsid w:val="00885F8F"/>
    <w:rsid w:val="008864C4"/>
    <w:rsid w:val="008866E8"/>
    <w:rsid w:val="008867AE"/>
    <w:rsid w:val="00886D22"/>
    <w:rsid w:val="00886D2F"/>
    <w:rsid w:val="00886E32"/>
    <w:rsid w:val="00887470"/>
    <w:rsid w:val="00887929"/>
    <w:rsid w:val="00887995"/>
    <w:rsid w:val="00887E31"/>
    <w:rsid w:val="00887EF3"/>
    <w:rsid w:val="00887FBD"/>
    <w:rsid w:val="00890212"/>
    <w:rsid w:val="00890252"/>
    <w:rsid w:val="0089066E"/>
    <w:rsid w:val="008906EC"/>
    <w:rsid w:val="0089073D"/>
    <w:rsid w:val="00890A51"/>
    <w:rsid w:val="00890AED"/>
    <w:rsid w:val="008911CA"/>
    <w:rsid w:val="0089145A"/>
    <w:rsid w:val="00891613"/>
    <w:rsid w:val="00891668"/>
    <w:rsid w:val="00891A6E"/>
    <w:rsid w:val="0089258F"/>
    <w:rsid w:val="00892632"/>
    <w:rsid w:val="00892D3A"/>
    <w:rsid w:val="00893372"/>
    <w:rsid w:val="0089365E"/>
    <w:rsid w:val="0089367E"/>
    <w:rsid w:val="008938B2"/>
    <w:rsid w:val="00893CBE"/>
    <w:rsid w:val="00893D52"/>
    <w:rsid w:val="00893F13"/>
    <w:rsid w:val="008944F2"/>
    <w:rsid w:val="008947D3"/>
    <w:rsid w:val="00894952"/>
    <w:rsid w:val="00895AB0"/>
    <w:rsid w:val="00895BB9"/>
    <w:rsid w:val="00895F72"/>
    <w:rsid w:val="00895FB7"/>
    <w:rsid w:val="008960CB"/>
    <w:rsid w:val="0089610E"/>
    <w:rsid w:val="0089684B"/>
    <w:rsid w:val="00896F5F"/>
    <w:rsid w:val="00897328"/>
    <w:rsid w:val="0089742E"/>
    <w:rsid w:val="0089751E"/>
    <w:rsid w:val="00897691"/>
    <w:rsid w:val="00897855"/>
    <w:rsid w:val="00897B12"/>
    <w:rsid w:val="00897C97"/>
    <w:rsid w:val="00897D56"/>
    <w:rsid w:val="008A02E7"/>
    <w:rsid w:val="008A03A0"/>
    <w:rsid w:val="008A0A99"/>
    <w:rsid w:val="008A0CC7"/>
    <w:rsid w:val="008A0EAC"/>
    <w:rsid w:val="008A1007"/>
    <w:rsid w:val="008A10B3"/>
    <w:rsid w:val="008A10D3"/>
    <w:rsid w:val="008A124E"/>
    <w:rsid w:val="008A132B"/>
    <w:rsid w:val="008A140F"/>
    <w:rsid w:val="008A17F4"/>
    <w:rsid w:val="008A185E"/>
    <w:rsid w:val="008A1BB4"/>
    <w:rsid w:val="008A227E"/>
    <w:rsid w:val="008A2325"/>
    <w:rsid w:val="008A23CF"/>
    <w:rsid w:val="008A23EA"/>
    <w:rsid w:val="008A2445"/>
    <w:rsid w:val="008A2964"/>
    <w:rsid w:val="008A2FEB"/>
    <w:rsid w:val="008A3010"/>
    <w:rsid w:val="008A315A"/>
    <w:rsid w:val="008A31EB"/>
    <w:rsid w:val="008A35F5"/>
    <w:rsid w:val="008A3611"/>
    <w:rsid w:val="008A3886"/>
    <w:rsid w:val="008A3DD2"/>
    <w:rsid w:val="008A41FA"/>
    <w:rsid w:val="008A45AF"/>
    <w:rsid w:val="008A4FDE"/>
    <w:rsid w:val="008A4FEC"/>
    <w:rsid w:val="008A52A8"/>
    <w:rsid w:val="008A54C2"/>
    <w:rsid w:val="008A57BB"/>
    <w:rsid w:val="008A5B25"/>
    <w:rsid w:val="008A5BDF"/>
    <w:rsid w:val="008A5D0E"/>
    <w:rsid w:val="008A5D1B"/>
    <w:rsid w:val="008A5E05"/>
    <w:rsid w:val="008A5E7B"/>
    <w:rsid w:val="008A63FB"/>
    <w:rsid w:val="008A6679"/>
    <w:rsid w:val="008A66E7"/>
    <w:rsid w:val="008A7277"/>
    <w:rsid w:val="008A72D8"/>
    <w:rsid w:val="008A7477"/>
    <w:rsid w:val="008A76C2"/>
    <w:rsid w:val="008A7AB1"/>
    <w:rsid w:val="008A7CE2"/>
    <w:rsid w:val="008A7D4D"/>
    <w:rsid w:val="008A7D89"/>
    <w:rsid w:val="008A7E12"/>
    <w:rsid w:val="008A7FBD"/>
    <w:rsid w:val="008B007D"/>
    <w:rsid w:val="008B009A"/>
    <w:rsid w:val="008B0233"/>
    <w:rsid w:val="008B035A"/>
    <w:rsid w:val="008B0432"/>
    <w:rsid w:val="008B046A"/>
    <w:rsid w:val="008B04B5"/>
    <w:rsid w:val="008B05F9"/>
    <w:rsid w:val="008B0656"/>
    <w:rsid w:val="008B087F"/>
    <w:rsid w:val="008B0B9F"/>
    <w:rsid w:val="008B0C1F"/>
    <w:rsid w:val="008B0F85"/>
    <w:rsid w:val="008B1670"/>
    <w:rsid w:val="008B17AC"/>
    <w:rsid w:val="008B1CAF"/>
    <w:rsid w:val="008B1D66"/>
    <w:rsid w:val="008B1D71"/>
    <w:rsid w:val="008B1E36"/>
    <w:rsid w:val="008B215B"/>
    <w:rsid w:val="008B21E3"/>
    <w:rsid w:val="008B2585"/>
    <w:rsid w:val="008B25DA"/>
    <w:rsid w:val="008B2634"/>
    <w:rsid w:val="008B3069"/>
    <w:rsid w:val="008B3B11"/>
    <w:rsid w:val="008B3BFE"/>
    <w:rsid w:val="008B3C4E"/>
    <w:rsid w:val="008B3EDA"/>
    <w:rsid w:val="008B3F36"/>
    <w:rsid w:val="008B46BB"/>
    <w:rsid w:val="008B4A94"/>
    <w:rsid w:val="008B4C2F"/>
    <w:rsid w:val="008B51BF"/>
    <w:rsid w:val="008B532A"/>
    <w:rsid w:val="008B56D9"/>
    <w:rsid w:val="008B5919"/>
    <w:rsid w:val="008B5A78"/>
    <w:rsid w:val="008B5A80"/>
    <w:rsid w:val="008B5AC0"/>
    <w:rsid w:val="008B5F09"/>
    <w:rsid w:val="008B5F35"/>
    <w:rsid w:val="008B63C3"/>
    <w:rsid w:val="008B643B"/>
    <w:rsid w:val="008B678D"/>
    <w:rsid w:val="008B6D1A"/>
    <w:rsid w:val="008B709A"/>
    <w:rsid w:val="008B7108"/>
    <w:rsid w:val="008B711E"/>
    <w:rsid w:val="008B7351"/>
    <w:rsid w:val="008B73E4"/>
    <w:rsid w:val="008B7AB9"/>
    <w:rsid w:val="008B7B4B"/>
    <w:rsid w:val="008B7DF0"/>
    <w:rsid w:val="008B7E5E"/>
    <w:rsid w:val="008C0156"/>
    <w:rsid w:val="008C07BE"/>
    <w:rsid w:val="008C0CCC"/>
    <w:rsid w:val="008C0EE4"/>
    <w:rsid w:val="008C100C"/>
    <w:rsid w:val="008C1033"/>
    <w:rsid w:val="008C10D6"/>
    <w:rsid w:val="008C151A"/>
    <w:rsid w:val="008C1746"/>
    <w:rsid w:val="008C2073"/>
    <w:rsid w:val="008C2227"/>
    <w:rsid w:val="008C227A"/>
    <w:rsid w:val="008C2384"/>
    <w:rsid w:val="008C242C"/>
    <w:rsid w:val="008C27FA"/>
    <w:rsid w:val="008C2A08"/>
    <w:rsid w:val="008C2A0B"/>
    <w:rsid w:val="008C2A43"/>
    <w:rsid w:val="008C2B21"/>
    <w:rsid w:val="008C2CFB"/>
    <w:rsid w:val="008C2E21"/>
    <w:rsid w:val="008C31BD"/>
    <w:rsid w:val="008C32BD"/>
    <w:rsid w:val="008C3442"/>
    <w:rsid w:val="008C3974"/>
    <w:rsid w:val="008C3AD6"/>
    <w:rsid w:val="008C3BAE"/>
    <w:rsid w:val="008C3BB8"/>
    <w:rsid w:val="008C4179"/>
    <w:rsid w:val="008C48AA"/>
    <w:rsid w:val="008C4B3A"/>
    <w:rsid w:val="008C4C13"/>
    <w:rsid w:val="008C4D20"/>
    <w:rsid w:val="008C4D6A"/>
    <w:rsid w:val="008C522A"/>
    <w:rsid w:val="008C550A"/>
    <w:rsid w:val="008C5529"/>
    <w:rsid w:val="008C57C8"/>
    <w:rsid w:val="008C5BAE"/>
    <w:rsid w:val="008C6605"/>
    <w:rsid w:val="008C6BD1"/>
    <w:rsid w:val="008C6BE7"/>
    <w:rsid w:val="008C70A4"/>
    <w:rsid w:val="008C71A0"/>
    <w:rsid w:val="008C7707"/>
    <w:rsid w:val="008C7E91"/>
    <w:rsid w:val="008D001C"/>
    <w:rsid w:val="008D0105"/>
    <w:rsid w:val="008D032F"/>
    <w:rsid w:val="008D045C"/>
    <w:rsid w:val="008D0809"/>
    <w:rsid w:val="008D093B"/>
    <w:rsid w:val="008D0E93"/>
    <w:rsid w:val="008D10BA"/>
    <w:rsid w:val="008D10DE"/>
    <w:rsid w:val="008D1971"/>
    <w:rsid w:val="008D1DF1"/>
    <w:rsid w:val="008D1FE1"/>
    <w:rsid w:val="008D23E2"/>
    <w:rsid w:val="008D2639"/>
    <w:rsid w:val="008D26EA"/>
    <w:rsid w:val="008D273A"/>
    <w:rsid w:val="008D2A50"/>
    <w:rsid w:val="008D2CFB"/>
    <w:rsid w:val="008D349F"/>
    <w:rsid w:val="008D34F0"/>
    <w:rsid w:val="008D390E"/>
    <w:rsid w:val="008D399A"/>
    <w:rsid w:val="008D3A43"/>
    <w:rsid w:val="008D3D54"/>
    <w:rsid w:val="008D3DBA"/>
    <w:rsid w:val="008D405F"/>
    <w:rsid w:val="008D4072"/>
    <w:rsid w:val="008D4443"/>
    <w:rsid w:val="008D45F0"/>
    <w:rsid w:val="008D4672"/>
    <w:rsid w:val="008D4674"/>
    <w:rsid w:val="008D4770"/>
    <w:rsid w:val="008D4931"/>
    <w:rsid w:val="008D4B87"/>
    <w:rsid w:val="008D4DB7"/>
    <w:rsid w:val="008D5028"/>
    <w:rsid w:val="008D5293"/>
    <w:rsid w:val="008D539B"/>
    <w:rsid w:val="008D54A7"/>
    <w:rsid w:val="008D5D40"/>
    <w:rsid w:val="008D6028"/>
    <w:rsid w:val="008D641B"/>
    <w:rsid w:val="008D6A90"/>
    <w:rsid w:val="008D6A93"/>
    <w:rsid w:val="008D6C27"/>
    <w:rsid w:val="008D6DD6"/>
    <w:rsid w:val="008D6F8D"/>
    <w:rsid w:val="008D70CD"/>
    <w:rsid w:val="008D7263"/>
    <w:rsid w:val="008D79F4"/>
    <w:rsid w:val="008D7B14"/>
    <w:rsid w:val="008E006D"/>
    <w:rsid w:val="008E028D"/>
    <w:rsid w:val="008E04F0"/>
    <w:rsid w:val="008E07AD"/>
    <w:rsid w:val="008E0A27"/>
    <w:rsid w:val="008E0B0B"/>
    <w:rsid w:val="008E0B74"/>
    <w:rsid w:val="008E0CA9"/>
    <w:rsid w:val="008E11AD"/>
    <w:rsid w:val="008E11E0"/>
    <w:rsid w:val="008E12AF"/>
    <w:rsid w:val="008E1368"/>
    <w:rsid w:val="008E147E"/>
    <w:rsid w:val="008E1866"/>
    <w:rsid w:val="008E193A"/>
    <w:rsid w:val="008E1D44"/>
    <w:rsid w:val="008E1D59"/>
    <w:rsid w:val="008E1E2D"/>
    <w:rsid w:val="008E203B"/>
    <w:rsid w:val="008E22AD"/>
    <w:rsid w:val="008E2490"/>
    <w:rsid w:val="008E2BA3"/>
    <w:rsid w:val="008E2E24"/>
    <w:rsid w:val="008E31DA"/>
    <w:rsid w:val="008E3747"/>
    <w:rsid w:val="008E3760"/>
    <w:rsid w:val="008E3898"/>
    <w:rsid w:val="008E390F"/>
    <w:rsid w:val="008E3DF6"/>
    <w:rsid w:val="008E3FCF"/>
    <w:rsid w:val="008E42CD"/>
    <w:rsid w:val="008E4354"/>
    <w:rsid w:val="008E43FA"/>
    <w:rsid w:val="008E460B"/>
    <w:rsid w:val="008E474A"/>
    <w:rsid w:val="008E4900"/>
    <w:rsid w:val="008E4D6D"/>
    <w:rsid w:val="008E50C0"/>
    <w:rsid w:val="008E517D"/>
    <w:rsid w:val="008E587B"/>
    <w:rsid w:val="008E5887"/>
    <w:rsid w:val="008E58FE"/>
    <w:rsid w:val="008E5DDB"/>
    <w:rsid w:val="008E5FD0"/>
    <w:rsid w:val="008E6154"/>
    <w:rsid w:val="008E6167"/>
    <w:rsid w:val="008E6313"/>
    <w:rsid w:val="008E64B3"/>
    <w:rsid w:val="008E64DC"/>
    <w:rsid w:val="008E6684"/>
    <w:rsid w:val="008E66C6"/>
    <w:rsid w:val="008E6AB8"/>
    <w:rsid w:val="008E6E47"/>
    <w:rsid w:val="008E6F82"/>
    <w:rsid w:val="008E74B8"/>
    <w:rsid w:val="008E777E"/>
    <w:rsid w:val="008E7B09"/>
    <w:rsid w:val="008E7C4C"/>
    <w:rsid w:val="008F0089"/>
    <w:rsid w:val="008F0136"/>
    <w:rsid w:val="008F09A0"/>
    <w:rsid w:val="008F0ACC"/>
    <w:rsid w:val="008F1067"/>
    <w:rsid w:val="008F10AE"/>
    <w:rsid w:val="008F1200"/>
    <w:rsid w:val="008F12FA"/>
    <w:rsid w:val="008F1365"/>
    <w:rsid w:val="008F1467"/>
    <w:rsid w:val="008F146C"/>
    <w:rsid w:val="008F1559"/>
    <w:rsid w:val="008F1D29"/>
    <w:rsid w:val="008F1E85"/>
    <w:rsid w:val="008F2167"/>
    <w:rsid w:val="008F2174"/>
    <w:rsid w:val="008F2338"/>
    <w:rsid w:val="008F2534"/>
    <w:rsid w:val="008F29F3"/>
    <w:rsid w:val="008F32AD"/>
    <w:rsid w:val="008F32C1"/>
    <w:rsid w:val="008F332F"/>
    <w:rsid w:val="008F369D"/>
    <w:rsid w:val="008F3714"/>
    <w:rsid w:val="008F37EB"/>
    <w:rsid w:val="008F39BB"/>
    <w:rsid w:val="008F3C3A"/>
    <w:rsid w:val="008F3E33"/>
    <w:rsid w:val="008F3ED4"/>
    <w:rsid w:val="008F44B2"/>
    <w:rsid w:val="008F47E1"/>
    <w:rsid w:val="008F4BCF"/>
    <w:rsid w:val="008F4D98"/>
    <w:rsid w:val="008F5002"/>
    <w:rsid w:val="008F5045"/>
    <w:rsid w:val="008F5078"/>
    <w:rsid w:val="008F53A2"/>
    <w:rsid w:val="008F54D5"/>
    <w:rsid w:val="008F5832"/>
    <w:rsid w:val="008F5852"/>
    <w:rsid w:val="008F6033"/>
    <w:rsid w:val="008F6095"/>
    <w:rsid w:val="008F627D"/>
    <w:rsid w:val="008F634F"/>
    <w:rsid w:val="008F63F8"/>
    <w:rsid w:val="008F6B95"/>
    <w:rsid w:val="008F6C27"/>
    <w:rsid w:val="008F70F6"/>
    <w:rsid w:val="008F7303"/>
    <w:rsid w:val="008F75D7"/>
    <w:rsid w:val="008F7970"/>
    <w:rsid w:val="008F7CA0"/>
    <w:rsid w:val="008F7E5B"/>
    <w:rsid w:val="009001B9"/>
    <w:rsid w:val="009004BC"/>
    <w:rsid w:val="00900734"/>
    <w:rsid w:val="009007FF"/>
    <w:rsid w:val="00900B05"/>
    <w:rsid w:val="00901113"/>
    <w:rsid w:val="00901A39"/>
    <w:rsid w:val="00901B1C"/>
    <w:rsid w:val="00901C90"/>
    <w:rsid w:val="009020A6"/>
    <w:rsid w:val="009023C6"/>
    <w:rsid w:val="00902576"/>
    <w:rsid w:val="00902609"/>
    <w:rsid w:val="00902BAB"/>
    <w:rsid w:val="00902F3C"/>
    <w:rsid w:val="009031B9"/>
    <w:rsid w:val="0090324C"/>
    <w:rsid w:val="00903663"/>
    <w:rsid w:val="0090380A"/>
    <w:rsid w:val="00903864"/>
    <w:rsid w:val="00903960"/>
    <w:rsid w:val="00903C65"/>
    <w:rsid w:val="00903F4C"/>
    <w:rsid w:val="00904165"/>
    <w:rsid w:val="0090417E"/>
    <w:rsid w:val="0090427F"/>
    <w:rsid w:val="0090462B"/>
    <w:rsid w:val="00904641"/>
    <w:rsid w:val="00904907"/>
    <w:rsid w:val="00904C69"/>
    <w:rsid w:val="009052C6"/>
    <w:rsid w:val="00905339"/>
    <w:rsid w:val="00905B40"/>
    <w:rsid w:val="00905C06"/>
    <w:rsid w:val="00905FD2"/>
    <w:rsid w:val="00906251"/>
    <w:rsid w:val="00906288"/>
    <w:rsid w:val="00906375"/>
    <w:rsid w:val="00906668"/>
    <w:rsid w:val="00906868"/>
    <w:rsid w:val="009070A2"/>
    <w:rsid w:val="00907209"/>
    <w:rsid w:val="00907A39"/>
    <w:rsid w:val="00907A8E"/>
    <w:rsid w:val="00907AEA"/>
    <w:rsid w:val="00907AFB"/>
    <w:rsid w:val="009100CC"/>
    <w:rsid w:val="00910286"/>
    <w:rsid w:val="00910351"/>
    <w:rsid w:val="00910653"/>
    <w:rsid w:val="00910846"/>
    <w:rsid w:val="00910861"/>
    <w:rsid w:val="0091086D"/>
    <w:rsid w:val="009109DC"/>
    <w:rsid w:val="00910F48"/>
    <w:rsid w:val="00911021"/>
    <w:rsid w:val="009112F6"/>
    <w:rsid w:val="0091145C"/>
    <w:rsid w:val="00911731"/>
    <w:rsid w:val="0091174A"/>
    <w:rsid w:val="00911A7F"/>
    <w:rsid w:val="00911DE2"/>
    <w:rsid w:val="00911FF7"/>
    <w:rsid w:val="009120F1"/>
    <w:rsid w:val="00912815"/>
    <w:rsid w:val="009128F1"/>
    <w:rsid w:val="00912CC4"/>
    <w:rsid w:val="00912D2E"/>
    <w:rsid w:val="00912E33"/>
    <w:rsid w:val="0091300E"/>
    <w:rsid w:val="00913026"/>
    <w:rsid w:val="00913460"/>
    <w:rsid w:val="00913D5F"/>
    <w:rsid w:val="00914177"/>
    <w:rsid w:val="009141A1"/>
    <w:rsid w:val="00914394"/>
    <w:rsid w:val="0091449C"/>
    <w:rsid w:val="009145D0"/>
    <w:rsid w:val="009149DB"/>
    <w:rsid w:val="00914A9E"/>
    <w:rsid w:val="009152B1"/>
    <w:rsid w:val="00915319"/>
    <w:rsid w:val="00915A4A"/>
    <w:rsid w:val="00915B06"/>
    <w:rsid w:val="00915B40"/>
    <w:rsid w:val="00915C84"/>
    <w:rsid w:val="00915FED"/>
    <w:rsid w:val="009162AE"/>
    <w:rsid w:val="00916941"/>
    <w:rsid w:val="009169D3"/>
    <w:rsid w:val="00916C68"/>
    <w:rsid w:val="00916D61"/>
    <w:rsid w:val="00917210"/>
    <w:rsid w:val="00917430"/>
    <w:rsid w:val="0091761C"/>
    <w:rsid w:val="00917727"/>
    <w:rsid w:val="00917844"/>
    <w:rsid w:val="00917A70"/>
    <w:rsid w:val="00917C53"/>
    <w:rsid w:val="00917CB9"/>
    <w:rsid w:val="0092015F"/>
    <w:rsid w:val="00920262"/>
    <w:rsid w:val="00920759"/>
    <w:rsid w:val="0092099E"/>
    <w:rsid w:val="0092109B"/>
    <w:rsid w:val="009210E7"/>
    <w:rsid w:val="00921348"/>
    <w:rsid w:val="009218E5"/>
    <w:rsid w:val="00921A90"/>
    <w:rsid w:val="00922083"/>
    <w:rsid w:val="009220C3"/>
    <w:rsid w:val="00922365"/>
    <w:rsid w:val="00922650"/>
    <w:rsid w:val="00922771"/>
    <w:rsid w:val="00922773"/>
    <w:rsid w:val="00922892"/>
    <w:rsid w:val="00922CBF"/>
    <w:rsid w:val="00923020"/>
    <w:rsid w:val="0092307E"/>
    <w:rsid w:val="009230AB"/>
    <w:rsid w:val="00923119"/>
    <w:rsid w:val="009233F1"/>
    <w:rsid w:val="009238F3"/>
    <w:rsid w:val="00923B72"/>
    <w:rsid w:val="00923D2D"/>
    <w:rsid w:val="00923F9F"/>
    <w:rsid w:val="009240D8"/>
    <w:rsid w:val="00924125"/>
    <w:rsid w:val="009242B5"/>
    <w:rsid w:val="00924392"/>
    <w:rsid w:val="00924398"/>
    <w:rsid w:val="009243C4"/>
    <w:rsid w:val="00924F8A"/>
    <w:rsid w:val="0092505F"/>
    <w:rsid w:val="00925A57"/>
    <w:rsid w:val="00925E89"/>
    <w:rsid w:val="0092621C"/>
    <w:rsid w:val="0092624F"/>
    <w:rsid w:val="009264B2"/>
    <w:rsid w:val="009268B9"/>
    <w:rsid w:val="00926CF2"/>
    <w:rsid w:val="00926E0B"/>
    <w:rsid w:val="009270B7"/>
    <w:rsid w:val="009274F6"/>
    <w:rsid w:val="009278DE"/>
    <w:rsid w:val="00927BA0"/>
    <w:rsid w:val="0093005C"/>
    <w:rsid w:val="009300AF"/>
    <w:rsid w:val="0093090B"/>
    <w:rsid w:val="00930C8C"/>
    <w:rsid w:val="00930E85"/>
    <w:rsid w:val="00931159"/>
    <w:rsid w:val="009311BA"/>
    <w:rsid w:val="009312F5"/>
    <w:rsid w:val="009314D7"/>
    <w:rsid w:val="009315CB"/>
    <w:rsid w:val="009316CD"/>
    <w:rsid w:val="00931E35"/>
    <w:rsid w:val="0093245E"/>
    <w:rsid w:val="009325FE"/>
    <w:rsid w:val="00932777"/>
    <w:rsid w:val="00932A26"/>
    <w:rsid w:val="00932AED"/>
    <w:rsid w:val="00932B67"/>
    <w:rsid w:val="00932CD9"/>
    <w:rsid w:val="00932E3C"/>
    <w:rsid w:val="00932E80"/>
    <w:rsid w:val="00933C9A"/>
    <w:rsid w:val="00933D4F"/>
    <w:rsid w:val="00933D7E"/>
    <w:rsid w:val="00933DD1"/>
    <w:rsid w:val="009341B5"/>
    <w:rsid w:val="009344A3"/>
    <w:rsid w:val="009347D4"/>
    <w:rsid w:val="009349B3"/>
    <w:rsid w:val="00934AD4"/>
    <w:rsid w:val="00934CF6"/>
    <w:rsid w:val="00934D76"/>
    <w:rsid w:val="0093516A"/>
    <w:rsid w:val="00935294"/>
    <w:rsid w:val="00935640"/>
    <w:rsid w:val="00935BFD"/>
    <w:rsid w:val="00935D96"/>
    <w:rsid w:val="00935DDA"/>
    <w:rsid w:val="00936458"/>
    <w:rsid w:val="009364DE"/>
    <w:rsid w:val="00936F6E"/>
    <w:rsid w:val="009370F1"/>
    <w:rsid w:val="009373E4"/>
    <w:rsid w:val="009373E7"/>
    <w:rsid w:val="0093752F"/>
    <w:rsid w:val="00937628"/>
    <w:rsid w:val="0093769D"/>
    <w:rsid w:val="009377ED"/>
    <w:rsid w:val="00937C05"/>
    <w:rsid w:val="00937DC4"/>
    <w:rsid w:val="009404E6"/>
    <w:rsid w:val="009405BC"/>
    <w:rsid w:val="00940626"/>
    <w:rsid w:val="0094066F"/>
    <w:rsid w:val="00940A17"/>
    <w:rsid w:val="00940A1F"/>
    <w:rsid w:val="00940E0F"/>
    <w:rsid w:val="00940E85"/>
    <w:rsid w:val="00940F6F"/>
    <w:rsid w:val="0094112A"/>
    <w:rsid w:val="00941471"/>
    <w:rsid w:val="009416BC"/>
    <w:rsid w:val="009416D9"/>
    <w:rsid w:val="00941868"/>
    <w:rsid w:val="00941FD8"/>
    <w:rsid w:val="00941FFA"/>
    <w:rsid w:val="0094250E"/>
    <w:rsid w:val="00942604"/>
    <w:rsid w:val="00942866"/>
    <w:rsid w:val="009428ED"/>
    <w:rsid w:val="00942CA5"/>
    <w:rsid w:val="00942F10"/>
    <w:rsid w:val="00942FB6"/>
    <w:rsid w:val="0094310E"/>
    <w:rsid w:val="0094358F"/>
    <w:rsid w:val="00943679"/>
    <w:rsid w:val="00943773"/>
    <w:rsid w:val="009438CE"/>
    <w:rsid w:val="00943ACE"/>
    <w:rsid w:val="00943DB1"/>
    <w:rsid w:val="00943F7D"/>
    <w:rsid w:val="00944084"/>
    <w:rsid w:val="0094447E"/>
    <w:rsid w:val="00944531"/>
    <w:rsid w:val="00944C5E"/>
    <w:rsid w:val="00944DB9"/>
    <w:rsid w:val="00944E15"/>
    <w:rsid w:val="00944E34"/>
    <w:rsid w:val="00944F49"/>
    <w:rsid w:val="009452CC"/>
    <w:rsid w:val="00945373"/>
    <w:rsid w:val="0094547A"/>
    <w:rsid w:val="0094547B"/>
    <w:rsid w:val="00945625"/>
    <w:rsid w:val="009458AF"/>
    <w:rsid w:val="009458D2"/>
    <w:rsid w:val="009458EA"/>
    <w:rsid w:val="009458F8"/>
    <w:rsid w:val="00945BDB"/>
    <w:rsid w:val="00945DE5"/>
    <w:rsid w:val="00945F13"/>
    <w:rsid w:val="00946306"/>
    <w:rsid w:val="00946419"/>
    <w:rsid w:val="00946E5A"/>
    <w:rsid w:val="00947157"/>
    <w:rsid w:val="00947162"/>
    <w:rsid w:val="009472F4"/>
    <w:rsid w:val="009478D7"/>
    <w:rsid w:val="00947B07"/>
    <w:rsid w:val="00947BFE"/>
    <w:rsid w:val="00947D77"/>
    <w:rsid w:val="00950369"/>
    <w:rsid w:val="00950376"/>
    <w:rsid w:val="00950687"/>
    <w:rsid w:val="00950707"/>
    <w:rsid w:val="0095094D"/>
    <w:rsid w:val="00950AE4"/>
    <w:rsid w:val="00950B2C"/>
    <w:rsid w:val="00950CB7"/>
    <w:rsid w:val="00950D7D"/>
    <w:rsid w:val="009512B7"/>
    <w:rsid w:val="00951A04"/>
    <w:rsid w:val="00951FB5"/>
    <w:rsid w:val="00952116"/>
    <w:rsid w:val="00952498"/>
    <w:rsid w:val="00952529"/>
    <w:rsid w:val="009529B6"/>
    <w:rsid w:val="00952F57"/>
    <w:rsid w:val="009530BF"/>
    <w:rsid w:val="00953369"/>
    <w:rsid w:val="00953F7D"/>
    <w:rsid w:val="00953F88"/>
    <w:rsid w:val="0095408F"/>
    <w:rsid w:val="0095435E"/>
    <w:rsid w:val="009543A0"/>
    <w:rsid w:val="009543DE"/>
    <w:rsid w:val="009544B2"/>
    <w:rsid w:val="00954639"/>
    <w:rsid w:val="00954A5A"/>
    <w:rsid w:val="009551B5"/>
    <w:rsid w:val="00955ADD"/>
    <w:rsid w:val="00955ECB"/>
    <w:rsid w:val="00956369"/>
    <w:rsid w:val="009565B6"/>
    <w:rsid w:val="0095668E"/>
    <w:rsid w:val="00956696"/>
    <w:rsid w:val="0095674D"/>
    <w:rsid w:val="009569FE"/>
    <w:rsid w:val="00956AEF"/>
    <w:rsid w:val="0095706C"/>
    <w:rsid w:val="0095751B"/>
    <w:rsid w:val="009576E9"/>
    <w:rsid w:val="00957798"/>
    <w:rsid w:val="00957EC4"/>
    <w:rsid w:val="00960132"/>
    <w:rsid w:val="009601FC"/>
    <w:rsid w:val="009606DF"/>
    <w:rsid w:val="00960D63"/>
    <w:rsid w:val="00960E4D"/>
    <w:rsid w:val="00961001"/>
    <w:rsid w:val="009613A1"/>
    <w:rsid w:val="009614C1"/>
    <w:rsid w:val="0096172B"/>
    <w:rsid w:val="00961734"/>
    <w:rsid w:val="00961B04"/>
    <w:rsid w:val="0096246C"/>
    <w:rsid w:val="0096287E"/>
    <w:rsid w:val="00962EF1"/>
    <w:rsid w:val="00963161"/>
    <w:rsid w:val="009633EF"/>
    <w:rsid w:val="009633FC"/>
    <w:rsid w:val="00963418"/>
    <w:rsid w:val="0096358A"/>
    <w:rsid w:val="0096374D"/>
    <w:rsid w:val="009637C2"/>
    <w:rsid w:val="00963804"/>
    <w:rsid w:val="009638C9"/>
    <w:rsid w:val="009638DA"/>
    <w:rsid w:val="00963B8B"/>
    <w:rsid w:val="00964660"/>
    <w:rsid w:val="0096478F"/>
    <w:rsid w:val="00964A07"/>
    <w:rsid w:val="00964C02"/>
    <w:rsid w:val="00964C95"/>
    <w:rsid w:val="00964F62"/>
    <w:rsid w:val="00965127"/>
    <w:rsid w:val="009652EE"/>
    <w:rsid w:val="00965381"/>
    <w:rsid w:val="0096548E"/>
    <w:rsid w:val="00965708"/>
    <w:rsid w:val="00965D9C"/>
    <w:rsid w:val="00965F0D"/>
    <w:rsid w:val="0096608D"/>
    <w:rsid w:val="00966192"/>
    <w:rsid w:val="009661AE"/>
    <w:rsid w:val="00966AC1"/>
    <w:rsid w:val="00966AFC"/>
    <w:rsid w:val="00966B39"/>
    <w:rsid w:val="00966EF6"/>
    <w:rsid w:val="009670D1"/>
    <w:rsid w:val="009671A6"/>
    <w:rsid w:val="009671B5"/>
    <w:rsid w:val="00967A81"/>
    <w:rsid w:val="00967C2F"/>
    <w:rsid w:val="00967F37"/>
    <w:rsid w:val="0097049D"/>
    <w:rsid w:val="009704E5"/>
    <w:rsid w:val="009705B7"/>
    <w:rsid w:val="00970615"/>
    <w:rsid w:val="0097068B"/>
    <w:rsid w:val="0097083C"/>
    <w:rsid w:val="0097084B"/>
    <w:rsid w:val="00970D58"/>
    <w:rsid w:val="00970E2D"/>
    <w:rsid w:val="0097118B"/>
    <w:rsid w:val="00971360"/>
    <w:rsid w:val="0097136F"/>
    <w:rsid w:val="009718C7"/>
    <w:rsid w:val="00971979"/>
    <w:rsid w:val="00971AD5"/>
    <w:rsid w:val="00971E0D"/>
    <w:rsid w:val="00971EBF"/>
    <w:rsid w:val="00971EFB"/>
    <w:rsid w:val="0097255C"/>
    <w:rsid w:val="009725E8"/>
    <w:rsid w:val="0097286A"/>
    <w:rsid w:val="00972F2A"/>
    <w:rsid w:val="009739BD"/>
    <w:rsid w:val="009739C0"/>
    <w:rsid w:val="00973B41"/>
    <w:rsid w:val="00973D1B"/>
    <w:rsid w:val="00973E0A"/>
    <w:rsid w:val="0097434C"/>
    <w:rsid w:val="009743EC"/>
    <w:rsid w:val="0097505C"/>
    <w:rsid w:val="0097507B"/>
    <w:rsid w:val="00975394"/>
    <w:rsid w:val="009754A2"/>
    <w:rsid w:val="00975785"/>
    <w:rsid w:val="0097580A"/>
    <w:rsid w:val="00975914"/>
    <w:rsid w:val="00975A57"/>
    <w:rsid w:val="00975C84"/>
    <w:rsid w:val="00975CCE"/>
    <w:rsid w:val="00975EC2"/>
    <w:rsid w:val="00976099"/>
    <w:rsid w:val="00976846"/>
    <w:rsid w:val="00976A36"/>
    <w:rsid w:val="00977656"/>
    <w:rsid w:val="00977684"/>
    <w:rsid w:val="00977701"/>
    <w:rsid w:val="00977766"/>
    <w:rsid w:val="00977C7C"/>
    <w:rsid w:val="00977FBD"/>
    <w:rsid w:val="00980055"/>
    <w:rsid w:val="009800A6"/>
    <w:rsid w:val="0098017D"/>
    <w:rsid w:val="0098049B"/>
    <w:rsid w:val="009805F3"/>
    <w:rsid w:val="0098067E"/>
    <w:rsid w:val="009809AC"/>
    <w:rsid w:val="00980E50"/>
    <w:rsid w:val="009812A4"/>
    <w:rsid w:val="0098139C"/>
    <w:rsid w:val="00981466"/>
    <w:rsid w:val="009815A0"/>
    <w:rsid w:val="00981748"/>
    <w:rsid w:val="009818A9"/>
    <w:rsid w:val="0098191D"/>
    <w:rsid w:val="00981927"/>
    <w:rsid w:val="00981B1F"/>
    <w:rsid w:val="00981BB4"/>
    <w:rsid w:val="00981CED"/>
    <w:rsid w:val="0098204F"/>
    <w:rsid w:val="00982081"/>
    <w:rsid w:val="00982563"/>
    <w:rsid w:val="00982A19"/>
    <w:rsid w:val="00982DC3"/>
    <w:rsid w:val="00982EC0"/>
    <w:rsid w:val="00982F25"/>
    <w:rsid w:val="00983239"/>
    <w:rsid w:val="0098337C"/>
    <w:rsid w:val="0098338C"/>
    <w:rsid w:val="009834D2"/>
    <w:rsid w:val="009835B7"/>
    <w:rsid w:val="00983A30"/>
    <w:rsid w:val="00983D23"/>
    <w:rsid w:val="00983F2C"/>
    <w:rsid w:val="00984008"/>
    <w:rsid w:val="00984872"/>
    <w:rsid w:val="00984FE5"/>
    <w:rsid w:val="00985177"/>
    <w:rsid w:val="009856AF"/>
    <w:rsid w:val="009856DA"/>
    <w:rsid w:val="00985B6A"/>
    <w:rsid w:val="00985D8B"/>
    <w:rsid w:val="00986078"/>
    <w:rsid w:val="0098611F"/>
    <w:rsid w:val="00986135"/>
    <w:rsid w:val="009861FB"/>
    <w:rsid w:val="00986495"/>
    <w:rsid w:val="00986778"/>
    <w:rsid w:val="00986A85"/>
    <w:rsid w:val="00986AA5"/>
    <w:rsid w:val="00986B02"/>
    <w:rsid w:val="00986B35"/>
    <w:rsid w:val="00986E28"/>
    <w:rsid w:val="0098700C"/>
    <w:rsid w:val="009875B3"/>
    <w:rsid w:val="009876B7"/>
    <w:rsid w:val="00987CB2"/>
    <w:rsid w:val="00987D1C"/>
    <w:rsid w:val="00987DFF"/>
    <w:rsid w:val="00987E77"/>
    <w:rsid w:val="00987F84"/>
    <w:rsid w:val="00990187"/>
    <w:rsid w:val="0099045B"/>
    <w:rsid w:val="0099057F"/>
    <w:rsid w:val="00991396"/>
    <w:rsid w:val="00991533"/>
    <w:rsid w:val="00991538"/>
    <w:rsid w:val="009917B9"/>
    <w:rsid w:val="009917F6"/>
    <w:rsid w:val="00991859"/>
    <w:rsid w:val="00991883"/>
    <w:rsid w:val="00991935"/>
    <w:rsid w:val="00991A49"/>
    <w:rsid w:val="00991A72"/>
    <w:rsid w:val="00991D47"/>
    <w:rsid w:val="00991E96"/>
    <w:rsid w:val="00991F35"/>
    <w:rsid w:val="009921B5"/>
    <w:rsid w:val="009922DF"/>
    <w:rsid w:val="00992588"/>
    <w:rsid w:val="009926B5"/>
    <w:rsid w:val="009927F1"/>
    <w:rsid w:val="00992826"/>
    <w:rsid w:val="00993057"/>
    <w:rsid w:val="0099325E"/>
    <w:rsid w:val="00993269"/>
    <w:rsid w:val="0099326D"/>
    <w:rsid w:val="00993422"/>
    <w:rsid w:val="009939A7"/>
    <w:rsid w:val="00994109"/>
    <w:rsid w:val="009941C4"/>
    <w:rsid w:val="009941C9"/>
    <w:rsid w:val="0099454F"/>
    <w:rsid w:val="00994712"/>
    <w:rsid w:val="00994798"/>
    <w:rsid w:val="00994AC0"/>
    <w:rsid w:val="00994AFE"/>
    <w:rsid w:val="00994E69"/>
    <w:rsid w:val="00994F90"/>
    <w:rsid w:val="009952C6"/>
    <w:rsid w:val="00995313"/>
    <w:rsid w:val="0099532D"/>
    <w:rsid w:val="009958AA"/>
    <w:rsid w:val="00995AB7"/>
    <w:rsid w:val="009964FC"/>
    <w:rsid w:val="00996509"/>
    <w:rsid w:val="009968E8"/>
    <w:rsid w:val="00996D70"/>
    <w:rsid w:val="00996DBE"/>
    <w:rsid w:val="00997172"/>
    <w:rsid w:val="009971E7"/>
    <w:rsid w:val="00997268"/>
    <w:rsid w:val="009972F5"/>
    <w:rsid w:val="00997386"/>
    <w:rsid w:val="009975E3"/>
    <w:rsid w:val="00997752"/>
    <w:rsid w:val="0099779F"/>
    <w:rsid w:val="00997975"/>
    <w:rsid w:val="00997A6C"/>
    <w:rsid w:val="00997B2F"/>
    <w:rsid w:val="00997E50"/>
    <w:rsid w:val="00997EE9"/>
    <w:rsid w:val="009A00F0"/>
    <w:rsid w:val="009A0105"/>
    <w:rsid w:val="009A07ED"/>
    <w:rsid w:val="009A0824"/>
    <w:rsid w:val="009A0AB6"/>
    <w:rsid w:val="009A0B62"/>
    <w:rsid w:val="009A0B7A"/>
    <w:rsid w:val="009A0DAC"/>
    <w:rsid w:val="009A0DD1"/>
    <w:rsid w:val="009A0EC2"/>
    <w:rsid w:val="009A10E8"/>
    <w:rsid w:val="009A1131"/>
    <w:rsid w:val="009A1133"/>
    <w:rsid w:val="009A1189"/>
    <w:rsid w:val="009A12D2"/>
    <w:rsid w:val="009A12D9"/>
    <w:rsid w:val="009A1410"/>
    <w:rsid w:val="009A1491"/>
    <w:rsid w:val="009A15F7"/>
    <w:rsid w:val="009A1D67"/>
    <w:rsid w:val="009A1E86"/>
    <w:rsid w:val="009A20E0"/>
    <w:rsid w:val="009A21FA"/>
    <w:rsid w:val="009A2509"/>
    <w:rsid w:val="009A2525"/>
    <w:rsid w:val="009A2634"/>
    <w:rsid w:val="009A2BDE"/>
    <w:rsid w:val="009A2BE3"/>
    <w:rsid w:val="009A2D5B"/>
    <w:rsid w:val="009A2DC6"/>
    <w:rsid w:val="009A2FFE"/>
    <w:rsid w:val="009A31D5"/>
    <w:rsid w:val="009A32DB"/>
    <w:rsid w:val="009A3348"/>
    <w:rsid w:val="009A33E0"/>
    <w:rsid w:val="009A39B2"/>
    <w:rsid w:val="009A3AC8"/>
    <w:rsid w:val="009A3BED"/>
    <w:rsid w:val="009A3CC6"/>
    <w:rsid w:val="009A3DE2"/>
    <w:rsid w:val="009A4339"/>
    <w:rsid w:val="009A4BF0"/>
    <w:rsid w:val="009A5075"/>
    <w:rsid w:val="009A5127"/>
    <w:rsid w:val="009A5712"/>
    <w:rsid w:val="009A5898"/>
    <w:rsid w:val="009A5A7D"/>
    <w:rsid w:val="009A5C4E"/>
    <w:rsid w:val="009A5D7C"/>
    <w:rsid w:val="009A5F33"/>
    <w:rsid w:val="009A60FF"/>
    <w:rsid w:val="009A610C"/>
    <w:rsid w:val="009A6200"/>
    <w:rsid w:val="009A66E9"/>
    <w:rsid w:val="009A67DA"/>
    <w:rsid w:val="009A698C"/>
    <w:rsid w:val="009A6FC4"/>
    <w:rsid w:val="009A7045"/>
    <w:rsid w:val="009A71BF"/>
    <w:rsid w:val="009A757A"/>
    <w:rsid w:val="009A7594"/>
    <w:rsid w:val="009A9476"/>
    <w:rsid w:val="009B0139"/>
    <w:rsid w:val="009B0704"/>
    <w:rsid w:val="009B075E"/>
    <w:rsid w:val="009B0870"/>
    <w:rsid w:val="009B0A01"/>
    <w:rsid w:val="009B0B17"/>
    <w:rsid w:val="009B0E9E"/>
    <w:rsid w:val="009B0EF4"/>
    <w:rsid w:val="009B1087"/>
    <w:rsid w:val="009B12F9"/>
    <w:rsid w:val="009B14A0"/>
    <w:rsid w:val="009B1B49"/>
    <w:rsid w:val="009B211C"/>
    <w:rsid w:val="009B2786"/>
    <w:rsid w:val="009B29D5"/>
    <w:rsid w:val="009B2BD5"/>
    <w:rsid w:val="009B2EB8"/>
    <w:rsid w:val="009B333B"/>
    <w:rsid w:val="009B3482"/>
    <w:rsid w:val="009B3897"/>
    <w:rsid w:val="009B3CA7"/>
    <w:rsid w:val="009B3D88"/>
    <w:rsid w:val="009B3FA1"/>
    <w:rsid w:val="009B40E6"/>
    <w:rsid w:val="009B425A"/>
    <w:rsid w:val="009B4565"/>
    <w:rsid w:val="009B49E5"/>
    <w:rsid w:val="009B4DB6"/>
    <w:rsid w:val="009B5125"/>
    <w:rsid w:val="009B51D0"/>
    <w:rsid w:val="009B5338"/>
    <w:rsid w:val="009B5408"/>
    <w:rsid w:val="009B54AC"/>
    <w:rsid w:val="009B56FB"/>
    <w:rsid w:val="009B5971"/>
    <w:rsid w:val="009B59B9"/>
    <w:rsid w:val="009B5B32"/>
    <w:rsid w:val="009B5DC7"/>
    <w:rsid w:val="009B5DFD"/>
    <w:rsid w:val="009B5F0D"/>
    <w:rsid w:val="009B6165"/>
    <w:rsid w:val="009B63F2"/>
    <w:rsid w:val="009B64C3"/>
    <w:rsid w:val="009B6620"/>
    <w:rsid w:val="009B6C34"/>
    <w:rsid w:val="009B6DBD"/>
    <w:rsid w:val="009B6EE9"/>
    <w:rsid w:val="009B72BA"/>
    <w:rsid w:val="009B7317"/>
    <w:rsid w:val="009B7708"/>
    <w:rsid w:val="009B782F"/>
    <w:rsid w:val="009B79DA"/>
    <w:rsid w:val="009B7B47"/>
    <w:rsid w:val="009B7C99"/>
    <w:rsid w:val="009B7D39"/>
    <w:rsid w:val="009B7E3D"/>
    <w:rsid w:val="009C0125"/>
    <w:rsid w:val="009C0290"/>
    <w:rsid w:val="009C0409"/>
    <w:rsid w:val="009C0604"/>
    <w:rsid w:val="009C066C"/>
    <w:rsid w:val="009C068E"/>
    <w:rsid w:val="009C0748"/>
    <w:rsid w:val="009C0889"/>
    <w:rsid w:val="009C09A2"/>
    <w:rsid w:val="009C0AE4"/>
    <w:rsid w:val="009C0D05"/>
    <w:rsid w:val="009C136C"/>
    <w:rsid w:val="009C13AE"/>
    <w:rsid w:val="009C145A"/>
    <w:rsid w:val="009C1481"/>
    <w:rsid w:val="009C1CE5"/>
    <w:rsid w:val="009C1D3A"/>
    <w:rsid w:val="009C1E44"/>
    <w:rsid w:val="009C202C"/>
    <w:rsid w:val="009C208D"/>
    <w:rsid w:val="009C2270"/>
    <w:rsid w:val="009C234B"/>
    <w:rsid w:val="009C272F"/>
    <w:rsid w:val="009C282D"/>
    <w:rsid w:val="009C2C5E"/>
    <w:rsid w:val="009C2D2D"/>
    <w:rsid w:val="009C3005"/>
    <w:rsid w:val="009C309F"/>
    <w:rsid w:val="009C31DC"/>
    <w:rsid w:val="009C34EB"/>
    <w:rsid w:val="009C3743"/>
    <w:rsid w:val="009C3861"/>
    <w:rsid w:val="009C392B"/>
    <w:rsid w:val="009C3A47"/>
    <w:rsid w:val="009C3CBF"/>
    <w:rsid w:val="009C3D69"/>
    <w:rsid w:val="009C40F5"/>
    <w:rsid w:val="009C4326"/>
    <w:rsid w:val="009C467E"/>
    <w:rsid w:val="009C4C8C"/>
    <w:rsid w:val="009C4E29"/>
    <w:rsid w:val="009C4F0B"/>
    <w:rsid w:val="009C503D"/>
    <w:rsid w:val="009C5647"/>
    <w:rsid w:val="009C5875"/>
    <w:rsid w:val="009C5ABA"/>
    <w:rsid w:val="009C5DBC"/>
    <w:rsid w:val="009C5EA3"/>
    <w:rsid w:val="009C5F1A"/>
    <w:rsid w:val="009C5FB2"/>
    <w:rsid w:val="009C6888"/>
    <w:rsid w:val="009C697A"/>
    <w:rsid w:val="009C69E6"/>
    <w:rsid w:val="009C6AB4"/>
    <w:rsid w:val="009C6E6D"/>
    <w:rsid w:val="009C6EFB"/>
    <w:rsid w:val="009C71A8"/>
    <w:rsid w:val="009C7287"/>
    <w:rsid w:val="009C73FA"/>
    <w:rsid w:val="009C756A"/>
    <w:rsid w:val="009C76C8"/>
    <w:rsid w:val="009C7DAC"/>
    <w:rsid w:val="009D00E3"/>
    <w:rsid w:val="009D037E"/>
    <w:rsid w:val="009D08E1"/>
    <w:rsid w:val="009D0D5B"/>
    <w:rsid w:val="009D0FA6"/>
    <w:rsid w:val="009D102B"/>
    <w:rsid w:val="009D1076"/>
    <w:rsid w:val="009D11D3"/>
    <w:rsid w:val="009D139E"/>
    <w:rsid w:val="009D18B3"/>
    <w:rsid w:val="009D19D3"/>
    <w:rsid w:val="009D1EA0"/>
    <w:rsid w:val="009D2089"/>
    <w:rsid w:val="009D20FC"/>
    <w:rsid w:val="009D21C3"/>
    <w:rsid w:val="009D2950"/>
    <w:rsid w:val="009D2B95"/>
    <w:rsid w:val="009D2C90"/>
    <w:rsid w:val="009D2D0C"/>
    <w:rsid w:val="009D2D2E"/>
    <w:rsid w:val="009D2F33"/>
    <w:rsid w:val="009D2F91"/>
    <w:rsid w:val="009D2FA2"/>
    <w:rsid w:val="009D3302"/>
    <w:rsid w:val="009D3331"/>
    <w:rsid w:val="009D347A"/>
    <w:rsid w:val="009D356C"/>
    <w:rsid w:val="009D35BA"/>
    <w:rsid w:val="009D35F7"/>
    <w:rsid w:val="009D360D"/>
    <w:rsid w:val="009D3AC9"/>
    <w:rsid w:val="009D4074"/>
    <w:rsid w:val="009D40A8"/>
    <w:rsid w:val="009D4931"/>
    <w:rsid w:val="009D4D76"/>
    <w:rsid w:val="009D4E57"/>
    <w:rsid w:val="009D507B"/>
    <w:rsid w:val="009D5419"/>
    <w:rsid w:val="009D5C6F"/>
    <w:rsid w:val="009D5D9B"/>
    <w:rsid w:val="009D5F36"/>
    <w:rsid w:val="009D622C"/>
    <w:rsid w:val="009D66E5"/>
    <w:rsid w:val="009D6A0F"/>
    <w:rsid w:val="009D700D"/>
    <w:rsid w:val="009D731F"/>
    <w:rsid w:val="009D798C"/>
    <w:rsid w:val="009E0163"/>
    <w:rsid w:val="009E03E2"/>
    <w:rsid w:val="009E064C"/>
    <w:rsid w:val="009E0B93"/>
    <w:rsid w:val="009E0D2C"/>
    <w:rsid w:val="009E118A"/>
    <w:rsid w:val="009E1481"/>
    <w:rsid w:val="009E166E"/>
    <w:rsid w:val="009E180F"/>
    <w:rsid w:val="009E1A71"/>
    <w:rsid w:val="009E1BEF"/>
    <w:rsid w:val="009E1D02"/>
    <w:rsid w:val="009E25C8"/>
    <w:rsid w:val="009E278E"/>
    <w:rsid w:val="009E2AE3"/>
    <w:rsid w:val="009E3794"/>
    <w:rsid w:val="009E3B53"/>
    <w:rsid w:val="009E3B81"/>
    <w:rsid w:val="009E3D7E"/>
    <w:rsid w:val="009E4062"/>
    <w:rsid w:val="009E41BD"/>
    <w:rsid w:val="009E4909"/>
    <w:rsid w:val="009E4996"/>
    <w:rsid w:val="009E4A1C"/>
    <w:rsid w:val="009E4F03"/>
    <w:rsid w:val="009E52CD"/>
    <w:rsid w:val="009E5453"/>
    <w:rsid w:val="009E5604"/>
    <w:rsid w:val="009E571B"/>
    <w:rsid w:val="009E59CE"/>
    <w:rsid w:val="009E5ABE"/>
    <w:rsid w:val="009E600D"/>
    <w:rsid w:val="009E603D"/>
    <w:rsid w:val="009E62D4"/>
    <w:rsid w:val="009E6373"/>
    <w:rsid w:val="009E692D"/>
    <w:rsid w:val="009E6A21"/>
    <w:rsid w:val="009E6DC7"/>
    <w:rsid w:val="009E6F6F"/>
    <w:rsid w:val="009E7609"/>
    <w:rsid w:val="009E7A63"/>
    <w:rsid w:val="009E7C1F"/>
    <w:rsid w:val="009E7C86"/>
    <w:rsid w:val="009E7CAA"/>
    <w:rsid w:val="009E7D6D"/>
    <w:rsid w:val="009E7E07"/>
    <w:rsid w:val="009E7FB9"/>
    <w:rsid w:val="009F00F4"/>
    <w:rsid w:val="009F0140"/>
    <w:rsid w:val="009F04CD"/>
    <w:rsid w:val="009F0611"/>
    <w:rsid w:val="009F0A20"/>
    <w:rsid w:val="009F0C5D"/>
    <w:rsid w:val="009F0C9E"/>
    <w:rsid w:val="009F0DA5"/>
    <w:rsid w:val="009F0F2B"/>
    <w:rsid w:val="009F11EB"/>
    <w:rsid w:val="009F13B4"/>
    <w:rsid w:val="009F171A"/>
    <w:rsid w:val="009F1A22"/>
    <w:rsid w:val="009F1B8B"/>
    <w:rsid w:val="009F1BAA"/>
    <w:rsid w:val="009F1E24"/>
    <w:rsid w:val="009F1EFC"/>
    <w:rsid w:val="009F1F66"/>
    <w:rsid w:val="009F1FE5"/>
    <w:rsid w:val="009F2867"/>
    <w:rsid w:val="009F2F6A"/>
    <w:rsid w:val="009F3725"/>
    <w:rsid w:val="009F3A2D"/>
    <w:rsid w:val="009F3BC5"/>
    <w:rsid w:val="009F40A4"/>
    <w:rsid w:val="009F41C4"/>
    <w:rsid w:val="009F4519"/>
    <w:rsid w:val="009F477D"/>
    <w:rsid w:val="009F47D5"/>
    <w:rsid w:val="009F4968"/>
    <w:rsid w:val="009F498B"/>
    <w:rsid w:val="009F4D05"/>
    <w:rsid w:val="009F539D"/>
    <w:rsid w:val="009F5811"/>
    <w:rsid w:val="009F5A98"/>
    <w:rsid w:val="009F5E87"/>
    <w:rsid w:val="009F6857"/>
    <w:rsid w:val="009F6896"/>
    <w:rsid w:val="009F6C2D"/>
    <w:rsid w:val="009F6E68"/>
    <w:rsid w:val="009F6F48"/>
    <w:rsid w:val="009F7020"/>
    <w:rsid w:val="009F726F"/>
    <w:rsid w:val="009F72B3"/>
    <w:rsid w:val="009F7335"/>
    <w:rsid w:val="009F787E"/>
    <w:rsid w:val="009F7E95"/>
    <w:rsid w:val="009F7F3F"/>
    <w:rsid w:val="00A004A4"/>
    <w:rsid w:val="00A0057A"/>
    <w:rsid w:val="00A007BA"/>
    <w:rsid w:val="00A0082E"/>
    <w:rsid w:val="00A00A20"/>
    <w:rsid w:val="00A00B4F"/>
    <w:rsid w:val="00A00CA7"/>
    <w:rsid w:val="00A011C6"/>
    <w:rsid w:val="00A016A2"/>
    <w:rsid w:val="00A016F5"/>
    <w:rsid w:val="00A01794"/>
    <w:rsid w:val="00A01911"/>
    <w:rsid w:val="00A01A10"/>
    <w:rsid w:val="00A01D6A"/>
    <w:rsid w:val="00A02094"/>
    <w:rsid w:val="00A02513"/>
    <w:rsid w:val="00A02697"/>
    <w:rsid w:val="00A02841"/>
    <w:rsid w:val="00A02CA7"/>
    <w:rsid w:val="00A02FA8"/>
    <w:rsid w:val="00A035A7"/>
    <w:rsid w:val="00A035B1"/>
    <w:rsid w:val="00A03C15"/>
    <w:rsid w:val="00A03F50"/>
    <w:rsid w:val="00A03FFB"/>
    <w:rsid w:val="00A044F3"/>
    <w:rsid w:val="00A04670"/>
    <w:rsid w:val="00A048EE"/>
    <w:rsid w:val="00A049CA"/>
    <w:rsid w:val="00A04C8B"/>
    <w:rsid w:val="00A04CFA"/>
    <w:rsid w:val="00A056A9"/>
    <w:rsid w:val="00A0587B"/>
    <w:rsid w:val="00A058FE"/>
    <w:rsid w:val="00A0597D"/>
    <w:rsid w:val="00A0599E"/>
    <w:rsid w:val="00A05CB1"/>
    <w:rsid w:val="00A05CEB"/>
    <w:rsid w:val="00A060A3"/>
    <w:rsid w:val="00A0620C"/>
    <w:rsid w:val="00A06796"/>
    <w:rsid w:val="00A06896"/>
    <w:rsid w:val="00A06B2B"/>
    <w:rsid w:val="00A075D1"/>
    <w:rsid w:val="00A07650"/>
    <w:rsid w:val="00A07A4F"/>
    <w:rsid w:val="00A1013D"/>
    <w:rsid w:val="00A1028F"/>
    <w:rsid w:val="00A1037D"/>
    <w:rsid w:val="00A10563"/>
    <w:rsid w:val="00A105C1"/>
    <w:rsid w:val="00A10928"/>
    <w:rsid w:val="00A10E74"/>
    <w:rsid w:val="00A10FE4"/>
    <w:rsid w:val="00A1109A"/>
    <w:rsid w:val="00A110DA"/>
    <w:rsid w:val="00A113F8"/>
    <w:rsid w:val="00A11761"/>
    <w:rsid w:val="00A11827"/>
    <w:rsid w:val="00A11853"/>
    <w:rsid w:val="00A11B55"/>
    <w:rsid w:val="00A11E5B"/>
    <w:rsid w:val="00A120D4"/>
    <w:rsid w:val="00A124A2"/>
    <w:rsid w:val="00A124F5"/>
    <w:rsid w:val="00A1250A"/>
    <w:rsid w:val="00A1259F"/>
    <w:rsid w:val="00A127E9"/>
    <w:rsid w:val="00A12982"/>
    <w:rsid w:val="00A12B6E"/>
    <w:rsid w:val="00A12F8E"/>
    <w:rsid w:val="00A12FE9"/>
    <w:rsid w:val="00A1316E"/>
    <w:rsid w:val="00A13282"/>
    <w:rsid w:val="00A133E0"/>
    <w:rsid w:val="00A1380A"/>
    <w:rsid w:val="00A1398A"/>
    <w:rsid w:val="00A139B7"/>
    <w:rsid w:val="00A13A5C"/>
    <w:rsid w:val="00A13C74"/>
    <w:rsid w:val="00A13F29"/>
    <w:rsid w:val="00A142EC"/>
    <w:rsid w:val="00A14897"/>
    <w:rsid w:val="00A1495C"/>
    <w:rsid w:val="00A14D99"/>
    <w:rsid w:val="00A15306"/>
    <w:rsid w:val="00A15308"/>
    <w:rsid w:val="00A15416"/>
    <w:rsid w:val="00A15780"/>
    <w:rsid w:val="00A15A81"/>
    <w:rsid w:val="00A15C33"/>
    <w:rsid w:val="00A15E5E"/>
    <w:rsid w:val="00A15F2E"/>
    <w:rsid w:val="00A1627B"/>
    <w:rsid w:val="00A1665E"/>
    <w:rsid w:val="00A16787"/>
    <w:rsid w:val="00A16907"/>
    <w:rsid w:val="00A169AC"/>
    <w:rsid w:val="00A16B22"/>
    <w:rsid w:val="00A16C43"/>
    <w:rsid w:val="00A1738A"/>
    <w:rsid w:val="00A175E3"/>
    <w:rsid w:val="00A17A35"/>
    <w:rsid w:val="00A17B9B"/>
    <w:rsid w:val="00A17BC4"/>
    <w:rsid w:val="00A17BD3"/>
    <w:rsid w:val="00A17CEB"/>
    <w:rsid w:val="00A201F8"/>
    <w:rsid w:val="00A2038B"/>
    <w:rsid w:val="00A203AA"/>
    <w:rsid w:val="00A2049E"/>
    <w:rsid w:val="00A20585"/>
    <w:rsid w:val="00A20773"/>
    <w:rsid w:val="00A20A71"/>
    <w:rsid w:val="00A20B74"/>
    <w:rsid w:val="00A21069"/>
    <w:rsid w:val="00A21352"/>
    <w:rsid w:val="00A2168A"/>
    <w:rsid w:val="00A217D9"/>
    <w:rsid w:val="00A21DC9"/>
    <w:rsid w:val="00A223CC"/>
    <w:rsid w:val="00A22504"/>
    <w:rsid w:val="00A22527"/>
    <w:rsid w:val="00A225E4"/>
    <w:rsid w:val="00A227B0"/>
    <w:rsid w:val="00A22825"/>
    <w:rsid w:val="00A22A0B"/>
    <w:rsid w:val="00A22DB2"/>
    <w:rsid w:val="00A231EE"/>
    <w:rsid w:val="00A23276"/>
    <w:rsid w:val="00A2343D"/>
    <w:rsid w:val="00A23487"/>
    <w:rsid w:val="00A23498"/>
    <w:rsid w:val="00A234D2"/>
    <w:rsid w:val="00A23D90"/>
    <w:rsid w:val="00A23DE7"/>
    <w:rsid w:val="00A242A0"/>
    <w:rsid w:val="00A2438E"/>
    <w:rsid w:val="00A2478A"/>
    <w:rsid w:val="00A2484F"/>
    <w:rsid w:val="00A24A99"/>
    <w:rsid w:val="00A24D60"/>
    <w:rsid w:val="00A24EB8"/>
    <w:rsid w:val="00A25560"/>
    <w:rsid w:val="00A25849"/>
    <w:rsid w:val="00A258EE"/>
    <w:rsid w:val="00A2596F"/>
    <w:rsid w:val="00A25AA8"/>
    <w:rsid w:val="00A260E7"/>
    <w:rsid w:val="00A26119"/>
    <w:rsid w:val="00A263C0"/>
    <w:rsid w:val="00A265CA"/>
    <w:rsid w:val="00A2665B"/>
    <w:rsid w:val="00A266DC"/>
    <w:rsid w:val="00A2699E"/>
    <w:rsid w:val="00A26E4C"/>
    <w:rsid w:val="00A270A7"/>
    <w:rsid w:val="00A273C4"/>
    <w:rsid w:val="00A2758C"/>
    <w:rsid w:val="00A279AA"/>
    <w:rsid w:val="00A27EA8"/>
    <w:rsid w:val="00A27F58"/>
    <w:rsid w:val="00A30544"/>
    <w:rsid w:val="00A30DF6"/>
    <w:rsid w:val="00A317C9"/>
    <w:rsid w:val="00A31D14"/>
    <w:rsid w:val="00A3258B"/>
    <w:rsid w:val="00A32693"/>
    <w:rsid w:val="00A32A2B"/>
    <w:rsid w:val="00A331E5"/>
    <w:rsid w:val="00A33F1B"/>
    <w:rsid w:val="00A3401F"/>
    <w:rsid w:val="00A34447"/>
    <w:rsid w:val="00A3448B"/>
    <w:rsid w:val="00A344C6"/>
    <w:rsid w:val="00A346E5"/>
    <w:rsid w:val="00A3472A"/>
    <w:rsid w:val="00A34CAF"/>
    <w:rsid w:val="00A34DF4"/>
    <w:rsid w:val="00A35189"/>
    <w:rsid w:val="00A352B5"/>
    <w:rsid w:val="00A35368"/>
    <w:rsid w:val="00A356CC"/>
    <w:rsid w:val="00A35730"/>
    <w:rsid w:val="00A357A9"/>
    <w:rsid w:val="00A357DB"/>
    <w:rsid w:val="00A36088"/>
    <w:rsid w:val="00A36114"/>
    <w:rsid w:val="00A3657C"/>
    <w:rsid w:val="00A36800"/>
    <w:rsid w:val="00A36ABE"/>
    <w:rsid w:val="00A36C70"/>
    <w:rsid w:val="00A36C8F"/>
    <w:rsid w:val="00A36CE4"/>
    <w:rsid w:val="00A36D47"/>
    <w:rsid w:val="00A36FC3"/>
    <w:rsid w:val="00A37999"/>
    <w:rsid w:val="00A379B7"/>
    <w:rsid w:val="00A37CFF"/>
    <w:rsid w:val="00A37E94"/>
    <w:rsid w:val="00A37FA7"/>
    <w:rsid w:val="00A37FAD"/>
    <w:rsid w:val="00A40263"/>
    <w:rsid w:val="00A40690"/>
    <w:rsid w:val="00A409AB"/>
    <w:rsid w:val="00A409FF"/>
    <w:rsid w:val="00A40CC9"/>
    <w:rsid w:val="00A4105D"/>
    <w:rsid w:val="00A41079"/>
    <w:rsid w:val="00A410C1"/>
    <w:rsid w:val="00A414B4"/>
    <w:rsid w:val="00A419EB"/>
    <w:rsid w:val="00A41A43"/>
    <w:rsid w:val="00A41A58"/>
    <w:rsid w:val="00A41A83"/>
    <w:rsid w:val="00A41CA7"/>
    <w:rsid w:val="00A423A4"/>
    <w:rsid w:val="00A42498"/>
    <w:rsid w:val="00A424CF"/>
    <w:rsid w:val="00A4279A"/>
    <w:rsid w:val="00A43417"/>
    <w:rsid w:val="00A43556"/>
    <w:rsid w:val="00A436F2"/>
    <w:rsid w:val="00A43928"/>
    <w:rsid w:val="00A43A81"/>
    <w:rsid w:val="00A43D24"/>
    <w:rsid w:val="00A44009"/>
    <w:rsid w:val="00A441D5"/>
    <w:rsid w:val="00A44412"/>
    <w:rsid w:val="00A446B2"/>
    <w:rsid w:val="00A447C9"/>
    <w:rsid w:val="00A448E9"/>
    <w:rsid w:val="00A44C65"/>
    <w:rsid w:val="00A44D6A"/>
    <w:rsid w:val="00A44DBF"/>
    <w:rsid w:val="00A451EA"/>
    <w:rsid w:val="00A4538C"/>
    <w:rsid w:val="00A45527"/>
    <w:rsid w:val="00A45987"/>
    <w:rsid w:val="00A45A16"/>
    <w:rsid w:val="00A45A35"/>
    <w:rsid w:val="00A45A64"/>
    <w:rsid w:val="00A45AA3"/>
    <w:rsid w:val="00A45B9B"/>
    <w:rsid w:val="00A45BD5"/>
    <w:rsid w:val="00A45C2F"/>
    <w:rsid w:val="00A45C30"/>
    <w:rsid w:val="00A4634F"/>
    <w:rsid w:val="00A46530"/>
    <w:rsid w:val="00A46B6A"/>
    <w:rsid w:val="00A46D04"/>
    <w:rsid w:val="00A46EDF"/>
    <w:rsid w:val="00A473CE"/>
    <w:rsid w:val="00A475B9"/>
    <w:rsid w:val="00A47687"/>
    <w:rsid w:val="00A47E2E"/>
    <w:rsid w:val="00A47F77"/>
    <w:rsid w:val="00A507F3"/>
    <w:rsid w:val="00A5087A"/>
    <w:rsid w:val="00A50981"/>
    <w:rsid w:val="00A50A50"/>
    <w:rsid w:val="00A50DDE"/>
    <w:rsid w:val="00A50ED2"/>
    <w:rsid w:val="00A51296"/>
    <w:rsid w:val="00A51435"/>
    <w:rsid w:val="00A51452"/>
    <w:rsid w:val="00A519EE"/>
    <w:rsid w:val="00A51C4C"/>
    <w:rsid w:val="00A51C4F"/>
    <w:rsid w:val="00A51F39"/>
    <w:rsid w:val="00A51FD2"/>
    <w:rsid w:val="00A52154"/>
    <w:rsid w:val="00A524EE"/>
    <w:rsid w:val="00A52670"/>
    <w:rsid w:val="00A52B8F"/>
    <w:rsid w:val="00A5347C"/>
    <w:rsid w:val="00A534BD"/>
    <w:rsid w:val="00A534E9"/>
    <w:rsid w:val="00A537AB"/>
    <w:rsid w:val="00A5397F"/>
    <w:rsid w:val="00A53FF8"/>
    <w:rsid w:val="00A5417C"/>
    <w:rsid w:val="00A543F2"/>
    <w:rsid w:val="00A54527"/>
    <w:rsid w:val="00A54C74"/>
    <w:rsid w:val="00A54F06"/>
    <w:rsid w:val="00A54F84"/>
    <w:rsid w:val="00A5503D"/>
    <w:rsid w:val="00A554E6"/>
    <w:rsid w:val="00A5585F"/>
    <w:rsid w:val="00A55E6B"/>
    <w:rsid w:val="00A55FEF"/>
    <w:rsid w:val="00A5611A"/>
    <w:rsid w:val="00A561B7"/>
    <w:rsid w:val="00A561EB"/>
    <w:rsid w:val="00A563BD"/>
    <w:rsid w:val="00A567EE"/>
    <w:rsid w:val="00A567F4"/>
    <w:rsid w:val="00A568AF"/>
    <w:rsid w:val="00A569A4"/>
    <w:rsid w:val="00A56A98"/>
    <w:rsid w:val="00A56D87"/>
    <w:rsid w:val="00A56DD2"/>
    <w:rsid w:val="00A56E3D"/>
    <w:rsid w:val="00A57146"/>
    <w:rsid w:val="00A5747C"/>
    <w:rsid w:val="00A576A1"/>
    <w:rsid w:val="00A57A55"/>
    <w:rsid w:val="00A60161"/>
    <w:rsid w:val="00A605F6"/>
    <w:rsid w:val="00A60AA2"/>
    <w:rsid w:val="00A60B0B"/>
    <w:rsid w:val="00A60BFF"/>
    <w:rsid w:val="00A60CAC"/>
    <w:rsid w:val="00A60F62"/>
    <w:rsid w:val="00A60F89"/>
    <w:rsid w:val="00A61071"/>
    <w:rsid w:val="00A61096"/>
    <w:rsid w:val="00A61223"/>
    <w:rsid w:val="00A61305"/>
    <w:rsid w:val="00A614E4"/>
    <w:rsid w:val="00A61519"/>
    <w:rsid w:val="00A61870"/>
    <w:rsid w:val="00A61934"/>
    <w:rsid w:val="00A61BCB"/>
    <w:rsid w:val="00A61D25"/>
    <w:rsid w:val="00A61DE3"/>
    <w:rsid w:val="00A62102"/>
    <w:rsid w:val="00A62234"/>
    <w:rsid w:val="00A623B6"/>
    <w:rsid w:val="00A6288B"/>
    <w:rsid w:val="00A62983"/>
    <w:rsid w:val="00A62C5A"/>
    <w:rsid w:val="00A6305A"/>
    <w:rsid w:val="00A639B7"/>
    <w:rsid w:val="00A63E95"/>
    <w:rsid w:val="00A640C4"/>
    <w:rsid w:val="00A65680"/>
    <w:rsid w:val="00A65890"/>
    <w:rsid w:val="00A65BD9"/>
    <w:rsid w:val="00A660BC"/>
    <w:rsid w:val="00A6667F"/>
    <w:rsid w:val="00A66710"/>
    <w:rsid w:val="00A669E8"/>
    <w:rsid w:val="00A66CA9"/>
    <w:rsid w:val="00A671B5"/>
    <w:rsid w:val="00A6728E"/>
    <w:rsid w:val="00A67477"/>
    <w:rsid w:val="00A675F5"/>
    <w:rsid w:val="00A67681"/>
    <w:rsid w:val="00A678A9"/>
    <w:rsid w:val="00A67A28"/>
    <w:rsid w:val="00A67E3C"/>
    <w:rsid w:val="00A67FD9"/>
    <w:rsid w:val="00A700E1"/>
    <w:rsid w:val="00A7019F"/>
    <w:rsid w:val="00A70306"/>
    <w:rsid w:val="00A703BF"/>
    <w:rsid w:val="00A7056B"/>
    <w:rsid w:val="00A70710"/>
    <w:rsid w:val="00A70822"/>
    <w:rsid w:val="00A70C0A"/>
    <w:rsid w:val="00A70DB6"/>
    <w:rsid w:val="00A70EBE"/>
    <w:rsid w:val="00A70EC3"/>
    <w:rsid w:val="00A70F63"/>
    <w:rsid w:val="00A70FDD"/>
    <w:rsid w:val="00A718CB"/>
    <w:rsid w:val="00A71A1F"/>
    <w:rsid w:val="00A71E96"/>
    <w:rsid w:val="00A71F01"/>
    <w:rsid w:val="00A71F02"/>
    <w:rsid w:val="00A7221A"/>
    <w:rsid w:val="00A7230E"/>
    <w:rsid w:val="00A72333"/>
    <w:rsid w:val="00A724EA"/>
    <w:rsid w:val="00A72513"/>
    <w:rsid w:val="00A727FE"/>
    <w:rsid w:val="00A72906"/>
    <w:rsid w:val="00A72A45"/>
    <w:rsid w:val="00A72AB4"/>
    <w:rsid w:val="00A72BC0"/>
    <w:rsid w:val="00A72F28"/>
    <w:rsid w:val="00A73079"/>
    <w:rsid w:val="00A730A4"/>
    <w:rsid w:val="00A735AC"/>
    <w:rsid w:val="00A7379B"/>
    <w:rsid w:val="00A73B4C"/>
    <w:rsid w:val="00A73BB3"/>
    <w:rsid w:val="00A742AB"/>
    <w:rsid w:val="00A74864"/>
    <w:rsid w:val="00A74D19"/>
    <w:rsid w:val="00A7535B"/>
    <w:rsid w:val="00A75719"/>
    <w:rsid w:val="00A75892"/>
    <w:rsid w:val="00A7594B"/>
    <w:rsid w:val="00A75F30"/>
    <w:rsid w:val="00A76274"/>
    <w:rsid w:val="00A7642D"/>
    <w:rsid w:val="00A76632"/>
    <w:rsid w:val="00A766A3"/>
    <w:rsid w:val="00A76DF2"/>
    <w:rsid w:val="00A77118"/>
    <w:rsid w:val="00A7757A"/>
    <w:rsid w:val="00A77920"/>
    <w:rsid w:val="00A77B6F"/>
    <w:rsid w:val="00A77BDB"/>
    <w:rsid w:val="00A77C90"/>
    <w:rsid w:val="00A77CF1"/>
    <w:rsid w:val="00A80259"/>
    <w:rsid w:val="00A8040E"/>
    <w:rsid w:val="00A80420"/>
    <w:rsid w:val="00A80790"/>
    <w:rsid w:val="00A80EB2"/>
    <w:rsid w:val="00A811C7"/>
    <w:rsid w:val="00A81612"/>
    <w:rsid w:val="00A817A4"/>
    <w:rsid w:val="00A81803"/>
    <w:rsid w:val="00A8180F"/>
    <w:rsid w:val="00A81B15"/>
    <w:rsid w:val="00A81B60"/>
    <w:rsid w:val="00A81EA0"/>
    <w:rsid w:val="00A81FE8"/>
    <w:rsid w:val="00A8267E"/>
    <w:rsid w:val="00A82A55"/>
    <w:rsid w:val="00A82A5A"/>
    <w:rsid w:val="00A82C75"/>
    <w:rsid w:val="00A8360C"/>
    <w:rsid w:val="00A83783"/>
    <w:rsid w:val="00A83A3F"/>
    <w:rsid w:val="00A83AE1"/>
    <w:rsid w:val="00A83C47"/>
    <w:rsid w:val="00A83CAB"/>
    <w:rsid w:val="00A84038"/>
    <w:rsid w:val="00A8413F"/>
    <w:rsid w:val="00A8435B"/>
    <w:rsid w:val="00A8438F"/>
    <w:rsid w:val="00A8480B"/>
    <w:rsid w:val="00A848F4"/>
    <w:rsid w:val="00A84B9C"/>
    <w:rsid w:val="00A84FA9"/>
    <w:rsid w:val="00A850C7"/>
    <w:rsid w:val="00A851AA"/>
    <w:rsid w:val="00A8523B"/>
    <w:rsid w:val="00A855CA"/>
    <w:rsid w:val="00A8582F"/>
    <w:rsid w:val="00A85856"/>
    <w:rsid w:val="00A85A61"/>
    <w:rsid w:val="00A85DF8"/>
    <w:rsid w:val="00A86218"/>
    <w:rsid w:val="00A86292"/>
    <w:rsid w:val="00A867B5"/>
    <w:rsid w:val="00A86846"/>
    <w:rsid w:val="00A86860"/>
    <w:rsid w:val="00A86880"/>
    <w:rsid w:val="00A868DD"/>
    <w:rsid w:val="00A869C4"/>
    <w:rsid w:val="00A86B0E"/>
    <w:rsid w:val="00A86CB8"/>
    <w:rsid w:val="00A8708A"/>
    <w:rsid w:val="00A87447"/>
    <w:rsid w:val="00A875A1"/>
    <w:rsid w:val="00A87699"/>
    <w:rsid w:val="00A87816"/>
    <w:rsid w:val="00A87978"/>
    <w:rsid w:val="00A87B25"/>
    <w:rsid w:val="00A87C54"/>
    <w:rsid w:val="00A88D24"/>
    <w:rsid w:val="00A905EF"/>
    <w:rsid w:val="00A908FF"/>
    <w:rsid w:val="00A90B37"/>
    <w:rsid w:val="00A90C62"/>
    <w:rsid w:val="00A90EBD"/>
    <w:rsid w:val="00A91076"/>
    <w:rsid w:val="00A912EA"/>
    <w:rsid w:val="00A91335"/>
    <w:rsid w:val="00A91748"/>
    <w:rsid w:val="00A918C5"/>
    <w:rsid w:val="00A919F5"/>
    <w:rsid w:val="00A91AAD"/>
    <w:rsid w:val="00A91B1E"/>
    <w:rsid w:val="00A91BF7"/>
    <w:rsid w:val="00A91DF3"/>
    <w:rsid w:val="00A91EF0"/>
    <w:rsid w:val="00A921F1"/>
    <w:rsid w:val="00A92253"/>
    <w:rsid w:val="00A92442"/>
    <w:rsid w:val="00A9250D"/>
    <w:rsid w:val="00A9270F"/>
    <w:rsid w:val="00A927BF"/>
    <w:rsid w:val="00A92AB5"/>
    <w:rsid w:val="00A933B2"/>
    <w:rsid w:val="00A934D1"/>
    <w:rsid w:val="00A936E7"/>
    <w:rsid w:val="00A9384E"/>
    <w:rsid w:val="00A93A23"/>
    <w:rsid w:val="00A93B1E"/>
    <w:rsid w:val="00A93DD3"/>
    <w:rsid w:val="00A94094"/>
    <w:rsid w:val="00A94485"/>
    <w:rsid w:val="00A94555"/>
    <w:rsid w:val="00A9476B"/>
    <w:rsid w:val="00A947D6"/>
    <w:rsid w:val="00A947E6"/>
    <w:rsid w:val="00A94829"/>
    <w:rsid w:val="00A94A66"/>
    <w:rsid w:val="00A94ABE"/>
    <w:rsid w:val="00A94AF4"/>
    <w:rsid w:val="00A94B2A"/>
    <w:rsid w:val="00A94BD4"/>
    <w:rsid w:val="00A94D73"/>
    <w:rsid w:val="00A94D96"/>
    <w:rsid w:val="00A94D97"/>
    <w:rsid w:val="00A94DC1"/>
    <w:rsid w:val="00A95285"/>
    <w:rsid w:val="00A953E2"/>
    <w:rsid w:val="00A95643"/>
    <w:rsid w:val="00A956B2"/>
    <w:rsid w:val="00A95B51"/>
    <w:rsid w:val="00A95DDA"/>
    <w:rsid w:val="00A95DE4"/>
    <w:rsid w:val="00A95FB2"/>
    <w:rsid w:val="00A96148"/>
    <w:rsid w:val="00A9627F"/>
    <w:rsid w:val="00A9644D"/>
    <w:rsid w:val="00A965D8"/>
    <w:rsid w:val="00A9677C"/>
    <w:rsid w:val="00A9681C"/>
    <w:rsid w:val="00A96D15"/>
    <w:rsid w:val="00A96D2E"/>
    <w:rsid w:val="00A97432"/>
    <w:rsid w:val="00A975E3"/>
    <w:rsid w:val="00A97688"/>
    <w:rsid w:val="00A97851"/>
    <w:rsid w:val="00A97EA3"/>
    <w:rsid w:val="00AA05BD"/>
    <w:rsid w:val="00AA06B5"/>
    <w:rsid w:val="00AA07B4"/>
    <w:rsid w:val="00AA0C43"/>
    <w:rsid w:val="00AA0CBD"/>
    <w:rsid w:val="00AA106C"/>
    <w:rsid w:val="00AA1192"/>
    <w:rsid w:val="00AA120F"/>
    <w:rsid w:val="00AA137C"/>
    <w:rsid w:val="00AA14D0"/>
    <w:rsid w:val="00AA1544"/>
    <w:rsid w:val="00AA1548"/>
    <w:rsid w:val="00AA1847"/>
    <w:rsid w:val="00AA1AD9"/>
    <w:rsid w:val="00AA1F52"/>
    <w:rsid w:val="00AA2352"/>
    <w:rsid w:val="00AA262D"/>
    <w:rsid w:val="00AA26FC"/>
    <w:rsid w:val="00AA284C"/>
    <w:rsid w:val="00AA31B5"/>
    <w:rsid w:val="00AA3250"/>
    <w:rsid w:val="00AA3712"/>
    <w:rsid w:val="00AA3932"/>
    <w:rsid w:val="00AA3A63"/>
    <w:rsid w:val="00AA3B78"/>
    <w:rsid w:val="00AA3BF7"/>
    <w:rsid w:val="00AA4021"/>
    <w:rsid w:val="00AA4127"/>
    <w:rsid w:val="00AA46DF"/>
    <w:rsid w:val="00AA4706"/>
    <w:rsid w:val="00AA47F2"/>
    <w:rsid w:val="00AA5114"/>
    <w:rsid w:val="00AA5246"/>
    <w:rsid w:val="00AA5567"/>
    <w:rsid w:val="00AA5813"/>
    <w:rsid w:val="00AA5826"/>
    <w:rsid w:val="00AA5956"/>
    <w:rsid w:val="00AA5C28"/>
    <w:rsid w:val="00AA5FC5"/>
    <w:rsid w:val="00AA6471"/>
    <w:rsid w:val="00AA6732"/>
    <w:rsid w:val="00AA68F4"/>
    <w:rsid w:val="00AA6B58"/>
    <w:rsid w:val="00AA6BD2"/>
    <w:rsid w:val="00AA7222"/>
    <w:rsid w:val="00AA7629"/>
    <w:rsid w:val="00AA79B3"/>
    <w:rsid w:val="00AA7ADF"/>
    <w:rsid w:val="00AA7D17"/>
    <w:rsid w:val="00AA7D1A"/>
    <w:rsid w:val="00AA7EDA"/>
    <w:rsid w:val="00AB0049"/>
    <w:rsid w:val="00AB03D3"/>
    <w:rsid w:val="00AB03F5"/>
    <w:rsid w:val="00AB069B"/>
    <w:rsid w:val="00AB0B2B"/>
    <w:rsid w:val="00AB0CEA"/>
    <w:rsid w:val="00AB0D56"/>
    <w:rsid w:val="00AB0ED4"/>
    <w:rsid w:val="00AB155A"/>
    <w:rsid w:val="00AB1799"/>
    <w:rsid w:val="00AB189B"/>
    <w:rsid w:val="00AB1BA4"/>
    <w:rsid w:val="00AB1DCF"/>
    <w:rsid w:val="00AB1DDF"/>
    <w:rsid w:val="00AB1F48"/>
    <w:rsid w:val="00AB24C8"/>
    <w:rsid w:val="00AB2574"/>
    <w:rsid w:val="00AB2797"/>
    <w:rsid w:val="00AB2AE1"/>
    <w:rsid w:val="00AB3162"/>
    <w:rsid w:val="00AB31A6"/>
    <w:rsid w:val="00AB3404"/>
    <w:rsid w:val="00AB350B"/>
    <w:rsid w:val="00AB367D"/>
    <w:rsid w:val="00AB3698"/>
    <w:rsid w:val="00AB36C7"/>
    <w:rsid w:val="00AB393F"/>
    <w:rsid w:val="00AB3C45"/>
    <w:rsid w:val="00AB3D56"/>
    <w:rsid w:val="00AB3EA2"/>
    <w:rsid w:val="00AB4338"/>
    <w:rsid w:val="00AB4BDA"/>
    <w:rsid w:val="00AB5083"/>
    <w:rsid w:val="00AB50C9"/>
    <w:rsid w:val="00AB52C5"/>
    <w:rsid w:val="00AB5A36"/>
    <w:rsid w:val="00AB5B8D"/>
    <w:rsid w:val="00AB65A2"/>
    <w:rsid w:val="00AB6805"/>
    <w:rsid w:val="00AB6C56"/>
    <w:rsid w:val="00AB6E26"/>
    <w:rsid w:val="00AB6E91"/>
    <w:rsid w:val="00AB6FC1"/>
    <w:rsid w:val="00AB7185"/>
    <w:rsid w:val="00AB71D1"/>
    <w:rsid w:val="00AB7618"/>
    <w:rsid w:val="00AB7D04"/>
    <w:rsid w:val="00AB7D40"/>
    <w:rsid w:val="00AB7E0C"/>
    <w:rsid w:val="00AC0189"/>
    <w:rsid w:val="00AC091E"/>
    <w:rsid w:val="00AC0AB8"/>
    <w:rsid w:val="00AC0C3C"/>
    <w:rsid w:val="00AC0D8B"/>
    <w:rsid w:val="00AC0F4A"/>
    <w:rsid w:val="00AC11DA"/>
    <w:rsid w:val="00AC17D9"/>
    <w:rsid w:val="00AC1BF2"/>
    <w:rsid w:val="00AC2729"/>
    <w:rsid w:val="00AC2768"/>
    <w:rsid w:val="00AC296B"/>
    <w:rsid w:val="00AC29C1"/>
    <w:rsid w:val="00AC29E7"/>
    <w:rsid w:val="00AC2A7C"/>
    <w:rsid w:val="00AC2CD5"/>
    <w:rsid w:val="00AC2FF7"/>
    <w:rsid w:val="00AC3152"/>
    <w:rsid w:val="00AC320D"/>
    <w:rsid w:val="00AC3248"/>
    <w:rsid w:val="00AC3CD6"/>
    <w:rsid w:val="00AC3D0F"/>
    <w:rsid w:val="00AC3DF7"/>
    <w:rsid w:val="00AC3FA5"/>
    <w:rsid w:val="00AC3FCB"/>
    <w:rsid w:val="00AC403B"/>
    <w:rsid w:val="00AC41F6"/>
    <w:rsid w:val="00AC4A46"/>
    <w:rsid w:val="00AC4B7A"/>
    <w:rsid w:val="00AC4D99"/>
    <w:rsid w:val="00AC51FC"/>
    <w:rsid w:val="00AC5256"/>
    <w:rsid w:val="00AC5ADE"/>
    <w:rsid w:val="00AC5DA9"/>
    <w:rsid w:val="00AC60D0"/>
    <w:rsid w:val="00AC6401"/>
    <w:rsid w:val="00AC6447"/>
    <w:rsid w:val="00AC6638"/>
    <w:rsid w:val="00AC678B"/>
    <w:rsid w:val="00AC67DE"/>
    <w:rsid w:val="00AC69AA"/>
    <w:rsid w:val="00AC6F54"/>
    <w:rsid w:val="00AC6F67"/>
    <w:rsid w:val="00AC7149"/>
    <w:rsid w:val="00AC720E"/>
    <w:rsid w:val="00AC722C"/>
    <w:rsid w:val="00AC73E9"/>
    <w:rsid w:val="00AC7564"/>
    <w:rsid w:val="00AC7681"/>
    <w:rsid w:val="00AC7A45"/>
    <w:rsid w:val="00AC7D04"/>
    <w:rsid w:val="00AC7EE0"/>
    <w:rsid w:val="00AD0513"/>
    <w:rsid w:val="00AD066A"/>
    <w:rsid w:val="00AD0BDC"/>
    <w:rsid w:val="00AD0DD9"/>
    <w:rsid w:val="00AD0FFA"/>
    <w:rsid w:val="00AD1021"/>
    <w:rsid w:val="00AD13F0"/>
    <w:rsid w:val="00AD17A9"/>
    <w:rsid w:val="00AD17D1"/>
    <w:rsid w:val="00AD1BC0"/>
    <w:rsid w:val="00AD1D2C"/>
    <w:rsid w:val="00AD1DAF"/>
    <w:rsid w:val="00AD20EB"/>
    <w:rsid w:val="00AD20F0"/>
    <w:rsid w:val="00AD2260"/>
    <w:rsid w:val="00AD24A7"/>
    <w:rsid w:val="00AD252C"/>
    <w:rsid w:val="00AD2780"/>
    <w:rsid w:val="00AD2928"/>
    <w:rsid w:val="00AD2E45"/>
    <w:rsid w:val="00AD2EC7"/>
    <w:rsid w:val="00AD3965"/>
    <w:rsid w:val="00AD3DFE"/>
    <w:rsid w:val="00AD3E33"/>
    <w:rsid w:val="00AD42F1"/>
    <w:rsid w:val="00AD44A1"/>
    <w:rsid w:val="00AD4C26"/>
    <w:rsid w:val="00AD52C5"/>
    <w:rsid w:val="00AD540C"/>
    <w:rsid w:val="00AD5ACA"/>
    <w:rsid w:val="00AD5F23"/>
    <w:rsid w:val="00AD60D5"/>
    <w:rsid w:val="00AD62A0"/>
    <w:rsid w:val="00AD63AD"/>
    <w:rsid w:val="00AD6865"/>
    <w:rsid w:val="00AD6A14"/>
    <w:rsid w:val="00AD6C35"/>
    <w:rsid w:val="00AD7221"/>
    <w:rsid w:val="00AD7332"/>
    <w:rsid w:val="00AD7477"/>
    <w:rsid w:val="00AD7886"/>
    <w:rsid w:val="00AD7920"/>
    <w:rsid w:val="00AD79AC"/>
    <w:rsid w:val="00AD7BEB"/>
    <w:rsid w:val="00AE01A3"/>
    <w:rsid w:val="00AE0207"/>
    <w:rsid w:val="00AE037A"/>
    <w:rsid w:val="00AE066A"/>
    <w:rsid w:val="00AE0760"/>
    <w:rsid w:val="00AE0790"/>
    <w:rsid w:val="00AE07CB"/>
    <w:rsid w:val="00AE09FE"/>
    <w:rsid w:val="00AE0B3B"/>
    <w:rsid w:val="00AE0F13"/>
    <w:rsid w:val="00AE1AE9"/>
    <w:rsid w:val="00AE1C55"/>
    <w:rsid w:val="00AE1D92"/>
    <w:rsid w:val="00AE1E82"/>
    <w:rsid w:val="00AE255D"/>
    <w:rsid w:val="00AE25C1"/>
    <w:rsid w:val="00AE25F3"/>
    <w:rsid w:val="00AE2795"/>
    <w:rsid w:val="00AE2819"/>
    <w:rsid w:val="00AE2A56"/>
    <w:rsid w:val="00AE2AB9"/>
    <w:rsid w:val="00AE2E0D"/>
    <w:rsid w:val="00AE2FAE"/>
    <w:rsid w:val="00AE2FDD"/>
    <w:rsid w:val="00AE32A8"/>
    <w:rsid w:val="00AE345F"/>
    <w:rsid w:val="00AE3884"/>
    <w:rsid w:val="00AE38BD"/>
    <w:rsid w:val="00AE3A1B"/>
    <w:rsid w:val="00AE4269"/>
    <w:rsid w:val="00AE4474"/>
    <w:rsid w:val="00AE46CE"/>
    <w:rsid w:val="00AE47EB"/>
    <w:rsid w:val="00AE48A9"/>
    <w:rsid w:val="00AE4F4A"/>
    <w:rsid w:val="00AE5312"/>
    <w:rsid w:val="00AE537E"/>
    <w:rsid w:val="00AE56E3"/>
    <w:rsid w:val="00AE5B57"/>
    <w:rsid w:val="00AE5E6D"/>
    <w:rsid w:val="00AE606E"/>
    <w:rsid w:val="00AE61CD"/>
    <w:rsid w:val="00AE63B1"/>
    <w:rsid w:val="00AE6443"/>
    <w:rsid w:val="00AE67C9"/>
    <w:rsid w:val="00AE67FE"/>
    <w:rsid w:val="00AE6920"/>
    <w:rsid w:val="00AE6B39"/>
    <w:rsid w:val="00AE6EFE"/>
    <w:rsid w:val="00AE71E1"/>
    <w:rsid w:val="00AE7332"/>
    <w:rsid w:val="00AE7647"/>
    <w:rsid w:val="00AE7831"/>
    <w:rsid w:val="00AE785E"/>
    <w:rsid w:val="00AE7991"/>
    <w:rsid w:val="00AE7B2D"/>
    <w:rsid w:val="00AF05A5"/>
    <w:rsid w:val="00AF06F5"/>
    <w:rsid w:val="00AF08D9"/>
    <w:rsid w:val="00AF09F2"/>
    <w:rsid w:val="00AF0A46"/>
    <w:rsid w:val="00AF0AF9"/>
    <w:rsid w:val="00AF0F45"/>
    <w:rsid w:val="00AF1278"/>
    <w:rsid w:val="00AF14A5"/>
    <w:rsid w:val="00AF1BDB"/>
    <w:rsid w:val="00AF1D62"/>
    <w:rsid w:val="00AF1FE1"/>
    <w:rsid w:val="00AF2115"/>
    <w:rsid w:val="00AF22C4"/>
    <w:rsid w:val="00AF2308"/>
    <w:rsid w:val="00AF2904"/>
    <w:rsid w:val="00AF2CCE"/>
    <w:rsid w:val="00AF2E66"/>
    <w:rsid w:val="00AF2EA5"/>
    <w:rsid w:val="00AF30B0"/>
    <w:rsid w:val="00AF31DF"/>
    <w:rsid w:val="00AF377B"/>
    <w:rsid w:val="00AF37AF"/>
    <w:rsid w:val="00AF37F2"/>
    <w:rsid w:val="00AF395D"/>
    <w:rsid w:val="00AF3A0B"/>
    <w:rsid w:val="00AF3BCD"/>
    <w:rsid w:val="00AF3C94"/>
    <w:rsid w:val="00AF3E04"/>
    <w:rsid w:val="00AF3EDC"/>
    <w:rsid w:val="00AF41B2"/>
    <w:rsid w:val="00AF41BB"/>
    <w:rsid w:val="00AF4394"/>
    <w:rsid w:val="00AF43FD"/>
    <w:rsid w:val="00AF4410"/>
    <w:rsid w:val="00AF45D9"/>
    <w:rsid w:val="00AF4931"/>
    <w:rsid w:val="00AF4B22"/>
    <w:rsid w:val="00AF4E0F"/>
    <w:rsid w:val="00AF4E30"/>
    <w:rsid w:val="00AF5132"/>
    <w:rsid w:val="00AF5833"/>
    <w:rsid w:val="00AF588D"/>
    <w:rsid w:val="00AF599B"/>
    <w:rsid w:val="00AF5B63"/>
    <w:rsid w:val="00AF5CBF"/>
    <w:rsid w:val="00AF5DE7"/>
    <w:rsid w:val="00AF5F1D"/>
    <w:rsid w:val="00AF6680"/>
    <w:rsid w:val="00AF6779"/>
    <w:rsid w:val="00AF6808"/>
    <w:rsid w:val="00AF6967"/>
    <w:rsid w:val="00AF7129"/>
    <w:rsid w:val="00AF71EA"/>
    <w:rsid w:val="00AF723F"/>
    <w:rsid w:val="00AF73EA"/>
    <w:rsid w:val="00AF75A7"/>
    <w:rsid w:val="00AF7A8F"/>
    <w:rsid w:val="00AF7BAA"/>
    <w:rsid w:val="00AF7C3E"/>
    <w:rsid w:val="00B0004C"/>
    <w:rsid w:val="00B00182"/>
    <w:rsid w:val="00B00194"/>
    <w:rsid w:val="00B00247"/>
    <w:rsid w:val="00B007EB"/>
    <w:rsid w:val="00B00996"/>
    <w:rsid w:val="00B00AC7"/>
    <w:rsid w:val="00B00EEB"/>
    <w:rsid w:val="00B011E9"/>
    <w:rsid w:val="00B0154F"/>
    <w:rsid w:val="00B01579"/>
    <w:rsid w:val="00B01697"/>
    <w:rsid w:val="00B017B3"/>
    <w:rsid w:val="00B01D23"/>
    <w:rsid w:val="00B01DF3"/>
    <w:rsid w:val="00B01F24"/>
    <w:rsid w:val="00B01F5E"/>
    <w:rsid w:val="00B02115"/>
    <w:rsid w:val="00B0217E"/>
    <w:rsid w:val="00B023FE"/>
    <w:rsid w:val="00B0245F"/>
    <w:rsid w:val="00B024C8"/>
    <w:rsid w:val="00B027BC"/>
    <w:rsid w:val="00B02B92"/>
    <w:rsid w:val="00B02CD1"/>
    <w:rsid w:val="00B02DBE"/>
    <w:rsid w:val="00B02DEE"/>
    <w:rsid w:val="00B02EC9"/>
    <w:rsid w:val="00B03156"/>
    <w:rsid w:val="00B0341F"/>
    <w:rsid w:val="00B035C6"/>
    <w:rsid w:val="00B0365D"/>
    <w:rsid w:val="00B036B3"/>
    <w:rsid w:val="00B0371F"/>
    <w:rsid w:val="00B0388E"/>
    <w:rsid w:val="00B03A5D"/>
    <w:rsid w:val="00B04199"/>
    <w:rsid w:val="00B04361"/>
    <w:rsid w:val="00B045DF"/>
    <w:rsid w:val="00B04A3F"/>
    <w:rsid w:val="00B04AB9"/>
    <w:rsid w:val="00B04D76"/>
    <w:rsid w:val="00B04ED4"/>
    <w:rsid w:val="00B053F1"/>
    <w:rsid w:val="00B05546"/>
    <w:rsid w:val="00B05903"/>
    <w:rsid w:val="00B05904"/>
    <w:rsid w:val="00B05938"/>
    <w:rsid w:val="00B05974"/>
    <w:rsid w:val="00B05AD5"/>
    <w:rsid w:val="00B05CA4"/>
    <w:rsid w:val="00B05CB3"/>
    <w:rsid w:val="00B05D5A"/>
    <w:rsid w:val="00B05DA7"/>
    <w:rsid w:val="00B05E40"/>
    <w:rsid w:val="00B05FF4"/>
    <w:rsid w:val="00B06096"/>
    <w:rsid w:val="00B062EA"/>
    <w:rsid w:val="00B06359"/>
    <w:rsid w:val="00B06550"/>
    <w:rsid w:val="00B0659E"/>
    <w:rsid w:val="00B06AAA"/>
    <w:rsid w:val="00B074B2"/>
    <w:rsid w:val="00B07590"/>
    <w:rsid w:val="00B075A9"/>
    <w:rsid w:val="00B0787D"/>
    <w:rsid w:val="00B07977"/>
    <w:rsid w:val="00B07B03"/>
    <w:rsid w:val="00B07ED8"/>
    <w:rsid w:val="00B07F5F"/>
    <w:rsid w:val="00B07F7C"/>
    <w:rsid w:val="00B10042"/>
    <w:rsid w:val="00B100EB"/>
    <w:rsid w:val="00B1027E"/>
    <w:rsid w:val="00B1029E"/>
    <w:rsid w:val="00B1044A"/>
    <w:rsid w:val="00B10891"/>
    <w:rsid w:val="00B10AE6"/>
    <w:rsid w:val="00B10B35"/>
    <w:rsid w:val="00B10CD3"/>
    <w:rsid w:val="00B10DDD"/>
    <w:rsid w:val="00B11137"/>
    <w:rsid w:val="00B11496"/>
    <w:rsid w:val="00B11CC0"/>
    <w:rsid w:val="00B11E0E"/>
    <w:rsid w:val="00B120A4"/>
    <w:rsid w:val="00B125FB"/>
    <w:rsid w:val="00B126C1"/>
    <w:rsid w:val="00B12D80"/>
    <w:rsid w:val="00B12F39"/>
    <w:rsid w:val="00B13073"/>
    <w:rsid w:val="00B13208"/>
    <w:rsid w:val="00B13646"/>
    <w:rsid w:val="00B1374D"/>
    <w:rsid w:val="00B13835"/>
    <w:rsid w:val="00B139DE"/>
    <w:rsid w:val="00B13AAD"/>
    <w:rsid w:val="00B14013"/>
    <w:rsid w:val="00B14124"/>
    <w:rsid w:val="00B14172"/>
    <w:rsid w:val="00B14743"/>
    <w:rsid w:val="00B1496C"/>
    <w:rsid w:val="00B14A5B"/>
    <w:rsid w:val="00B14F02"/>
    <w:rsid w:val="00B15235"/>
    <w:rsid w:val="00B152B7"/>
    <w:rsid w:val="00B1571C"/>
    <w:rsid w:val="00B15863"/>
    <w:rsid w:val="00B1592F"/>
    <w:rsid w:val="00B15A19"/>
    <w:rsid w:val="00B15A35"/>
    <w:rsid w:val="00B15B15"/>
    <w:rsid w:val="00B15B7F"/>
    <w:rsid w:val="00B15C71"/>
    <w:rsid w:val="00B15EAD"/>
    <w:rsid w:val="00B15F21"/>
    <w:rsid w:val="00B16093"/>
    <w:rsid w:val="00B1640C"/>
    <w:rsid w:val="00B165E4"/>
    <w:rsid w:val="00B16817"/>
    <w:rsid w:val="00B16A6F"/>
    <w:rsid w:val="00B16D83"/>
    <w:rsid w:val="00B17028"/>
    <w:rsid w:val="00B176BF"/>
    <w:rsid w:val="00B17895"/>
    <w:rsid w:val="00B17A64"/>
    <w:rsid w:val="00B17D48"/>
    <w:rsid w:val="00B17DC3"/>
    <w:rsid w:val="00B201AB"/>
    <w:rsid w:val="00B204CD"/>
    <w:rsid w:val="00B20989"/>
    <w:rsid w:val="00B20A4F"/>
    <w:rsid w:val="00B217F6"/>
    <w:rsid w:val="00B2184B"/>
    <w:rsid w:val="00B2186A"/>
    <w:rsid w:val="00B219EA"/>
    <w:rsid w:val="00B21AA0"/>
    <w:rsid w:val="00B21AE8"/>
    <w:rsid w:val="00B21BC4"/>
    <w:rsid w:val="00B21FB4"/>
    <w:rsid w:val="00B22380"/>
    <w:rsid w:val="00B22632"/>
    <w:rsid w:val="00B226C5"/>
    <w:rsid w:val="00B22758"/>
    <w:rsid w:val="00B228A9"/>
    <w:rsid w:val="00B2292D"/>
    <w:rsid w:val="00B22930"/>
    <w:rsid w:val="00B22BB0"/>
    <w:rsid w:val="00B22D67"/>
    <w:rsid w:val="00B22D83"/>
    <w:rsid w:val="00B23106"/>
    <w:rsid w:val="00B231E8"/>
    <w:rsid w:val="00B23215"/>
    <w:rsid w:val="00B23609"/>
    <w:rsid w:val="00B236C0"/>
    <w:rsid w:val="00B2373D"/>
    <w:rsid w:val="00B23795"/>
    <w:rsid w:val="00B23A2B"/>
    <w:rsid w:val="00B23AA7"/>
    <w:rsid w:val="00B23CCB"/>
    <w:rsid w:val="00B23CE8"/>
    <w:rsid w:val="00B244F6"/>
    <w:rsid w:val="00B24698"/>
    <w:rsid w:val="00B24703"/>
    <w:rsid w:val="00B2470C"/>
    <w:rsid w:val="00B247A7"/>
    <w:rsid w:val="00B24850"/>
    <w:rsid w:val="00B2487A"/>
    <w:rsid w:val="00B248C0"/>
    <w:rsid w:val="00B24DBB"/>
    <w:rsid w:val="00B2505E"/>
    <w:rsid w:val="00B25125"/>
    <w:rsid w:val="00B25244"/>
    <w:rsid w:val="00B2527C"/>
    <w:rsid w:val="00B252DC"/>
    <w:rsid w:val="00B254D9"/>
    <w:rsid w:val="00B2586A"/>
    <w:rsid w:val="00B25C3F"/>
    <w:rsid w:val="00B25CF7"/>
    <w:rsid w:val="00B25D0C"/>
    <w:rsid w:val="00B25EF0"/>
    <w:rsid w:val="00B25F6D"/>
    <w:rsid w:val="00B25F88"/>
    <w:rsid w:val="00B26090"/>
    <w:rsid w:val="00B2619A"/>
    <w:rsid w:val="00B26206"/>
    <w:rsid w:val="00B264EE"/>
    <w:rsid w:val="00B26507"/>
    <w:rsid w:val="00B26557"/>
    <w:rsid w:val="00B2657C"/>
    <w:rsid w:val="00B2670B"/>
    <w:rsid w:val="00B269F3"/>
    <w:rsid w:val="00B26A69"/>
    <w:rsid w:val="00B26EBB"/>
    <w:rsid w:val="00B27138"/>
    <w:rsid w:val="00B273CC"/>
    <w:rsid w:val="00B27589"/>
    <w:rsid w:val="00B277BE"/>
    <w:rsid w:val="00B27D31"/>
    <w:rsid w:val="00B27DD3"/>
    <w:rsid w:val="00B30099"/>
    <w:rsid w:val="00B30666"/>
    <w:rsid w:val="00B30EB3"/>
    <w:rsid w:val="00B31173"/>
    <w:rsid w:val="00B313A8"/>
    <w:rsid w:val="00B31556"/>
    <w:rsid w:val="00B31BDB"/>
    <w:rsid w:val="00B31E20"/>
    <w:rsid w:val="00B322F2"/>
    <w:rsid w:val="00B32349"/>
    <w:rsid w:val="00B32663"/>
    <w:rsid w:val="00B32DC3"/>
    <w:rsid w:val="00B330DE"/>
    <w:rsid w:val="00B33C5E"/>
    <w:rsid w:val="00B33DCE"/>
    <w:rsid w:val="00B344A9"/>
    <w:rsid w:val="00B3495E"/>
    <w:rsid w:val="00B34A61"/>
    <w:rsid w:val="00B34E14"/>
    <w:rsid w:val="00B3534A"/>
    <w:rsid w:val="00B3537E"/>
    <w:rsid w:val="00B353E3"/>
    <w:rsid w:val="00B356A9"/>
    <w:rsid w:val="00B3576C"/>
    <w:rsid w:val="00B35CB0"/>
    <w:rsid w:val="00B35CD7"/>
    <w:rsid w:val="00B35D27"/>
    <w:rsid w:val="00B35FB0"/>
    <w:rsid w:val="00B36A0E"/>
    <w:rsid w:val="00B36A1F"/>
    <w:rsid w:val="00B36A69"/>
    <w:rsid w:val="00B36B5F"/>
    <w:rsid w:val="00B36C2C"/>
    <w:rsid w:val="00B36EAD"/>
    <w:rsid w:val="00B37444"/>
    <w:rsid w:val="00B375E0"/>
    <w:rsid w:val="00B37D42"/>
    <w:rsid w:val="00B37F38"/>
    <w:rsid w:val="00B401D8"/>
    <w:rsid w:val="00B403DC"/>
    <w:rsid w:val="00B40665"/>
    <w:rsid w:val="00B40B51"/>
    <w:rsid w:val="00B40B97"/>
    <w:rsid w:val="00B40D7A"/>
    <w:rsid w:val="00B40E68"/>
    <w:rsid w:val="00B411EE"/>
    <w:rsid w:val="00B41582"/>
    <w:rsid w:val="00B418B7"/>
    <w:rsid w:val="00B41B2E"/>
    <w:rsid w:val="00B41E72"/>
    <w:rsid w:val="00B41F08"/>
    <w:rsid w:val="00B41FEA"/>
    <w:rsid w:val="00B41FF8"/>
    <w:rsid w:val="00B420AB"/>
    <w:rsid w:val="00B4212A"/>
    <w:rsid w:val="00B42176"/>
    <w:rsid w:val="00B42179"/>
    <w:rsid w:val="00B42396"/>
    <w:rsid w:val="00B424F2"/>
    <w:rsid w:val="00B42810"/>
    <w:rsid w:val="00B42A44"/>
    <w:rsid w:val="00B42A62"/>
    <w:rsid w:val="00B42D4B"/>
    <w:rsid w:val="00B42FCF"/>
    <w:rsid w:val="00B4311D"/>
    <w:rsid w:val="00B4318C"/>
    <w:rsid w:val="00B435D6"/>
    <w:rsid w:val="00B43AC7"/>
    <w:rsid w:val="00B43E1B"/>
    <w:rsid w:val="00B4482C"/>
    <w:rsid w:val="00B44977"/>
    <w:rsid w:val="00B44BB7"/>
    <w:rsid w:val="00B44D35"/>
    <w:rsid w:val="00B44D4D"/>
    <w:rsid w:val="00B4588C"/>
    <w:rsid w:val="00B45BDE"/>
    <w:rsid w:val="00B45DAA"/>
    <w:rsid w:val="00B45FEB"/>
    <w:rsid w:val="00B463BC"/>
    <w:rsid w:val="00B46400"/>
    <w:rsid w:val="00B46459"/>
    <w:rsid w:val="00B46653"/>
    <w:rsid w:val="00B46662"/>
    <w:rsid w:val="00B46BA5"/>
    <w:rsid w:val="00B46D20"/>
    <w:rsid w:val="00B46DE1"/>
    <w:rsid w:val="00B47240"/>
    <w:rsid w:val="00B47340"/>
    <w:rsid w:val="00B47420"/>
    <w:rsid w:val="00B47590"/>
    <w:rsid w:val="00B478FE"/>
    <w:rsid w:val="00B50453"/>
    <w:rsid w:val="00B504ED"/>
    <w:rsid w:val="00B5069F"/>
    <w:rsid w:val="00B5082F"/>
    <w:rsid w:val="00B50AA5"/>
    <w:rsid w:val="00B50D56"/>
    <w:rsid w:val="00B50DD5"/>
    <w:rsid w:val="00B5109A"/>
    <w:rsid w:val="00B51229"/>
    <w:rsid w:val="00B5132F"/>
    <w:rsid w:val="00B51380"/>
    <w:rsid w:val="00B51466"/>
    <w:rsid w:val="00B516DC"/>
    <w:rsid w:val="00B516FA"/>
    <w:rsid w:val="00B51913"/>
    <w:rsid w:val="00B51972"/>
    <w:rsid w:val="00B5266F"/>
    <w:rsid w:val="00B532AC"/>
    <w:rsid w:val="00B533CB"/>
    <w:rsid w:val="00B53ABB"/>
    <w:rsid w:val="00B53B6D"/>
    <w:rsid w:val="00B53E51"/>
    <w:rsid w:val="00B53FFF"/>
    <w:rsid w:val="00B5401B"/>
    <w:rsid w:val="00B547DD"/>
    <w:rsid w:val="00B54AEB"/>
    <w:rsid w:val="00B54C47"/>
    <w:rsid w:val="00B552F3"/>
    <w:rsid w:val="00B559A9"/>
    <w:rsid w:val="00B55BBA"/>
    <w:rsid w:val="00B55BF9"/>
    <w:rsid w:val="00B55D1A"/>
    <w:rsid w:val="00B55F39"/>
    <w:rsid w:val="00B56185"/>
    <w:rsid w:val="00B564E4"/>
    <w:rsid w:val="00B5678A"/>
    <w:rsid w:val="00B56900"/>
    <w:rsid w:val="00B56955"/>
    <w:rsid w:val="00B572BA"/>
    <w:rsid w:val="00B57789"/>
    <w:rsid w:val="00B5793D"/>
    <w:rsid w:val="00B57CF8"/>
    <w:rsid w:val="00B57D75"/>
    <w:rsid w:val="00B57F2B"/>
    <w:rsid w:val="00B57FA8"/>
    <w:rsid w:val="00B60750"/>
    <w:rsid w:val="00B608B6"/>
    <w:rsid w:val="00B609B9"/>
    <w:rsid w:val="00B60C9D"/>
    <w:rsid w:val="00B612DA"/>
    <w:rsid w:val="00B6135E"/>
    <w:rsid w:val="00B613C2"/>
    <w:rsid w:val="00B61449"/>
    <w:rsid w:val="00B614F1"/>
    <w:rsid w:val="00B618D0"/>
    <w:rsid w:val="00B619F2"/>
    <w:rsid w:val="00B61A66"/>
    <w:rsid w:val="00B61C7D"/>
    <w:rsid w:val="00B61D4C"/>
    <w:rsid w:val="00B61EB5"/>
    <w:rsid w:val="00B62160"/>
    <w:rsid w:val="00B62254"/>
    <w:rsid w:val="00B6247C"/>
    <w:rsid w:val="00B6272B"/>
    <w:rsid w:val="00B62B61"/>
    <w:rsid w:val="00B62BC7"/>
    <w:rsid w:val="00B62BED"/>
    <w:rsid w:val="00B62C3B"/>
    <w:rsid w:val="00B62E38"/>
    <w:rsid w:val="00B62E65"/>
    <w:rsid w:val="00B62F9B"/>
    <w:rsid w:val="00B62FF7"/>
    <w:rsid w:val="00B63089"/>
    <w:rsid w:val="00B632F9"/>
    <w:rsid w:val="00B638B4"/>
    <w:rsid w:val="00B638DD"/>
    <w:rsid w:val="00B63906"/>
    <w:rsid w:val="00B63986"/>
    <w:rsid w:val="00B63A40"/>
    <w:rsid w:val="00B63F9E"/>
    <w:rsid w:val="00B63FBD"/>
    <w:rsid w:val="00B63FF6"/>
    <w:rsid w:val="00B64144"/>
    <w:rsid w:val="00B64268"/>
    <w:rsid w:val="00B645FA"/>
    <w:rsid w:val="00B6471D"/>
    <w:rsid w:val="00B648FD"/>
    <w:rsid w:val="00B649EA"/>
    <w:rsid w:val="00B64E88"/>
    <w:rsid w:val="00B652CF"/>
    <w:rsid w:val="00B654EB"/>
    <w:rsid w:val="00B6567F"/>
    <w:rsid w:val="00B6599F"/>
    <w:rsid w:val="00B65D2F"/>
    <w:rsid w:val="00B65DEF"/>
    <w:rsid w:val="00B65E51"/>
    <w:rsid w:val="00B65F30"/>
    <w:rsid w:val="00B65F83"/>
    <w:rsid w:val="00B6618C"/>
    <w:rsid w:val="00B661F9"/>
    <w:rsid w:val="00B6639F"/>
    <w:rsid w:val="00B663AB"/>
    <w:rsid w:val="00B66413"/>
    <w:rsid w:val="00B6672D"/>
    <w:rsid w:val="00B66AAE"/>
    <w:rsid w:val="00B66B00"/>
    <w:rsid w:val="00B66DAB"/>
    <w:rsid w:val="00B66ECC"/>
    <w:rsid w:val="00B67225"/>
    <w:rsid w:val="00B673AB"/>
    <w:rsid w:val="00B676F0"/>
    <w:rsid w:val="00B679D0"/>
    <w:rsid w:val="00B67CD2"/>
    <w:rsid w:val="00B67D44"/>
    <w:rsid w:val="00B67F77"/>
    <w:rsid w:val="00B70435"/>
    <w:rsid w:val="00B70589"/>
    <w:rsid w:val="00B70F1E"/>
    <w:rsid w:val="00B7112A"/>
    <w:rsid w:val="00B718A6"/>
    <w:rsid w:val="00B718F7"/>
    <w:rsid w:val="00B71BA6"/>
    <w:rsid w:val="00B720FE"/>
    <w:rsid w:val="00B721A6"/>
    <w:rsid w:val="00B7227A"/>
    <w:rsid w:val="00B723A3"/>
    <w:rsid w:val="00B723CD"/>
    <w:rsid w:val="00B724E2"/>
    <w:rsid w:val="00B72743"/>
    <w:rsid w:val="00B728B6"/>
    <w:rsid w:val="00B728D7"/>
    <w:rsid w:val="00B729FF"/>
    <w:rsid w:val="00B72A7C"/>
    <w:rsid w:val="00B72AD9"/>
    <w:rsid w:val="00B72D63"/>
    <w:rsid w:val="00B72DF5"/>
    <w:rsid w:val="00B72F0E"/>
    <w:rsid w:val="00B72F4D"/>
    <w:rsid w:val="00B73004"/>
    <w:rsid w:val="00B730A5"/>
    <w:rsid w:val="00B73183"/>
    <w:rsid w:val="00B7318D"/>
    <w:rsid w:val="00B73A33"/>
    <w:rsid w:val="00B73FB8"/>
    <w:rsid w:val="00B7416D"/>
    <w:rsid w:val="00B7422F"/>
    <w:rsid w:val="00B74241"/>
    <w:rsid w:val="00B74406"/>
    <w:rsid w:val="00B7486A"/>
    <w:rsid w:val="00B74C2C"/>
    <w:rsid w:val="00B74C4F"/>
    <w:rsid w:val="00B74DBB"/>
    <w:rsid w:val="00B74F3E"/>
    <w:rsid w:val="00B74F83"/>
    <w:rsid w:val="00B75217"/>
    <w:rsid w:val="00B75485"/>
    <w:rsid w:val="00B75664"/>
    <w:rsid w:val="00B75699"/>
    <w:rsid w:val="00B75703"/>
    <w:rsid w:val="00B7586F"/>
    <w:rsid w:val="00B75AC3"/>
    <w:rsid w:val="00B75B42"/>
    <w:rsid w:val="00B75E09"/>
    <w:rsid w:val="00B75E76"/>
    <w:rsid w:val="00B75F9A"/>
    <w:rsid w:val="00B76236"/>
    <w:rsid w:val="00B762C0"/>
    <w:rsid w:val="00B76468"/>
    <w:rsid w:val="00B76481"/>
    <w:rsid w:val="00B767B0"/>
    <w:rsid w:val="00B7698B"/>
    <w:rsid w:val="00B76C49"/>
    <w:rsid w:val="00B76DC9"/>
    <w:rsid w:val="00B774DE"/>
    <w:rsid w:val="00B775D7"/>
    <w:rsid w:val="00B776C9"/>
    <w:rsid w:val="00B7799C"/>
    <w:rsid w:val="00B77B78"/>
    <w:rsid w:val="00B80117"/>
    <w:rsid w:val="00B80A39"/>
    <w:rsid w:val="00B80B44"/>
    <w:rsid w:val="00B80E54"/>
    <w:rsid w:val="00B81095"/>
    <w:rsid w:val="00B814EF"/>
    <w:rsid w:val="00B81530"/>
    <w:rsid w:val="00B81866"/>
    <w:rsid w:val="00B818B9"/>
    <w:rsid w:val="00B818DD"/>
    <w:rsid w:val="00B8190B"/>
    <w:rsid w:val="00B8191A"/>
    <w:rsid w:val="00B819F8"/>
    <w:rsid w:val="00B81DDB"/>
    <w:rsid w:val="00B81FC7"/>
    <w:rsid w:val="00B8203F"/>
    <w:rsid w:val="00B821BA"/>
    <w:rsid w:val="00B82274"/>
    <w:rsid w:val="00B826C7"/>
    <w:rsid w:val="00B82AF3"/>
    <w:rsid w:val="00B82DD1"/>
    <w:rsid w:val="00B82E17"/>
    <w:rsid w:val="00B8336D"/>
    <w:rsid w:val="00B83417"/>
    <w:rsid w:val="00B83569"/>
    <w:rsid w:val="00B83790"/>
    <w:rsid w:val="00B83DAF"/>
    <w:rsid w:val="00B84411"/>
    <w:rsid w:val="00B84472"/>
    <w:rsid w:val="00B847C2"/>
    <w:rsid w:val="00B849C4"/>
    <w:rsid w:val="00B84CC0"/>
    <w:rsid w:val="00B852E9"/>
    <w:rsid w:val="00B85455"/>
    <w:rsid w:val="00B8547E"/>
    <w:rsid w:val="00B856D0"/>
    <w:rsid w:val="00B85CF0"/>
    <w:rsid w:val="00B85F53"/>
    <w:rsid w:val="00B85F87"/>
    <w:rsid w:val="00B86239"/>
    <w:rsid w:val="00B86657"/>
    <w:rsid w:val="00B86897"/>
    <w:rsid w:val="00B868C8"/>
    <w:rsid w:val="00B86B05"/>
    <w:rsid w:val="00B86CB5"/>
    <w:rsid w:val="00B86E23"/>
    <w:rsid w:val="00B86EF6"/>
    <w:rsid w:val="00B8708F"/>
    <w:rsid w:val="00B87A07"/>
    <w:rsid w:val="00B90523"/>
    <w:rsid w:val="00B90C6E"/>
    <w:rsid w:val="00B90C82"/>
    <w:rsid w:val="00B913BD"/>
    <w:rsid w:val="00B915E9"/>
    <w:rsid w:val="00B91974"/>
    <w:rsid w:val="00B91AFB"/>
    <w:rsid w:val="00B91B8D"/>
    <w:rsid w:val="00B91E38"/>
    <w:rsid w:val="00B9224F"/>
    <w:rsid w:val="00B9232F"/>
    <w:rsid w:val="00B923D3"/>
    <w:rsid w:val="00B924FB"/>
    <w:rsid w:val="00B92B7F"/>
    <w:rsid w:val="00B932F8"/>
    <w:rsid w:val="00B933EF"/>
    <w:rsid w:val="00B93460"/>
    <w:rsid w:val="00B9352B"/>
    <w:rsid w:val="00B9383B"/>
    <w:rsid w:val="00B93935"/>
    <w:rsid w:val="00B93CCC"/>
    <w:rsid w:val="00B93CF9"/>
    <w:rsid w:val="00B93E43"/>
    <w:rsid w:val="00B94174"/>
    <w:rsid w:val="00B94185"/>
    <w:rsid w:val="00B942BB"/>
    <w:rsid w:val="00B94FB5"/>
    <w:rsid w:val="00B9568E"/>
    <w:rsid w:val="00B959E2"/>
    <w:rsid w:val="00B95BF8"/>
    <w:rsid w:val="00B95DBB"/>
    <w:rsid w:val="00B96263"/>
    <w:rsid w:val="00B96292"/>
    <w:rsid w:val="00B96784"/>
    <w:rsid w:val="00B96956"/>
    <w:rsid w:val="00B96B5E"/>
    <w:rsid w:val="00B970E6"/>
    <w:rsid w:val="00B9711A"/>
    <w:rsid w:val="00B9719B"/>
    <w:rsid w:val="00B971D3"/>
    <w:rsid w:val="00B97451"/>
    <w:rsid w:val="00B97513"/>
    <w:rsid w:val="00B97D03"/>
    <w:rsid w:val="00B97D23"/>
    <w:rsid w:val="00BA0239"/>
    <w:rsid w:val="00BA054C"/>
    <w:rsid w:val="00BA08AC"/>
    <w:rsid w:val="00BA0A06"/>
    <w:rsid w:val="00BA0A6C"/>
    <w:rsid w:val="00BA0ABA"/>
    <w:rsid w:val="00BA0EA1"/>
    <w:rsid w:val="00BA0F5B"/>
    <w:rsid w:val="00BA0F91"/>
    <w:rsid w:val="00BA13E5"/>
    <w:rsid w:val="00BA15D2"/>
    <w:rsid w:val="00BA1741"/>
    <w:rsid w:val="00BA17E1"/>
    <w:rsid w:val="00BA18FE"/>
    <w:rsid w:val="00BA1B7E"/>
    <w:rsid w:val="00BA1CF5"/>
    <w:rsid w:val="00BA1DF2"/>
    <w:rsid w:val="00BA27D2"/>
    <w:rsid w:val="00BA2AEB"/>
    <w:rsid w:val="00BA33C5"/>
    <w:rsid w:val="00BA3A1A"/>
    <w:rsid w:val="00BA3AD5"/>
    <w:rsid w:val="00BA3F5E"/>
    <w:rsid w:val="00BA4196"/>
    <w:rsid w:val="00BA41EC"/>
    <w:rsid w:val="00BA48C9"/>
    <w:rsid w:val="00BA4D3E"/>
    <w:rsid w:val="00BA50F5"/>
    <w:rsid w:val="00BA55D3"/>
    <w:rsid w:val="00BA5701"/>
    <w:rsid w:val="00BA5710"/>
    <w:rsid w:val="00BA59DF"/>
    <w:rsid w:val="00BA5BEE"/>
    <w:rsid w:val="00BA5DF6"/>
    <w:rsid w:val="00BA5E49"/>
    <w:rsid w:val="00BA5E89"/>
    <w:rsid w:val="00BA601C"/>
    <w:rsid w:val="00BA615A"/>
    <w:rsid w:val="00BA620E"/>
    <w:rsid w:val="00BA6FAA"/>
    <w:rsid w:val="00BA7196"/>
    <w:rsid w:val="00BA732C"/>
    <w:rsid w:val="00BA73F4"/>
    <w:rsid w:val="00BA7776"/>
    <w:rsid w:val="00BA7868"/>
    <w:rsid w:val="00BA786E"/>
    <w:rsid w:val="00BA7A0C"/>
    <w:rsid w:val="00BA7B3C"/>
    <w:rsid w:val="00BA7CEC"/>
    <w:rsid w:val="00BA7EF3"/>
    <w:rsid w:val="00BA7FDC"/>
    <w:rsid w:val="00BB02C8"/>
    <w:rsid w:val="00BB054D"/>
    <w:rsid w:val="00BB0A50"/>
    <w:rsid w:val="00BB0AF0"/>
    <w:rsid w:val="00BB0C34"/>
    <w:rsid w:val="00BB0E4F"/>
    <w:rsid w:val="00BB1019"/>
    <w:rsid w:val="00BB14CB"/>
    <w:rsid w:val="00BB15BA"/>
    <w:rsid w:val="00BB163D"/>
    <w:rsid w:val="00BB17E7"/>
    <w:rsid w:val="00BB1952"/>
    <w:rsid w:val="00BB1B01"/>
    <w:rsid w:val="00BB1B62"/>
    <w:rsid w:val="00BB1BDE"/>
    <w:rsid w:val="00BB1F02"/>
    <w:rsid w:val="00BB23CD"/>
    <w:rsid w:val="00BB244D"/>
    <w:rsid w:val="00BB2782"/>
    <w:rsid w:val="00BB2CAA"/>
    <w:rsid w:val="00BB2FE8"/>
    <w:rsid w:val="00BB3402"/>
    <w:rsid w:val="00BB342C"/>
    <w:rsid w:val="00BB3687"/>
    <w:rsid w:val="00BB38DB"/>
    <w:rsid w:val="00BB3D50"/>
    <w:rsid w:val="00BB4344"/>
    <w:rsid w:val="00BB4429"/>
    <w:rsid w:val="00BB4502"/>
    <w:rsid w:val="00BB493F"/>
    <w:rsid w:val="00BB5260"/>
    <w:rsid w:val="00BB57D6"/>
    <w:rsid w:val="00BB5D95"/>
    <w:rsid w:val="00BB6A9B"/>
    <w:rsid w:val="00BB7019"/>
    <w:rsid w:val="00BB70A0"/>
    <w:rsid w:val="00BB7114"/>
    <w:rsid w:val="00BB729B"/>
    <w:rsid w:val="00BB7418"/>
    <w:rsid w:val="00BB7E92"/>
    <w:rsid w:val="00BB7EE0"/>
    <w:rsid w:val="00BC0308"/>
    <w:rsid w:val="00BC06C0"/>
    <w:rsid w:val="00BC10AE"/>
    <w:rsid w:val="00BC1103"/>
    <w:rsid w:val="00BC127E"/>
    <w:rsid w:val="00BC12FA"/>
    <w:rsid w:val="00BC13D2"/>
    <w:rsid w:val="00BC1456"/>
    <w:rsid w:val="00BC1642"/>
    <w:rsid w:val="00BC1967"/>
    <w:rsid w:val="00BC19F0"/>
    <w:rsid w:val="00BC1B79"/>
    <w:rsid w:val="00BC1B96"/>
    <w:rsid w:val="00BC215F"/>
    <w:rsid w:val="00BC225F"/>
    <w:rsid w:val="00BC2983"/>
    <w:rsid w:val="00BC2988"/>
    <w:rsid w:val="00BC29FA"/>
    <w:rsid w:val="00BC2C0C"/>
    <w:rsid w:val="00BC2D08"/>
    <w:rsid w:val="00BC2D64"/>
    <w:rsid w:val="00BC31DE"/>
    <w:rsid w:val="00BC324B"/>
    <w:rsid w:val="00BC36AD"/>
    <w:rsid w:val="00BC3785"/>
    <w:rsid w:val="00BC38B5"/>
    <w:rsid w:val="00BC3930"/>
    <w:rsid w:val="00BC3F8F"/>
    <w:rsid w:val="00BC4675"/>
    <w:rsid w:val="00BC47F5"/>
    <w:rsid w:val="00BC4ADF"/>
    <w:rsid w:val="00BC4EFF"/>
    <w:rsid w:val="00BC4F13"/>
    <w:rsid w:val="00BC503B"/>
    <w:rsid w:val="00BC5092"/>
    <w:rsid w:val="00BC5588"/>
    <w:rsid w:val="00BC5884"/>
    <w:rsid w:val="00BC5AB7"/>
    <w:rsid w:val="00BC5CCF"/>
    <w:rsid w:val="00BC5FAE"/>
    <w:rsid w:val="00BC647E"/>
    <w:rsid w:val="00BC667B"/>
    <w:rsid w:val="00BC6CC7"/>
    <w:rsid w:val="00BC7386"/>
    <w:rsid w:val="00BC7515"/>
    <w:rsid w:val="00BC7808"/>
    <w:rsid w:val="00BC7812"/>
    <w:rsid w:val="00BC78E5"/>
    <w:rsid w:val="00BCB8BE"/>
    <w:rsid w:val="00BD0535"/>
    <w:rsid w:val="00BD07D8"/>
    <w:rsid w:val="00BD0C89"/>
    <w:rsid w:val="00BD0CC6"/>
    <w:rsid w:val="00BD0CEA"/>
    <w:rsid w:val="00BD0DAF"/>
    <w:rsid w:val="00BD120D"/>
    <w:rsid w:val="00BD1597"/>
    <w:rsid w:val="00BD1B34"/>
    <w:rsid w:val="00BD2224"/>
    <w:rsid w:val="00BD2290"/>
    <w:rsid w:val="00BD23E5"/>
    <w:rsid w:val="00BD25F6"/>
    <w:rsid w:val="00BD2680"/>
    <w:rsid w:val="00BD278D"/>
    <w:rsid w:val="00BD2909"/>
    <w:rsid w:val="00BD2A40"/>
    <w:rsid w:val="00BD2B02"/>
    <w:rsid w:val="00BD2B2F"/>
    <w:rsid w:val="00BD2C42"/>
    <w:rsid w:val="00BD2EA6"/>
    <w:rsid w:val="00BD30B1"/>
    <w:rsid w:val="00BD3415"/>
    <w:rsid w:val="00BD3AA4"/>
    <w:rsid w:val="00BD3B86"/>
    <w:rsid w:val="00BD3F64"/>
    <w:rsid w:val="00BD4529"/>
    <w:rsid w:val="00BD4926"/>
    <w:rsid w:val="00BD4E1A"/>
    <w:rsid w:val="00BD5022"/>
    <w:rsid w:val="00BD509F"/>
    <w:rsid w:val="00BD5296"/>
    <w:rsid w:val="00BD5514"/>
    <w:rsid w:val="00BD5B36"/>
    <w:rsid w:val="00BD5D51"/>
    <w:rsid w:val="00BD6196"/>
    <w:rsid w:val="00BD633B"/>
    <w:rsid w:val="00BD637A"/>
    <w:rsid w:val="00BD6928"/>
    <w:rsid w:val="00BD6B24"/>
    <w:rsid w:val="00BD6E58"/>
    <w:rsid w:val="00BD7109"/>
    <w:rsid w:val="00BD7267"/>
    <w:rsid w:val="00BD72AA"/>
    <w:rsid w:val="00BD748E"/>
    <w:rsid w:val="00BD74B6"/>
    <w:rsid w:val="00BD76A2"/>
    <w:rsid w:val="00BD7B51"/>
    <w:rsid w:val="00BD7E93"/>
    <w:rsid w:val="00BD7F14"/>
    <w:rsid w:val="00BD7F29"/>
    <w:rsid w:val="00BE01A8"/>
    <w:rsid w:val="00BE08EA"/>
    <w:rsid w:val="00BE0937"/>
    <w:rsid w:val="00BE0A19"/>
    <w:rsid w:val="00BE0E7D"/>
    <w:rsid w:val="00BE138D"/>
    <w:rsid w:val="00BE191D"/>
    <w:rsid w:val="00BE196D"/>
    <w:rsid w:val="00BE1E92"/>
    <w:rsid w:val="00BE202B"/>
    <w:rsid w:val="00BE2262"/>
    <w:rsid w:val="00BE22C6"/>
    <w:rsid w:val="00BE29B9"/>
    <w:rsid w:val="00BE29D5"/>
    <w:rsid w:val="00BE2D9A"/>
    <w:rsid w:val="00BE2E30"/>
    <w:rsid w:val="00BE2EE3"/>
    <w:rsid w:val="00BE2F37"/>
    <w:rsid w:val="00BE324B"/>
    <w:rsid w:val="00BE3604"/>
    <w:rsid w:val="00BE3977"/>
    <w:rsid w:val="00BE3FAD"/>
    <w:rsid w:val="00BE41A1"/>
    <w:rsid w:val="00BE4578"/>
    <w:rsid w:val="00BE4833"/>
    <w:rsid w:val="00BE4AC3"/>
    <w:rsid w:val="00BE4D6F"/>
    <w:rsid w:val="00BE4F68"/>
    <w:rsid w:val="00BE5139"/>
    <w:rsid w:val="00BE5356"/>
    <w:rsid w:val="00BE5429"/>
    <w:rsid w:val="00BE59EB"/>
    <w:rsid w:val="00BE5E56"/>
    <w:rsid w:val="00BE5F12"/>
    <w:rsid w:val="00BE6BA9"/>
    <w:rsid w:val="00BE6CE3"/>
    <w:rsid w:val="00BE6CF9"/>
    <w:rsid w:val="00BE7184"/>
    <w:rsid w:val="00BE75F5"/>
    <w:rsid w:val="00BE7A04"/>
    <w:rsid w:val="00BE7B8C"/>
    <w:rsid w:val="00BE7C33"/>
    <w:rsid w:val="00BE7D34"/>
    <w:rsid w:val="00BE7EE8"/>
    <w:rsid w:val="00BE7FF6"/>
    <w:rsid w:val="00BF0289"/>
    <w:rsid w:val="00BF03BE"/>
    <w:rsid w:val="00BF0A1F"/>
    <w:rsid w:val="00BF0AB9"/>
    <w:rsid w:val="00BF0C68"/>
    <w:rsid w:val="00BF0CC1"/>
    <w:rsid w:val="00BF0D29"/>
    <w:rsid w:val="00BF0D7B"/>
    <w:rsid w:val="00BF1324"/>
    <w:rsid w:val="00BF142A"/>
    <w:rsid w:val="00BF1CD7"/>
    <w:rsid w:val="00BF218C"/>
    <w:rsid w:val="00BF2436"/>
    <w:rsid w:val="00BF25EB"/>
    <w:rsid w:val="00BF2703"/>
    <w:rsid w:val="00BF286B"/>
    <w:rsid w:val="00BF28E8"/>
    <w:rsid w:val="00BF2B20"/>
    <w:rsid w:val="00BF2BE2"/>
    <w:rsid w:val="00BF3130"/>
    <w:rsid w:val="00BF336D"/>
    <w:rsid w:val="00BF3A27"/>
    <w:rsid w:val="00BF3A64"/>
    <w:rsid w:val="00BF3C5C"/>
    <w:rsid w:val="00BF3EC6"/>
    <w:rsid w:val="00BF460D"/>
    <w:rsid w:val="00BF4934"/>
    <w:rsid w:val="00BF4C6A"/>
    <w:rsid w:val="00BF4EEF"/>
    <w:rsid w:val="00BF57F5"/>
    <w:rsid w:val="00BF5A14"/>
    <w:rsid w:val="00BF6272"/>
    <w:rsid w:val="00BF65F9"/>
    <w:rsid w:val="00BF668A"/>
    <w:rsid w:val="00BF683A"/>
    <w:rsid w:val="00BF69AE"/>
    <w:rsid w:val="00BF71EA"/>
    <w:rsid w:val="00BF72D3"/>
    <w:rsid w:val="00BF7936"/>
    <w:rsid w:val="00BF7A66"/>
    <w:rsid w:val="00BF7C19"/>
    <w:rsid w:val="00BF7E78"/>
    <w:rsid w:val="00C0004D"/>
    <w:rsid w:val="00C00227"/>
    <w:rsid w:val="00C00316"/>
    <w:rsid w:val="00C00505"/>
    <w:rsid w:val="00C00851"/>
    <w:rsid w:val="00C00CA5"/>
    <w:rsid w:val="00C00DBF"/>
    <w:rsid w:val="00C01205"/>
    <w:rsid w:val="00C0169D"/>
    <w:rsid w:val="00C0170F"/>
    <w:rsid w:val="00C01C10"/>
    <w:rsid w:val="00C0209E"/>
    <w:rsid w:val="00C02257"/>
    <w:rsid w:val="00C023CD"/>
    <w:rsid w:val="00C027D9"/>
    <w:rsid w:val="00C02D7B"/>
    <w:rsid w:val="00C03133"/>
    <w:rsid w:val="00C038D7"/>
    <w:rsid w:val="00C03C6D"/>
    <w:rsid w:val="00C0415F"/>
    <w:rsid w:val="00C042E0"/>
    <w:rsid w:val="00C043E3"/>
    <w:rsid w:val="00C04467"/>
    <w:rsid w:val="00C04585"/>
    <w:rsid w:val="00C0484B"/>
    <w:rsid w:val="00C0497D"/>
    <w:rsid w:val="00C04F67"/>
    <w:rsid w:val="00C052B3"/>
    <w:rsid w:val="00C0541C"/>
    <w:rsid w:val="00C054D5"/>
    <w:rsid w:val="00C05854"/>
    <w:rsid w:val="00C05CC1"/>
    <w:rsid w:val="00C06060"/>
    <w:rsid w:val="00C062F9"/>
    <w:rsid w:val="00C06BAB"/>
    <w:rsid w:val="00C06C84"/>
    <w:rsid w:val="00C06DA7"/>
    <w:rsid w:val="00C06F81"/>
    <w:rsid w:val="00C06FF6"/>
    <w:rsid w:val="00C07021"/>
    <w:rsid w:val="00C07267"/>
    <w:rsid w:val="00C0747C"/>
    <w:rsid w:val="00C074D5"/>
    <w:rsid w:val="00C074FC"/>
    <w:rsid w:val="00C07D09"/>
    <w:rsid w:val="00C07E33"/>
    <w:rsid w:val="00C07F2D"/>
    <w:rsid w:val="00C07F4D"/>
    <w:rsid w:val="00C10437"/>
    <w:rsid w:val="00C10510"/>
    <w:rsid w:val="00C10614"/>
    <w:rsid w:val="00C10C9C"/>
    <w:rsid w:val="00C10DC4"/>
    <w:rsid w:val="00C11304"/>
    <w:rsid w:val="00C11429"/>
    <w:rsid w:val="00C114D2"/>
    <w:rsid w:val="00C11529"/>
    <w:rsid w:val="00C11690"/>
    <w:rsid w:val="00C11926"/>
    <w:rsid w:val="00C11EC5"/>
    <w:rsid w:val="00C11FC3"/>
    <w:rsid w:val="00C120C8"/>
    <w:rsid w:val="00C12282"/>
    <w:rsid w:val="00C127C7"/>
    <w:rsid w:val="00C12836"/>
    <w:rsid w:val="00C1290B"/>
    <w:rsid w:val="00C12D0E"/>
    <w:rsid w:val="00C131B0"/>
    <w:rsid w:val="00C137CB"/>
    <w:rsid w:val="00C13BD9"/>
    <w:rsid w:val="00C13BDB"/>
    <w:rsid w:val="00C13BE8"/>
    <w:rsid w:val="00C13D13"/>
    <w:rsid w:val="00C13E13"/>
    <w:rsid w:val="00C141D3"/>
    <w:rsid w:val="00C147DA"/>
    <w:rsid w:val="00C147F4"/>
    <w:rsid w:val="00C14922"/>
    <w:rsid w:val="00C14A2F"/>
    <w:rsid w:val="00C14D16"/>
    <w:rsid w:val="00C14F1F"/>
    <w:rsid w:val="00C14FA2"/>
    <w:rsid w:val="00C154C7"/>
    <w:rsid w:val="00C158B5"/>
    <w:rsid w:val="00C15A45"/>
    <w:rsid w:val="00C15DCA"/>
    <w:rsid w:val="00C15E3E"/>
    <w:rsid w:val="00C1627E"/>
    <w:rsid w:val="00C166DC"/>
    <w:rsid w:val="00C16965"/>
    <w:rsid w:val="00C16C03"/>
    <w:rsid w:val="00C16D11"/>
    <w:rsid w:val="00C16D63"/>
    <w:rsid w:val="00C16E02"/>
    <w:rsid w:val="00C17478"/>
    <w:rsid w:val="00C17609"/>
    <w:rsid w:val="00C17690"/>
    <w:rsid w:val="00C17C37"/>
    <w:rsid w:val="00C17EC2"/>
    <w:rsid w:val="00C20031"/>
    <w:rsid w:val="00C20278"/>
    <w:rsid w:val="00C202D8"/>
    <w:rsid w:val="00C2030A"/>
    <w:rsid w:val="00C2086A"/>
    <w:rsid w:val="00C208C5"/>
    <w:rsid w:val="00C20C15"/>
    <w:rsid w:val="00C210A9"/>
    <w:rsid w:val="00C210FD"/>
    <w:rsid w:val="00C2130E"/>
    <w:rsid w:val="00C214A2"/>
    <w:rsid w:val="00C215C1"/>
    <w:rsid w:val="00C216E4"/>
    <w:rsid w:val="00C218E1"/>
    <w:rsid w:val="00C219C4"/>
    <w:rsid w:val="00C21A45"/>
    <w:rsid w:val="00C21AAF"/>
    <w:rsid w:val="00C21CF1"/>
    <w:rsid w:val="00C223B6"/>
    <w:rsid w:val="00C22503"/>
    <w:rsid w:val="00C229E2"/>
    <w:rsid w:val="00C22BF7"/>
    <w:rsid w:val="00C22C00"/>
    <w:rsid w:val="00C22CA3"/>
    <w:rsid w:val="00C23303"/>
    <w:rsid w:val="00C2339C"/>
    <w:rsid w:val="00C2346F"/>
    <w:rsid w:val="00C23851"/>
    <w:rsid w:val="00C23FD1"/>
    <w:rsid w:val="00C24438"/>
    <w:rsid w:val="00C245D2"/>
    <w:rsid w:val="00C246CE"/>
    <w:rsid w:val="00C246F4"/>
    <w:rsid w:val="00C24EEB"/>
    <w:rsid w:val="00C25435"/>
    <w:rsid w:val="00C259EB"/>
    <w:rsid w:val="00C25E3A"/>
    <w:rsid w:val="00C260B4"/>
    <w:rsid w:val="00C26224"/>
    <w:rsid w:val="00C266AC"/>
    <w:rsid w:val="00C267E8"/>
    <w:rsid w:val="00C26873"/>
    <w:rsid w:val="00C269F7"/>
    <w:rsid w:val="00C26B4E"/>
    <w:rsid w:val="00C27197"/>
    <w:rsid w:val="00C2776F"/>
    <w:rsid w:val="00C2785E"/>
    <w:rsid w:val="00C27A2B"/>
    <w:rsid w:val="00C27AD9"/>
    <w:rsid w:val="00C27CFD"/>
    <w:rsid w:val="00C27DA9"/>
    <w:rsid w:val="00C302F5"/>
    <w:rsid w:val="00C30360"/>
    <w:rsid w:val="00C30390"/>
    <w:rsid w:val="00C30475"/>
    <w:rsid w:val="00C3050D"/>
    <w:rsid w:val="00C30524"/>
    <w:rsid w:val="00C30679"/>
    <w:rsid w:val="00C30BB2"/>
    <w:rsid w:val="00C30EC8"/>
    <w:rsid w:val="00C311CC"/>
    <w:rsid w:val="00C31596"/>
    <w:rsid w:val="00C31881"/>
    <w:rsid w:val="00C32D00"/>
    <w:rsid w:val="00C32F11"/>
    <w:rsid w:val="00C33197"/>
    <w:rsid w:val="00C3330D"/>
    <w:rsid w:val="00C3359E"/>
    <w:rsid w:val="00C33BEC"/>
    <w:rsid w:val="00C33D7B"/>
    <w:rsid w:val="00C34323"/>
    <w:rsid w:val="00C34416"/>
    <w:rsid w:val="00C34625"/>
    <w:rsid w:val="00C34643"/>
    <w:rsid w:val="00C3466E"/>
    <w:rsid w:val="00C3487E"/>
    <w:rsid w:val="00C34938"/>
    <w:rsid w:val="00C349B4"/>
    <w:rsid w:val="00C34B33"/>
    <w:rsid w:val="00C34B7F"/>
    <w:rsid w:val="00C34CDA"/>
    <w:rsid w:val="00C34D19"/>
    <w:rsid w:val="00C34EB3"/>
    <w:rsid w:val="00C35296"/>
    <w:rsid w:val="00C354F7"/>
    <w:rsid w:val="00C35510"/>
    <w:rsid w:val="00C356E6"/>
    <w:rsid w:val="00C35771"/>
    <w:rsid w:val="00C36076"/>
    <w:rsid w:val="00C36207"/>
    <w:rsid w:val="00C363AC"/>
    <w:rsid w:val="00C363D1"/>
    <w:rsid w:val="00C36716"/>
    <w:rsid w:val="00C36758"/>
    <w:rsid w:val="00C367AC"/>
    <w:rsid w:val="00C36924"/>
    <w:rsid w:val="00C3693C"/>
    <w:rsid w:val="00C36993"/>
    <w:rsid w:val="00C36A51"/>
    <w:rsid w:val="00C36B06"/>
    <w:rsid w:val="00C36BA9"/>
    <w:rsid w:val="00C36C3C"/>
    <w:rsid w:val="00C36E4A"/>
    <w:rsid w:val="00C36FF7"/>
    <w:rsid w:val="00C37461"/>
    <w:rsid w:val="00C40048"/>
    <w:rsid w:val="00C409F6"/>
    <w:rsid w:val="00C40A95"/>
    <w:rsid w:val="00C40AC2"/>
    <w:rsid w:val="00C40D02"/>
    <w:rsid w:val="00C411D9"/>
    <w:rsid w:val="00C411FD"/>
    <w:rsid w:val="00C4138B"/>
    <w:rsid w:val="00C41551"/>
    <w:rsid w:val="00C415B3"/>
    <w:rsid w:val="00C41662"/>
    <w:rsid w:val="00C418A9"/>
    <w:rsid w:val="00C41988"/>
    <w:rsid w:val="00C41A8C"/>
    <w:rsid w:val="00C41AEF"/>
    <w:rsid w:val="00C41B93"/>
    <w:rsid w:val="00C41D43"/>
    <w:rsid w:val="00C427C0"/>
    <w:rsid w:val="00C428F0"/>
    <w:rsid w:val="00C429FA"/>
    <w:rsid w:val="00C42A83"/>
    <w:rsid w:val="00C42C3C"/>
    <w:rsid w:val="00C43345"/>
    <w:rsid w:val="00C43349"/>
    <w:rsid w:val="00C4334D"/>
    <w:rsid w:val="00C433A7"/>
    <w:rsid w:val="00C4349F"/>
    <w:rsid w:val="00C4370A"/>
    <w:rsid w:val="00C43E65"/>
    <w:rsid w:val="00C44357"/>
    <w:rsid w:val="00C44543"/>
    <w:rsid w:val="00C44581"/>
    <w:rsid w:val="00C44683"/>
    <w:rsid w:val="00C448E1"/>
    <w:rsid w:val="00C44D18"/>
    <w:rsid w:val="00C44F54"/>
    <w:rsid w:val="00C4556A"/>
    <w:rsid w:val="00C455DB"/>
    <w:rsid w:val="00C45864"/>
    <w:rsid w:val="00C45912"/>
    <w:rsid w:val="00C45990"/>
    <w:rsid w:val="00C45AA0"/>
    <w:rsid w:val="00C45ACD"/>
    <w:rsid w:val="00C45D48"/>
    <w:rsid w:val="00C45E3A"/>
    <w:rsid w:val="00C45E80"/>
    <w:rsid w:val="00C45F87"/>
    <w:rsid w:val="00C4606D"/>
    <w:rsid w:val="00C46098"/>
    <w:rsid w:val="00C46BE3"/>
    <w:rsid w:val="00C46C3B"/>
    <w:rsid w:val="00C46C6E"/>
    <w:rsid w:val="00C46F28"/>
    <w:rsid w:val="00C472BF"/>
    <w:rsid w:val="00C47608"/>
    <w:rsid w:val="00C47731"/>
    <w:rsid w:val="00C478D3"/>
    <w:rsid w:val="00C479B1"/>
    <w:rsid w:val="00C47B54"/>
    <w:rsid w:val="00C47BAA"/>
    <w:rsid w:val="00C47EF4"/>
    <w:rsid w:val="00C50243"/>
    <w:rsid w:val="00C50479"/>
    <w:rsid w:val="00C506ED"/>
    <w:rsid w:val="00C50707"/>
    <w:rsid w:val="00C5092F"/>
    <w:rsid w:val="00C509E8"/>
    <w:rsid w:val="00C50C1B"/>
    <w:rsid w:val="00C50E3A"/>
    <w:rsid w:val="00C50F72"/>
    <w:rsid w:val="00C510F2"/>
    <w:rsid w:val="00C5120C"/>
    <w:rsid w:val="00C514ED"/>
    <w:rsid w:val="00C51517"/>
    <w:rsid w:val="00C516EE"/>
    <w:rsid w:val="00C517EA"/>
    <w:rsid w:val="00C517F0"/>
    <w:rsid w:val="00C519A8"/>
    <w:rsid w:val="00C519E4"/>
    <w:rsid w:val="00C51BBA"/>
    <w:rsid w:val="00C51D67"/>
    <w:rsid w:val="00C52077"/>
    <w:rsid w:val="00C521AB"/>
    <w:rsid w:val="00C52301"/>
    <w:rsid w:val="00C523C8"/>
    <w:rsid w:val="00C52426"/>
    <w:rsid w:val="00C52566"/>
    <w:rsid w:val="00C52843"/>
    <w:rsid w:val="00C52941"/>
    <w:rsid w:val="00C5295D"/>
    <w:rsid w:val="00C52D21"/>
    <w:rsid w:val="00C53134"/>
    <w:rsid w:val="00C531DE"/>
    <w:rsid w:val="00C5353D"/>
    <w:rsid w:val="00C536F2"/>
    <w:rsid w:val="00C537B2"/>
    <w:rsid w:val="00C53EDB"/>
    <w:rsid w:val="00C54014"/>
    <w:rsid w:val="00C5435F"/>
    <w:rsid w:val="00C546CB"/>
    <w:rsid w:val="00C54A19"/>
    <w:rsid w:val="00C553BC"/>
    <w:rsid w:val="00C55EFA"/>
    <w:rsid w:val="00C55FDB"/>
    <w:rsid w:val="00C561AC"/>
    <w:rsid w:val="00C561D7"/>
    <w:rsid w:val="00C56262"/>
    <w:rsid w:val="00C562BC"/>
    <w:rsid w:val="00C5638D"/>
    <w:rsid w:val="00C563B0"/>
    <w:rsid w:val="00C565B2"/>
    <w:rsid w:val="00C5660F"/>
    <w:rsid w:val="00C5688B"/>
    <w:rsid w:val="00C56891"/>
    <w:rsid w:val="00C56ADB"/>
    <w:rsid w:val="00C56CC4"/>
    <w:rsid w:val="00C57115"/>
    <w:rsid w:val="00C57384"/>
    <w:rsid w:val="00C57539"/>
    <w:rsid w:val="00C5755B"/>
    <w:rsid w:val="00C57B2E"/>
    <w:rsid w:val="00C57CC4"/>
    <w:rsid w:val="00C57E7C"/>
    <w:rsid w:val="00C6026B"/>
    <w:rsid w:val="00C60B62"/>
    <w:rsid w:val="00C60D3C"/>
    <w:rsid w:val="00C61159"/>
    <w:rsid w:val="00C611AD"/>
    <w:rsid w:val="00C61239"/>
    <w:rsid w:val="00C61270"/>
    <w:rsid w:val="00C61281"/>
    <w:rsid w:val="00C612CF"/>
    <w:rsid w:val="00C61899"/>
    <w:rsid w:val="00C61964"/>
    <w:rsid w:val="00C61B32"/>
    <w:rsid w:val="00C61E26"/>
    <w:rsid w:val="00C61FC0"/>
    <w:rsid w:val="00C620CB"/>
    <w:rsid w:val="00C621FA"/>
    <w:rsid w:val="00C6226F"/>
    <w:rsid w:val="00C6245A"/>
    <w:rsid w:val="00C62966"/>
    <w:rsid w:val="00C629D6"/>
    <w:rsid w:val="00C62CCE"/>
    <w:rsid w:val="00C62D80"/>
    <w:rsid w:val="00C62E3F"/>
    <w:rsid w:val="00C630C8"/>
    <w:rsid w:val="00C63117"/>
    <w:rsid w:val="00C634E1"/>
    <w:rsid w:val="00C6367E"/>
    <w:rsid w:val="00C636EC"/>
    <w:rsid w:val="00C63AF2"/>
    <w:rsid w:val="00C64069"/>
    <w:rsid w:val="00C6409D"/>
    <w:rsid w:val="00C64139"/>
    <w:rsid w:val="00C6435E"/>
    <w:rsid w:val="00C64402"/>
    <w:rsid w:val="00C645E3"/>
    <w:rsid w:val="00C64679"/>
    <w:rsid w:val="00C6485E"/>
    <w:rsid w:val="00C64A60"/>
    <w:rsid w:val="00C64AF3"/>
    <w:rsid w:val="00C64C63"/>
    <w:rsid w:val="00C64CE9"/>
    <w:rsid w:val="00C651BB"/>
    <w:rsid w:val="00C65401"/>
    <w:rsid w:val="00C6553D"/>
    <w:rsid w:val="00C65738"/>
    <w:rsid w:val="00C65FB5"/>
    <w:rsid w:val="00C66237"/>
    <w:rsid w:val="00C66580"/>
    <w:rsid w:val="00C66725"/>
    <w:rsid w:val="00C6672A"/>
    <w:rsid w:val="00C66978"/>
    <w:rsid w:val="00C66E01"/>
    <w:rsid w:val="00C66F53"/>
    <w:rsid w:val="00C671BA"/>
    <w:rsid w:val="00C67373"/>
    <w:rsid w:val="00C67860"/>
    <w:rsid w:val="00C67C16"/>
    <w:rsid w:val="00C67E3F"/>
    <w:rsid w:val="00C67F8C"/>
    <w:rsid w:val="00C70276"/>
    <w:rsid w:val="00C7033D"/>
    <w:rsid w:val="00C70625"/>
    <w:rsid w:val="00C70B26"/>
    <w:rsid w:val="00C70B70"/>
    <w:rsid w:val="00C70CFA"/>
    <w:rsid w:val="00C71111"/>
    <w:rsid w:val="00C7122F"/>
    <w:rsid w:val="00C71362"/>
    <w:rsid w:val="00C71455"/>
    <w:rsid w:val="00C71552"/>
    <w:rsid w:val="00C715AC"/>
    <w:rsid w:val="00C71684"/>
    <w:rsid w:val="00C71797"/>
    <w:rsid w:val="00C719F7"/>
    <w:rsid w:val="00C71B89"/>
    <w:rsid w:val="00C71BED"/>
    <w:rsid w:val="00C71DA5"/>
    <w:rsid w:val="00C71FC3"/>
    <w:rsid w:val="00C71FF1"/>
    <w:rsid w:val="00C72441"/>
    <w:rsid w:val="00C724F7"/>
    <w:rsid w:val="00C725F6"/>
    <w:rsid w:val="00C7276A"/>
    <w:rsid w:val="00C7289F"/>
    <w:rsid w:val="00C72951"/>
    <w:rsid w:val="00C72C1E"/>
    <w:rsid w:val="00C72CE4"/>
    <w:rsid w:val="00C72CF7"/>
    <w:rsid w:val="00C73539"/>
    <w:rsid w:val="00C73557"/>
    <w:rsid w:val="00C7365E"/>
    <w:rsid w:val="00C73846"/>
    <w:rsid w:val="00C73AA7"/>
    <w:rsid w:val="00C73BE9"/>
    <w:rsid w:val="00C73EAD"/>
    <w:rsid w:val="00C740EC"/>
    <w:rsid w:val="00C74477"/>
    <w:rsid w:val="00C74A7C"/>
    <w:rsid w:val="00C74D40"/>
    <w:rsid w:val="00C751BB"/>
    <w:rsid w:val="00C7525A"/>
    <w:rsid w:val="00C75315"/>
    <w:rsid w:val="00C75671"/>
    <w:rsid w:val="00C7569A"/>
    <w:rsid w:val="00C75906"/>
    <w:rsid w:val="00C75E0E"/>
    <w:rsid w:val="00C75EED"/>
    <w:rsid w:val="00C75F15"/>
    <w:rsid w:val="00C7604B"/>
    <w:rsid w:val="00C761BD"/>
    <w:rsid w:val="00C761CE"/>
    <w:rsid w:val="00C764A8"/>
    <w:rsid w:val="00C76543"/>
    <w:rsid w:val="00C768DB"/>
    <w:rsid w:val="00C768F0"/>
    <w:rsid w:val="00C77073"/>
    <w:rsid w:val="00C772C5"/>
    <w:rsid w:val="00C773AD"/>
    <w:rsid w:val="00C773C7"/>
    <w:rsid w:val="00C774D8"/>
    <w:rsid w:val="00C77635"/>
    <w:rsid w:val="00C77B40"/>
    <w:rsid w:val="00C80201"/>
    <w:rsid w:val="00C80269"/>
    <w:rsid w:val="00C802A5"/>
    <w:rsid w:val="00C802ED"/>
    <w:rsid w:val="00C803B1"/>
    <w:rsid w:val="00C80679"/>
    <w:rsid w:val="00C80930"/>
    <w:rsid w:val="00C80A9C"/>
    <w:rsid w:val="00C811F3"/>
    <w:rsid w:val="00C81267"/>
    <w:rsid w:val="00C813D7"/>
    <w:rsid w:val="00C81A58"/>
    <w:rsid w:val="00C81ACA"/>
    <w:rsid w:val="00C81B45"/>
    <w:rsid w:val="00C81CBA"/>
    <w:rsid w:val="00C82BC2"/>
    <w:rsid w:val="00C82D32"/>
    <w:rsid w:val="00C82D71"/>
    <w:rsid w:val="00C83367"/>
    <w:rsid w:val="00C8358F"/>
    <w:rsid w:val="00C8377D"/>
    <w:rsid w:val="00C83873"/>
    <w:rsid w:val="00C83BDA"/>
    <w:rsid w:val="00C83DD6"/>
    <w:rsid w:val="00C83E18"/>
    <w:rsid w:val="00C83E99"/>
    <w:rsid w:val="00C83F01"/>
    <w:rsid w:val="00C84882"/>
    <w:rsid w:val="00C8495A"/>
    <w:rsid w:val="00C84B00"/>
    <w:rsid w:val="00C84C08"/>
    <w:rsid w:val="00C84E27"/>
    <w:rsid w:val="00C8505C"/>
    <w:rsid w:val="00C853C7"/>
    <w:rsid w:val="00C85485"/>
    <w:rsid w:val="00C859FD"/>
    <w:rsid w:val="00C85AB9"/>
    <w:rsid w:val="00C85D9D"/>
    <w:rsid w:val="00C860CA"/>
    <w:rsid w:val="00C8628C"/>
    <w:rsid w:val="00C86567"/>
    <w:rsid w:val="00C8657A"/>
    <w:rsid w:val="00C86830"/>
    <w:rsid w:val="00C869E0"/>
    <w:rsid w:val="00C869F3"/>
    <w:rsid w:val="00C86CA7"/>
    <w:rsid w:val="00C86D29"/>
    <w:rsid w:val="00C86DC8"/>
    <w:rsid w:val="00C86E79"/>
    <w:rsid w:val="00C871CF"/>
    <w:rsid w:val="00C872A7"/>
    <w:rsid w:val="00C8732A"/>
    <w:rsid w:val="00C874D4"/>
    <w:rsid w:val="00C8757A"/>
    <w:rsid w:val="00C87B4E"/>
    <w:rsid w:val="00C87EC2"/>
    <w:rsid w:val="00C90135"/>
    <w:rsid w:val="00C9054C"/>
    <w:rsid w:val="00C9059A"/>
    <w:rsid w:val="00C9111C"/>
    <w:rsid w:val="00C911AC"/>
    <w:rsid w:val="00C912F3"/>
    <w:rsid w:val="00C91460"/>
    <w:rsid w:val="00C915CD"/>
    <w:rsid w:val="00C915DE"/>
    <w:rsid w:val="00C91793"/>
    <w:rsid w:val="00C91809"/>
    <w:rsid w:val="00C91823"/>
    <w:rsid w:val="00C91886"/>
    <w:rsid w:val="00C919C0"/>
    <w:rsid w:val="00C91AB0"/>
    <w:rsid w:val="00C91BAD"/>
    <w:rsid w:val="00C91BEE"/>
    <w:rsid w:val="00C91C2E"/>
    <w:rsid w:val="00C9212F"/>
    <w:rsid w:val="00C92297"/>
    <w:rsid w:val="00C922ED"/>
    <w:rsid w:val="00C9281D"/>
    <w:rsid w:val="00C929F5"/>
    <w:rsid w:val="00C92C17"/>
    <w:rsid w:val="00C92FC1"/>
    <w:rsid w:val="00C93011"/>
    <w:rsid w:val="00C934BC"/>
    <w:rsid w:val="00C938E4"/>
    <w:rsid w:val="00C93A7A"/>
    <w:rsid w:val="00C93A87"/>
    <w:rsid w:val="00C94134"/>
    <w:rsid w:val="00C94257"/>
    <w:rsid w:val="00C9426C"/>
    <w:rsid w:val="00C947E2"/>
    <w:rsid w:val="00C94838"/>
    <w:rsid w:val="00C94DA2"/>
    <w:rsid w:val="00C9526A"/>
    <w:rsid w:val="00C955D6"/>
    <w:rsid w:val="00C9572B"/>
    <w:rsid w:val="00C962DB"/>
    <w:rsid w:val="00C96381"/>
    <w:rsid w:val="00C9647E"/>
    <w:rsid w:val="00C9648C"/>
    <w:rsid w:val="00C96621"/>
    <w:rsid w:val="00C96657"/>
    <w:rsid w:val="00C966C2"/>
    <w:rsid w:val="00C96C4D"/>
    <w:rsid w:val="00C96E3F"/>
    <w:rsid w:val="00C96EC5"/>
    <w:rsid w:val="00C9793A"/>
    <w:rsid w:val="00C97A5E"/>
    <w:rsid w:val="00C97ACB"/>
    <w:rsid w:val="00C97EFD"/>
    <w:rsid w:val="00C97FE8"/>
    <w:rsid w:val="00CA0369"/>
    <w:rsid w:val="00CA0395"/>
    <w:rsid w:val="00CA0A06"/>
    <w:rsid w:val="00CA0AF4"/>
    <w:rsid w:val="00CA0B30"/>
    <w:rsid w:val="00CA0C90"/>
    <w:rsid w:val="00CA0D20"/>
    <w:rsid w:val="00CA0D61"/>
    <w:rsid w:val="00CA0FE2"/>
    <w:rsid w:val="00CA1037"/>
    <w:rsid w:val="00CA1485"/>
    <w:rsid w:val="00CA194B"/>
    <w:rsid w:val="00CA1D17"/>
    <w:rsid w:val="00CA1EC2"/>
    <w:rsid w:val="00CA2017"/>
    <w:rsid w:val="00CA268E"/>
    <w:rsid w:val="00CA29C4"/>
    <w:rsid w:val="00CA2E21"/>
    <w:rsid w:val="00CA2F36"/>
    <w:rsid w:val="00CA2FD5"/>
    <w:rsid w:val="00CA300F"/>
    <w:rsid w:val="00CA3063"/>
    <w:rsid w:val="00CA349D"/>
    <w:rsid w:val="00CA3A29"/>
    <w:rsid w:val="00CA3B77"/>
    <w:rsid w:val="00CA3F62"/>
    <w:rsid w:val="00CA3FFF"/>
    <w:rsid w:val="00CA40BD"/>
    <w:rsid w:val="00CA4192"/>
    <w:rsid w:val="00CA41E3"/>
    <w:rsid w:val="00CA427F"/>
    <w:rsid w:val="00CA432F"/>
    <w:rsid w:val="00CA45F7"/>
    <w:rsid w:val="00CA4C10"/>
    <w:rsid w:val="00CA5246"/>
    <w:rsid w:val="00CA52DC"/>
    <w:rsid w:val="00CA536E"/>
    <w:rsid w:val="00CA5967"/>
    <w:rsid w:val="00CA5A6C"/>
    <w:rsid w:val="00CA5B63"/>
    <w:rsid w:val="00CA5BCA"/>
    <w:rsid w:val="00CA5CCB"/>
    <w:rsid w:val="00CA5F22"/>
    <w:rsid w:val="00CA605E"/>
    <w:rsid w:val="00CA65F8"/>
    <w:rsid w:val="00CA660A"/>
    <w:rsid w:val="00CA6712"/>
    <w:rsid w:val="00CA6ACB"/>
    <w:rsid w:val="00CA6D9D"/>
    <w:rsid w:val="00CA6DBD"/>
    <w:rsid w:val="00CA6FEC"/>
    <w:rsid w:val="00CA70E9"/>
    <w:rsid w:val="00CA71E9"/>
    <w:rsid w:val="00CA759F"/>
    <w:rsid w:val="00CA764D"/>
    <w:rsid w:val="00CA7837"/>
    <w:rsid w:val="00CA7B6A"/>
    <w:rsid w:val="00CA7EB7"/>
    <w:rsid w:val="00CB01CE"/>
    <w:rsid w:val="00CB08AA"/>
    <w:rsid w:val="00CB08AF"/>
    <w:rsid w:val="00CB0D0C"/>
    <w:rsid w:val="00CB13BF"/>
    <w:rsid w:val="00CB1453"/>
    <w:rsid w:val="00CB166F"/>
    <w:rsid w:val="00CB16C2"/>
    <w:rsid w:val="00CB176D"/>
    <w:rsid w:val="00CB1B84"/>
    <w:rsid w:val="00CB1BD9"/>
    <w:rsid w:val="00CB1CE5"/>
    <w:rsid w:val="00CB1FB2"/>
    <w:rsid w:val="00CB2020"/>
    <w:rsid w:val="00CB2028"/>
    <w:rsid w:val="00CB226A"/>
    <w:rsid w:val="00CB241F"/>
    <w:rsid w:val="00CB2509"/>
    <w:rsid w:val="00CB250F"/>
    <w:rsid w:val="00CB2A1D"/>
    <w:rsid w:val="00CB2A87"/>
    <w:rsid w:val="00CB2E2D"/>
    <w:rsid w:val="00CB2E6A"/>
    <w:rsid w:val="00CB317A"/>
    <w:rsid w:val="00CB3286"/>
    <w:rsid w:val="00CB33AB"/>
    <w:rsid w:val="00CB345A"/>
    <w:rsid w:val="00CB3589"/>
    <w:rsid w:val="00CB3639"/>
    <w:rsid w:val="00CB3992"/>
    <w:rsid w:val="00CB41CE"/>
    <w:rsid w:val="00CB423D"/>
    <w:rsid w:val="00CB428B"/>
    <w:rsid w:val="00CB428F"/>
    <w:rsid w:val="00CB4913"/>
    <w:rsid w:val="00CB4A04"/>
    <w:rsid w:val="00CB4BBB"/>
    <w:rsid w:val="00CB4C5F"/>
    <w:rsid w:val="00CB4DD2"/>
    <w:rsid w:val="00CB4F42"/>
    <w:rsid w:val="00CB545D"/>
    <w:rsid w:val="00CB5515"/>
    <w:rsid w:val="00CB5517"/>
    <w:rsid w:val="00CB5731"/>
    <w:rsid w:val="00CB5A75"/>
    <w:rsid w:val="00CB5A8F"/>
    <w:rsid w:val="00CB5F50"/>
    <w:rsid w:val="00CB5FD9"/>
    <w:rsid w:val="00CB6514"/>
    <w:rsid w:val="00CB6536"/>
    <w:rsid w:val="00CB6617"/>
    <w:rsid w:val="00CB668E"/>
    <w:rsid w:val="00CB6A34"/>
    <w:rsid w:val="00CB6D3A"/>
    <w:rsid w:val="00CB6E8F"/>
    <w:rsid w:val="00CB6FEF"/>
    <w:rsid w:val="00CB70C4"/>
    <w:rsid w:val="00CB72DC"/>
    <w:rsid w:val="00CB761C"/>
    <w:rsid w:val="00CB7670"/>
    <w:rsid w:val="00CB79D2"/>
    <w:rsid w:val="00CB7B0C"/>
    <w:rsid w:val="00CB7B47"/>
    <w:rsid w:val="00CB7DC3"/>
    <w:rsid w:val="00CC00F2"/>
    <w:rsid w:val="00CC0333"/>
    <w:rsid w:val="00CC03D0"/>
    <w:rsid w:val="00CC0D61"/>
    <w:rsid w:val="00CC0ECF"/>
    <w:rsid w:val="00CC0EF3"/>
    <w:rsid w:val="00CC0F2B"/>
    <w:rsid w:val="00CC111B"/>
    <w:rsid w:val="00CC121B"/>
    <w:rsid w:val="00CC13E8"/>
    <w:rsid w:val="00CC17DB"/>
    <w:rsid w:val="00CC18E3"/>
    <w:rsid w:val="00CC1C3C"/>
    <w:rsid w:val="00CC1D3F"/>
    <w:rsid w:val="00CC2B22"/>
    <w:rsid w:val="00CC2C38"/>
    <w:rsid w:val="00CC2D51"/>
    <w:rsid w:val="00CC31C4"/>
    <w:rsid w:val="00CC3459"/>
    <w:rsid w:val="00CC3720"/>
    <w:rsid w:val="00CC39B6"/>
    <w:rsid w:val="00CC3E2A"/>
    <w:rsid w:val="00CC443C"/>
    <w:rsid w:val="00CC4A0A"/>
    <w:rsid w:val="00CC4B67"/>
    <w:rsid w:val="00CC4D20"/>
    <w:rsid w:val="00CC4EA6"/>
    <w:rsid w:val="00CC5053"/>
    <w:rsid w:val="00CC512E"/>
    <w:rsid w:val="00CC5241"/>
    <w:rsid w:val="00CC57C3"/>
    <w:rsid w:val="00CC5CA1"/>
    <w:rsid w:val="00CC5CFB"/>
    <w:rsid w:val="00CC5D5A"/>
    <w:rsid w:val="00CC5E34"/>
    <w:rsid w:val="00CC5FF3"/>
    <w:rsid w:val="00CC6068"/>
    <w:rsid w:val="00CC616F"/>
    <w:rsid w:val="00CC6410"/>
    <w:rsid w:val="00CC661F"/>
    <w:rsid w:val="00CC67EE"/>
    <w:rsid w:val="00CC68D5"/>
    <w:rsid w:val="00CC6B52"/>
    <w:rsid w:val="00CC6BCE"/>
    <w:rsid w:val="00CC6BE2"/>
    <w:rsid w:val="00CC74A9"/>
    <w:rsid w:val="00CC7A43"/>
    <w:rsid w:val="00CC7AE4"/>
    <w:rsid w:val="00CC7B86"/>
    <w:rsid w:val="00CC7C54"/>
    <w:rsid w:val="00CC7C6E"/>
    <w:rsid w:val="00CC7DDC"/>
    <w:rsid w:val="00CC7FB9"/>
    <w:rsid w:val="00CD012B"/>
    <w:rsid w:val="00CD05E8"/>
    <w:rsid w:val="00CD082D"/>
    <w:rsid w:val="00CD0A27"/>
    <w:rsid w:val="00CD0AB3"/>
    <w:rsid w:val="00CD0D97"/>
    <w:rsid w:val="00CD0DDE"/>
    <w:rsid w:val="00CD0F30"/>
    <w:rsid w:val="00CD112B"/>
    <w:rsid w:val="00CD143A"/>
    <w:rsid w:val="00CD1650"/>
    <w:rsid w:val="00CD16C6"/>
    <w:rsid w:val="00CD1E7E"/>
    <w:rsid w:val="00CD1F21"/>
    <w:rsid w:val="00CD2086"/>
    <w:rsid w:val="00CD2515"/>
    <w:rsid w:val="00CD288C"/>
    <w:rsid w:val="00CD2932"/>
    <w:rsid w:val="00CD2C23"/>
    <w:rsid w:val="00CD2CDE"/>
    <w:rsid w:val="00CD2E50"/>
    <w:rsid w:val="00CD36CE"/>
    <w:rsid w:val="00CD3775"/>
    <w:rsid w:val="00CD3E79"/>
    <w:rsid w:val="00CD40A3"/>
    <w:rsid w:val="00CD4219"/>
    <w:rsid w:val="00CD491D"/>
    <w:rsid w:val="00CD49A1"/>
    <w:rsid w:val="00CD4C5C"/>
    <w:rsid w:val="00CD4C6A"/>
    <w:rsid w:val="00CD4D71"/>
    <w:rsid w:val="00CD4DFD"/>
    <w:rsid w:val="00CD51E8"/>
    <w:rsid w:val="00CD574D"/>
    <w:rsid w:val="00CD593F"/>
    <w:rsid w:val="00CD598E"/>
    <w:rsid w:val="00CD5B27"/>
    <w:rsid w:val="00CD5B7F"/>
    <w:rsid w:val="00CD5BDD"/>
    <w:rsid w:val="00CD5C82"/>
    <w:rsid w:val="00CD5D5C"/>
    <w:rsid w:val="00CD5F1B"/>
    <w:rsid w:val="00CD5F47"/>
    <w:rsid w:val="00CD60E8"/>
    <w:rsid w:val="00CD61D7"/>
    <w:rsid w:val="00CD63D2"/>
    <w:rsid w:val="00CD6A01"/>
    <w:rsid w:val="00CD6C1E"/>
    <w:rsid w:val="00CD6DF7"/>
    <w:rsid w:val="00CD70CA"/>
    <w:rsid w:val="00CD72A8"/>
    <w:rsid w:val="00CD734D"/>
    <w:rsid w:val="00CD7751"/>
    <w:rsid w:val="00CD79DD"/>
    <w:rsid w:val="00CD7D0B"/>
    <w:rsid w:val="00CD7DE6"/>
    <w:rsid w:val="00CD7E9B"/>
    <w:rsid w:val="00CE0540"/>
    <w:rsid w:val="00CE0737"/>
    <w:rsid w:val="00CE0789"/>
    <w:rsid w:val="00CE0C30"/>
    <w:rsid w:val="00CE0F7E"/>
    <w:rsid w:val="00CE0FBC"/>
    <w:rsid w:val="00CE1059"/>
    <w:rsid w:val="00CE1089"/>
    <w:rsid w:val="00CE1290"/>
    <w:rsid w:val="00CE155B"/>
    <w:rsid w:val="00CE1636"/>
    <w:rsid w:val="00CE1A2A"/>
    <w:rsid w:val="00CE1B6A"/>
    <w:rsid w:val="00CE1B7F"/>
    <w:rsid w:val="00CE1CE3"/>
    <w:rsid w:val="00CE1DE8"/>
    <w:rsid w:val="00CE209E"/>
    <w:rsid w:val="00CE2114"/>
    <w:rsid w:val="00CE2592"/>
    <w:rsid w:val="00CE276E"/>
    <w:rsid w:val="00CE284E"/>
    <w:rsid w:val="00CE2C0C"/>
    <w:rsid w:val="00CE2E53"/>
    <w:rsid w:val="00CE30DA"/>
    <w:rsid w:val="00CE336A"/>
    <w:rsid w:val="00CE33BE"/>
    <w:rsid w:val="00CE367D"/>
    <w:rsid w:val="00CE3A0F"/>
    <w:rsid w:val="00CE3A90"/>
    <w:rsid w:val="00CE3B39"/>
    <w:rsid w:val="00CE3C75"/>
    <w:rsid w:val="00CE3D4F"/>
    <w:rsid w:val="00CE40B2"/>
    <w:rsid w:val="00CE428F"/>
    <w:rsid w:val="00CE4292"/>
    <w:rsid w:val="00CE47B4"/>
    <w:rsid w:val="00CE4D78"/>
    <w:rsid w:val="00CE4DE8"/>
    <w:rsid w:val="00CE50D8"/>
    <w:rsid w:val="00CE5230"/>
    <w:rsid w:val="00CE55CD"/>
    <w:rsid w:val="00CE5806"/>
    <w:rsid w:val="00CE5850"/>
    <w:rsid w:val="00CE5969"/>
    <w:rsid w:val="00CE5D9B"/>
    <w:rsid w:val="00CE5DE8"/>
    <w:rsid w:val="00CE5E37"/>
    <w:rsid w:val="00CE5EB2"/>
    <w:rsid w:val="00CE6061"/>
    <w:rsid w:val="00CE640F"/>
    <w:rsid w:val="00CE64AE"/>
    <w:rsid w:val="00CE6DD5"/>
    <w:rsid w:val="00CE6E06"/>
    <w:rsid w:val="00CE70A8"/>
    <w:rsid w:val="00CE748C"/>
    <w:rsid w:val="00CE76BC"/>
    <w:rsid w:val="00CE77D5"/>
    <w:rsid w:val="00CE7ADC"/>
    <w:rsid w:val="00CE7D63"/>
    <w:rsid w:val="00CE7E0D"/>
    <w:rsid w:val="00CF00F6"/>
    <w:rsid w:val="00CF05DA"/>
    <w:rsid w:val="00CF05F0"/>
    <w:rsid w:val="00CF0981"/>
    <w:rsid w:val="00CF0E1E"/>
    <w:rsid w:val="00CF1609"/>
    <w:rsid w:val="00CF1CF6"/>
    <w:rsid w:val="00CF1E41"/>
    <w:rsid w:val="00CF1EDC"/>
    <w:rsid w:val="00CF2588"/>
    <w:rsid w:val="00CF27E4"/>
    <w:rsid w:val="00CF29CA"/>
    <w:rsid w:val="00CF2B44"/>
    <w:rsid w:val="00CF2E23"/>
    <w:rsid w:val="00CF3261"/>
    <w:rsid w:val="00CF38B1"/>
    <w:rsid w:val="00CF390C"/>
    <w:rsid w:val="00CF3BD1"/>
    <w:rsid w:val="00CF3D5D"/>
    <w:rsid w:val="00CF3DCC"/>
    <w:rsid w:val="00CF40A3"/>
    <w:rsid w:val="00CF424D"/>
    <w:rsid w:val="00CF44EB"/>
    <w:rsid w:val="00CF4547"/>
    <w:rsid w:val="00CF4739"/>
    <w:rsid w:val="00CF4792"/>
    <w:rsid w:val="00CF4C3A"/>
    <w:rsid w:val="00CF504D"/>
    <w:rsid w:val="00CF5183"/>
    <w:rsid w:val="00CF51CE"/>
    <w:rsid w:val="00CF52BA"/>
    <w:rsid w:val="00CF5468"/>
    <w:rsid w:val="00CF5760"/>
    <w:rsid w:val="00CF5763"/>
    <w:rsid w:val="00CF58B7"/>
    <w:rsid w:val="00CF5B21"/>
    <w:rsid w:val="00CF5F37"/>
    <w:rsid w:val="00CF5FBC"/>
    <w:rsid w:val="00CF601A"/>
    <w:rsid w:val="00CF6432"/>
    <w:rsid w:val="00CF6892"/>
    <w:rsid w:val="00CF6980"/>
    <w:rsid w:val="00CF70CC"/>
    <w:rsid w:val="00CF7192"/>
    <w:rsid w:val="00CF71A7"/>
    <w:rsid w:val="00CF73A6"/>
    <w:rsid w:val="00CF7461"/>
    <w:rsid w:val="00CF74F5"/>
    <w:rsid w:val="00CF76A8"/>
    <w:rsid w:val="00CF7AD2"/>
    <w:rsid w:val="00CF7B76"/>
    <w:rsid w:val="00CF7BBA"/>
    <w:rsid w:val="00D00156"/>
    <w:rsid w:val="00D00219"/>
    <w:rsid w:val="00D00265"/>
    <w:rsid w:val="00D002BA"/>
    <w:rsid w:val="00D00399"/>
    <w:rsid w:val="00D007D1"/>
    <w:rsid w:val="00D008EF"/>
    <w:rsid w:val="00D00D2D"/>
    <w:rsid w:val="00D00EB2"/>
    <w:rsid w:val="00D01037"/>
    <w:rsid w:val="00D01E3A"/>
    <w:rsid w:val="00D021BB"/>
    <w:rsid w:val="00D026AC"/>
    <w:rsid w:val="00D02B5E"/>
    <w:rsid w:val="00D0302B"/>
    <w:rsid w:val="00D0304A"/>
    <w:rsid w:val="00D03077"/>
    <w:rsid w:val="00D032DE"/>
    <w:rsid w:val="00D035F7"/>
    <w:rsid w:val="00D03670"/>
    <w:rsid w:val="00D0394B"/>
    <w:rsid w:val="00D0399F"/>
    <w:rsid w:val="00D03AEB"/>
    <w:rsid w:val="00D03AF7"/>
    <w:rsid w:val="00D03B26"/>
    <w:rsid w:val="00D03B2B"/>
    <w:rsid w:val="00D03B7B"/>
    <w:rsid w:val="00D03EA4"/>
    <w:rsid w:val="00D04548"/>
    <w:rsid w:val="00D04553"/>
    <w:rsid w:val="00D046B6"/>
    <w:rsid w:val="00D046DF"/>
    <w:rsid w:val="00D0493D"/>
    <w:rsid w:val="00D049C2"/>
    <w:rsid w:val="00D04C83"/>
    <w:rsid w:val="00D04D03"/>
    <w:rsid w:val="00D04E6E"/>
    <w:rsid w:val="00D050FC"/>
    <w:rsid w:val="00D05336"/>
    <w:rsid w:val="00D055BE"/>
    <w:rsid w:val="00D055CE"/>
    <w:rsid w:val="00D0590E"/>
    <w:rsid w:val="00D0593E"/>
    <w:rsid w:val="00D059AC"/>
    <w:rsid w:val="00D0602E"/>
    <w:rsid w:val="00D06216"/>
    <w:rsid w:val="00D063F5"/>
    <w:rsid w:val="00D066B3"/>
    <w:rsid w:val="00D067EA"/>
    <w:rsid w:val="00D067F1"/>
    <w:rsid w:val="00D069B2"/>
    <w:rsid w:val="00D06F7B"/>
    <w:rsid w:val="00D07300"/>
    <w:rsid w:val="00D0736A"/>
    <w:rsid w:val="00D073DC"/>
    <w:rsid w:val="00D0751A"/>
    <w:rsid w:val="00D07639"/>
    <w:rsid w:val="00D07647"/>
    <w:rsid w:val="00D07A09"/>
    <w:rsid w:val="00D07C37"/>
    <w:rsid w:val="00D07F0F"/>
    <w:rsid w:val="00D1082E"/>
    <w:rsid w:val="00D10929"/>
    <w:rsid w:val="00D10DD7"/>
    <w:rsid w:val="00D10E74"/>
    <w:rsid w:val="00D11732"/>
    <w:rsid w:val="00D11829"/>
    <w:rsid w:val="00D11C82"/>
    <w:rsid w:val="00D120D8"/>
    <w:rsid w:val="00D121AC"/>
    <w:rsid w:val="00D12B6B"/>
    <w:rsid w:val="00D12D13"/>
    <w:rsid w:val="00D12D6F"/>
    <w:rsid w:val="00D12DC3"/>
    <w:rsid w:val="00D12DD7"/>
    <w:rsid w:val="00D1339F"/>
    <w:rsid w:val="00D13589"/>
    <w:rsid w:val="00D13DC5"/>
    <w:rsid w:val="00D13E5D"/>
    <w:rsid w:val="00D13EB0"/>
    <w:rsid w:val="00D144F8"/>
    <w:rsid w:val="00D14750"/>
    <w:rsid w:val="00D14C91"/>
    <w:rsid w:val="00D15080"/>
    <w:rsid w:val="00D150FD"/>
    <w:rsid w:val="00D15108"/>
    <w:rsid w:val="00D157A3"/>
    <w:rsid w:val="00D15A54"/>
    <w:rsid w:val="00D15BAC"/>
    <w:rsid w:val="00D15C7F"/>
    <w:rsid w:val="00D15F88"/>
    <w:rsid w:val="00D160CA"/>
    <w:rsid w:val="00D162A4"/>
    <w:rsid w:val="00D165AA"/>
    <w:rsid w:val="00D167B1"/>
    <w:rsid w:val="00D167D7"/>
    <w:rsid w:val="00D169E1"/>
    <w:rsid w:val="00D16E10"/>
    <w:rsid w:val="00D16E11"/>
    <w:rsid w:val="00D16F08"/>
    <w:rsid w:val="00D17326"/>
    <w:rsid w:val="00D17492"/>
    <w:rsid w:val="00D1794F"/>
    <w:rsid w:val="00D17B22"/>
    <w:rsid w:val="00D17B56"/>
    <w:rsid w:val="00D17C32"/>
    <w:rsid w:val="00D17CFD"/>
    <w:rsid w:val="00D17E4B"/>
    <w:rsid w:val="00D17F03"/>
    <w:rsid w:val="00D2053A"/>
    <w:rsid w:val="00D20794"/>
    <w:rsid w:val="00D20E19"/>
    <w:rsid w:val="00D21051"/>
    <w:rsid w:val="00D210C6"/>
    <w:rsid w:val="00D214A1"/>
    <w:rsid w:val="00D2172E"/>
    <w:rsid w:val="00D21842"/>
    <w:rsid w:val="00D21C6E"/>
    <w:rsid w:val="00D21F22"/>
    <w:rsid w:val="00D22036"/>
    <w:rsid w:val="00D22298"/>
    <w:rsid w:val="00D227D9"/>
    <w:rsid w:val="00D22B91"/>
    <w:rsid w:val="00D22BAE"/>
    <w:rsid w:val="00D22CBB"/>
    <w:rsid w:val="00D22F83"/>
    <w:rsid w:val="00D23096"/>
    <w:rsid w:val="00D2345E"/>
    <w:rsid w:val="00D23649"/>
    <w:rsid w:val="00D23942"/>
    <w:rsid w:val="00D23BBF"/>
    <w:rsid w:val="00D24399"/>
    <w:rsid w:val="00D2447E"/>
    <w:rsid w:val="00D244A4"/>
    <w:rsid w:val="00D24845"/>
    <w:rsid w:val="00D248F9"/>
    <w:rsid w:val="00D24A6B"/>
    <w:rsid w:val="00D24BB9"/>
    <w:rsid w:val="00D24DDD"/>
    <w:rsid w:val="00D25307"/>
    <w:rsid w:val="00D25509"/>
    <w:rsid w:val="00D255BF"/>
    <w:rsid w:val="00D25600"/>
    <w:rsid w:val="00D2568C"/>
    <w:rsid w:val="00D256DA"/>
    <w:rsid w:val="00D259D4"/>
    <w:rsid w:val="00D25CD0"/>
    <w:rsid w:val="00D25D84"/>
    <w:rsid w:val="00D260CA"/>
    <w:rsid w:val="00D2610F"/>
    <w:rsid w:val="00D262AD"/>
    <w:rsid w:val="00D2634A"/>
    <w:rsid w:val="00D2659B"/>
    <w:rsid w:val="00D26C0A"/>
    <w:rsid w:val="00D26DD0"/>
    <w:rsid w:val="00D26E2E"/>
    <w:rsid w:val="00D27022"/>
    <w:rsid w:val="00D2708B"/>
    <w:rsid w:val="00D270EB"/>
    <w:rsid w:val="00D271B2"/>
    <w:rsid w:val="00D271E8"/>
    <w:rsid w:val="00D2755E"/>
    <w:rsid w:val="00D279A9"/>
    <w:rsid w:val="00D279EB"/>
    <w:rsid w:val="00D27EF5"/>
    <w:rsid w:val="00D27F67"/>
    <w:rsid w:val="00D30015"/>
    <w:rsid w:val="00D303CB"/>
    <w:rsid w:val="00D30ED2"/>
    <w:rsid w:val="00D30F40"/>
    <w:rsid w:val="00D3106D"/>
    <w:rsid w:val="00D31472"/>
    <w:rsid w:val="00D315CF"/>
    <w:rsid w:val="00D3161D"/>
    <w:rsid w:val="00D318FE"/>
    <w:rsid w:val="00D31B77"/>
    <w:rsid w:val="00D31F88"/>
    <w:rsid w:val="00D32130"/>
    <w:rsid w:val="00D32670"/>
    <w:rsid w:val="00D326CD"/>
    <w:rsid w:val="00D327E9"/>
    <w:rsid w:val="00D32E67"/>
    <w:rsid w:val="00D33040"/>
    <w:rsid w:val="00D33351"/>
    <w:rsid w:val="00D33437"/>
    <w:rsid w:val="00D3350C"/>
    <w:rsid w:val="00D3372A"/>
    <w:rsid w:val="00D3376C"/>
    <w:rsid w:val="00D33C54"/>
    <w:rsid w:val="00D33EF8"/>
    <w:rsid w:val="00D3404B"/>
    <w:rsid w:val="00D3453F"/>
    <w:rsid w:val="00D349E3"/>
    <w:rsid w:val="00D34B33"/>
    <w:rsid w:val="00D34BE3"/>
    <w:rsid w:val="00D351E9"/>
    <w:rsid w:val="00D35B3E"/>
    <w:rsid w:val="00D35DD9"/>
    <w:rsid w:val="00D36010"/>
    <w:rsid w:val="00D36215"/>
    <w:rsid w:val="00D362D7"/>
    <w:rsid w:val="00D36346"/>
    <w:rsid w:val="00D366AE"/>
    <w:rsid w:val="00D3673A"/>
    <w:rsid w:val="00D37153"/>
    <w:rsid w:val="00D37929"/>
    <w:rsid w:val="00D37D89"/>
    <w:rsid w:val="00D37F81"/>
    <w:rsid w:val="00D40012"/>
    <w:rsid w:val="00D40030"/>
    <w:rsid w:val="00D405A9"/>
    <w:rsid w:val="00D40C72"/>
    <w:rsid w:val="00D40FB2"/>
    <w:rsid w:val="00D411B4"/>
    <w:rsid w:val="00D411BB"/>
    <w:rsid w:val="00D416BC"/>
    <w:rsid w:val="00D41D82"/>
    <w:rsid w:val="00D41DF7"/>
    <w:rsid w:val="00D422FF"/>
    <w:rsid w:val="00D42406"/>
    <w:rsid w:val="00D4250B"/>
    <w:rsid w:val="00D4270A"/>
    <w:rsid w:val="00D4272C"/>
    <w:rsid w:val="00D42B82"/>
    <w:rsid w:val="00D42C28"/>
    <w:rsid w:val="00D42F9E"/>
    <w:rsid w:val="00D42FEE"/>
    <w:rsid w:val="00D4318A"/>
    <w:rsid w:val="00D43339"/>
    <w:rsid w:val="00D43479"/>
    <w:rsid w:val="00D43592"/>
    <w:rsid w:val="00D435C1"/>
    <w:rsid w:val="00D43813"/>
    <w:rsid w:val="00D439C0"/>
    <w:rsid w:val="00D43D22"/>
    <w:rsid w:val="00D43EC0"/>
    <w:rsid w:val="00D43F96"/>
    <w:rsid w:val="00D446F8"/>
    <w:rsid w:val="00D44A27"/>
    <w:rsid w:val="00D456D6"/>
    <w:rsid w:val="00D4587F"/>
    <w:rsid w:val="00D45B53"/>
    <w:rsid w:val="00D45B7E"/>
    <w:rsid w:val="00D45D3B"/>
    <w:rsid w:val="00D45F18"/>
    <w:rsid w:val="00D460D7"/>
    <w:rsid w:val="00D46240"/>
    <w:rsid w:val="00D4652C"/>
    <w:rsid w:val="00D466DE"/>
    <w:rsid w:val="00D46731"/>
    <w:rsid w:val="00D469A1"/>
    <w:rsid w:val="00D469F5"/>
    <w:rsid w:val="00D46DF8"/>
    <w:rsid w:val="00D46EE7"/>
    <w:rsid w:val="00D47102"/>
    <w:rsid w:val="00D4726A"/>
    <w:rsid w:val="00D47511"/>
    <w:rsid w:val="00D476A0"/>
    <w:rsid w:val="00D4792F"/>
    <w:rsid w:val="00D47CA9"/>
    <w:rsid w:val="00D47DD3"/>
    <w:rsid w:val="00D47F8C"/>
    <w:rsid w:val="00D50051"/>
    <w:rsid w:val="00D509DF"/>
    <w:rsid w:val="00D50AA9"/>
    <w:rsid w:val="00D50AC5"/>
    <w:rsid w:val="00D51109"/>
    <w:rsid w:val="00D5141B"/>
    <w:rsid w:val="00D5190C"/>
    <w:rsid w:val="00D51D5A"/>
    <w:rsid w:val="00D51FF0"/>
    <w:rsid w:val="00D5224E"/>
    <w:rsid w:val="00D53007"/>
    <w:rsid w:val="00D53378"/>
    <w:rsid w:val="00D536EC"/>
    <w:rsid w:val="00D543DE"/>
    <w:rsid w:val="00D5461E"/>
    <w:rsid w:val="00D54735"/>
    <w:rsid w:val="00D551A2"/>
    <w:rsid w:val="00D55224"/>
    <w:rsid w:val="00D557E8"/>
    <w:rsid w:val="00D55851"/>
    <w:rsid w:val="00D55AD7"/>
    <w:rsid w:val="00D55D65"/>
    <w:rsid w:val="00D55F4A"/>
    <w:rsid w:val="00D5602D"/>
    <w:rsid w:val="00D56052"/>
    <w:rsid w:val="00D56658"/>
    <w:rsid w:val="00D56779"/>
    <w:rsid w:val="00D567FA"/>
    <w:rsid w:val="00D56ED3"/>
    <w:rsid w:val="00D5702B"/>
    <w:rsid w:val="00D57650"/>
    <w:rsid w:val="00D579D5"/>
    <w:rsid w:val="00D57BD9"/>
    <w:rsid w:val="00D60001"/>
    <w:rsid w:val="00D6055E"/>
    <w:rsid w:val="00D60AD1"/>
    <w:rsid w:val="00D60CDE"/>
    <w:rsid w:val="00D6114F"/>
    <w:rsid w:val="00D6154D"/>
    <w:rsid w:val="00D61DF8"/>
    <w:rsid w:val="00D61E0D"/>
    <w:rsid w:val="00D61F90"/>
    <w:rsid w:val="00D61F92"/>
    <w:rsid w:val="00D621D9"/>
    <w:rsid w:val="00D62222"/>
    <w:rsid w:val="00D62312"/>
    <w:rsid w:val="00D6265E"/>
    <w:rsid w:val="00D62C4E"/>
    <w:rsid w:val="00D62EFF"/>
    <w:rsid w:val="00D62F18"/>
    <w:rsid w:val="00D63355"/>
    <w:rsid w:val="00D63374"/>
    <w:rsid w:val="00D633C2"/>
    <w:rsid w:val="00D636C2"/>
    <w:rsid w:val="00D6375E"/>
    <w:rsid w:val="00D63B9F"/>
    <w:rsid w:val="00D63BFE"/>
    <w:rsid w:val="00D63ED9"/>
    <w:rsid w:val="00D6417C"/>
    <w:rsid w:val="00D6447E"/>
    <w:rsid w:val="00D64540"/>
    <w:rsid w:val="00D646BA"/>
    <w:rsid w:val="00D6480F"/>
    <w:rsid w:val="00D64997"/>
    <w:rsid w:val="00D64BD7"/>
    <w:rsid w:val="00D64C27"/>
    <w:rsid w:val="00D64E8A"/>
    <w:rsid w:val="00D6517A"/>
    <w:rsid w:val="00D655AD"/>
    <w:rsid w:val="00D656A2"/>
    <w:rsid w:val="00D656F1"/>
    <w:rsid w:val="00D657E6"/>
    <w:rsid w:val="00D659CF"/>
    <w:rsid w:val="00D65A1A"/>
    <w:rsid w:val="00D65AF0"/>
    <w:rsid w:val="00D65B2D"/>
    <w:rsid w:val="00D65C4D"/>
    <w:rsid w:val="00D65FAC"/>
    <w:rsid w:val="00D6622F"/>
    <w:rsid w:val="00D662FD"/>
    <w:rsid w:val="00D66343"/>
    <w:rsid w:val="00D669B2"/>
    <w:rsid w:val="00D669BF"/>
    <w:rsid w:val="00D66AE3"/>
    <w:rsid w:val="00D66AFD"/>
    <w:rsid w:val="00D66E1F"/>
    <w:rsid w:val="00D66F39"/>
    <w:rsid w:val="00D67935"/>
    <w:rsid w:val="00D67B1F"/>
    <w:rsid w:val="00D67CEA"/>
    <w:rsid w:val="00D67D81"/>
    <w:rsid w:val="00D7001A"/>
    <w:rsid w:val="00D70090"/>
    <w:rsid w:val="00D700A0"/>
    <w:rsid w:val="00D70259"/>
    <w:rsid w:val="00D7042C"/>
    <w:rsid w:val="00D70461"/>
    <w:rsid w:val="00D70714"/>
    <w:rsid w:val="00D70A11"/>
    <w:rsid w:val="00D70B55"/>
    <w:rsid w:val="00D71338"/>
    <w:rsid w:val="00D719EB"/>
    <w:rsid w:val="00D72047"/>
    <w:rsid w:val="00D7213A"/>
    <w:rsid w:val="00D72422"/>
    <w:rsid w:val="00D72570"/>
    <w:rsid w:val="00D725BA"/>
    <w:rsid w:val="00D726FB"/>
    <w:rsid w:val="00D72745"/>
    <w:rsid w:val="00D727A7"/>
    <w:rsid w:val="00D7282C"/>
    <w:rsid w:val="00D72AFF"/>
    <w:rsid w:val="00D72CEB"/>
    <w:rsid w:val="00D72FFA"/>
    <w:rsid w:val="00D730E1"/>
    <w:rsid w:val="00D73255"/>
    <w:rsid w:val="00D735A1"/>
    <w:rsid w:val="00D73793"/>
    <w:rsid w:val="00D7392E"/>
    <w:rsid w:val="00D73A69"/>
    <w:rsid w:val="00D74030"/>
    <w:rsid w:val="00D749C9"/>
    <w:rsid w:val="00D74C59"/>
    <w:rsid w:val="00D74E0B"/>
    <w:rsid w:val="00D74F4B"/>
    <w:rsid w:val="00D750E7"/>
    <w:rsid w:val="00D752B4"/>
    <w:rsid w:val="00D7542B"/>
    <w:rsid w:val="00D7588D"/>
    <w:rsid w:val="00D75B0B"/>
    <w:rsid w:val="00D75F12"/>
    <w:rsid w:val="00D76131"/>
    <w:rsid w:val="00D76276"/>
    <w:rsid w:val="00D76535"/>
    <w:rsid w:val="00D76587"/>
    <w:rsid w:val="00D76895"/>
    <w:rsid w:val="00D77219"/>
    <w:rsid w:val="00D777F2"/>
    <w:rsid w:val="00D77C97"/>
    <w:rsid w:val="00D77DF8"/>
    <w:rsid w:val="00D8008B"/>
    <w:rsid w:val="00D80134"/>
    <w:rsid w:val="00D80288"/>
    <w:rsid w:val="00D8028E"/>
    <w:rsid w:val="00D80347"/>
    <w:rsid w:val="00D805D1"/>
    <w:rsid w:val="00D80EA7"/>
    <w:rsid w:val="00D80F05"/>
    <w:rsid w:val="00D81286"/>
    <w:rsid w:val="00D8131C"/>
    <w:rsid w:val="00D817A0"/>
    <w:rsid w:val="00D817ED"/>
    <w:rsid w:val="00D81A49"/>
    <w:rsid w:val="00D81BA2"/>
    <w:rsid w:val="00D81E98"/>
    <w:rsid w:val="00D8215E"/>
    <w:rsid w:val="00D8217A"/>
    <w:rsid w:val="00D82424"/>
    <w:rsid w:val="00D82A34"/>
    <w:rsid w:val="00D837CF"/>
    <w:rsid w:val="00D83839"/>
    <w:rsid w:val="00D83BF8"/>
    <w:rsid w:val="00D83C80"/>
    <w:rsid w:val="00D83DC4"/>
    <w:rsid w:val="00D84161"/>
    <w:rsid w:val="00D842AA"/>
    <w:rsid w:val="00D84884"/>
    <w:rsid w:val="00D84904"/>
    <w:rsid w:val="00D84CC0"/>
    <w:rsid w:val="00D84CE0"/>
    <w:rsid w:val="00D854CF"/>
    <w:rsid w:val="00D85581"/>
    <w:rsid w:val="00D85B04"/>
    <w:rsid w:val="00D85BA9"/>
    <w:rsid w:val="00D85BD4"/>
    <w:rsid w:val="00D85EDD"/>
    <w:rsid w:val="00D85F32"/>
    <w:rsid w:val="00D85FD5"/>
    <w:rsid w:val="00D865B7"/>
    <w:rsid w:val="00D86C36"/>
    <w:rsid w:val="00D86D8A"/>
    <w:rsid w:val="00D8708E"/>
    <w:rsid w:val="00D8710F"/>
    <w:rsid w:val="00D873C6"/>
    <w:rsid w:val="00D87693"/>
    <w:rsid w:val="00D879D0"/>
    <w:rsid w:val="00D87ECA"/>
    <w:rsid w:val="00D87F38"/>
    <w:rsid w:val="00D90649"/>
    <w:rsid w:val="00D9065F"/>
    <w:rsid w:val="00D9069D"/>
    <w:rsid w:val="00D90A12"/>
    <w:rsid w:val="00D90E9E"/>
    <w:rsid w:val="00D90F7F"/>
    <w:rsid w:val="00D90FFA"/>
    <w:rsid w:val="00D9118E"/>
    <w:rsid w:val="00D913B9"/>
    <w:rsid w:val="00D91410"/>
    <w:rsid w:val="00D9192A"/>
    <w:rsid w:val="00D91B62"/>
    <w:rsid w:val="00D91CE9"/>
    <w:rsid w:val="00D9202B"/>
    <w:rsid w:val="00D92100"/>
    <w:rsid w:val="00D92471"/>
    <w:rsid w:val="00D924EE"/>
    <w:rsid w:val="00D924F9"/>
    <w:rsid w:val="00D925C1"/>
    <w:rsid w:val="00D9287D"/>
    <w:rsid w:val="00D928CB"/>
    <w:rsid w:val="00D92EF9"/>
    <w:rsid w:val="00D92F11"/>
    <w:rsid w:val="00D92F6E"/>
    <w:rsid w:val="00D93A9E"/>
    <w:rsid w:val="00D93B38"/>
    <w:rsid w:val="00D93B67"/>
    <w:rsid w:val="00D93F6B"/>
    <w:rsid w:val="00D93FBC"/>
    <w:rsid w:val="00D945B2"/>
    <w:rsid w:val="00D94942"/>
    <w:rsid w:val="00D949F4"/>
    <w:rsid w:val="00D94D00"/>
    <w:rsid w:val="00D94EA7"/>
    <w:rsid w:val="00D94FD0"/>
    <w:rsid w:val="00D952BD"/>
    <w:rsid w:val="00D95430"/>
    <w:rsid w:val="00D956D4"/>
    <w:rsid w:val="00D95B8F"/>
    <w:rsid w:val="00D95C4B"/>
    <w:rsid w:val="00D95DE7"/>
    <w:rsid w:val="00D95F44"/>
    <w:rsid w:val="00D96066"/>
    <w:rsid w:val="00D963D0"/>
    <w:rsid w:val="00D96BF1"/>
    <w:rsid w:val="00D96E14"/>
    <w:rsid w:val="00D96EBE"/>
    <w:rsid w:val="00D96F36"/>
    <w:rsid w:val="00D971AE"/>
    <w:rsid w:val="00D972D6"/>
    <w:rsid w:val="00D973C8"/>
    <w:rsid w:val="00D9760A"/>
    <w:rsid w:val="00D97662"/>
    <w:rsid w:val="00D976EF"/>
    <w:rsid w:val="00D97855"/>
    <w:rsid w:val="00D979C0"/>
    <w:rsid w:val="00D97F02"/>
    <w:rsid w:val="00D97F93"/>
    <w:rsid w:val="00DA023C"/>
    <w:rsid w:val="00DA0305"/>
    <w:rsid w:val="00DA046B"/>
    <w:rsid w:val="00DA076D"/>
    <w:rsid w:val="00DA0AE8"/>
    <w:rsid w:val="00DA0BD0"/>
    <w:rsid w:val="00DA0C22"/>
    <w:rsid w:val="00DA0E60"/>
    <w:rsid w:val="00DA1070"/>
    <w:rsid w:val="00DA1126"/>
    <w:rsid w:val="00DA125B"/>
    <w:rsid w:val="00DA1A98"/>
    <w:rsid w:val="00DA1C48"/>
    <w:rsid w:val="00DA2330"/>
    <w:rsid w:val="00DA2433"/>
    <w:rsid w:val="00DA26B0"/>
    <w:rsid w:val="00DA27D5"/>
    <w:rsid w:val="00DA2A6A"/>
    <w:rsid w:val="00DA2C8B"/>
    <w:rsid w:val="00DA2E07"/>
    <w:rsid w:val="00DA3058"/>
    <w:rsid w:val="00DA30BC"/>
    <w:rsid w:val="00DA3267"/>
    <w:rsid w:val="00DA3396"/>
    <w:rsid w:val="00DA344D"/>
    <w:rsid w:val="00DA3CDB"/>
    <w:rsid w:val="00DA3D22"/>
    <w:rsid w:val="00DA3F84"/>
    <w:rsid w:val="00DA4027"/>
    <w:rsid w:val="00DA40F3"/>
    <w:rsid w:val="00DA417D"/>
    <w:rsid w:val="00DA4262"/>
    <w:rsid w:val="00DA4432"/>
    <w:rsid w:val="00DA490E"/>
    <w:rsid w:val="00DA4996"/>
    <w:rsid w:val="00DA4BCB"/>
    <w:rsid w:val="00DA4FD5"/>
    <w:rsid w:val="00DA4FD9"/>
    <w:rsid w:val="00DA5414"/>
    <w:rsid w:val="00DA5433"/>
    <w:rsid w:val="00DA5696"/>
    <w:rsid w:val="00DA5903"/>
    <w:rsid w:val="00DA5DFA"/>
    <w:rsid w:val="00DA5E17"/>
    <w:rsid w:val="00DA5E97"/>
    <w:rsid w:val="00DA5F08"/>
    <w:rsid w:val="00DA6017"/>
    <w:rsid w:val="00DA60A7"/>
    <w:rsid w:val="00DA61A2"/>
    <w:rsid w:val="00DA64AF"/>
    <w:rsid w:val="00DA69C5"/>
    <w:rsid w:val="00DA6AB4"/>
    <w:rsid w:val="00DA6CE6"/>
    <w:rsid w:val="00DA6DB2"/>
    <w:rsid w:val="00DA7243"/>
    <w:rsid w:val="00DA7437"/>
    <w:rsid w:val="00DA76F1"/>
    <w:rsid w:val="00DA7825"/>
    <w:rsid w:val="00DA7AC6"/>
    <w:rsid w:val="00DA7DBE"/>
    <w:rsid w:val="00DA7EDF"/>
    <w:rsid w:val="00DA7F18"/>
    <w:rsid w:val="00DA7FE6"/>
    <w:rsid w:val="00DA7FF4"/>
    <w:rsid w:val="00DB0160"/>
    <w:rsid w:val="00DB037A"/>
    <w:rsid w:val="00DB03BE"/>
    <w:rsid w:val="00DB046A"/>
    <w:rsid w:val="00DB0839"/>
    <w:rsid w:val="00DB0BB1"/>
    <w:rsid w:val="00DB0CFC"/>
    <w:rsid w:val="00DB0F49"/>
    <w:rsid w:val="00DB0FF4"/>
    <w:rsid w:val="00DB12A5"/>
    <w:rsid w:val="00DB1328"/>
    <w:rsid w:val="00DB13BC"/>
    <w:rsid w:val="00DB171D"/>
    <w:rsid w:val="00DB1844"/>
    <w:rsid w:val="00DB1BA1"/>
    <w:rsid w:val="00DB2279"/>
    <w:rsid w:val="00DB2284"/>
    <w:rsid w:val="00DB271A"/>
    <w:rsid w:val="00DB2891"/>
    <w:rsid w:val="00DB2DF5"/>
    <w:rsid w:val="00DB2F0D"/>
    <w:rsid w:val="00DB343F"/>
    <w:rsid w:val="00DB3FDF"/>
    <w:rsid w:val="00DB40A5"/>
    <w:rsid w:val="00DB4450"/>
    <w:rsid w:val="00DB4501"/>
    <w:rsid w:val="00DB45F4"/>
    <w:rsid w:val="00DB4844"/>
    <w:rsid w:val="00DB4B5B"/>
    <w:rsid w:val="00DB4B5D"/>
    <w:rsid w:val="00DB4E99"/>
    <w:rsid w:val="00DB548D"/>
    <w:rsid w:val="00DB60B8"/>
    <w:rsid w:val="00DB6336"/>
    <w:rsid w:val="00DB67AE"/>
    <w:rsid w:val="00DB67FB"/>
    <w:rsid w:val="00DB68C9"/>
    <w:rsid w:val="00DB6919"/>
    <w:rsid w:val="00DB69A7"/>
    <w:rsid w:val="00DB7068"/>
    <w:rsid w:val="00DB70E0"/>
    <w:rsid w:val="00DB7292"/>
    <w:rsid w:val="00DB7340"/>
    <w:rsid w:val="00DC03FC"/>
    <w:rsid w:val="00DC06A4"/>
    <w:rsid w:val="00DC0AB9"/>
    <w:rsid w:val="00DC0C44"/>
    <w:rsid w:val="00DC0FBD"/>
    <w:rsid w:val="00DC13C2"/>
    <w:rsid w:val="00DC1432"/>
    <w:rsid w:val="00DC151F"/>
    <w:rsid w:val="00DC167F"/>
    <w:rsid w:val="00DC1A15"/>
    <w:rsid w:val="00DC1DE6"/>
    <w:rsid w:val="00DC1F25"/>
    <w:rsid w:val="00DC1FD9"/>
    <w:rsid w:val="00DC21B4"/>
    <w:rsid w:val="00DC2405"/>
    <w:rsid w:val="00DC2420"/>
    <w:rsid w:val="00DC25F9"/>
    <w:rsid w:val="00DC27B6"/>
    <w:rsid w:val="00DC29B2"/>
    <w:rsid w:val="00DC29FC"/>
    <w:rsid w:val="00DC2BCB"/>
    <w:rsid w:val="00DC2E9E"/>
    <w:rsid w:val="00DC3070"/>
    <w:rsid w:val="00DC30D6"/>
    <w:rsid w:val="00DC3263"/>
    <w:rsid w:val="00DC3350"/>
    <w:rsid w:val="00DC3563"/>
    <w:rsid w:val="00DC362E"/>
    <w:rsid w:val="00DC3F12"/>
    <w:rsid w:val="00DC3F7B"/>
    <w:rsid w:val="00DC457B"/>
    <w:rsid w:val="00DC458D"/>
    <w:rsid w:val="00DC4912"/>
    <w:rsid w:val="00DC4C6C"/>
    <w:rsid w:val="00DC5073"/>
    <w:rsid w:val="00DC5159"/>
    <w:rsid w:val="00DC5168"/>
    <w:rsid w:val="00DC53E5"/>
    <w:rsid w:val="00DC54C6"/>
    <w:rsid w:val="00DC5EEA"/>
    <w:rsid w:val="00DC6303"/>
    <w:rsid w:val="00DC651B"/>
    <w:rsid w:val="00DC6957"/>
    <w:rsid w:val="00DC6974"/>
    <w:rsid w:val="00DC6B28"/>
    <w:rsid w:val="00DC6D18"/>
    <w:rsid w:val="00DC703D"/>
    <w:rsid w:val="00DC7054"/>
    <w:rsid w:val="00DC7208"/>
    <w:rsid w:val="00DC73D4"/>
    <w:rsid w:val="00DC75BB"/>
    <w:rsid w:val="00DC789E"/>
    <w:rsid w:val="00DC78B2"/>
    <w:rsid w:val="00DC7ADD"/>
    <w:rsid w:val="00DD01D3"/>
    <w:rsid w:val="00DD021A"/>
    <w:rsid w:val="00DD046C"/>
    <w:rsid w:val="00DD0499"/>
    <w:rsid w:val="00DD0A58"/>
    <w:rsid w:val="00DD0A75"/>
    <w:rsid w:val="00DD0ACB"/>
    <w:rsid w:val="00DD0BC9"/>
    <w:rsid w:val="00DD0CA5"/>
    <w:rsid w:val="00DD0CC4"/>
    <w:rsid w:val="00DD0FE5"/>
    <w:rsid w:val="00DD1372"/>
    <w:rsid w:val="00DD15C0"/>
    <w:rsid w:val="00DD163F"/>
    <w:rsid w:val="00DD1669"/>
    <w:rsid w:val="00DD1C7A"/>
    <w:rsid w:val="00DD1D95"/>
    <w:rsid w:val="00DD1E6E"/>
    <w:rsid w:val="00DD1E82"/>
    <w:rsid w:val="00DD1F78"/>
    <w:rsid w:val="00DD227B"/>
    <w:rsid w:val="00DD2433"/>
    <w:rsid w:val="00DD24A3"/>
    <w:rsid w:val="00DD268B"/>
    <w:rsid w:val="00DD28B2"/>
    <w:rsid w:val="00DD2FA9"/>
    <w:rsid w:val="00DD37E6"/>
    <w:rsid w:val="00DD3A73"/>
    <w:rsid w:val="00DD3C29"/>
    <w:rsid w:val="00DD3F27"/>
    <w:rsid w:val="00DD42E8"/>
    <w:rsid w:val="00DD43D3"/>
    <w:rsid w:val="00DD45BC"/>
    <w:rsid w:val="00DD45E8"/>
    <w:rsid w:val="00DD47FF"/>
    <w:rsid w:val="00DD4B09"/>
    <w:rsid w:val="00DD4CC6"/>
    <w:rsid w:val="00DD4FD0"/>
    <w:rsid w:val="00DD5363"/>
    <w:rsid w:val="00DD5946"/>
    <w:rsid w:val="00DD5B6A"/>
    <w:rsid w:val="00DD5C05"/>
    <w:rsid w:val="00DD61AB"/>
    <w:rsid w:val="00DD6CB6"/>
    <w:rsid w:val="00DD6D1F"/>
    <w:rsid w:val="00DD6D37"/>
    <w:rsid w:val="00DD6E8B"/>
    <w:rsid w:val="00DD6F46"/>
    <w:rsid w:val="00DD707F"/>
    <w:rsid w:val="00DD7105"/>
    <w:rsid w:val="00DD71AD"/>
    <w:rsid w:val="00DD739C"/>
    <w:rsid w:val="00DD7866"/>
    <w:rsid w:val="00DD7930"/>
    <w:rsid w:val="00DD7AE6"/>
    <w:rsid w:val="00DD7BFA"/>
    <w:rsid w:val="00DE01D6"/>
    <w:rsid w:val="00DE0307"/>
    <w:rsid w:val="00DE09AA"/>
    <w:rsid w:val="00DE1073"/>
    <w:rsid w:val="00DE10FE"/>
    <w:rsid w:val="00DE1172"/>
    <w:rsid w:val="00DE1493"/>
    <w:rsid w:val="00DE163E"/>
    <w:rsid w:val="00DE1C44"/>
    <w:rsid w:val="00DE1FB6"/>
    <w:rsid w:val="00DE200F"/>
    <w:rsid w:val="00DE2171"/>
    <w:rsid w:val="00DE246E"/>
    <w:rsid w:val="00DE2762"/>
    <w:rsid w:val="00DE2A51"/>
    <w:rsid w:val="00DE2B3F"/>
    <w:rsid w:val="00DE2CF8"/>
    <w:rsid w:val="00DE3029"/>
    <w:rsid w:val="00DE3090"/>
    <w:rsid w:val="00DE32F6"/>
    <w:rsid w:val="00DE330A"/>
    <w:rsid w:val="00DE37F2"/>
    <w:rsid w:val="00DE399B"/>
    <w:rsid w:val="00DE3D8C"/>
    <w:rsid w:val="00DE3E45"/>
    <w:rsid w:val="00DE3F2C"/>
    <w:rsid w:val="00DE3FE7"/>
    <w:rsid w:val="00DE4490"/>
    <w:rsid w:val="00DE4683"/>
    <w:rsid w:val="00DE487C"/>
    <w:rsid w:val="00DE48A2"/>
    <w:rsid w:val="00DE4A92"/>
    <w:rsid w:val="00DE4ABA"/>
    <w:rsid w:val="00DE4D1F"/>
    <w:rsid w:val="00DE50C8"/>
    <w:rsid w:val="00DE5152"/>
    <w:rsid w:val="00DE52CB"/>
    <w:rsid w:val="00DE541F"/>
    <w:rsid w:val="00DE5435"/>
    <w:rsid w:val="00DE5581"/>
    <w:rsid w:val="00DE55DA"/>
    <w:rsid w:val="00DE566D"/>
    <w:rsid w:val="00DE5B8A"/>
    <w:rsid w:val="00DE635B"/>
    <w:rsid w:val="00DE66B2"/>
    <w:rsid w:val="00DE67B2"/>
    <w:rsid w:val="00DE6B22"/>
    <w:rsid w:val="00DE6C02"/>
    <w:rsid w:val="00DE6C5E"/>
    <w:rsid w:val="00DE6DD5"/>
    <w:rsid w:val="00DE6E54"/>
    <w:rsid w:val="00DE6EE7"/>
    <w:rsid w:val="00DE6FD7"/>
    <w:rsid w:val="00DE700E"/>
    <w:rsid w:val="00DE726B"/>
    <w:rsid w:val="00DE7362"/>
    <w:rsid w:val="00DE73FA"/>
    <w:rsid w:val="00DE75F7"/>
    <w:rsid w:val="00DE7760"/>
    <w:rsid w:val="00DE7C09"/>
    <w:rsid w:val="00DF011C"/>
    <w:rsid w:val="00DF026A"/>
    <w:rsid w:val="00DF07FB"/>
    <w:rsid w:val="00DF0865"/>
    <w:rsid w:val="00DF0A2E"/>
    <w:rsid w:val="00DF0C63"/>
    <w:rsid w:val="00DF0D5C"/>
    <w:rsid w:val="00DF1448"/>
    <w:rsid w:val="00DF1895"/>
    <w:rsid w:val="00DF1926"/>
    <w:rsid w:val="00DF1ED0"/>
    <w:rsid w:val="00DF2B29"/>
    <w:rsid w:val="00DF2F7A"/>
    <w:rsid w:val="00DF30E7"/>
    <w:rsid w:val="00DF320D"/>
    <w:rsid w:val="00DF3448"/>
    <w:rsid w:val="00DF39A2"/>
    <w:rsid w:val="00DF4188"/>
    <w:rsid w:val="00DF425D"/>
    <w:rsid w:val="00DF466F"/>
    <w:rsid w:val="00DF47FD"/>
    <w:rsid w:val="00DF48CB"/>
    <w:rsid w:val="00DF4A40"/>
    <w:rsid w:val="00DF4B8F"/>
    <w:rsid w:val="00DF4CE5"/>
    <w:rsid w:val="00DF4D49"/>
    <w:rsid w:val="00DF4E0C"/>
    <w:rsid w:val="00DF57E7"/>
    <w:rsid w:val="00DF5C1A"/>
    <w:rsid w:val="00DF5C25"/>
    <w:rsid w:val="00DF5DA8"/>
    <w:rsid w:val="00DF5EEF"/>
    <w:rsid w:val="00DF5F16"/>
    <w:rsid w:val="00DF5FB7"/>
    <w:rsid w:val="00DF637F"/>
    <w:rsid w:val="00DF6506"/>
    <w:rsid w:val="00DF6697"/>
    <w:rsid w:val="00DF6FDA"/>
    <w:rsid w:val="00DF71BA"/>
    <w:rsid w:val="00DF71DA"/>
    <w:rsid w:val="00DF7202"/>
    <w:rsid w:val="00DF72B3"/>
    <w:rsid w:val="00DF75D6"/>
    <w:rsid w:val="00DF783F"/>
    <w:rsid w:val="00DF78F0"/>
    <w:rsid w:val="00DF79F1"/>
    <w:rsid w:val="00DF7D9E"/>
    <w:rsid w:val="00E00235"/>
    <w:rsid w:val="00E002C2"/>
    <w:rsid w:val="00E006EF"/>
    <w:rsid w:val="00E0082D"/>
    <w:rsid w:val="00E00F83"/>
    <w:rsid w:val="00E01019"/>
    <w:rsid w:val="00E01079"/>
    <w:rsid w:val="00E010EB"/>
    <w:rsid w:val="00E01124"/>
    <w:rsid w:val="00E0114D"/>
    <w:rsid w:val="00E014A4"/>
    <w:rsid w:val="00E017CD"/>
    <w:rsid w:val="00E01A78"/>
    <w:rsid w:val="00E020FD"/>
    <w:rsid w:val="00E02784"/>
    <w:rsid w:val="00E027D0"/>
    <w:rsid w:val="00E02A77"/>
    <w:rsid w:val="00E02B85"/>
    <w:rsid w:val="00E02BFE"/>
    <w:rsid w:val="00E02CBA"/>
    <w:rsid w:val="00E02E6A"/>
    <w:rsid w:val="00E030CE"/>
    <w:rsid w:val="00E03437"/>
    <w:rsid w:val="00E035EF"/>
    <w:rsid w:val="00E0377E"/>
    <w:rsid w:val="00E03C3E"/>
    <w:rsid w:val="00E03D55"/>
    <w:rsid w:val="00E040B7"/>
    <w:rsid w:val="00E04256"/>
    <w:rsid w:val="00E043A6"/>
    <w:rsid w:val="00E04AAF"/>
    <w:rsid w:val="00E04BE4"/>
    <w:rsid w:val="00E04C36"/>
    <w:rsid w:val="00E04EE1"/>
    <w:rsid w:val="00E052A4"/>
    <w:rsid w:val="00E05596"/>
    <w:rsid w:val="00E05620"/>
    <w:rsid w:val="00E05955"/>
    <w:rsid w:val="00E05A21"/>
    <w:rsid w:val="00E05AC7"/>
    <w:rsid w:val="00E05C06"/>
    <w:rsid w:val="00E05C86"/>
    <w:rsid w:val="00E0623A"/>
    <w:rsid w:val="00E06268"/>
    <w:rsid w:val="00E068D2"/>
    <w:rsid w:val="00E06932"/>
    <w:rsid w:val="00E069DD"/>
    <w:rsid w:val="00E06BB4"/>
    <w:rsid w:val="00E06E66"/>
    <w:rsid w:val="00E06F3C"/>
    <w:rsid w:val="00E06FE3"/>
    <w:rsid w:val="00E0705A"/>
    <w:rsid w:val="00E0709D"/>
    <w:rsid w:val="00E072D8"/>
    <w:rsid w:val="00E07AEE"/>
    <w:rsid w:val="00E07D2B"/>
    <w:rsid w:val="00E07DC0"/>
    <w:rsid w:val="00E07E37"/>
    <w:rsid w:val="00E07EC5"/>
    <w:rsid w:val="00E10097"/>
    <w:rsid w:val="00E1029F"/>
    <w:rsid w:val="00E105C9"/>
    <w:rsid w:val="00E10650"/>
    <w:rsid w:val="00E10B12"/>
    <w:rsid w:val="00E10CFF"/>
    <w:rsid w:val="00E1151A"/>
    <w:rsid w:val="00E11520"/>
    <w:rsid w:val="00E119CD"/>
    <w:rsid w:val="00E11A5A"/>
    <w:rsid w:val="00E11DC8"/>
    <w:rsid w:val="00E1231C"/>
    <w:rsid w:val="00E125CC"/>
    <w:rsid w:val="00E12C2A"/>
    <w:rsid w:val="00E12D5A"/>
    <w:rsid w:val="00E130D5"/>
    <w:rsid w:val="00E131AD"/>
    <w:rsid w:val="00E1334A"/>
    <w:rsid w:val="00E13F53"/>
    <w:rsid w:val="00E14058"/>
    <w:rsid w:val="00E1406B"/>
    <w:rsid w:val="00E140E8"/>
    <w:rsid w:val="00E140FA"/>
    <w:rsid w:val="00E14401"/>
    <w:rsid w:val="00E145A9"/>
    <w:rsid w:val="00E14C35"/>
    <w:rsid w:val="00E14C5F"/>
    <w:rsid w:val="00E1553F"/>
    <w:rsid w:val="00E155EC"/>
    <w:rsid w:val="00E15636"/>
    <w:rsid w:val="00E157C8"/>
    <w:rsid w:val="00E1586F"/>
    <w:rsid w:val="00E1602B"/>
    <w:rsid w:val="00E16109"/>
    <w:rsid w:val="00E162D3"/>
    <w:rsid w:val="00E165CF"/>
    <w:rsid w:val="00E16636"/>
    <w:rsid w:val="00E16800"/>
    <w:rsid w:val="00E16AF2"/>
    <w:rsid w:val="00E16CFA"/>
    <w:rsid w:val="00E172D6"/>
    <w:rsid w:val="00E17352"/>
    <w:rsid w:val="00E173CA"/>
    <w:rsid w:val="00E17AD5"/>
    <w:rsid w:val="00E17B05"/>
    <w:rsid w:val="00E17C3A"/>
    <w:rsid w:val="00E202B2"/>
    <w:rsid w:val="00E2033B"/>
    <w:rsid w:val="00E20584"/>
    <w:rsid w:val="00E205D2"/>
    <w:rsid w:val="00E20688"/>
    <w:rsid w:val="00E206C9"/>
    <w:rsid w:val="00E210A6"/>
    <w:rsid w:val="00E219D1"/>
    <w:rsid w:val="00E21D71"/>
    <w:rsid w:val="00E21FD3"/>
    <w:rsid w:val="00E21FF5"/>
    <w:rsid w:val="00E221F0"/>
    <w:rsid w:val="00E2224C"/>
    <w:rsid w:val="00E22711"/>
    <w:rsid w:val="00E22C2F"/>
    <w:rsid w:val="00E22D33"/>
    <w:rsid w:val="00E22DCE"/>
    <w:rsid w:val="00E22F49"/>
    <w:rsid w:val="00E23028"/>
    <w:rsid w:val="00E2307F"/>
    <w:rsid w:val="00E231E3"/>
    <w:rsid w:val="00E2372E"/>
    <w:rsid w:val="00E23995"/>
    <w:rsid w:val="00E23DB2"/>
    <w:rsid w:val="00E23E6D"/>
    <w:rsid w:val="00E23F77"/>
    <w:rsid w:val="00E241D4"/>
    <w:rsid w:val="00E241DB"/>
    <w:rsid w:val="00E2423E"/>
    <w:rsid w:val="00E242BB"/>
    <w:rsid w:val="00E243DA"/>
    <w:rsid w:val="00E244A6"/>
    <w:rsid w:val="00E24540"/>
    <w:rsid w:val="00E24542"/>
    <w:rsid w:val="00E2467B"/>
    <w:rsid w:val="00E2469D"/>
    <w:rsid w:val="00E24A34"/>
    <w:rsid w:val="00E252ED"/>
    <w:rsid w:val="00E25777"/>
    <w:rsid w:val="00E257AE"/>
    <w:rsid w:val="00E25D2B"/>
    <w:rsid w:val="00E25E7E"/>
    <w:rsid w:val="00E26183"/>
    <w:rsid w:val="00E2637E"/>
    <w:rsid w:val="00E2642C"/>
    <w:rsid w:val="00E264BE"/>
    <w:rsid w:val="00E2667A"/>
    <w:rsid w:val="00E26F7D"/>
    <w:rsid w:val="00E2708F"/>
    <w:rsid w:val="00E274B2"/>
    <w:rsid w:val="00E274B9"/>
    <w:rsid w:val="00E275A3"/>
    <w:rsid w:val="00E2782F"/>
    <w:rsid w:val="00E279D0"/>
    <w:rsid w:val="00E27B86"/>
    <w:rsid w:val="00E304B7"/>
    <w:rsid w:val="00E304ED"/>
    <w:rsid w:val="00E306CC"/>
    <w:rsid w:val="00E30835"/>
    <w:rsid w:val="00E30879"/>
    <w:rsid w:val="00E30C09"/>
    <w:rsid w:val="00E30CB7"/>
    <w:rsid w:val="00E30D64"/>
    <w:rsid w:val="00E30D8B"/>
    <w:rsid w:val="00E30E55"/>
    <w:rsid w:val="00E30FC6"/>
    <w:rsid w:val="00E310A8"/>
    <w:rsid w:val="00E3117C"/>
    <w:rsid w:val="00E31684"/>
    <w:rsid w:val="00E31DAF"/>
    <w:rsid w:val="00E322E3"/>
    <w:rsid w:val="00E32C63"/>
    <w:rsid w:val="00E32CEB"/>
    <w:rsid w:val="00E32E9A"/>
    <w:rsid w:val="00E32EA6"/>
    <w:rsid w:val="00E32EDF"/>
    <w:rsid w:val="00E3315F"/>
    <w:rsid w:val="00E33381"/>
    <w:rsid w:val="00E33447"/>
    <w:rsid w:val="00E3368E"/>
    <w:rsid w:val="00E33899"/>
    <w:rsid w:val="00E33942"/>
    <w:rsid w:val="00E33A41"/>
    <w:rsid w:val="00E33AD4"/>
    <w:rsid w:val="00E33DE5"/>
    <w:rsid w:val="00E33EFC"/>
    <w:rsid w:val="00E33F00"/>
    <w:rsid w:val="00E34050"/>
    <w:rsid w:val="00E3425E"/>
    <w:rsid w:val="00E344D7"/>
    <w:rsid w:val="00E349A9"/>
    <w:rsid w:val="00E34D78"/>
    <w:rsid w:val="00E34E3C"/>
    <w:rsid w:val="00E34E8B"/>
    <w:rsid w:val="00E34F31"/>
    <w:rsid w:val="00E3541B"/>
    <w:rsid w:val="00E3545C"/>
    <w:rsid w:val="00E354C4"/>
    <w:rsid w:val="00E358E6"/>
    <w:rsid w:val="00E35CBA"/>
    <w:rsid w:val="00E36132"/>
    <w:rsid w:val="00E36172"/>
    <w:rsid w:val="00E36282"/>
    <w:rsid w:val="00E36783"/>
    <w:rsid w:val="00E369BA"/>
    <w:rsid w:val="00E36FC4"/>
    <w:rsid w:val="00E3778E"/>
    <w:rsid w:val="00E37BC8"/>
    <w:rsid w:val="00E37F3B"/>
    <w:rsid w:val="00E40359"/>
    <w:rsid w:val="00E404FC"/>
    <w:rsid w:val="00E40B8E"/>
    <w:rsid w:val="00E40C4C"/>
    <w:rsid w:val="00E41142"/>
    <w:rsid w:val="00E412A1"/>
    <w:rsid w:val="00E414A8"/>
    <w:rsid w:val="00E41759"/>
    <w:rsid w:val="00E41B15"/>
    <w:rsid w:val="00E41DB3"/>
    <w:rsid w:val="00E41DEA"/>
    <w:rsid w:val="00E41F65"/>
    <w:rsid w:val="00E4299B"/>
    <w:rsid w:val="00E42D14"/>
    <w:rsid w:val="00E42D64"/>
    <w:rsid w:val="00E42E7C"/>
    <w:rsid w:val="00E4322A"/>
    <w:rsid w:val="00E433C1"/>
    <w:rsid w:val="00E4357D"/>
    <w:rsid w:val="00E436C9"/>
    <w:rsid w:val="00E43E12"/>
    <w:rsid w:val="00E43F17"/>
    <w:rsid w:val="00E4414F"/>
    <w:rsid w:val="00E442A0"/>
    <w:rsid w:val="00E4480D"/>
    <w:rsid w:val="00E449B7"/>
    <w:rsid w:val="00E44C04"/>
    <w:rsid w:val="00E44C24"/>
    <w:rsid w:val="00E44DBF"/>
    <w:rsid w:val="00E45201"/>
    <w:rsid w:val="00E45392"/>
    <w:rsid w:val="00E45A8A"/>
    <w:rsid w:val="00E45C5C"/>
    <w:rsid w:val="00E4615F"/>
    <w:rsid w:val="00E46349"/>
    <w:rsid w:val="00E46459"/>
    <w:rsid w:val="00E46844"/>
    <w:rsid w:val="00E46B67"/>
    <w:rsid w:val="00E46C95"/>
    <w:rsid w:val="00E46CE4"/>
    <w:rsid w:val="00E46FAE"/>
    <w:rsid w:val="00E46FB7"/>
    <w:rsid w:val="00E47037"/>
    <w:rsid w:val="00E471FF"/>
    <w:rsid w:val="00E47264"/>
    <w:rsid w:val="00E472B1"/>
    <w:rsid w:val="00E47321"/>
    <w:rsid w:val="00E47AF2"/>
    <w:rsid w:val="00E47B9D"/>
    <w:rsid w:val="00E47CBA"/>
    <w:rsid w:val="00E47D3F"/>
    <w:rsid w:val="00E47E91"/>
    <w:rsid w:val="00E47EDE"/>
    <w:rsid w:val="00E50039"/>
    <w:rsid w:val="00E5024B"/>
    <w:rsid w:val="00E50337"/>
    <w:rsid w:val="00E5036D"/>
    <w:rsid w:val="00E503F8"/>
    <w:rsid w:val="00E5042D"/>
    <w:rsid w:val="00E50538"/>
    <w:rsid w:val="00E50899"/>
    <w:rsid w:val="00E50AB6"/>
    <w:rsid w:val="00E5106E"/>
    <w:rsid w:val="00E510EC"/>
    <w:rsid w:val="00E51B4C"/>
    <w:rsid w:val="00E51FF9"/>
    <w:rsid w:val="00E52078"/>
    <w:rsid w:val="00E520AC"/>
    <w:rsid w:val="00E520F3"/>
    <w:rsid w:val="00E521C2"/>
    <w:rsid w:val="00E524FB"/>
    <w:rsid w:val="00E5259C"/>
    <w:rsid w:val="00E52B1D"/>
    <w:rsid w:val="00E52BCA"/>
    <w:rsid w:val="00E52EFD"/>
    <w:rsid w:val="00E52F3E"/>
    <w:rsid w:val="00E533C5"/>
    <w:rsid w:val="00E53412"/>
    <w:rsid w:val="00E5351C"/>
    <w:rsid w:val="00E5352F"/>
    <w:rsid w:val="00E5361F"/>
    <w:rsid w:val="00E537A6"/>
    <w:rsid w:val="00E53A4F"/>
    <w:rsid w:val="00E53B65"/>
    <w:rsid w:val="00E53E84"/>
    <w:rsid w:val="00E53EA4"/>
    <w:rsid w:val="00E53EB6"/>
    <w:rsid w:val="00E540F0"/>
    <w:rsid w:val="00E54122"/>
    <w:rsid w:val="00E541EF"/>
    <w:rsid w:val="00E542A8"/>
    <w:rsid w:val="00E542E0"/>
    <w:rsid w:val="00E54829"/>
    <w:rsid w:val="00E54B48"/>
    <w:rsid w:val="00E54B56"/>
    <w:rsid w:val="00E54E8F"/>
    <w:rsid w:val="00E5527D"/>
    <w:rsid w:val="00E55625"/>
    <w:rsid w:val="00E5584F"/>
    <w:rsid w:val="00E5594D"/>
    <w:rsid w:val="00E564BC"/>
    <w:rsid w:val="00E574C3"/>
    <w:rsid w:val="00E574D5"/>
    <w:rsid w:val="00E574F7"/>
    <w:rsid w:val="00E5781B"/>
    <w:rsid w:val="00E578A8"/>
    <w:rsid w:val="00E57BD8"/>
    <w:rsid w:val="00E57D52"/>
    <w:rsid w:val="00E57E17"/>
    <w:rsid w:val="00E57F37"/>
    <w:rsid w:val="00E602EF"/>
    <w:rsid w:val="00E60443"/>
    <w:rsid w:val="00E608A1"/>
    <w:rsid w:val="00E6118E"/>
    <w:rsid w:val="00E61563"/>
    <w:rsid w:val="00E61618"/>
    <w:rsid w:val="00E61671"/>
    <w:rsid w:val="00E6180A"/>
    <w:rsid w:val="00E6193D"/>
    <w:rsid w:val="00E619DB"/>
    <w:rsid w:val="00E61A12"/>
    <w:rsid w:val="00E61D2A"/>
    <w:rsid w:val="00E61E2A"/>
    <w:rsid w:val="00E61E6B"/>
    <w:rsid w:val="00E6213A"/>
    <w:rsid w:val="00E62300"/>
    <w:rsid w:val="00E62C4B"/>
    <w:rsid w:val="00E62E0B"/>
    <w:rsid w:val="00E62F2F"/>
    <w:rsid w:val="00E630FB"/>
    <w:rsid w:val="00E633D1"/>
    <w:rsid w:val="00E6395E"/>
    <w:rsid w:val="00E63B26"/>
    <w:rsid w:val="00E63E80"/>
    <w:rsid w:val="00E63F11"/>
    <w:rsid w:val="00E63FB7"/>
    <w:rsid w:val="00E649E9"/>
    <w:rsid w:val="00E64ED4"/>
    <w:rsid w:val="00E65060"/>
    <w:rsid w:val="00E6556D"/>
    <w:rsid w:val="00E655A2"/>
    <w:rsid w:val="00E65747"/>
    <w:rsid w:val="00E65866"/>
    <w:rsid w:val="00E65A4D"/>
    <w:rsid w:val="00E65B25"/>
    <w:rsid w:val="00E66037"/>
    <w:rsid w:val="00E660B6"/>
    <w:rsid w:val="00E6636C"/>
    <w:rsid w:val="00E6637F"/>
    <w:rsid w:val="00E6655A"/>
    <w:rsid w:val="00E66A42"/>
    <w:rsid w:val="00E66A89"/>
    <w:rsid w:val="00E66CCE"/>
    <w:rsid w:val="00E66F63"/>
    <w:rsid w:val="00E671EB"/>
    <w:rsid w:val="00E673C1"/>
    <w:rsid w:val="00E674B1"/>
    <w:rsid w:val="00E6755C"/>
    <w:rsid w:val="00E67B73"/>
    <w:rsid w:val="00E67DA5"/>
    <w:rsid w:val="00E67F6B"/>
    <w:rsid w:val="00E70042"/>
    <w:rsid w:val="00E7028F"/>
    <w:rsid w:val="00E7089B"/>
    <w:rsid w:val="00E70A11"/>
    <w:rsid w:val="00E70CE3"/>
    <w:rsid w:val="00E7116D"/>
    <w:rsid w:val="00E713D4"/>
    <w:rsid w:val="00E7155C"/>
    <w:rsid w:val="00E7169B"/>
    <w:rsid w:val="00E7189A"/>
    <w:rsid w:val="00E71931"/>
    <w:rsid w:val="00E71B26"/>
    <w:rsid w:val="00E71CC5"/>
    <w:rsid w:val="00E71E55"/>
    <w:rsid w:val="00E722B9"/>
    <w:rsid w:val="00E7242E"/>
    <w:rsid w:val="00E725CE"/>
    <w:rsid w:val="00E72690"/>
    <w:rsid w:val="00E728C3"/>
    <w:rsid w:val="00E72A5C"/>
    <w:rsid w:val="00E72C53"/>
    <w:rsid w:val="00E72CC7"/>
    <w:rsid w:val="00E72EF4"/>
    <w:rsid w:val="00E731F3"/>
    <w:rsid w:val="00E73227"/>
    <w:rsid w:val="00E73BE8"/>
    <w:rsid w:val="00E73BEA"/>
    <w:rsid w:val="00E73E09"/>
    <w:rsid w:val="00E73E43"/>
    <w:rsid w:val="00E73EA9"/>
    <w:rsid w:val="00E74330"/>
    <w:rsid w:val="00E74489"/>
    <w:rsid w:val="00E74A19"/>
    <w:rsid w:val="00E74A5A"/>
    <w:rsid w:val="00E74C62"/>
    <w:rsid w:val="00E750FA"/>
    <w:rsid w:val="00E751CE"/>
    <w:rsid w:val="00E75208"/>
    <w:rsid w:val="00E75A91"/>
    <w:rsid w:val="00E75BD9"/>
    <w:rsid w:val="00E75D46"/>
    <w:rsid w:val="00E75D8B"/>
    <w:rsid w:val="00E762F0"/>
    <w:rsid w:val="00E76334"/>
    <w:rsid w:val="00E76441"/>
    <w:rsid w:val="00E76480"/>
    <w:rsid w:val="00E766F8"/>
    <w:rsid w:val="00E769E9"/>
    <w:rsid w:val="00E76A7E"/>
    <w:rsid w:val="00E76BC4"/>
    <w:rsid w:val="00E76D61"/>
    <w:rsid w:val="00E76F7D"/>
    <w:rsid w:val="00E7710C"/>
    <w:rsid w:val="00E77380"/>
    <w:rsid w:val="00E773A5"/>
    <w:rsid w:val="00E773C8"/>
    <w:rsid w:val="00E77808"/>
    <w:rsid w:val="00E7785E"/>
    <w:rsid w:val="00E778CB"/>
    <w:rsid w:val="00E77A2A"/>
    <w:rsid w:val="00E77DDB"/>
    <w:rsid w:val="00E77EE1"/>
    <w:rsid w:val="00E80AB3"/>
    <w:rsid w:val="00E80E5C"/>
    <w:rsid w:val="00E81028"/>
    <w:rsid w:val="00E81165"/>
    <w:rsid w:val="00E8129E"/>
    <w:rsid w:val="00E8139A"/>
    <w:rsid w:val="00E8142C"/>
    <w:rsid w:val="00E81507"/>
    <w:rsid w:val="00E816D8"/>
    <w:rsid w:val="00E817FC"/>
    <w:rsid w:val="00E81E7A"/>
    <w:rsid w:val="00E8210B"/>
    <w:rsid w:val="00E8213D"/>
    <w:rsid w:val="00E821FF"/>
    <w:rsid w:val="00E82387"/>
    <w:rsid w:val="00E825E0"/>
    <w:rsid w:val="00E82C98"/>
    <w:rsid w:val="00E82EEB"/>
    <w:rsid w:val="00E8322B"/>
    <w:rsid w:val="00E8363A"/>
    <w:rsid w:val="00E839DD"/>
    <w:rsid w:val="00E83B64"/>
    <w:rsid w:val="00E83D7C"/>
    <w:rsid w:val="00E8419C"/>
    <w:rsid w:val="00E842E0"/>
    <w:rsid w:val="00E8457E"/>
    <w:rsid w:val="00E846A6"/>
    <w:rsid w:val="00E84AD5"/>
    <w:rsid w:val="00E84CCE"/>
    <w:rsid w:val="00E84F51"/>
    <w:rsid w:val="00E85048"/>
    <w:rsid w:val="00E85100"/>
    <w:rsid w:val="00E8515B"/>
    <w:rsid w:val="00E85DA3"/>
    <w:rsid w:val="00E861DE"/>
    <w:rsid w:val="00E862D5"/>
    <w:rsid w:val="00E86748"/>
    <w:rsid w:val="00E8698D"/>
    <w:rsid w:val="00E869D3"/>
    <w:rsid w:val="00E86BBC"/>
    <w:rsid w:val="00E86C39"/>
    <w:rsid w:val="00E86C49"/>
    <w:rsid w:val="00E86FAC"/>
    <w:rsid w:val="00E86FB1"/>
    <w:rsid w:val="00E8720D"/>
    <w:rsid w:val="00E872DB"/>
    <w:rsid w:val="00E877FF"/>
    <w:rsid w:val="00E87879"/>
    <w:rsid w:val="00E87C74"/>
    <w:rsid w:val="00E87D66"/>
    <w:rsid w:val="00E87D9C"/>
    <w:rsid w:val="00E90174"/>
    <w:rsid w:val="00E90630"/>
    <w:rsid w:val="00E906E4"/>
    <w:rsid w:val="00E9088D"/>
    <w:rsid w:val="00E90BBD"/>
    <w:rsid w:val="00E90BCC"/>
    <w:rsid w:val="00E90C66"/>
    <w:rsid w:val="00E90D42"/>
    <w:rsid w:val="00E90F45"/>
    <w:rsid w:val="00E9109F"/>
    <w:rsid w:val="00E9110B"/>
    <w:rsid w:val="00E91268"/>
    <w:rsid w:val="00E91599"/>
    <w:rsid w:val="00E9166E"/>
    <w:rsid w:val="00E91CBF"/>
    <w:rsid w:val="00E91F6C"/>
    <w:rsid w:val="00E927DB"/>
    <w:rsid w:val="00E92A57"/>
    <w:rsid w:val="00E92D8C"/>
    <w:rsid w:val="00E92EA0"/>
    <w:rsid w:val="00E9315F"/>
    <w:rsid w:val="00E932F2"/>
    <w:rsid w:val="00E93315"/>
    <w:rsid w:val="00E93347"/>
    <w:rsid w:val="00E934A6"/>
    <w:rsid w:val="00E93B91"/>
    <w:rsid w:val="00E94A68"/>
    <w:rsid w:val="00E94DBE"/>
    <w:rsid w:val="00E94DED"/>
    <w:rsid w:val="00E94DF0"/>
    <w:rsid w:val="00E952A0"/>
    <w:rsid w:val="00E95647"/>
    <w:rsid w:val="00E95A8B"/>
    <w:rsid w:val="00E95AD7"/>
    <w:rsid w:val="00E95D8A"/>
    <w:rsid w:val="00E963F2"/>
    <w:rsid w:val="00E964A2"/>
    <w:rsid w:val="00E964B5"/>
    <w:rsid w:val="00E96A12"/>
    <w:rsid w:val="00E96D7B"/>
    <w:rsid w:val="00E96E1D"/>
    <w:rsid w:val="00E96EC8"/>
    <w:rsid w:val="00E9721F"/>
    <w:rsid w:val="00E9735A"/>
    <w:rsid w:val="00E97771"/>
    <w:rsid w:val="00E97F3E"/>
    <w:rsid w:val="00EA01B0"/>
    <w:rsid w:val="00EA0971"/>
    <w:rsid w:val="00EA0B88"/>
    <w:rsid w:val="00EA0E6B"/>
    <w:rsid w:val="00EA0FE2"/>
    <w:rsid w:val="00EA101E"/>
    <w:rsid w:val="00EA14C1"/>
    <w:rsid w:val="00EA2106"/>
    <w:rsid w:val="00EA2223"/>
    <w:rsid w:val="00EA277A"/>
    <w:rsid w:val="00EA2CF5"/>
    <w:rsid w:val="00EA2D1C"/>
    <w:rsid w:val="00EA31B4"/>
    <w:rsid w:val="00EA353B"/>
    <w:rsid w:val="00EA3617"/>
    <w:rsid w:val="00EA37BA"/>
    <w:rsid w:val="00EA3A3B"/>
    <w:rsid w:val="00EA3D49"/>
    <w:rsid w:val="00EA3FAA"/>
    <w:rsid w:val="00EA4184"/>
    <w:rsid w:val="00EA42EA"/>
    <w:rsid w:val="00EA4390"/>
    <w:rsid w:val="00EA4506"/>
    <w:rsid w:val="00EA4807"/>
    <w:rsid w:val="00EA4B64"/>
    <w:rsid w:val="00EA4FD2"/>
    <w:rsid w:val="00EA5052"/>
    <w:rsid w:val="00EA5225"/>
    <w:rsid w:val="00EA5824"/>
    <w:rsid w:val="00EA6033"/>
    <w:rsid w:val="00EA6236"/>
    <w:rsid w:val="00EA657E"/>
    <w:rsid w:val="00EA69AE"/>
    <w:rsid w:val="00EA6B85"/>
    <w:rsid w:val="00EA6F29"/>
    <w:rsid w:val="00EA6FBC"/>
    <w:rsid w:val="00EA7129"/>
    <w:rsid w:val="00EA777E"/>
    <w:rsid w:val="00EA7971"/>
    <w:rsid w:val="00EA7B1C"/>
    <w:rsid w:val="00EA7DCC"/>
    <w:rsid w:val="00EA7FC6"/>
    <w:rsid w:val="00EB02C2"/>
    <w:rsid w:val="00EB03B8"/>
    <w:rsid w:val="00EB084C"/>
    <w:rsid w:val="00EB09A6"/>
    <w:rsid w:val="00EB0B87"/>
    <w:rsid w:val="00EB0DEE"/>
    <w:rsid w:val="00EB0F45"/>
    <w:rsid w:val="00EB0F61"/>
    <w:rsid w:val="00EB1097"/>
    <w:rsid w:val="00EB1321"/>
    <w:rsid w:val="00EB142F"/>
    <w:rsid w:val="00EB1CC9"/>
    <w:rsid w:val="00EB208E"/>
    <w:rsid w:val="00EB21DE"/>
    <w:rsid w:val="00EB226B"/>
    <w:rsid w:val="00EB2421"/>
    <w:rsid w:val="00EB24CF"/>
    <w:rsid w:val="00EB2543"/>
    <w:rsid w:val="00EB37C0"/>
    <w:rsid w:val="00EB3820"/>
    <w:rsid w:val="00EB3BA7"/>
    <w:rsid w:val="00EB3F41"/>
    <w:rsid w:val="00EB428C"/>
    <w:rsid w:val="00EB42E0"/>
    <w:rsid w:val="00EB46D3"/>
    <w:rsid w:val="00EB4C5B"/>
    <w:rsid w:val="00EB4EF1"/>
    <w:rsid w:val="00EB50B9"/>
    <w:rsid w:val="00EB57F9"/>
    <w:rsid w:val="00EB58E7"/>
    <w:rsid w:val="00EB5E05"/>
    <w:rsid w:val="00EB5E7F"/>
    <w:rsid w:val="00EB60BF"/>
    <w:rsid w:val="00EB60DF"/>
    <w:rsid w:val="00EB647C"/>
    <w:rsid w:val="00EB654B"/>
    <w:rsid w:val="00EB69A8"/>
    <w:rsid w:val="00EB69D2"/>
    <w:rsid w:val="00EB6D35"/>
    <w:rsid w:val="00EB6D37"/>
    <w:rsid w:val="00EB71A4"/>
    <w:rsid w:val="00EB7430"/>
    <w:rsid w:val="00EB75B5"/>
    <w:rsid w:val="00EB7B8B"/>
    <w:rsid w:val="00EB7CE3"/>
    <w:rsid w:val="00EB7D3A"/>
    <w:rsid w:val="00EC0195"/>
    <w:rsid w:val="00EC01F0"/>
    <w:rsid w:val="00EC05F3"/>
    <w:rsid w:val="00EC07A0"/>
    <w:rsid w:val="00EC07A9"/>
    <w:rsid w:val="00EC0827"/>
    <w:rsid w:val="00EC09A7"/>
    <w:rsid w:val="00EC0DB7"/>
    <w:rsid w:val="00EC0E7E"/>
    <w:rsid w:val="00EC0F62"/>
    <w:rsid w:val="00EC1206"/>
    <w:rsid w:val="00EC12C1"/>
    <w:rsid w:val="00EC1349"/>
    <w:rsid w:val="00EC1A6C"/>
    <w:rsid w:val="00EC1AC1"/>
    <w:rsid w:val="00EC1D29"/>
    <w:rsid w:val="00EC1DA7"/>
    <w:rsid w:val="00EC1F2D"/>
    <w:rsid w:val="00EC1F9D"/>
    <w:rsid w:val="00EC21B3"/>
    <w:rsid w:val="00EC243D"/>
    <w:rsid w:val="00EC267A"/>
    <w:rsid w:val="00EC2739"/>
    <w:rsid w:val="00EC2B04"/>
    <w:rsid w:val="00EC32E2"/>
    <w:rsid w:val="00EC33DC"/>
    <w:rsid w:val="00EC33E5"/>
    <w:rsid w:val="00EC34E2"/>
    <w:rsid w:val="00EC3641"/>
    <w:rsid w:val="00EC376D"/>
    <w:rsid w:val="00EC3D45"/>
    <w:rsid w:val="00EC3D97"/>
    <w:rsid w:val="00EC3EEF"/>
    <w:rsid w:val="00EC410B"/>
    <w:rsid w:val="00EC4177"/>
    <w:rsid w:val="00EC44B5"/>
    <w:rsid w:val="00EC4656"/>
    <w:rsid w:val="00EC472A"/>
    <w:rsid w:val="00EC48C6"/>
    <w:rsid w:val="00EC49C3"/>
    <w:rsid w:val="00EC4E2E"/>
    <w:rsid w:val="00EC54BA"/>
    <w:rsid w:val="00EC55F8"/>
    <w:rsid w:val="00EC5788"/>
    <w:rsid w:val="00EC57A5"/>
    <w:rsid w:val="00EC5A49"/>
    <w:rsid w:val="00EC5AC1"/>
    <w:rsid w:val="00EC5FD4"/>
    <w:rsid w:val="00EC6C8F"/>
    <w:rsid w:val="00EC6C99"/>
    <w:rsid w:val="00EC6D9F"/>
    <w:rsid w:val="00EC78DD"/>
    <w:rsid w:val="00EC79CD"/>
    <w:rsid w:val="00EC7CDA"/>
    <w:rsid w:val="00ED0A34"/>
    <w:rsid w:val="00ED0A48"/>
    <w:rsid w:val="00ED0BEF"/>
    <w:rsid w:val="00ED1137"/>
    <w:rsid w:val="00ED11E5"/>
    <w:rsid w:val="00ED1585"/>
    <w:rsid w:val="00ED17DB"/>
    <w:rsid w:val="00ED18A5"/>
    <w:rsid w:val="00ED1C13"/>
    <w:rsid w:val="00ED1E97"/>
    <w:rsid w:val="00ED1E9F"/>
    <w:rsid w:val="00ED24D4"/>
    <w:rsid w:val="00ED26F8"/>
    <w:rsid w:val="00ED28AB"/>
    <w:rsid w:val="00ED2917"/>
    <w:rsid w:val="00ED294B"/>
    <w:rsid w:val="00ED2955"/>
    <w:rsid w:val="00ED2F88"/>
    <w:rsid w:val="00ED3302"/>
    <w:rsid w:val="00ED3986"/>
    <w:rsid w:val="00ED39E5"/>
    <w:rsid w:val="00ED3AA7"/>
    <w:rsid w:val="00ED3C14"/>
    <w:rsid w:val="00ED3FC7"/>
    <w:rsid w:val="00ED3FE9"/>
    <w:rsid w:val="00ED41C0"/>
    <w:rsid w:val="00ED41C5"/>
    <w:rsid w:val="00ED4235"/>
    <w:rsid w:val="00ED446D"/>
    <w:rsid w:val="00ED45BE"/>
    <w:rsid w:val="00ED4965"/>
    <w:rsid w:val="00ED4B3B"/>
    <w:rsid w:val="00ED51C0"/>
    <w:rsid w:val="00ED5339"/>
    <w:rsid w:val="00ED53E2"/>
    <w:rsid w:val="00ED592C"/>
    <w:rsid w:val="00ED59A2"/>
    <w:rsid w:val="00ED5E79"/>
    <w:rsid w:val="00ED615D"/>
    <w:rsid w:val="00ED67E4"/>
    <w:rsid w:val="00ED6AF5"/>
    <w:rsid w:val="00ED6DCA"/>
    <w:rsid w:val="00ED6FFD"/>
    <w:rsid w:val="00ED7637"/>
    <w:rsid w:val="00ED7890"/>
    <w:rsid w:val="00ED7DA3"/>
    <w:rsid w:val="00EE0152"/>
    <w:rsid w:val="00EE022C"/>
    <w:rsid w:val="00EE0245"/>
    <w:rsid w:val="00EE05FF"/>
    <w:rsid w:val="00EE0623"/>
    <w:rsid w:val="00EE0BE0"/>
    <w:rsid w:val="00EE0EAA"/>
    <w:rsid w:val="00EE0F23"/>
    <w:rsid w:val="00EE0F43"/>
    <w:rsid w:val="00EE140B"/>
    <w:rsid w:val="00EE164E"/>
    <w:rsid w:val="00EE17F5"/>
    <w:rsid w:val="00EE1A20"/>
    <w:rsid w:val="00EE1BA9"/>
    <w:rsid w:val="00EE205B"/>
    <w:rsid w:val="00EE2121"/>
    <w:rsid w:val="00EE21B1"/>
    <w:rsid w:val="00EE2358"/>
    <w:rsid w:val="00EE2BA9"/>
    <w:rsid w:val="00EE38AF"/>
    <w:rsid w:val="00EE396F"/>
    <w:rsid w:val="00EE3C3B"/>
    <w:rsid w:val="00EE3DC3"/>
    <w:rsid w:val="00EE3E0E"/>
    <w:rsid w:val="00EE3FEF"/>
    <w:rsid w:val="00EE40F9"/>
    <w:rsid w:val="00EE446D"/>
    <w:rsid w:val="00EE46BF"/>
    <w:rsid w:val="00EE47CB"/>
    <w:rsid w:val="00EE4856"/>
    <w:rsid w:val="00EE4C6F"/>
    <w:rsid w:val="00EE4CF6"/>
    <w:rsid w:val="00EE5209"/>
    <w:rsid w:val="00EE55D5"/>
    <w:rsid w:val="00EE59BD"/>
    <w:rsid w:val="00EE62E6"/>
    <w:rsid w:val="00EE634C"/>
    <w:rsid w:val="00EE6668"/>
    <w:rsid w:val="00EE66CE"/>
    <w:rsid w:val="00EE6A6E"/>
    <w:rsid w:val="00EE6C70"/>
    <w:rsid w:val="00EE6DA4"/>
    <w:rsid w:val="00EE7545"/>
    <w:rsid w:val="00EE7788"/>
    <w:rsid w:val="00EE77EC"/>
    <w:rsid w:val="00EE7F04"/>
    <w:rsid w:val="00EED436"/>
    <w:rsid w:val="00EF0215"/>
    <w:rsid w:val="00EF0246"/>
    <w:rsid w:val="00EF056A"/>
    <w:rsid w:val="00EF06D2"/>
    <w:rsid w:val="00EF08B9"/>
    <w:rsid w:val="00EF0D76"/>
    <w:rsid w:val="00EF0ECF"/>
    <w:rsid w:val="00EF108E"/>
    <w:rsid w:val="00EF13B3"/>
    <w:rsid w:val="00EF1D0F"/>
    <w:rsid w:val="00EF1D44"/>
    <w:rsid w:val="00EF1F23"/>
    <w:rsid w:val="00EF22BF"/>
    <w:rsid w:val="00EF2407"/>
    <w:rsid w:val="00EF2570"/>
    <w:rsid w:val="00EF2824"/>
    <w:rsid w:val="00EF28B6"/>
    <w:rsid w:val="00EF2C66"/>
    <w:rsid w:val="00EF30A9"/>
    <w:rsid w:val="00EF316E"/>
    <w:rsid w:val="00EF31EB"/>
    <w:rsid w:val="00EF365C"/>
    <w:rsid w:val="00EF37E4"/>
    <w:rsid w:val="00EF3852"/>
    <w:rsid w:val="00EF3A95"/>
    <w:rsid w:val="00EF3D56"/>
    <w:rsid w:val="00EF4981"/>
    <w:rsid w:val="00EF4A67"/>
    <w:rsid w:val="00EF4B6F"/>
    <w:rsid w:val="00EF4EBD"/>
    <w:rsid w:val="00EF54CF"/>
    <w:rsid w:val="00EF5514"/>
    <w:rsid w:val="00EF57DB"/>
    <w:rsid w:val="00EF594E"/>
    <w:rsid w:val="00EF5C3C"/>
    <w:rsid w:val="00EF5C79"/>
    <w:rsid w:val="00EF5DD2"/>
    <w:rsid w:val="00EF5F48"/>
    <w:rsid w:val="00EF608F"/>
    <w:rsid w:val="00EF60AA"/>
    <w:rsid w:val="00EF689F"/>
    <w:rsid w:val="00EF71E1"/>
    <w:rsid w:val="00EF74AE"/>
    <w:rsid w:val="00EF7AF9"/>
    <w:rsid w:val="00EF7C2B"/>
    <w:rsid w:val="00EF7DC7"/>
    <w:rsid w:val="00F000DB"/>
    <w:rsid w:val="00F001B8"/>
    <w:rsid w:val="00F0028C"/>
    <w:rsid w:val="00F0095E"/>
    <w:rsid w:val="00F00A9D"/>
    <w:rsid w:val="00F00D5E"/>
    <w:rsid w:val="00F0123E"/>
    <w:rsid w:val="00F015F1"/>
    <w:rsid w:val="00F016EC"/>
    <w:rsid w:val="00F01898"/>
    <w:rsid w:val="00F019ED"/>
    <w:rsid w:val="00F01A65"/>
    <w:rsid w:val="00F02354"/>
    <w:rsid w:val="00F02CE1"/>
    <w:rsid w:val="00F02EAC"/>
    <w:rsid w:val="00F030D2"/>
    <w:rsid w:val="00F03139"/>
    <w:rsid w:val="00F03140"/>
    <w:rsid w:val="00F032A0"/>
    <w:rsid w:val="00F036B5"/>
    <w:rsid w:val="00F036D0"/>
    <w:rsid w:val="00F038AE"/>
    <w:rsid w:val="00F03BF2"/>
    <w:rsid w:val="00F03EF3"/>
    <w:rsid w:val="00F03FCA"/>
    <w:rsid w:val="00F041B8"/>
    <w:rsid w:val="00F046AA"/>
    <w:rsid w:val="00F04830"/>
    <w:rsid w:val="00F04A74"/>
    <w:rsid w:val="00F04CF6"/>
    <w:rsid w:val="00F04DDF"/>
    <w:rsid w:val="00F04E16"/>
    <w:rsid w:val="00F05287"/>
    <w:rsid w:val="00F05530"/>
    <w:rsid w:val="00F05669"/>
    <w:rsid w:val="00F0573E"/>
    <w:rsid w:val="00F0593B"/>
    <w:rsid w:val="00F059E6"/>
    <w:rsid w:val="00F05D7C"/>
    <w:rsid w:val="00F05E77"/>
    <w:rsid w:val="00F05FCD"/>
    <w:rsid w:val="00F062B6"/>
    <w:rsid w:val="00F063BF"/>
    <w:rsid w:val="00F06642"/>
    <w:rsid w:val="00F06780"/>
    <w:rsid w:val="00F06B55"/>
    <w:rsid w:val="00F06BB9"/>
    <w:rsid w:val="00F06CAC"/>
    <w:rsid w:val="00F06D7E"/>
    <w:rsid w:val="00F06FE5"/>
    <w:rsid w:val="00F072F9"/>
    <w:rsid w:val="00F07663"/>
    <w:rsid w:val="00F07737"/>
    <w:rsid w:val="00F07916"/>
    <w:rsid w:val="00F07979"/>
    <w:rsid w:val="00F07A88"/>
    <w:rsid w:val="00F07B0D"/>
    <w:rsid w:val="00F07B53"/>
    <w:rsid w:val="00F07C32"/>
    <w:rsid w:val="00F10175"/>
    <w:rsid w:val="00F102F4"/>
    <w:rsid w:val="00F10386"/>
    <w:rsid w:val="00F1040F"/>
    <w:rsid w:val="00F1065C"/>
    <w:rsid w:val="00F10955"/>
    <w:rsid w:val="00F10B87"/>
    <w:rsid w:val="00F10D5A"/>
    <w:rsid w:val="00F10D8A"/>
    <w:rsid w:val="00F10FB8"/>
    <w:rsid w:val="00F11291"/>
    <w:rsid w:val="00F11579"/>
    <w:rsid w:val="00F11857"/>
    <w:rsid w:val="00F12037"/>
    <w:rsid w:val="00F1204C"/>
    <w:rsid w:val="00F12105"/>
    <w:rsid w:val="00F121BF"/>
    <w:rsid w:val="00F12293"/>
    <w:rsid w:val="00F122E2"/>
    <w:rsid w:val="00F127BF"/>
    <w:rsid w:val="00F12800"/>
    <w:rsid w:val="00F12D78"/>
    <w:rsid w:val="00F12FFE"/>
    <w:rsid w:val="00F13312"/>
    <w:rsid w:val="00F1363C"/>
    <w:rsid w:val="00F13BF9"/>
    <w:rsid w:val="00F13DBE"/>
    <w:rsid w:val="00F1483B"/>
    <w:rsid w:val="00F14B90"/>
    <w:rsid w:val="00F14EBF"/>
    <w:rsid w:val="00F151E8"/>
    <w:rsid w:val="00F15480"/>
    <w:rsid w:val="00F15DD3"/>
    <w:rsid w:val="00F15EFB"/>
    <w:rsid w:val="00F15FAB"/>
    <w:rsid w:val="00F15FFE"/>
    <w:rsid w:val="00F162E2"/>
    <w:rsid w:val="00F1699F"/>
    <w:rsid w:val="00F16AE3"/>
    <w:rsid w:val="00F16BF7"/>
    <w:rsid w:val="00F16E4C"/>
    <w:rsid w:val="00F171A8"/>
    <w:rsid w:val="00F171DD"/>
    <w:rsid w:val="00F176CD"/>
    <w:rsid w:val="00F1798E"/>
    <w:rsid w:val="00F179D7"/>
    <w:rsid w:val="00F17A69"/>
    <w:rsid w:val="00F17B87"/>
    <w:rsid w:val="00F17CD7"/>
    <w:rsid w:val="00F17EC6"/>
    <w:rsid w:val="00F200C7"/>
    <w:rsid w:val="00F2052C"/>
    <w:rsid w:val="00F2055B"/>
    <w:rsid w:val="00F20588"/>
    <w:rsid w:val="00F2061F"/>
    <w:rsid w:val="00F2076A"/>
    <w:rsid w:val="00F208A2"/>
    <w:rsid w:val="00F209CF"/>
    <w:rsid w:val="00F20E59"/>
    <w:rsid w:val="00F211D3"/>
    <w:rsid w:val="00F213A0"/>
    <w:rsid w:val="00F2149A"/>
    <w:rsid w:val="00F214AE"/>
    <w:rsid w:val="00F215E4"/>
    <w:rsid w:val="00F21666"/>
    <w:rsid w:val="00F2169C"/>
    <w:rsid w:val="00F2169E"/>
    <w:rsid w:val="00F21AA2"/>
    <w:rsid w:val="00F2216E"/>
    <w:rsid w:val="00F2220F"/>
    <w:rsid w:val="00F2229A"/>
    <w:rsid w:val="00F227A5"/>
    <w:rsid w:val="00F2280E"/>
    <w:rsid w:val="00F22B74"/>
    <w:rsid w:val="00F22C44"/>
    <w:rsid w:val="00F22CC3"/>
    <w:rsid w:val="00F22E62"/>
    <w:rsid w:val="00F23152"/>
    <w:rsid w:val="00F23390"/>
    <w:rsid w:val="00F23492"/>
    <w:rsid w:val="00F23578"/>
    <w:rsid w:val="00F2360E"/>
    <w:rsid w:val="00F238D3"/>
    <w:rsid w:val="00F23DD8"/>
    <w:rsid w:val="00F23E05"/>
    <w:rsid w:val="00F23EE9"/>
    <w:rsid w:val="00F24078"/>
    <w:rsid w:val="00F244BB"/>
    <w:rsid w:val="00F245FA"/>
    <w:rsid w:val="00F2493C"/>
    <w:rsid w:val="00F25217"/>
    <w:rsid w:val="00F25644"/>
    <w:rsid w:val="00F25A0E"/>
    <w:rsid w:val="00F25B3A"/>
    <w:rsid w:val="00F25B70"/>
    <w:rsid w:val="00F25C37"/>
    <w:rsid w:val="00F25EE3"/>
    <w:rsid w:val="00F2660A"/>
    <w:rsid w:val="00F26A9B"/>
    <w:rsid w:val="00F26C5D"/>
    <w:rsid w:val="00F26F3B"/>
    <w:rsid w:val="00F2725D"/>
    <w:rsid w:val="00F27445"/>
    <w:rsid w:val="00F275EC"/>
    <w:rsid w:val="00F276B6"/>
    <w:rsid w:val="00F2788A"/>
    <w:rsid w:val="00F2789D"/>
    <w:rsid w:val="00F27932"/>
    <w:rsid w:val="00F27961"/>
    <w:rsid w:val="00F27C67"/>
    <w:rsid w:val="00F27E00"/>
    <w:rsid w:val="00F27E38"/>
    <w:rsid w:val="00F30B99"/>
    <w:rsid w:val="00F310B7"/>
    <w:rsid w:val="00F31318"/>
    <w:rsid w:val="00F313A2"/>
    <w:rsid w:val="00F315E9"/>
    <w:rsid w:val="00F31652"/>
    <w:rsid w:val="00F31660"/>
    <w:rsid w:val="00F317F8"/>
    <w:rsid w:val="00F31B85"/>
    <w:rsid w:val="00F322C0"/>
    <w:rsid w:val="00F323C4"/>
    <w:rsid w:val="00F323D5"/>
    <w:rsid w:val="00F326A1"/>
    <w:rsid w:val="00F32E4C"/>
    <w:rsid w:val="00F332B1"/>
    <w:rsid w:val="00F33BE3"/>
    <w:rsid w:val="00F33C4B"/>
    <w:rsid w:val="00F34114"/>
    <w:rsid w:val="00F34373"/>
    <w:rsid w:val="00F34765"/>
    <w:rsid w:val="00F347CF"/>
    <w:rsid w:val="00F34895"/>
    <w:rsid w:val="00F34D9F"/>
    <w:rsid w:val="00F34DB7"/>
    <w:rsid w:val="00F34E22"/>
    <w:rsid w:val="00F34E57"/>
    <w:rsid w:val="00F35191"/>
    <w:rsid w:val="00F353FB"/>
    <w:rsid w:val="00F354DD"/>
    <w:rsid w:val="00F35B19"/>
    <w:rsid w:val="00F35BD5"/>
    <w:rsid w:val="00F3601E"/>
    <w:rsid w:val="00F36383"/>
    <w:rsid w:val="00F363E0"/>
    <w:rsid w:val="00F365DB"/>
    <w:rsid w:val="00F36840"/>
    <w:rsid w:val="00F36D60"/>
    <w:rsid w:val="00F3716D"/>
    <w:rsid w:val="00F377A6"/>
    <w:rsid w:val="00F3793D"/>
    <w:rsid w:val="00F37B33"/>
    <w:rsid w:val="00F37B7D"/>
    <w:rsid w:val="00F37BF0"/>
    <w:rsid w:val="00F37C1E"/>
    <w:rsid w:val="00F400B9"/>
    <w:rsid w:val="00F401AB"/>
    <w:rsid w:val="00F402AC"/>
    <w:rsid w:val="00F40416"/>
    <w:rsid w:val="00F4042A"/>
    <w:rsid w:val="00F40557"/>
    <w:rsid w:val="00F40805"/>
    <w:rsid w:val="00F40B31"/>
    <w:rsid w:val="00F40C49"/>
    <w:rsid w:val="00F40CE9"/>
    <w:rsid w:val="00F40DDF"/>
    <w:rsid w:val="00F410EE"/>
    <w:rsid w:val="00F41291"/>
    <w:rsid w:val="00F412D7"/>
    <w:rsid w:val="00F41907"/>
    <w:rsid w:val="00F41ECD"/>
    <w:rsid w:val="00F423E5"/>
    <w:rsid w:val="00F42439"/>
    <w:rsid w:val="00F42545"/>
    <w:rsid w:val="00F42555"/>
    <w:rsid w:val="00F42838"/>
    <w:rsid w:val="00F42ADA"/>
    <w:rsid w:val="00F42C7B"/>
    <w:rsid w:val="00F430B2"/>
    <w:rsid w:val="00F43423"/>
    <w:rsid w:val="00F43AF4"/>
    <w:rsid w:val="00F43B09"/>
    <w:rsid w:val="00F43CC7"/>
    <w:rsid w:val="00F43F18"/>
    <w:rsid w:val="00F43F83"/>
    <w:rsid w:val="00F4406C"/>
    <w:rsid w:val="00F4428D"/>
    <w:rsid w:val="00F44438"/>
    <w:rsid w:val="00F44994"/>
    <w:rsid w:val="00F449FE"/>
    <w:rsid w:val="00F44AF7"/>
    <w:rsid w:val="00F44B2E"/>
    <w:rsid w:val="00F44D0F"/>
    <w:rsid w:val="00F44D70"/>
    <w:rsid w:val="00F4501C"/>
    <w:rsid w:val="00F450CD"/>
    <w:rsid w:val="00F4517D"/>
    <w:rsid w:val="00F4536E"/>
    <w:rsid w:val="00F45801"/>
    <w:rsid w:val="00F45883"/>
    <w:rsid w:val="00F45F8D"/>
    <w:rsid w:val="00F460E6"/>
    <w:rsid w:val="00F462E3"/>
    <w:rsid w:val="00F463D6"/>
    <w:rsid w:val="00F468C5"/>
    <w:rsid w:val="00F46A7A"/>
    <w:rsid w:val="00F472CD"/>
    <w:rsid w:val="00F47953"/>
    <w:rsid w:val="00F47BD5"/>
    <w:rsid w:val="00F47DAE"/>
    <w:rsid w:val="00F47DB4"/>
    <w:rsid w:val="00F47E16"/>
    <w:rsid w:val="00F47E81"/>
    <w:rsid w:val="00F506E3"/>
    <w:rsid w:val="00F507A9"/>
    <w:rsid w:val="00F508EC"/>
    <w:rsid w:val="00F50C24"/>
    <w:rsid w:val="00F50D0C"/>
    <w:rsid w:val="00F51140"/>
    <w:rsid w:val="00F51310"/>
    <w:rsid w:val="00F51407"/>
    <w:rsid w:val="00F515FC"/>
    <w:rsid w:val="00F516A4"/>
    <w:rsid w:val="00F51C81"/>
    <w:rsid w:val="00F51CC0"/>
    <w:rsid w:val="00F52043"/>
    <w:rsid w:val="00F52507"/>
    <w:rsid w:val="00F52523"/>
    <w:rsid w:val="00F52737"/>
    <w:rsid w:val="00F5276A"/>
    <w:rsid w:val="00F5278F"/>
    <w:rsid w:val="00F52852"/>
    <w:rsid w:val="00F52F5E"/>
    <w:rsid w:val="00F53409"/>
    <w:rsid w:val="00F53A2D"/>
    <w:rsid w:val="00F53A62"/>
    <w:rsid w:val="00F53A80"/>
    <w:rsid w:val="00F53CC6"/>
    <w:rsid w:val="00F53EA3"/>
    <w:rsid w:val="00F54077"/>
    <w:rsid w:val="00F54555"/>
    <w:rsid w:val="00F54854"/>
    <w:rsid w:val="00F548EC"/>
    <w:rsid w:val="00F54D87"/>
    <w:rsid w:val="00F54F7C"/>
    <w:rsid w:val="00F54FE9"/>
    <w:rsid w:val="00F550B7"/>
    <w:rsid w:val="00F550C2"/>
    <w:rsid w:val="00F551A8"/>
    <w:rsid w:val="00F55388"/>
    <w:rsid w:val="00F55549"/>
    <w:rsid w:val="00F55704"/>
    <w:rsid w:val="00F5615B"/>
    <w:rsid w:val="00F5617F"/>
    <w:rsid w:val="00F561A5"/>
    <w:rsid w:val="00F56A9B"/>
    <w:rsid w:val="00F56C01"/>
    <w:rsid w:val="00F56D68"/>
    <w:rsid w:val="00F57459"/>
    <w:rsid w:val="00F57C17"/>
    <w:rsid w:val="00F57DFB"/>
    <w:rsid w:val="00F60180"/>
    <w:rsid w:val="00F607F5"/>
    <w:rsid w:val="00F6095E"/>
    <w:rsid w:val="00F6099F"/>
    <w:rsid w:val="00F612AB"/>
    <w:rsid w:val="00F613D9"/>
    <w:rsid w:val="00F6151B"/>
    <w:rsid w:val="00F61A2F"/>
    <w:rsid w:val="00F61AD1"/>
    <w:rsid w:val="00F61D92"/>
    <w:rsid w:val="00F61DA1"/>
    <w:rsid w:val="00F61F16"/>
    <w:rsid w:val="00F61FA7"/>
    <w:rsid w:val="00F624B7"/>
    <w:rsid w:val="00F62815"/>
    <w:rsid w:val="00F628A8"/>
    <w:rsid w:val="00F62B07"/>
    <w:rsid w:val="00F62B14"/>
    <w:rsid w:val="00F62D74"/>
    <w:rsid w:val="00F62E27"/>
    <w:rsid w:val="00F62F2D"/>
    <w:rsid w:val="00F62FCF"/>
    <w:rsid w:val="00F630EB"/>
    <w:rsid w:val="00F632AF"/>
    <w:rsid w:val="00F63449"/>
    <w:rsid w:val="00F63C7A"/>
    <w:rsid w:val="00F64186"/>
    <w:rsid w:val="00F6452B"/>
    <w:rsid w:val="00F6494A"/>
    <w:rsid w:val="00F64959"/>
    <w:rsid w:val="00F64A0F"/>
    <w:rsid w:val="00F6534E"/>
    <w:rsid w:val="00F65B0B"/>
    <w:rsid w:val="00F66012"/>
    <w:rsid w:val="00F66271"/>
    <w:rsid w:val="00F664B4"/>
    <w:rsid w:val="00F6659F"/>
    <w:rsid w:val="00F668F4"/>
    <w:rsid w:val="00F66C93"/>
    <w:rsid w:val="00F66F39"/>
    <w:rsid w:val="00F671BC"/>
    <w:rsid w:val="00F67320"/>
    <w:rsid w:val="00F674BB"/>
    <w:rsid w:val="00F6790D"/>
    <w:rsid w:val="00F67A3B"/>
    <w:rsid w:val="00F67B12"/>
    <w:rsid w:val="00F67BA1"/>
    <w:rsid w:val="00F7028D"/>
    <w:rsid w:val="00F70295"/>
    <w:rsid w:val="00F702F7"/>
    <w:rsid w:val="00F703B3"/>
    <w:rsid w:val="00F70713"/>
    <w:rsid w:val="00F70932"/>
    <w:rsid w:val="00F70C74"/>
    <w:rsid w:val="00F71085"/>
    <w:rsid w:val="00F7115E"/>
    <w:rsid w:val="00F714CF"/>
    <w:rsid w:val="00F718FE"/>
    <w:rsid w:val="00F71A52"/>
    <w:rsid w:val="00F71BD6"/>
    <w:rsid w:val="00F71D33"/>
    <w:rsid w:val="00F721C3"/>
    <w:rsid w:val="00F724EF"/>
    <w:rsid w:val="00F726A0"/>
    <w:rsid w:val="00F72B53"/>
    <w:rsid w:val="00F7305A"/>
    <w:rsid w:val="00F73253"/>
    <w:rsid w:val="00F734A5"/>
    <w:rsid w:val="00F73B43"/>
    <w:rsid w:val="00F73D74"/>
    <w:rsid w:val="00F73E8F"/>
    <w:rsid w:val="00F73FA2"/>
    <w:rsid w:val="00F74182"/>
    <w:rsid w:val="00F743CB"/>
    <w:rsid w:val="00F7452B"/>
    <w:rsid w:val="00F7480B"/>
    <w:rsid w:val="00F748A1"/>
    <w:rsid w:val="00F7491B"/>
    <w:rsid w:val="00F74AA5"/>
    <w:rsid w:val="00F74D88"/>
    <w:rsid w:val="00F74E75"/>
    <w:rsid w:val="00F74FE3"/>
    <w:rsid w:val="00F750C9"/>
    <w:rsid w:val="00F754B9"/>
    <w:rsid w:val="00F7554D"/>
    <w:rsid w:val="00F75793"/>
    <w:rsid w:val="00F75AF0"/>
    <w:rsid w:val="00F75BEF"/>
    <w:rsid w:val="00F75C0F"/>
    <w:rsid w:val="00F75C21"/>
    <w:rsid w:val="00F75CF0"/>
    <w:rsid w:val="00F75F9C"/>
    <w:rsid w:val="00F760E5"/>
    <w:rsid w:val="00F76260"/>
    <w:rsid w:val="00F76414"/>
    <w:rsid w:val="00F76946"/>
    <w:rsid w:val="00F76968"/>
    <w:rsid w:val="00F76E77"/>
    <w:rsid w:val="00F76EF2"/>
    <w:rsid w:val="00F76F7B"/>
    <w:rsid w:val="00F77034"/>
    <w:rsid w:val="00F7726C"/>
    <w:rsid w:val="00F7735C"/>
    <w:rsid w:val="00F7739D"/>
    <w:rsid w:val="00F775F6"/>
    <w:rsid w:val="00F778B9"/>
    <w:rsid w:val="00F77AF9"/>
    <w:rsid w:val="00F77D00"/>
    <w:rsid w:val="00F77F71"/>
    <w:rsid w:val="00F80150"/>
    <w:rsid w:val="00F80456"/>
    <w:rsid w:val="00F808A1"/>
    <w:rsid w:val="00F80CBD"/>
    <w:rsid w:val="00F80EA7"/>
    <w:rsid w:val="00F812C6"/>
    <w:rsid w:val="00F813AB"/>
    <w:rsid w:val="00F81A82"/>
    <w:rsid w:val="00F81B38"/>
    <w:rsid w:val="00F81EBA"/>
    <w:rsid w:val="00F82058"/>
    <w:rsid w:val="00F8226F"/>
    <w:rsid w:val="00F823EC"/>
    <w:rsid w:val="00F824D8"/>
    <w:rsid w:val="00F826A8"/>
    <w:rsid w:val="00F82715"/>
    <w:rsid w:val="00F829E9"/>
    <w:rsid w:val="00F8304E"/>
    <w:rsid w:val="00F83398"/>
    <w:rsid w:val="00F83874"/>
    <w:rsid w:val="00F838EA"/>
    <w:rsid w:val="00F83AB5"/>
    <w:rsid w:val="00F83BA0"/>
    <w:rsid w:val="00F8482D"/>
    <w:rsid w:val="00F84915"/>
    <w:rsid w:val="00F84B3A"/>
    <w:rsid w:val="00F84BC8"/>
    <w:rsid w:val="00F84D66"/>
    <w:rsid w:val="00F84DCA"/>
    <w:rsid w:val="00F855B3"/>
    <w:rsid w:val="00F857A9"/>
    <w:rsid w:val="00F85B1F"/>
    <w:rsid w:val="00F85BEB"/>
    <w:rsid w:val="00F861E8"/>
    <w:rsid w:val="00F865AF"/>
    <w:rsid w:val="00F86786"/>
    <w:rsid w:val="00F868ED"/>
    <w:rsid w:val="00F86A47"/>
    <w:rsid w:val="00F86C53"/>
    <w:rsid w:val="00F86EF1"/>
    <w:rsid w:val="00F86FB6"/>
    <w:rsid w:val="00F870D5"/>
    <w:rsid w:val="00F874FA"/>
    <w:rsid w:val="00F87DE2"/>
    <w:rsid w:val="00F9067C"/>
    <w:rsid w:val="00F90867"/>
    <w:rsid w:val="00F908AE"/>
    <w:rsid w:val="00F90C5D"/>
    <w:rsid w:val="00F90F15"/>
    <w:rsid w:val="00F91457"/>
    <w:rsid w:val="00F91982"/>
    <w:rsid w:val="00F91EF3"/>
    <w:rsid w:val="00F91F76"/>
    <w:rsid w:val="00F91FE6"/>
    <w:rsid w:val="00F921CB"/>
    <w:rsid w:val="00F92A2C"/>
    <w:rsid w:val="00F92AC5"/>
    <w:rsid w:val="00F92B6B"/>
    <w:rsid w:val="00F92D19"/>
    <w:rsid w:val="00F92E2B"/>
    <w:rsid w:val="00F93105"/>
    <w:rsid w:val="00F93124"/>
    <w:rsid w:val="00F93205"/>
    <w:rsid w:val="00F93213"/>
    <w:rsid w:val="00F9333E"/>
    <w:rsid w:val="00F933CF"/>
    <w:rsid w:val="00F933FA"/>
    <w:rsid w:val="00F9341C"/>
    <w:rsid w:val="00F93542"/>
    <w:rsid w:val="00F93888"/>
    <w:rsid w:val="00F93A1F"/>
    <w:rsid w:val="00F93CE2"/>
    <w:rsid w:val="00F93E8D"/>
    <w:rsid w:val="00F942A1"/>
    <w:rsid w:val="00F948BD"/>
    <w:rsid w:val="00F94ADE"/>
    <w:rsid w:val="00F94E43"/>
    <w:rsid w:val="00F94F84"/>
    <w:rsid w:val="00F9502D"/>
    <w:rsid w:val="00F956AF"/>
    <w:rsid w:val="00F95738"/>
    <w:rsid w:val="00F95B71"/>
    <w:rsid w:val="00F964CD"/>
    <w:rsid w:val="00F966D4"/>
    <w:rsid w:val="00F96E86"/>
    <w:rsid w:val="00F9722B"/>
    <w:rsid w:val="00F972C5"/>
    <w:rsid w:val="00F97647"/>
    <w:rsid w:val="00F9795E"/>
    <w:rsid w:val="00F97B6A"/>
    <w:rsid w:val="00F97C61"/>
    <w:rsid w:val="00F97D35"/>
    <w:rsid w:val="00F97D62"/>
    <w:rsid w:val="00F97DCB"/>
    <w:rsid w:val="00F97E98"/>
    <w:rsid w:val="00FA039A"/>
    <w:rsid w:val="00FA0431"/>
    <w:rsid w:val="00FA07E0"/>
    <w:rsid w:val="00FA0815"/>
    <w:rsid w:val="00FA08C0"/>
    <w:rsid w:val="00FA098B"/>
    <w:rsid w:val="00FA0AF3"/>
    <w:rsid w:val="00FA0C4F"/>
    <w:rsid w:val="00FA1049"/>
    <w:rsid w:val="00FA16A5"/>
    <w:rsid w:val="00FA195B"/>
    <w:rsid w:val="00FA1C72"/>
    <w:rsid w:val="00FA218B"/>
    <w:rsid w:val="00FA2233"/>
    <w:rsid w:val="00FA2A6E"/>
    <w:rsid w:val="00FA2B20"/>
    <w:rsid w:val="00FA2DAE"/>
    <w:rsid w:val="00FA2F2D"/>
    <w:rsid w:val="00FA33C9"/>
    <w:rsid w:val="00FA33E7"/>
    <w:rsid w:val="00FA3492"/>
    <w:rsid w:val="00FA3516"/>
    <w:rsid w:val="00FA377E"/>
    <w:rsid w:val="00FA3A78"/>
    <w:rsid w:val="00FA3A88"/>
    <w:rsid w:val="00FA3ADE"/>
    <w:rsid w:val="00FA3BBF"/>
    <w:rsid w:val="00FA3BF2"/>
    <w:rsid w:val="00FA3CD6"/>
    <w:rsid w:val="00FA3ED6"/>
    <w:rsid w:val="00FA4219"/>
    <w:rsid w:val="00FA457F"/>
    <w:rsid w:val="00FA468D"/>
    <w:rsid w:val="00FA48EC"/>
    <w:rsid w:val="00FA4C1C"/>
    <w:rsid w:val="00FA4E80"/>
    <w:rsid w:val="00FA4F6E"/>
    <w:rsid w:val="00FA5025"/>
    <w:rsid w:val="00FA5943"/>
    <w:rsid w:val="00FA5E53"/>
    <w:rsid w:val="00FA5ED9"/>
    <w:rsid w:val="00FA64AA"/>
    <w:rsid w:val="00FA65F8"/>
    <w:rsid w:val="00FA661A"/>
    <w:rsid w:val="00FA68C8"/>
    <w:rsid w:val="00FA6C5F"/>
    <w:rsid w:val="00FA6CDF"/>
    <w:rsid w:val="00FA6E53"/>
    <w:rsid w:val="00FA70B0"/>
    <w:rsid w:val="00FA70F5"/>
    <w:rsid w:val="00FA7546"/>
    <w:rsid w:val="00FA7982"/>
    <w:rsid w:val="00FA79CF"/>
    <w:rsid w:val="00FA79FD"/>
    <w:rsid w:val="00FA7E8C"/>
    <w:rsid w:val="00FA7F39"/>
    <w:rsid w:val="00FA7FFE"/>
    <w:rsid w:val="00FB0067"/>
    <w:rsid w:val="00FB01C0"/>
    <w:rsid w:val="00FB060C"/>
    <w:rsid w:val="00FB0751"/>
    <w:rsid w:val="00FB07E1"/>
    <w:rsid w:val="00FB0839"/>
    <w:rsid w:val="00FB099A"/>
    <w:rsid w:val="00FB0B54"/>
    <w:rsid w:val="00FB0B71"/>
    <w:rsid w:val="00FB0BC8"/>
    <w:rsid w:val="00FB0CC8"/>
    <w:rsid w:val="00FB0DA3"/>
    <w:rsid w:val="00FB1034"/>
    <w:rsid w:val="00FB1059"/>
    <w:rsid w:val="00FB1111"/>
    <w:rsid w:val="00FB116C"/>
    <w:rsid w:val="00FB120F"/>
    <w:rsid w:val="00FB130B"/>
    <w:rsid w:val="00FB1735"/>
    <w:rsid w:val="00FB1A4D"/>
    <w:rsid w:val="00FB1B3C"/>
    <w:rsid w:val="00FB1B9A"/>
    <w:rsid w:val="00FB1C01"/>
    <w:rsid w:val="00FB1D85"/>
    <w:rsid w:val="00FB1E24"/>
    <w:rsid w:val="00FB1FFD"/>
    <w:rsid w:val="00FB22DE"/>
    <w:rsid w:val="00FB22E2"/>
    <w:rsid w:val="00FB2AD8"/>
    <w:rsid w:val="00FB2BC0"/>
    <w:rsid w:val="00FB2DE9"/>
    <w:rsid w:val="00FB30ED"/>
    <w:rsid w:val="00FB346F"/>
    <w:rsid w:val="00FB351D"/>
    <w:rsid w:val="00FB3693"/>
    <w:rsid w:val="00FB3830"/>
    <w:rsid w:val="00FB3AB3"/>
    <w:rsid w:val="00FB42AE"/>
    <w:rsid w:val="00FB4343"/>
    <w:rsid w:val="00FB44DB"/>
    <w:rsid w:val="00FB4561"/>
    <w:rsid w:val="00FB45F1"/>
    <w:rsid w:val="00FB480C"/>
    <w:rsid w:val="00FB48C2"/>
    <w:rsid w:val="00FB48E5"/>
    <w:rsid w:val="00FB4DB0"/>
    <w:rsid w:val="00FB4EBE"/>
    <w:rsid w:val="00FB5005"/>
    <w:rsid w:val="00FB5049"/>
    <w:rsid w:val="00FB5239"/>
    <w:rsid w:val="00FB5474"/>
    <w:rsid w:val="00FB5837"/>
    <w:rsid w:val="00FB5B2F"/>
    <w:rsid w:val="00FB5CDC"/>
    <w:rsid w:val="00FB5E90"/>
    <w:rsid w:val="00FB67FB"/>
    <w:rsid w:val="00FB6874"/>
    <w:rsid w:val="00FB68B7"/>
    <w:rsid w:val="00FB69E7"/>
    <w:rsid w:val="00FB6BBC"/>
    <w:rsid w:val="00FB6D64"/>
    <w:rsid w:val="00FB741E"/>
    <w:rsid w:val="00FB75F3"/>
    <w:rsid w:val="00FB764D"/>
    <w:rsid w:val="00FB766E"/>
    <w:rsid w:val="00FB7672"/>
    <w:rsid w:val="00FB78CF"/>
    <w:rsid w:val="00FB7CED"/>
    <w:rsid w:val="00FB7E25"/>
    <w:rsid w:val="00FB7E74"/>
    <w:rsid w:val="00FB7F62"/>
    <w:rsid w:val="00FC014C"/>
    <w:rsid w:val="00FC07E2"/>
    <w:rsid w:val="00FC0E45"/>
    <w:rsid w:val="00FC10CD"/>
    <w:rsid w:val="00FC11F3"/>
    <w:rsid w:val="00FC1671"/>
    <w:rsid w:val="00FC1685"/>
    <w:rsid w:val="00FC1B03"/>
    <w:rsid w:val="00FC1D92"/>
    <w:rsid w:val="00FC1F93"/>
    <w:rsid w:val="00FC2023"/>
    <w:rsid w:val="00FC23D5"/>
    <w:rsid w:val="00FC2500"/>
    <w:rsid w:val="00FC25C6"/>
    <w:rsid w:val="00FC2700"/>
    <w:rsid w:val="00FC276D"/>
    <w:rsid w:val="00FC2977"/>
    <w:rsid w:val="00FC29A6"/>
    <w:rsid w:val="00FC2A53"/>
    <w:rsid w:val="00FC2FEA"/>
    <w:rsid w:val="00FC3375"/>
    <w:rsid w:val="00FC350E"/>
    <w:rsid w:val="00FC361D"/>
    <w:rsid w:val="00FC3B2C"/>
    <w:rsid w:val="00FC3CE7"/>
    <w:rsid w:val="00FC3E35"/>
    <w:rsid w:val="00FC3FEE"/>
    <w:rsid w:val="00FC43D4"/>
    <w:rsid w:val="00FC4469"/>
    <w:rsid w:val="00FC45AD"/>
    <w:rsid w:val="00FC45FC"/>
    <w:rsid w:val="00FC47B5"/>
    <w:rsid w:val="00FC492A"/>
    <w:rsid w:val="00FC4F85"/>
    <w:rsid w:val="00FC4F86"/>
    <w:rsid w:val="00FC50F4"/>
    <w:rsid w:val="00FC534E"/>
    <w:rsid w:val="00FC5613"/>
    <w:rsid w:val="00FC5A31"/>
    <w:rsid w:val="00FC5A63"/>
    <w:rsid w:val="00FC60B3"/>
    <w:rsid w:val="00FC648E"/>
    <w:rsid w:val="00FC6771"/>
    <w:rsid w:val="00FC6A23"/>
    <w:rsid w:val="00FC6AEF"/>
    <w:rsid w:val="00FC6C4C"/>
    <w:rsid w:val="00FC6E27"/>
    <w:rsid w:val="00FC6F14"/>
    <w:rsid w:val="00FC712D"/>
    <w:rsid w:val="00FC718E"/>
    <w:rsid w:val="00FC71F4"/>
    <w:rsid w:val="00FC730E"/>
    <w:rsid w:val="00FC736A"/>
    <w:rsid w:val="00FC76CC"/>
    <w:rsid w:val="00FC77E7"/>
    <w:rsid w:val="00FC77FA"/>
    <w:rsid w:val="00FC78AE"/>
    <w:rsid w:val="00FC7A48"/>
    <w:rsid w:val="00FC7A4D"/>
    <w:rsid w:val="00FD010E"/>
    <w:rsid w:val="00FD02B3"/>
    <w:rsid w:val="00FD0682"/>
    <w:rsid w:val="00FD0D42"/>
    <w:rsid w:val="00FD0F6B"/>
    <w:rsid w:val="00FD1085"/>
    <w:rsid w:val="00FD19C2"/>
    <w:rsid w:val="00FD1E63"/>
    <w:rsid w:val="00FD2249"/>
    <w:rsid w:val="00FD22EE"/>
    <w:rsid w:val="00FD23B8"/>
    <w:rsid w:val="00FD2605"/>
    <w:rsid w:val="00FD2607"/>
    <w:rsid w:val="00FD2AA7"/>
    <w:rsid w:val="00FD2D73"/>
    <w:rsid w:val="00FD2E4F"/>
    <w:rsid w:val="00FD2EEB"/>
    <w:rsid w:val="00FD3112"/>
    <w:rsid w:val="00FD3139"/>
    <w:rsid w:val="00FD376A"/>
    <w:rsid w:val="00FD397E"/>
    <w:rsid w:val="00FD3D24"/>
    <w:rsid w:val="00FD3EFB"/>
    <w:rsid w:val="00FD3FC1"/>
    <w:rsid w:val="00FD4367"/>
    <w:rsid w:val="00FD450F"/>
    <w:rsid w:val="00FD48C9"/>
    <w:rsid w:val="00FD4DE6"/>
    <w:rsid w:val="00FD4DFA"/>
    <w:rsid w:val="00FD5328"/>
    <w:rsid w:val="00FD53BB"/>
    <w:rsid w:val="00FD5420"/>
    <w:rsid w:val="00FD563D"/>
    <w:rsid w:val="00FD566D"/>
    <w:rsid w:val="00FD5B0D"/>
    <w:rsid w:val="00FD60D6"/>
    <w:rsid w:val="00FD61D9"/>
    <w:rsid w:val="00FD6488"/>
    <w:rsid w:val="00FD6507"/>
    <w:rsid w:val="00FD68DD"/>
    <w:rsid w:val="00FD6A1E"/>
    <w:rsid w:val="00FD6C04"/>
    <w:rsid w:val="00FD6E0B"/>
    <w:rsid w:val="00FD6ED3"/>
    <w:rsid w:val="00FD7072"/>
    <w:rsid w:val="00FD71BD"/>
    <w:rsid w:val="00FD729D"/>
    <w:rsid w:val="00FD743D"/>
    <w:rsid w:val="00FD75A7"/>
    <w:rsid w:val="00FD7AE0"/>
    <w:rsid w:val="00FD7B2C"/>
    <w:rsid w:val="00FD7C90"/>
    <w:rsid w:val="00FD7E71"/>
    <w:rsid w:val="00FE013F"/>
    <w:rsid w:val="00FE0162"/>
    <w:rsid w:val="00FE01EC"/>
    <w:rsid w:val="00FE02E1"/>
    <w:rsid w:val="00FE09CB"/>
    <w:rsid w:val="00FE0AC0"/>
    <w:rsid w:val="00FE0C8B"/>
    <w:rsid w:val="00FE0DB0"/>
    <w:rsid w:val="00FE0DFA"/>
    <w:rsid w:val="00FE0FA0"/>
    <w:rsid w:val="00FE129A"/>
    <w:rsid w:val="00FE129C"/>
    <w:rsid w:val="00FE15C8"/>
    <w:rsid w:val="00FE15EB"/>
    <w:rsid w:val="00FE1643"/>
    <w:rsid w:val="00FE180E"/>
    <w:rsid w:val="00FE194F"/>
    <w:rsid w:val="00FE199C"/>
    <w:rsid w:val="00FE1E2A"/>
    <w:rsid w:val="00FE211E"/>
    <w:rsid w:val="00FE26A8"/>
    <w:rsid w:val="00FE2FE7"/>
    <w:rsid w:val="00FE33E4"/>
    <w:rsid w:val="00FE3405"/>
    <w:rsid w:val="00FE3452"/>
    <w:rsid w:val="00FE34DF"/>
    <w:rsid w:val="00FE377C"/>
    <w:rsid w:val="00FE38C3"/>
    <w:rsid w:val="00FE3D41"/>
    <w:rsid w:val="00FE3DAD"/>
    <w:rsid w:val="00FE3F30"/>
    <w:rsid w:val="00FE4AC1"/>
    <w:rsid w:val="00FE4B17"/>
    <w:rsid w:val="00FE539B"/>
    <w:rsid w:val="00FE54D1"/>
    <w:rsid w:val="00FE5A6D"/>
    <w:rsid w:val="00FE5E23"/>
    <w:rsid w:val="00FE6C07"/>
    <w:rsid w:val="00FE6CAF"/>
    <w:rsid w:val="00FE6CE8"/>
    <w:rsid w:val="00FE73CE"/>
    <w:rsid w:val="00FE74A5"/>
    <w:rsid w:val="00FE74BE"/>
    <w:rsid w:val="00FE77B5"/>
    <w:rsid w:val="00FE79D5"/>
    <w:rsid w:val="00FE7A6E"/>
    <w:rsid w:val="00FE7BED"/>
    <w:rsid w:val="00FF04B1"/>
    <w:rsid w:val="00FF0524"/>
    <w:rsid w:val="00FF053C"/>
    <w:rsid w:val="00FF059A"/>
    <w:rsid w:val="00FF0862"/>
    <w:rsid w:val="00FF0A60"/>
    <w:rsid w:val="00FF0AA8"/>
    <w:rsid w:val="00FF0C65"/>
    <w:rsid w:val="00FF0DD4"/>
    <w:rsid w:val="00FF0FDF"/>
    <w:rsid w:val="00FF10CC"/>
    <w:rsid w:val="00FF1151"/>
    <w:rsid w:val="00FF1290"/>
    <w:rsid w:val="00FF1779"/>
    <w:rsid w:val="00FF18BD"/>
    <w:rsid w:val="00FF19C0"/>
    <w:rsid w:val="00FF19F8"/>
    <w:rsid w:val="00FF1A68"/>
    <w:rsid w:val="00FF1D5D"/>
    <w:rsid w:val="00FF1F84"/>
    <w:rsid w:val="00FF20A6"/>
    <w:rsid w:val="00FF25D8"/>
    <w:rsid w:val="00FF28D3"/>
    <w:rsid w:val="00FF2947"/>
    <w:rsid w:val="00FF2B74"/>
    <w:rsid w:val="00FF2D9B"/>
    <w:rsid w:val="00FF2ED8"/>
    <w:rsid w:val="00FF3213"/>
    <w:rsid w:val="00FF3427"/>
    <w:rsid w:val="00FF34C8"/>
    <w:rsid w:val="00FF357F"/>
    <w:rsid w:val="00FF3611"/>
    <w:rsid w:val="00FF3C05"/>
    <w:rsid w:val="00FF3EB7"/>
    <w:rsid w:val="00FF3F2C"/>
    <w:rsid w:val="00FF411A"/>
    <w:rsid w:val="00FF435D"/>
    <w:rsid w:val="00FF43FB"/>
    <w:rsid w:val="00FF4471"/>
    <w:rsid w:val="00FF488C"/>
    <w:rsid w:val="00FF499A"/>
    <w:rsid w:val="00FF4AA4"/>
    <w:rsid w:val="00FF4B36"/>
    <w:rsid w:val="00FF54D7"/>
    <w:rsid w:val="00FF5668"/>
    <w:rsid w:val="00FF57FD"/>
    <w:rsid w:val="00FF5B52"/>
    <w:rsid w:val="00FF5D3B"/>
    <w:rsid w:val="00FF5DB0"/>
    <w:rsid w:val="00FF5DE1"/>
    <w:rsid w:val="00FF5FBD"/>
    <w:rsid w:val="00FF630A"/>
    <w:rsid w:val="00FF6393"/>
    <w:rsid w:val="00FF65E4"/>
    <w:rsid w:val="00FF675E"/>
    <w:rsid w:val="00FF6801"/>
    <w:rsid w:val="00FF6B98"/>
    <w:rsid w:val="00FF6CDD"/>
    <w:rsid w:val="00FF6ED6"/>
    <w:rsid w:val="00FF7103"/>
    <w:rsid w:val="00FF717C"/>
    <w:rsid w:val="00FF721B"/>
    <w:rsid w:val="00FF7275"/>
    <w:rsid w:val="00FF73F9"/>
    <w:rsid w:val="00FF75AA"/>
    <w:rsid w:val="00FF773B"/>
    <w:rsid w:val="00FF790F"/>
    <w:rsid w:val="00FF794A"/>
    <w:rsid w:val="00FF7A5F"/>
    <w:rsid w:val="00FF7D0A"/>
    <w:rsid w:val="00FF7D68"/>
    <w:rsid w:val="00FF7E82"/>
    <w:rsid w:val="0104AF9D"/>
    <w:rsid w:val="010E0E3B"/>
    <w:rsid w:val="01171D81"/>
    <w:rsid w:val="0118A78F"/>
    <w:rsid w:val="01324831"/>
    <w:rsid w:val="0142971C"/>
    <w:rsid w:val="01561737"/>
    <w:rsid w:val="01657DD3"/>
    <w:rsid w:val="01663460"/>
    <w:rsid w:val="016D4092"/>
    <w:rsid w:val="01718902"/>
    <w:rsid w:val="01763F67"/>
    <w:rsid w:val="01770D1B"/>
    <w:rsid w:val="01782D0D"/>
    <w:rsid w:val="01901713"/>
    <w:rsid w:val="01937BAA"/>
    <w:rsid w:val="0194682C"/>
    <w:rsid w:val="01975C76"/>
    <w:rsid w:val="019EABC3"/>
    <w:rsid w:val="01A188D2"/>
    <w:rsid w:val="01ABC0EC"/>
    <w:rsid w:val="01AC09E8"/>
    <w:rsid w:val="01AEDB11"/>
    <w:rsid w:val="01B461DE"/>
    <w:rsid w:val="01CF643E"/>
    <w:rsid w:val="01D32EC8"/>
    <w:rsid w:val="01D75310"/>
    <w:rsid w:val="01E14BA6"/>
    <w:rsid w:val="01FB1ABC"/>
    <w:rsid w:val="021AF890"/>
    <w:rsid w:val="021C4904"/>
    <w:rsid w:val="021EDBA4"/>
    <w:rsid w:val="0220F9BD"/>
    <w:rsid w:val="0223C650"/>
    <w:rsid w:val="02285B2C"/>
    <w:rsid w:val="022969B0"/>
    <w:rsid w:val="02361A8B"/>
    <w:rsid w:val="023DB180"/>
    <w:rsid w:val="02449285"/>
    <w:rsid w:val="024E5BA3"/>
    <w:rsid w:val="0251F64B"/>
    <w:rsid w:val="02529111"/>
    <w:rsid w:val="0252E1EB"/>
    <w:rsid w:val="025376AC"/>
    <w:rsid w:val="02664358"/>
    <w:rsid w:val="0267D39E"/>
    <w:rsid w:val="027340E3"/>
    <w:rsid w:val="027C6B26"/>
    <w:rsid w:val="0282C046"/>
    <w:rsid w:val="0292A8DF"/>
    <w:rsid w:val="02989790"/>
    <w:rsid w:val="029B55E7"/>
    <w:rsid w:val="029C8F6F"/>
    <w:rsid w:val="029F0D5A"/>
    <w:rsid w:val="02A25EDC"/>
    <w:rsid w:val="02A761A2"/>
    <w:rsid w:val="02B9CACA"/>
    <w:rsid w:val="02C9CC19"/>
    <w:rsid w:val="02C9E902"/>
    <w:rsid w:val="02CB973D"/>
    <w:rsid w:val="02CCE608"/>
    <w:rsid w:val="02CEB08D"/>
    <w:rsid w:val="02D3A6FF"/>
    <w:rsid w:val="02D4451F"/>
    <w:rsid w:val="02DA554E"/>
    <w:rsid w:val="02DE20DF"/>
    <w:rsid w:val="02E0B9B7"/>
    <w:rsid w:val="02E9DEC0"/>
    <w:rsid w:val="02EB6B3A"/>
    <w:rsid w:val="03004A5C"/>
    <w:rsid w:val="03039765"/>
    <w:rsid w:val="0303D7F5"/>
    <w:rsid w:val="030561D1"/>
    <w:rsid w:val="0312F35E"/>
    <w:rsid w:val="032D6B5B"/>
    <w:rsid w:val="0335E982"/>
    <w:rsid w:val="03472CA6"/>
    <w:rsid w:val="035B8EAB"/>
    <w:rsid w:val="036D44F6"/>
    <w:rsid w:val="0375AEF7"/>
    <w:rsid w:val="0387E54E"/>
    <w:rsid w:val="03882356"/>
    <w:rsid w:val="0389561A"/>
    <w:rsid w:val="03A055B3"/>
    <w:rsid w:val="03AD2FFE"/>
    <w:rsid w:val="03B4C061"/>
    <w:rsid w:val="03B5FE49"/>
    <w:rsid w:val="03BBB7D4"/>
    <w:rsid w:val="03BE7B99"/>
    <w:rsid w:val="03C085DA"/>
    <w:rsid w:val="03C16A9B"/>
    <w:rsid w:val="03C580AF"/>
    <w:rsid w:val="03CD8C3E"/>
    <w:rsid w:val="03CE2614"/>
    <w:rsid w:val="03CF1FFF"/>
    <w:rsid w:val="03D224D5"/>
    <w:rsid w:val="03D67746"/>
    <w:rsid w:val="03D9B8CF"/>
    <w:rsid w:val="03DF5F99"/>
    <w:rsid w:val="03ED78C4"/>
    <w:rsid w:val="03FCD2EB"/>
    <w:rsid w:val="040598DB"/>
    <w:rsid w:val="04078246"/>
    <w:rsid w:val="040E9688"/>
    <w:rsid w:val="04117DEC"/>
    <w:rsid w:val="0411EBB5"/>
    <w:rsid w:val="043170DD"/>
    <w:rsid w:val="0439601F"/>
    <w:rsid w:val="043D83B5"/>
    <w:rsid w:val="04457DD5"/>
    <w:rsid w:val="04520462"/>
    <w:rsid w:val="04596C22"/>
    <w:rsid w:val="04659496"/>
    <w:rsid w:val="0475CDF3"/>
    <w:rsid w:val="047C48A5"/>
    <w:rsid w:val="04808EB7"/>
    <w:rsid w:val="0482762B"/>
    <w:rsid w:val="048B6305"/>
    <w:rsid w:val="048C784C"/>
    <w:rsid w:val="048DC502"/>
    <w:rsid w:val="048DC7FF"/>
    <w:rsid w:val="048ED32F"/>
    <w:rsid w:val="049E1C43"/>
    <w:rsid w:val="04AD64FB"/>
    <w:rsid w:val="04AE109C"/>
    <w:rsid w:val="04AE5480"/>
    <w:rsid w:val="04B6CF97"/>
    <w:rsid w:val="04B6D8C6"/>
    <w:rsid w:val="04B895FF"/>
    <w:rsid w:val="04BD12FF"/>
    <w:rsid w:val="04C3AC16"/>
    <w:rsid w:val="04C42401"/>
    <w:rsid w:val="04C9E701"/>
    <w:rsid w:val="04D210AC"/>
    <w:rsid w:val="04D5A814"/>
    <w:rsid w:val="04EA1FE8"/>
    <w:rsid w:val="04F33181"/>
    <w:rsid w:val="04F57F44"/>
    <w:rsid w:val="04FECD5E"/>
    <w:rsid w:val="050BCCA4"/>
    <w:rsid w:val="0511C50E"/>
    <w:rsid w:val="0512D758"/>
    <w:rsid w:val="051726CF"/>
    <w:rsid w:val="052579CF"/>
    <w:rsid w:val="052F788C"/>
    <w:rsid w:val="0541F674"/>
    <w:rsid w:val="0543B430"/>
    <w:rsid w:val="0544479E"/>
    <w:rsid w:val="05463C19"/>
    <w:rsid w:val="055425B9"/>
    <w:rsid w:val="055A10E4"/>
    <w:rsid w:val="05606AD3"/>
    <w:rsid w:val="0562FF32"/>
    <w:rsid w:val="056D704F"/>
    <w:rsid w:val="056EB974"/>
    <w:rsid w:val="05797836"/>
    <w:rsid w:val="0586ADDC"/>
    <w:rsid w:val="058DFC7F"/>
    <w:rsid w:val="0598E316"/>
    <w:rsid w:val="059DC8E2"/>
    <w:rsid w:val="059E4C31"/>
    <w:rsid w:val="05A5CE90"/>
    <w:rsid w:val="05B3C013"/>
    <w:rsid w:val="05BF0813"/>
    <w:rsid w:val="05C57990"/>
    <w:rsid w:val="05CF3816"/>
    <w:rsid w:val="05D9E728"/>
    <w:rsid w:val="05DA14CE"/>
    <w:rsid w:val="05DC93C7"/>
    <w:rsid w:val="05E58752"/>
    <w:rsid w:val="05ED8A64"/>
    <w:rsid w:val="05EDBAD7"/>
    <w:rsid w:val="05F34A7D"/>
    <w:rsid w:val="05FEF80C"/>
    <w:rsid w:val="06029C6A"/>
    <w:rsid w:val="0607966A"/>
    <w:rsid w:val="060BCFCF"/>
    <w:rsid w:val="060DA4A6"/>
    <w:rsid w:val="061467F5"/>
    <w:rsid w:val="06265D52"/>
    <w:rsid w:val="062F9907"/>
    <w:rsid w:val="06304AC4"/>
    <w:rsid w:val="063AD95C"/>
    <w:rsid w:val="063BCF9F"/>
    <w:rsid w:val="063F967F"/>
    <w:rsid w:val="06403674"/>
    <w:rsid w:val="0658F740"/>
    <w:rsid w:val="066B1F81"/>
    <w:rsid w:val="066FE0AE"/>
    <w:rsid w:val="06772B29"/>
    <w:rsid w:val="06785A19"/>
    <w:rsid w:val="067CCA36"/>
    <w:rsid w:val="068D04BE"/>
    <w:rsid w:val="06A1CBC6"/>
    <w:rsid w:val="06B04631"/>
    <w:rsid w:val="06B32FAD"/>
    <w:rsid w:val="06C6BCD1"/>
    <w:rsid w:val="06D6764F"/>
    <w:rsid w:val="06DC87B1"/>
    <w:rsid w:val="06EA4836"/>
    <w:rsid w:val="06F06E32"/>
    <w:rsid w:val="06FB499A"/>
    <w:rsid w:val="06FF62BC"/>
    <w:rsid w:val="07020374"/>
    <w:rsid w:val="0709881D"/>
    <w:rsid w:val="071A7403"/>
    <w:rsid w:val="071B332E"/>
    <w:rsid w:val="071D6C10"/>
    <w:rsid w:val="071EEE4B"/>
    <w:rsid w:val="0720A920"/>
    <w:rsid w:val="072DDAF2"/>
    <w:rsid w:val="07320BC1"/>
    <w:rsid w:val="073DAC17"/>
    <w:rsid w:val="07438C97"/>
    <w:rsid w:val="074520F4"/>
    <w:rsid w:val="0750D963"/>
    <w:rsid w:val="07534ED4"/>
    <w:rsid w:val="075427CF"/>
    <w:rsid w:val="075A0F69"/>
    <w:rsid w:val="075B8FBF"/>
    <w:rsid w:val="0760E54A"/>
    <w:rsid w:val="0765DB07"/>
    <w:rsid w:val="07731C40"/>
    <w:rsid w:val="07856252"/>
    <w:rsid w:val="079AE0C4"/>
    <w:rsid w:val="07AD78B9"/>
    <w:rsid w:val="07B2424C"/>
    <w:rsid w:val="07B69567"/>
    <w:rsid w:val="07BF38CD"/>
    <w:rsid w:val="07C54E90"/>
    <w:rsid w:val="07CDF342"/>
    <w:rsid w:val="080299C4"/>
    <w:rsid w:val="0804061D"/>
    <w:rsid w:val="080AA0DA"/>
    <w:rsid w:val="080ECB8A"/>
    <w:rsid w:val="0811DC5D"/>
    <w:rsid w:val="08146744"/>
    <w:rsid w:val="0817BAC8"/>
    <w:rsid w:val="082AB2E5"/>
    <w:rsid w:val="084707F0"/>
    <w:rsid w:val="0849A9B4"/>
    <w:rsid w:val="086CA9D1"/>
    <w:rsid w:val="086EB67B"/>
    <w:rsid w:val="08759E21"/>
    <w:rsid w:val="0875AD62"/>
    <w:rsid w:val="087F2EC2"/>
    <w:rsid w:val="088CF6CE"/>
    <w:rsid w:val="089B0280"/>
    <w:rsid w:val="08A23BA5"/>
    <w:rsid w:val="08A63986"/>
    <w:rsid w:val="08B8398E"/>
    <w:rsid w:val="08C127F2"/>
    <w:rsid w:val="08C80ED0"/>
    <w:rsid w:val="08DE399B"/>
    <w:rsid w:val="08E262F3"/>
    <w:rsid w:val="08EA98FD"/>
    <w:rsid w:val="08EEB35E"/>
    <w:rsid w:val="08F3A352"/>
    <w:rsid w:val="08FBB4BD"/>
    <w:rsid w:val="090052DC"/>
    <w:rsid w:val="0903E12D"/>
    <w:rsid w:val="090CFD85"/>
    <w:rsid w:val="09148DA3"/>
    <w:rsid w:val="091CFCB9"/>
    <w:rsid w:val="092563D3"/>
    <w:rsid w:val="09285CEC"/>
    <w:rsid w:val="0935181C"/>
    <w:rsid w:val="0936780B"/>
    <w:rsid w:val="093A70D4"/>
    <w:rsid w:val="0948979A"/>
    <w:rsid w:val="09551601"/>
    <w:rsid w:val="095A5051"/>
    <w:rsid w:val="095CA59B"/>
    <w:rsid w:val="095F41F1"/>
    <w:rsid w:val="09672B5A"/>
    <w:rsid w:val="096CA327"/>
    <w:rsid w:val="0978E4C4"/>
    <w:rsid w:val="097A691A"/>
    <w:rsid w:val="09879FA8"/>
    <w:rsid w:val="09890977"/>
    <w:rsid w:val="0990EE4E"/>
    <w:rsid w:val="0994B732"/>
    <w:rsid w:val="099D7AFF"/>
    <w:rsid w:val="099F73C6"/>
    <w:rsid w:val="09A5ED3A"/>
    <w:rsid w:val="09A93D0E"/>
    <w:rsid w:val="09B0DEB4"/>
    <w:rsid w:val="09BC0C85"/>
    <w:rsid w:val="09C67AF9"/>
    <w:rsid w:val="09C69FD9"/>
    <w:rsid w:val="09CCF334"/>
    <w:rsid w:val="09CF858B"/>
    <w:rsid w:val="09D08C3F"/>
    <w:rsid w:val="09D39D2E"/>
    <w:rsid w:val="09E7F849"/>
    <w:rsid w:val="0A0DD978"/>
    <w:rsid w:val="0A17599A"/>
    <w:rsid w:val="0A1B1840"/>
    <w:rsid w:val="0A1F143C"/>
    <w:rsid w:val="0A203B78"/>
    <w:rsid w:val="0A20A7E6"/>
    <w:rsid w:val="0A2185D0"/>
    <w:rsid w:val="0A2553E3"/>
    <w:rsid w:val="0A2623EF"/>
    <w:rsid w:val="0A282FCA"/>
    <w:rsid w:val="0A2DDD6B"/>
    <w:rsid w:val="0A396FB9"/>
    <w:rsid w:val="0A47A35F"/>
    <w:rsid w:val="0A495247"/>
    <w:rsid w:val="0A4A0894"/>
    <w:rsid w:val="0A535309"/>
    <w:rsid w:val="0A542129"/>
    <w:rsid w:val="0A584B37"/>
    <w:rsid w:val="0A5E6A16"/>
    <w:rsid w:val="0A624360"/>
    <w:rsid w:val="0A667BF0"/>
    <w:rsid w:val="0A66C7BD"/>
    <w:rsid w:val="0A6D3F2F"/>
    <w:rsid w:val="0A6DF721"/>
    <w:rsid w:val="0A79150D"/>
    <w:rsid w:val="0A806505"/>
    <w:rsid w:val="0A870F21"/>
    <w:rsid w:val="0A880F17"/>
    <w:rsid w:val="0A928D03"/>
    <w:rsid w:val="0A98D4D1"/>
    <w:rsid w:val="0AA2D2D8"/>
    <w:rsid w:val="0AB195E0"/>
    <w:rsid w:val="0ACC4224"/>
    <w:rsid w:val="0AD060B5"/>
    <w:rsid w:val="0AD0784E"/>
    <w:rsid w:val="0AD46494"/>
    <w:rsid w:val="0AD81FCA"/>
    <w:rsid w:val="0ADDE1A2"/>
    <w:rsid w:val="0AE54D7F"/>
    <w:rsid w:val="0AECAFD1"/>
    <w:rsid w:val="0B0B35A2"/>
    <w:rsid w:val="0B171C64"/>
    <w:rsid w:val="0B1AD1AB"/>
    <w:rsid w:val="0B238AF3"/>
    <w:rsid w:val="0B28842B"/>
    <w:rsid w:val="0B2C10FB"/>
    <w:rsid w:val="0B36278B"/>
    <w:rsid w:val="0B3DA9A2"/>
    <w:rsid w:val="0B3F234D"/>
    <w:rsid w:val="0B45DAB0"/>
    <w:rsid w:val="0B4D634C"/>
    <w:rsid w:val="0B4DE6F7"/>
    <w:rsid w:val="0B5573DA"/>
    <w:rsid w:val="0B56C71E"/>
    <w:rsid w:val="0B5BE740"/>
    <w:rsid w:val="0B5C85A8"/>
    <w:rsid w:val="0B66FE28"/>
    <w:rsid w:val="0B696DAF"/>
    <w:rsid w:val="0B6BEDFE"/>
    <w:rsid w:val="0B6F26F4"/>
    <w:rsid w:val="0B6F2DB5"/>
    <w:rsid w:val="0B715B8C"/>
    <w:rsid w:val="0B818164"/>
    <w:rsid w:val="0B8E8306"/>
    <w:rsid w:val="0BA9C24F"/>
    <w:rsid w:val="0BABAFF5"/>
    <w:rsid w:val="0BB710DA"/>
    <w:rsid w:val="0BBBEE0E"/>
    <w:rsid w:val="0BBCA649"/>
    <w:rsid w:val="0BBE3EAF"/>
    <w:rsid w:val="0BC36F77"/>
    <w:rsid w:val="0BD0DCB2"/>
    <w:rsid w:val="0BD8C9C1"/>
    <w:rsid w:val="0BE9554F"/>
    <w:rsid w:val="0BEDDBDA"/>
    <w:rsid w:val="0BF056E1"/>
    <w:rsid w:val="0BF2C676"/>
    <w:rsid w:val="0BF47022"/>
    <w:rsid w:val="0BF5E713"/>
    <w:rsid w:val="0BFDA129"/>
    <w:rsid w:val="0C01A1AB"/>
    <w:rsid w:val="0C02B7DA"/>
    <w:rsid w:val="0C035CDC"/>
    <w:rsid w:val="0C0520D3"/>
    <w:rsid w:val="0C0929D8"/>
    <w:rsid w:val="0C0D8E3B"/>
    <w:rsid w:val="0C1ACABB"/>
    <w:rsid w:val="0C21FC99"/>
    <w:rsid w:val="0C280BBA"/>
    <w:rsid w:val="0C2C7814"/>
    <w:rsid w:val="0C5672F4"/>
    <w:rsid w:val="0C56CA49"/>
    <w:rsid w:val="0C5D001C"/>
    <w:rsid w:val="0C608AA1"/>
    <w:rsid w:val="0C72F1F7"/>
    <w:rsid w:val="0C78FB87"/>
    <w:rsid w:val="0C816125"/>
    <w:rsid w:val="0C8F5F5E"/>
    <w:rsid w:val="0C992C45"/>
    <w:rsid w:val="0C9AD183"/>
    <w:rsid w:val="0C9F4B0B"/>
    <w:rsid w:val="0CA7B4C6"/>
    <w:rsid w:val="0CA9E233"/>
    <w:rsid w:val="0CABCD7B"/>
    <w:rsid w:val="0CABD27A"/>
    <w:rsid w:val="0CB438F5"/>
    <w:rsid w:val="0CCA5FA3"/>
    <w:rsid w:val="0CCB2D21"/>
    <w:rsid w:val="0CE07615"/>
    <w:rsid w:val="0CE2614A"/>
    <w:rsid w:val="0CE9AA06"/>
    <w:rsid w:val="0CEB6A60"/>
    <w:rsid w:val="0CF20AFB"/>
    <w:rsid w:val="0CF3AD47"/>
    <w:rsid w:val="0CF60F44"/>
    <w:rsid w:val="0CFBEFC4"/>
    <w:rsid w:val="0D05B309"/>
    <w:rsid w:val="0D0673C4"/>
    <w:rsid w:val="0D12024F"/>
    <w:rsid w:val="0D180474"/>
    <w:rsid w:val="0D18DFE9"/>
    <w:rsid w:val="0D1CCC6F"/>
    <w:rsid w:val="0D262F43"/>
    <w:rsid w:val="0D2C691A"/>
    <w:rsid w:val="0D335986"/>
    <w:rsid w:val="0D33D441"/>
    <w:rsid w:val="0D3AE7CE"/>
    <w:rsid w:val="0D3C78F4"/>
    <w:rsid w:val="0D3DE9AD"/>
    <w:rsid w:val="0D441974"/>
    <w:rsid w:val="0D471ACA"/>
    <w:rsid w:val="0D4AFF48"/>
    <w:rsid w:val="0D4BBB8D"/>
    <w:rsid w:val="0D51EC66"/>
    <w:rsid w:val="0D585858"/>
    <w:rsid w:val="0D604900"/>
    <w:rsid w:val="0D631357"/>
    <w:rsid w:val="0D65919E"/>
    <w:rsid w:val="0D6CA16A"/>
    <w:rsid w:val="0D707880"/>
    <w:rsid w:val="0D70E051"/>
    <w:rsid w:val="0D7C40DA"/>
    <w:rsid w:val="0D7EE29E"/>
    <w:rsid w:val="0D821FE4"/>
    <w:rsid w:val="0D847B77"/>
    <w:rsid w:val="0D894B42"/>
    <w:rsid w:val="0D9B870D"/>
    <w:rsid w:val="0D9D3E08"/>
    <w:rsid w:val="0DA0AA69"/>
    <w:rsid w:val="0DA7E23F"/>
    <w:rsid w:val="0DB30D99"/>
    <w:rsid w:val="0DB951B9"/>
    <w:rsid w:val="0DBE4A41"/>
    <w:rsid w:val="0DBE62B1"/>
    <w:rsid w:val="0DCC0C47"/>
    <w:rsid w:val="0DD42528"/>
    <w:rsid w:val="0DD72433"/>
    <w:rsid w:val="0DD8AAD1"/>
    <w:rsid w:val="0DDCDD3A"/>
    <w:rsid w:val="0DE840FE"/>
    <w:rsid w:val="0DEC1C4A"/>
    <w:rsid w:val="0DEFFDFE"/>
    <w:rsid w:val="0DF3C6E0"/>
    <w:rsid w:val="0DF523A2"/>
    <w:rsid w:val="0DF6B375"/>
    <w:rsid w:val="0E00ED8E"/>
    <w:rsid w:val="0E02A9B8"/>
    <w:rsid w:val="0E0A4919"/>
    <w:rsid w:val="0E120114"/>
    <w:rsid w:val="0E266414"/>
    <w:rsid w:val="0E2AA9E3"/>
    <w:rsid w:val="0E2D3295"/>
    <w:rsid w:val="0E337B55"/>
    <w:rsid w:val="0E36742B"/>
    <w:rsid w:val="0E3840FB"/>
    <w:rsid w:val="0E44A05D"/>
    <w:rsid w:val="0E5318AD"/>
    <w:rsid w:val="0E55536C"/>
    <w:rsid w:val="0E65A8F1"/>
    <w:rsid w:val="0E6A5192"/>
    <w:rsid w:val="0E741809"/>
    <w:rsid w:val="0E897AA6"/>
    <w:rsid w:val="0E8D5BBB"/>
    <w:rsid w:val="0E9DE5CD"/>
    <w:rsid w:val="0EA363A8"/>
    <w:rsid w:val="0EAA4DF5"/>
    <w:rsid w:val="0EB2A774"/>
    <w:rsid w:val="0ECFA0DC"/>
    <w:rsid w:val="0ED17172"/>
    <w:rsid w:val="0EDE0C92"/>
    <w:rsid w:val="0EDE4B93"/>
    <w:rsid w:val="0EEAFE2D"/>
    <w:rsid w:val="0EF6C273"/>
    <w:rsid w:val="0EFE1915"/>
    <w:rsid w:val="0F0078E4"/>
    <w:rsid w:val="0F01725C"/>
    <w:rsid w:val="0F02A109"/>
    <w:rsid w:val="0F04211C"/>
    <w:rsid w:val="0F15645C"/>
    <w:rsid w:val="0F210BF3"/>
    <w:rsid w:val="0F3DBBF5"/>
    <w:rsid w:val="0F49E615"/>
    <w:rsid w:val="0F4BD7EB"/>
    <w:rsid w:val="0F4DCC0C"/>
    <w:rsid w:val="0F521BAF"/>
    <w:rsid w:val="0F5299AE"/>
    <w:rsid w:val="0F6143ED"/>
    <w:rsid w:val="0F84A6A6"/>
    <w:rsid w:val="0F89EE0B"/>
    <w:rsid w:val="0F99F9F2"/>
    <w:rsid w:val="0FA90137"/>
    <w:rsid w:val="0FA9AB9D"/>
    <w:rsid w:val="0FAEDAB9"/>
    <w:rsid w:val="0FC8CF02"/>
    <w:rsid w:val="0FCA293A"/>
    <w:rsid w:val="0FCE27EA"/>
    <w:rsid w:val="0FD1443D"/>
    <w:rsid w:val="0FDF6955"/>
    <w:rsid w:val="0FE7BB26"/>
    <w:rsid w:val="0FFFF9DC"/>
    <w:rsid w:val="1006AB7A"/>
    <w:rsid w:val="1015D124"/>
    <w:rsid w:val="101A871F"/>
    <w:rsid w:val="102B0C70"/>
    <w:rsid w:val="10345ABC"/>
    <w:rsid w:val="103DA016"/>
    <w:rsid w:val="103FEC6E"/>
    <w:rsid w:val="1045E2BF"/>
    <w:rsid w:val="1051946B"/>
    <w:rsid w:val="105A2BD1"/>
    <w:rsid w:val="105AF3CA"/>
    <w:rsid w:val="105CC4CA"/>
    <w:rsid w:val="1078BEA6"/>
    <w:rsid w:val="10987474"/>
    <w:rsid w:val="10A299A3"/>
    <w:rsid w:val="10A70DF6"/>
    <w:rsid w:val="10AF130D"/>
    <w:rsid w:val="10B34F29"/>
    <w:rsid w:val="10B7934C"/>
    <w:rsid w:val="10B9292E"/>
    <w:rsid w:val="10E5B676"/>
    <w:rsid w:val="10FED4A8"/>
    <w:rsid w:val="110F1CA3"/>
    <w:rsid w:val="11154CF6"/>
    <w:rsid w:val="11157636"/>
    <w:rsid w:val="113649E1"/>
    <w:rsid w:val="113C2941"/>
    <w:rsid w:val="113EAB30"/>
    <w:rsid w:val="11483678"/>
    <w:rsid w:val="11561415"/>
    <w:rsid w:val="115A2055"/>
    <w:rsid w:val="1168E1A1"/>
    <w:rsid w:val="116D5637"/>
    <w:rsid w:val="1173D0D6"/>
    <w:rsid w:val="117D5356"/>
    <w:rsid w:val="118817AB"/>
    <w:rsid w:val="1194DE8B"/>
    <w:rsid w:val="1195D3EC"/>
    <w:rsid w:val="11A43E69"/>
    <w:rsid w:val="11A79C10"/>
    <w:rsid w:val="11A9ADE0"/>
    <w:rsid w:val="11C450B7"/>
    <w:rsid w:val="11C6CE1C"/>
    <w:rsid w:val="11D4E5F5"/>
    <w:rsid w:val="11D5DDE4"/>
    <w:rsid w:val="11DF6DC9"/>
    <w:rsid w:val="11E3840D"/>
    <w:rsid w:val="11F8A51E"/>
    <w:rsid w:val="11F95F74"/>
    <w:rsid w:val="11F9758C"/>
    <w:rsid w:val="11F9A775"/>
    <w:rsid w:val="11FE5C02"/>
    <w:rsid w:val="1204E354"/>
    <w:rsid w:val="121C223B"/>
    <w:rsid w:val="121DF9B6"/>
    <w:rsid w:val="121EA72D"/>
    <w:rsid w:val="122F0EFB"/>
    <w:rsid w:val="1233AD1A"/>
    <w:rsid w:val="124982A8"/>
    <w:rsid w:val="124AA22E"/>
    <w:rsid w:val="124B6D91"/>
    <w:rsid w:val="124CCA83"/>
    <w:rsid w:val="1251FFD1"/>
    <w:rsid w:val="12545697"/>
    <w:rsid w:val="12560D3C"/>
    <w:rsid w:val="126EA9C5"/>
    <w:rsid w:val="1274007B"/>
    <w:rsid w:val="127F8EAC"/>
    <w:rsid w:val="128109BA"/>
    <w:rsid w:val="1286DBB5"/>
    <w:rsid w:val="128F0738"/>
    <w:rsid w:val="129E7872"/>
    <w:rsid w:val="12A7EE69"/>
    <w:rsid w:val="12AE79D4"/>
    <w:rsid w:val="12B2BDE4"/>
    <w:rsid w:val="12BDD900"/>
    <w:rsid w:val="12C4FC3D"/>
    <w:rsid w:val="12C80074"/>
    <w:rsid w:val="12C97236"/>
    <w:rsid w:val="12DEE00A"/>
    <w:rsid w:val="12E244A1"/>
    <w:rsid w:val="12E2CFF2"/>
    <w:rsid w:val="12E3C4C7"/>
    <w:rsid w:val="12E93550"/>
    <w:rsid w:val="12EF004A"/>
    <w:rsid w:val="12F1B4F3"/>
    <w:rsid w:val="12F88584"/>
    <w:rsid w:val="12FB075C"/>
    <w:rsid w:val="1304183F"/>
    <w:rsid w:val="1306942B"/>
    <w:rsid w:val="130F966A"/>
    <w:rsid w:val="1315C866"/>
    <w:rsid w:val="131B8BE6"/>
    <w:rsid w:val="13286F6C"/>
    <w:rsid w:val="132A7A95"/>
    <w:rsid w:val="132A836E"/>
    <w:rsid w:val="1336146A"/>
    <w:rsid w:val="1338E189"/>
    <w:rsid w:val="134624E6"/>
    <w:rsid w:val="13485D15"/>
    <w:rsid w:val="134BDBB9"/>
    <w:rsid w:val="134C6FA8"/>
    <w:rsid w:val="135066E8"/>
    <w:rsid w:val="135A1F04"/>
    <w:rsid w:val="135C9366"/>
    <w:rsid w:val="136D21D8"/>
    <w:rsid w:val="1370307D"/>
    <w:rsid w:val="13787EB7"/>
    <w:rsid w:val="137A3502"/>
    <w:rsid w:val="138619A6"/>
    <w:rsid w:val="13A60605"/>
    <w:rsid w:val="13A61657"/>
    <w:rsid w:val="13AF5032"/>
    <w:rsid w:val="13C3787E"/>
    <w:rsid w:val="13D0D448"/>
    <w:rsid w:val="13D57AB4"/>
    <w:rsid w:val="13D98F4C"/>
    <w:rsid w:val="13DA0BCA"/>
    <w:rsid w:val="13E97FB8"/>
    <w:rsid w:val="13EE6C10"/>
    <w:rsid w:val="13FDD5E7"/>
    <w:rsid w:val="13FE5C76"/>
    <w:rsid w:val="1428701C"/>
    <w:rsid w:val="1446D5F1"/>
    <w:rsid w:val="144DA1C3"/>
    <w:rsid w:val="1456F185"/>
    <w:rsid w:val="1465F34E"/>
    <w:rsid w:val="1468C473"/>
    <w:rsid w:val="146D6481"/>
    <w:rsid w:val="1473DE94"/>
    <w:rsid w:val="1483DD9B"/>
    <w:rsid w:val="14954FB9"/>
    <w:rsid w:val="1498D500"/>
    <w:rsid w:val="14A8A133"/>
    <w:rsid w:val="14AC59FD"/>
    <w:rsid w:val="14AFA6AD"/>
    <w:rsid w:val="14B2964B"/>
    <w:rsid w:val="14B90811"/>
    <w:rsid w:val="14C1CE4C"/>
    <w:rsid w:val="14C403F3"/>
    <w:rsid w:val="14D27C43"/>
    <w:rsid w:val="14D67C6F"/>
    <w:rsid w:val="14DEDFAF"/>
    <w:rsid w:val="14DFCBB9"/>
    <w:rsid w:val="14E57FCD"/>
    <w:rsid w:val="14F2950C"/>
    <w:rsid w:val="14F66A34"/>
    <w:rsid w:val="14F9CA44"/>
    <w:rsid w:val="14FD7749"/>
    <w:rsid w:val="15025F5A"/>
    <w:rsid w:val="150CB988"/>
    <w:rsid w:val="150EEA60"/>
    <w:rsid w:val="1511212C"/>
    <w:rsid w:val="151F386C"/>
    <w:rsid w:val="15234BC8"/>
    <w:rsid w:val="152657E8"/>
    <w:rsid w:val="152EAD3C"/>
    <w:rsid w:val="1530D5AA"/>
    <w:rsid w:val="1533D918"/>
    <w:rsid w:val="1537F9C4"/>
    <w:rsid w:val="153F60F8"/>
    <w:rsid w:val="15411781"/>
    <w:rsid w:val="1547AE0D"/>
    <w:rsid w:val="15526A5E"/>
    <w:rsid w:val="155D3A89"/>
    <w:rsid w:val="15730B02"/>
    <w:rsid w:val="15767227"/>
    <w:rsid w:val="159896FB"/>
    <w:rsid w:val="15A95ADA"/>
    <w:rsid w:val="15ABF37C"/>
    <w:rsid w:val="15C8D3D8"/>
    <w:rsid w:val="15CE95C3"/>
    <w:rsid w:val="15E026A3"/>
    <w:rsid w:val="15E21FDC"/>
    <w:rsid w:val="15E28996"/>
    <w:rsid w:val="15E5B87D"/>
    <w:rsid w:val="15E7BC4E"/>
    <w:rsid w:val="15EFD3F1"/>
    <w:rsid w:val="15F3CF61"/>
    <w:rsid w:val="160522D4"/>
    <w:rsid w:val="16072AAF"/>
    <w:rsid w:val="160BB342"/>
    <w:rsid w:val="1618F683"/>
    <w:rsid w:val="1634A561"/>
    <w:rsid w:val="16506F3C"/>
    <w:rsid w:val="1659118E"/>
    <w:rsid w:val="165F4076"/>
    <w:rsid w:val="166BADCA"/>
    <w:rsid w:val="16736D65"/>
    <w:rsid w:val="16771BEE"/>
    <w:rsid w:val="167A84B5"/>
    <w:rsid w:val="167C6711"/>
    <w:rsid w:val="169033FC"/>
    <w:rsid w:val="1692F8F4"/>
    <w:rsid w:val="169EB246"/>
    <w:rsid w:val="16AA0286"/>
    <w:rsid w:val="16ACEA9F"/>
    <w:rsid w:val="16B96D12"/>
    <w:rsid w:val="16BBA045"/>
    <w:rsid w:val="16C350CC"/>
    <w:rsid w:val="16C71338"/>
    <w:rsid w:val="16CF4149"/>
    <w:rsid w:val="16D2992D"/>
    <w:rsid w:val="16E1189D"/>
    <w:rsid w:val="16E48A2A"/>
    <w:rsid w:val="16F91CA2"/>
    <w:rsid w:val="170E6349"/>
    <w:rsid w:val="171CCFF5"/>
    <w:rsid w:val="171FEEFC"/>
    <w:rsid w:val="17210308"/>
    <w:rsid w:val="17243CB1"/>
    <w:rsid w:val="172950B9"/>
    <w:rsid w:val="173A18F8"/>
    <w:rsid w:val="173F9778"/>
    <w:rsid w:val="174B77EB"/>
    <w:rsid w:val="174B8D1B"/>
    <w:rsid w:val="174BE02C"/>
    <w:rsid w:val="17540686"/>
    <w:rsid w:val="176450D1"/>
    <w:rsid w:val="176CC2C6"/>
    <w:rsid w:val="17706E87"/>
    <w:rsid w:val="1776177A"/>
    <w:rsid w:val="1785DB73"/>
    <w:rsid w:val="178A6204"/>
    <w:rsid w:val="1790FD4D"/>
    <w:rsid w:val="17922A09"/>
    <w:rsid w:val="1796EADC"/>
    <w:rsid w:val="17A13FDF"/>
    <w:rsid w:val="17A1932A"/>
    <w:rsid w:val="17A1F7A7"/>
    <w:rsid w:val="17A88100"/>
    <w:rsid w:val="17AC3791"/>
    <w:rsid w:val="17B948B3"/>
    <w:rsid w:val="17CC5903"/>
    <w:rsid w:val="17D0CE12"/>
    <w:rsid w:val="17D5BAAD"/>
    <w:rsid w:val="17DB7363"/>
    <w:rsid w:val="17E88D4B"/>
    <w:rsid w:val="17EBFD75"/>
    <w:rsid w:val="17F2C84F"/>
    <w:rsid w:val="17F9053C"/>
    <w:rsid w:val="180D8026"/>
    <w:rsid w:val="181E1B02"/>
    <w:rsid w:val="1820266E"/>
    <w:rsid w:val="1822E4D8"/>
    <w:rsid w:val="182A9645"/>
    <w:rsid w:val="183AAD20"/>
    <w:rsid w:val="183D000C"/>
    <w:rsid w:val="185B2DFA"/>
    <w:rsid w:val="1862966D"/>
    <w:rsid w:val="18633890"/>
    <w:rsid w:val="1868CCB2"/>
    <w:rsid w:val="186F7048"/>
    <w:rsid w:val="187B8BF9"/>
    <w:rsid w:val="187C1176"/>
    <w:rsid w:val="1888B591"/>
    <w:rsid w:val="188C7AF5"/>
    <w:rsid w:val="188E9314"/>
    <w:rsid w:val="189548CB"/>
    <w:rsid w:val="1895560A"/>
    <w:rsid w:val="189DE669"/>
    <w:rsid w:val="18A69C87"/>
    <w:rsid w:val="18B7AAB2"/>
    <w:rsid w:val="18BF06F5"/>
    <w:rsid w:val="18C31096"/>
    <w:rsid w:val="18D2DED1"/>
    <w:rsid w:val="18D71AF0"/>
    <w:rsid w:val="18D7BA59"/>
    <w:rsid w:val="18DCFC7C"/>
    <w:rsid w:val="18E2BD0A"/>
    <w:rsid w:val="18E946A9"/>
    <w:rsid w:val="18EAFCB4"/>
    <w:rsid w:val="18EE5FF6"/>
    <w:rsid w:val="18F42BA0"/>
    <w:rsid w:val="18FA6953"/>
    <w:rsid w:val="18FAD6C5"/>
    <w:rsid w:val="1913FAD0"/>
    <w:rsid w:val="191908BA"/>
    <w:rsid w:val="19196FD2"/>
    <w:rsid w:val="191D570B"/>
    <w:rsid w:val="192254A8"/>
    <w:rsid w:val="192AB950"/>
    <w:rsid w:val="19332FA7"/>
    <w:rsid w:val="193887AD"/>
    <w:rsid w:val="19478C40"/>
    <w:rsid w:val="19515EE7"/>
    <w:rsid w:val="195350AA"/>
    <w:rsid w:val="196DA028"/>
    <w:rsid w:val="196DA150"/>
    <w:rsid w:val="19734682"/>
    <w:rsid w:val="1974FCF7"/>
    <w:rsid w:val="19784948"/>
    <w:rsid w:val="197FE138"/>
    <w:rsid w:val="19863A2C"/>
    <w:rsid w:val="198C077E"/>
    <w:rsid w:val="198E4A77"/>
    <w:rsid w:val="19906A4F"/>
    <w:rsid w:val="1997AE06"/>
    <w:rsid w:val="199BD5B9"/>
    <w:rsid w:val="19A11C76"/>
    <w:rsid w:val="19B47983"/>
    <w:rsid w:val="19B7B091"/>
    <w:rsid w:val="19C8558A"/>
    <w:rsid w:val="19D80B4F"/>
    <w:rsid w:val="19DA72CC"/>
    <w:rsid w:val="19DAAED2"/>
    <w:rsid w:val="19DC7022"/>
    <w:rsid w:val="19E0CCBB"/>
    <w:rsid w:val="19E14009"/>
    <w:rsid w:val="19E4FB88"/>
    <w:rsid w:val="19EA840E"/>
    <w:rsid w:val="1A059BBD"/>
    <w:rsid w:val="1A1D7D40"/>
    <w:rsid w:val="1A29266F"/>
    <w:rsid w:val="1A43D8A2"/>
    <w:rsid w:val="1A5B451C"/>
    <w:rsid w:val="1A5DAA59"/>
    <w:rsid w:val="1A6339FF"/>
    <w:rsid w:val="1A68E569"/>
    <w:rsid w:val="1A6CD641"/>
    <w:rsid w:val="1A73E666"/>
    <w:rsid w:val="1A7A2900"/>
    <w:rsid w:val="1A7A7E7F"/>
    <w:rsid w:val="1A7C3C65"/>
    <w:rsid w:val="1A7DC1E4"/>
    <w:rsid w:val="1A838C4C"/>
    <w:rsid w:val="1A83B485"/>
    <w:rsid w:val="1A83ED32"/>
    <w:rsid w:val="1A96F033"/>
    <w:rsid w:val="1A9F7F14"/>
    <w:rsid w:val="1AB279D8"/>
    <w:rsid w:val="1AC05B06"/>
    <w:rsid w:val="1AC150F3"/>
    <w:rsid w:val="1AC8BC44"/>
    <w:rsid w:val="1AC91305"/>
    <w:rsid w:val="1ADCEC73"/>
    <w:rsid w:val="1AE029E3"/>
    <w:rsid w:val="1AE22EED"/>
    <w:rsid w:val="1B05EDD3"/>
    <w:rsid w:val="1B13FF1E"/>
    <w:rsid w:val="1B15B7EB"/>
    <w:rsid w:val="1B1B4400"/>
    <w:rsid w:val="1B1E0E91"/>
    <w:rsid w:val="1B2B91C9"/>
    <w:rsid w:val="1B4A3D9A"/>
    <w:rsid w:val="1B4BFDF4"/>
    <w:rsid w:val="1B4F132D"/>
    <w:rsid w:val="1B50CE2E"/>
    <w:rsid w:val="1B53BEB7"/>
    <w:rsid w:val="1B60F4B9"/>
    <w:rsid w:val="1B618B28"/>
    <w:rsid w:val="1B75900A"/>
    <w:rsid w:val="1B7B3DBC"/>
    <w:rsid w:val="1B7EDD5B"/>
    <w:rsid w:val="1B7F6A28"/>
    <w:rsid w:val="1B9212A4"/>
    <w:rsid w:val="1B936528"/>
    <w:rsid w:val="1B994E81"/>
    <w:rsid w:val="1BC40DDF"/>
    <w:rsid w:val="1BCB1B47"/>
    <w:rsid w:val="1BCE2BF4"/>
    <w:rsid w:val="1BD15F65"/>
    <w:rsid w:val="1BDB7F4F"/>
    <w:rsid w:val="1BDF7632"/>
    <w:rsid w:val="1BEFF1E9"/>
    <w:rsid w:val="1BF2B4DA"/>
    <w:rsid w:val="1BF6F26F"/>
    <w:rsid w:val="1BF81549"/>
    <w:rsid w:val="1BFC7265"/>
    <w:rsid w:val="1BFCA953"/>
    <w:rsid w:val="1BFF8BD7"/>
    <w:rsid w:val="1C0192CC"/>
    <w:rsid w:val="1C0342AD"/>
    <w:rsid w:val="1C09CC70"/>
    <w:rsid w:val="1C1263D1"/>
    <w:rsid w:val="1C19E54D"/>
    <w:rsid w:val="1C1C5F21"/>
    <w:rsid w:val="1C1E9DB4"/>
    <w:rsid w:val="1C24200B"/>
    <w:rsid w:val="1C283D66"/>
    <w:rsid w:val="1C28701B"/>
    <w:rsid w:val="1C468D55"/>
    <w:rsid w:val="1C4AD7CF"/>
    <w:rsid w:val="1C5BEF29"/>
    <w:rsid w:val="1C6AD056"/>
    <w:rsid w:val="1C704FC0"/>
    <w:rsid w:val="1C722569"/>
    <w:rsid w:val="1C72658C"/>
    <w:rsid w:val="1C78D709"/>
    <w:rsid w:val="1C79E031"/>
    <w:rsid w:val="1C7BF7A3"/>
    <w:rsid w:val="1C7C8CD6"/>
    <w:rsid w:val="1C7F7CD0"/>
    <w:rsid w:val="1C7FAD40"/>
    <w:rsid w:val="1C8D6981"/>
    <w:rsid w:val="1C8D6E3A"/>
    <w:rsid w:val="1C928646"/>
    <w:rsid w:val="1C9D295B"/>
    <w:rsid w:val="1CA02435"/>
    <w:rsid w:val="1CA243B1"/>
    <w:rsid w:val="1CA533F1"/>
    <w:rsid w:val="1CA79EF7"/>
    <w:rsid w:val="1CA9D728"/>
    <w:rsid w:val="1CAE39E3"/>
    <w:rsid w:val="1CB29811"/>
    <w:rsid w:val="1CBF7EEA"/>
    <w:rsid w:val="1CD52D33"/>
    <w:rsid w:val="1CD950DC"/>
    <w:rsid w:val="1CDAE1CC"/>
    <w:rsid w:val="1CE5160C"/>
    <w:rsid w:val="1CE89E20"/>
    <w:rsid w:val="1CFBAB65"/>
    <w:rsid w:val="1D0303B3"/>
    <w:rsid w:val="1D0588E4"/>
    <w:rsid w:val="1D058D01"/>
    <w:rsid w:val="1D06D897"/>
    <w:rsid w:val="1D130184"/>
    <w:rsid w:val="1D156084"/>
    <w:rsid w:val="1D1679FE"/>
    <w:rsid w:val="1D1951FB"/>
    <w:rsid w:val="1D2067E6"/>
    <w:rsid w:val="1D2CDFD4"/>
    <w:rsid w:val="1D2CF6C0"/>
    <w:rsid w:val="1D340392"/>
    <w:rsid w:val="1D345766"/>
    <w:rsid w:val="1D38EAED"/>
    <w:rsid w:val="1D416458"/>
    <w:rsid w:val="1D433558"/>
    <w:rsid w:val="1D5413AF"/>
    <w:rsid w:val="1D60A0CA"/>
    <w:rsid w:val="1D66999B"/>
    <w:rsid w:val="1D76EC45"/>
    <w:rsid w:val="1D95F9DE"/>
    <w:rsid w:val="1D97B0A9"/>
    <w:rsid w:val="1D989D74"/>
    <w:rsid w:val="1D9FB0AB"/>
    <w:rsid w:val="1D9FC934"/>
    <w:rsid w:val="1DB49CD6"/>
    <w:rsid w:val="1DC5FF9D"/>
    <w:rsid w:val="1DCDC6F2"/>
    <w:rsid w:val="1DD1EC1C"/>
    <w:rsid w:val="1DD29A53"/>
    <w:rsid w:val="1DD58A93"/>
    <w:rsid w:val="1DDA47B9"/>
    <w:rsid w:val="1DE02C83"/>
    <w:rsid w:val="1DF02EB1"/>
    <w:rsid w:val="1DF572EC"/>
    <w:rsid w:val="1DFE29C0"/>
    <w:rsid w:val="1E001BC9"/>
    <w:rsid w:val="1E02483B"/>
    <w:rsid w:val="1E0DDFFB"/>
    <w:rsid w:val="1E16D01B"/>
    <w:rsid w:val="1E17D771"/>
    <w:rsid w:val="1E1D8077"/>
    <w:rsid w:val="1E237FC3"/>
    <w:rsid w:val="1E2D47E6"/>
    <w:rsid w:val="1E2D5450"/>
    <w:rsid w:val="1E3097E1"/>
    <w:rsid w:val="1E3B7C0F"/>
    <w:rsid w:val="1E3CF71D"/>
    <w:rsid w:val="1E4B7294"/>
    <w:rsid w:val="1E4F7D9D"/>
    <w:rsid w:val="1E541BA9"/>
    <w:rsid w:val="1E5DA500"/>
    <w:rsid w:val="1E65D195"/>
    <w:rsid w:val="1E6C10F9"/>
    <w:rsid w:val="1E6FF208"/>
    <w:rsid w:val="1E72B905"/>
    <w:rsid w:val="1E77A156"/>
    <w:rsid w:val="1E80D90A"/>
    <w:rsid w:val="1E8C923D"/>
    <w:rsid w:val="1E90AF82"/>
    <w:rsid w:val="1E972294"/>
    <w:rsid w:val="1E9DF18A"/>
    <w:rsid w:val="1EA12DD7"/>
    <w:rsid w:val="1EB3204A"/>
    <w:rsid w:val="1EB61976"/>
    <w:rsid w:val="1EC56E77"/>
    <w:rsid w:val="1EC85773"/>
    <w:rsid w:val="1EC9ABF5"/>
    <w:rsid w:val="1ECD0099"/>
    <w:rsid w:val="1EE07EF5"/>
    <w:rsid w:val="1EF21E89"/>
    <w:rsid w:val="1EF27F6C"/>
    <w:rsid w:val="1EF48E05"/>
    <w:rsid w:val="1F0CB6FD"/>
    <w:rsid w:val="1F119285"/>
    <w:rsid w:val="1F1DC9F7"/>
    <w:rsid w:val="1F26E23D"/>
    <w:rsid w:val="1F270DF4"/>
    <w:rsid w:val="1F48A7FD"/>
    <w:rsid w:val="1F55C84D"/>
    <w:rsid w:val="1F5A1DEA"/>
    <w:rsid w:val="1F697B4C"/>
    <w:rsid w:val="1F765322"/>
    <w:rsid w:val="1F7E00CE"/>
    <w:rsid w:val="1F83E1BB"/>
    <w:rsid w:val="1F90DFC6"/>
    <w:rsid w:val="1F9694D5"/>
    <w:rsid w:val="1F9A75E9"/>
    <w:rsid w:val="1F9F0101"/>
    <w:rsid w:val="1FBEB0F3"/>
    <w:rsid w:val="1FBF9836"/>
    <w:rsid w:val="1FC9DD78"/>
    <w:rsid w:val="1FDA40CD"/>
    <w:rsid w:val="1FDD7D87"/>
    <w:rsid w:val="1FDDEB5D"/>
    <w:rsid w:val="1FE12456"/>
    <w:rsid w:val="1FED0675"/>
    <w:rsid w:val="1FF645B0"/>
    <w:rsid w:val="1FF8F1B0"/>
    <w:rsid w:val="1FFD17B7"/>
    <w:rsid w:val="1FFDCD94"/>
    <w:rsid w:val="20035B25"/>
    <w:rsid w:val="200725D9"/>
    <w:rsid w:val="200A5FA1"/>
    <w:rsid w:val="200B39D2"/>
    <w:rsid w:val="200D7061"/>
    <w:rsid w:val="20116ECE"/>
    <w:rsid w:val="201C412B"/>
    <w:rsid w:val="202003C4"/>
    <w:rsid w:val="20234293"/>
    <w:rsid w:val="2023C90F"/>
    <w:rsid w:val="20249C4A"/>
    <w:rsid w:val="20330D50"/>
    <w:rsid w:val="2035DA5C"/>
    <w:rsid w:val="20390A8F"/>
    <w:rsid w:val="203BB91D"/>
    <w:rsid w:val="204615D9"/>
    <w:rsid w:val="2048204F"/>
    <w:rsid w:val="205F50D8"/>
    <w:rsid w:val="2060F56F"/>
    <w:rsid w:val="20670A92"/>
    <w:rsid w:val="2071BEBC"/>
    <w:rsid w:val="207F6FAD"/>
    <w:rsid w:val="20A7E9F7"/>
    <w:rsid w:val="20AC9FBD"/>
    <w:rsid w:val="20ACF308"/>
    <w:rsid w:val="20AD9A73"/>
    <w:rsid w:val="20C072A2"/>
    <w:rsid w:val="20C3D152"/>
    <w:rsid w:val="20CAD5BB"/>
    <w:rsid w:val="20E3EC66"/>
    <w:rsid w:val="20E557D7"/>
    <w:rsid w:val="20E5C530"/>
    <w:rsid w:val="20E80D55"/>
    <w:rsid w:val="20F571F8"/>
    <w:rsid w:val="20FF942A"/>
    <w:rsid w:val="21003071"/>
    <w:rsid w:val="2101C408"/>
    <w:rsid w:val="21039538"/>
    <w:rsid w:val="2109B6FB"/>
    <w:rsid w:val="210D2B85"/>
    <w:rsid w:val="2117A3C2"/>
    <w:rsid w:val="211FC31E"/>
    <w:rsid w:val="212BFBB5"/>
    <w:rsid w:val="2132F259"/>
    <w:rsid w:val="21366E4E"/>
    <w:rsid w:val="2136F4B3"/>
    <w:rsid w:val="213B24F6"/>
    <w:rsid w:val="213C4853"/>
    <w:rsid w:val="213FF9F0"/>
    <w:rsid w:val="2146FBE9"/>
    <w:rsid w:val="214AD2FA"/>
    <w:rsid w:val="2151191C"/>
    <w:rsid w:val="215C92A1"/>
    <w:rsid w:val="2160C433"/>
    <w:rsid w:val="2164E607"/>
    <w:rsid w:val="216BBC2B"/>
    <w:rsid w:val="216C910C"/>
    <w:rsid w:val="217315B7"/>
    <w:rsid w:val="2178654D"/>
    <w:rsid w:val="217A5E86"/>
    <w:rsid w:val="217FC6DB"/>
    <w:rsid w:val="218AF235"/>
    <w:rsid w:val="219DDF80"/>
    <w:rsid w:val="219EB98D"/>
    <w:rsid w:val="21A2EF2B"/>
    <w:rsid w:val="21AB7ADF"/>
    <w:rsid w:val="21AD033C"/>
    <w:rsid w:val="21AF3FFD"/>
    <w:rsid w:val="21B421BD"/>
    <w:rsid w:val="21BE5D47"/>
    <w:rsid w:val="21CC4724"/>
    <w:rsid w:val="21D5E775"/>
    <w:rsid w:val="21E8C23A"/>
    <w:rsid w:val="21FB2A42"/>
    <w:rsid w:val="220966B8"/>
    <w:rsid w:val="220B7C97"/>
    <w:rsid w:val="220E57D7"/>
    <w:rsid w:val="222A13AB"/>
    <w:rsid w:val="222D66BA"/>
    <w:rsid w:val="22351513"/>
    <w:rsid w:val="2236F11A"/>
    <w:rsid w:val="2242C226"/>
    <w:rsid w:val="2257AF8D"/>
    <w:rsid w:val="22585BE1"/>
    <w:rsid w:val="225F9F42"/>
    <w:rsid w:val="226A6006"/>
    <w:rsid w:val="2276E491"/>
    <w:rsid w:val="2277F77A"/>
    <w:rsid w:val="227B22D8"/>
    <w:rsid w:val="227C315C"/>
    <w:rsid w:val="227CADC6"/>
    <w:rsid w:val="227F3383"/>
    <w:rsid w:val="229DFF78"/>
    <w:rsid w:val="22A5BE8D"/>
    <w:rsid w:val="22A89283"/>
    <w:rsid w:val="22AE5F4F"/>
    <w:rsid w:val="22C24FB1"/>
    <w:rsid w:val="22C82CFC"/>
    <w:rsid w:val="22CEE7F6"/>
    <w:rsid w:val="22D1203E"/>
    <w:rsid w:val="22D14D33"/>
    <w:rsid w:val="22DA7AB1"/>
    <w:rsid w:val="22DFD356"/>
    <w:rsid w:val="22E86D2D"/>
    <w:rsid w:val="22F13015"/>
    <w:rsid w:val="22F1777C"/>
    <w:rsid w:val="22F29894"/>
    <w:rsid w:val="22FAB050"/>
    <w:rsid w:val="230565AD"/>
    <w:rsid w:val="230D5DCB"/>
    <w:rsid w:val="230FC630"/>
    <w:rsid w:val="2310013B"/>
    <w:rsid w:val="231026BA"/>
    <w:rsid w:val="231DC7DE"/>
    <w:rsid w:val="231E04B3"/>
    <w:rsid w:val="232CC8DE"/>
    <w:rsid w:val="23330E61"/>
    <w:rsid w:val="233AB8B0"/>
    <w:rsid w:val="23455DF3"/>
    <w:rsid w:val="234F8E03"/>
    <w:rsid w:val="235031E5"/>
    <w:rsid w:val="2360DEA9"/>
    <w:rsid w:val="236A359E"/>
    <w:rsid w:val="236D75AF"/>
    <w:rsid w:val="2371338C"/>
    <w:rsid w:val="237228A4"/>
    <w:rsid w:val="237B2EEF"/>
    <w:rsid w:val="237C8FB5"/>
    <w:rsid w:val="237EED95"/>
    <w:rsid w:val="2393ED7A"/>
    <w:rsid w:val="2398B578"/>
    <w:rsid w:val="23A036E1"/>
    <w:rsid w:val="23A0EC8E"/>
    <w:rsid w:val="23ACDC2F"/>
    <w:rsid w:val="23B578BB"/>
    <w:rsid w:val="23CA4AB7"/>
    <w:rsid w:val="23E00198"/>
    <w:rsid w:val="23EFCAA7"/>
    <w:rsid w:val="23FF5E73"/>
    <w:rsid w:val="24005F97"/>
    <w:rsid w:val="24010B1F"/>
    <w:rsid w:val="2405861D"/>
    <w:rsid w:val="241AA8F3"/>
    <w:rsid w:val="241AAE1C"/>
    <w:rsid w:val="241F6EEF"/>
    <w:rsid w:val="242930AA"/>
    <w:rsid w:val="24359416"/>
    <w:rsid w:val="2435FD41"/>
    <w:rsid w:val="24478853"/>
    <w:rsid w:val="244BFEF1"/>
    <w:rsid w:val="24784F85"/>
    <w:rsid w:val="247EEA88"/>
    <w:rsid w:val="247FF9E8"/>
    <w:rsid w:val="24804314"/>
    <w:rsid w:val="24857892"/>
    <w:rsid w:val="248F58B8"/>
    <w:rsid w:val="24A42AF7"/>
    <w:rsid w:val="24A5E7FA"/>
    <w:rsid w:val="24ADC5D0"/>
    <w:rsid w:val="24D1E5E2"/>
    <w:rsid w:val="24E59CF9"/>
    <w:rsid w:val="24E9624C"/>
    <w:rsid w:val="24EC9C09"/>
    <w:rsid w:val="24F8D1BC"/>
    <w:rsid w:val="24FE7E1B"/>
    <w:rsid w:val="2502C8A6"/>
    <w:rsid w:val="2506B65A"/>
    <w:rsid w:val="250E1A11"/>
    <w:rsid w:val="2510CB29"/>
    <w:rsid w:val="25129307"/>
    <w:rsid w:val="251B9AFE"/>
    <w:rsid w:val="251CE80A"/>
    <w:rsid w:val="2520E419"/>
    <w:rsid w:val="252521F1"/>
    <w:rsid w:val="2528321D"/>
    <w:rsid w:val="252B7522"/>
    <w:rsid w:val="253361AD"/>
    <w:rsid w:val="253874AF"/>
    <w:rsid w:val="253C45B7"/>
    <w:rsid w:val="25426928"/>
    <w:rsid w:val="2551A041"/>
    <w:rsid w:val="255CF25E"/>
    <w:rsid w:val="25607A03"/>
    <w:rsid w:val="256B71C8"/>
    <w:rsid w:val="258AB1AA"/>
    <w:rsid w:val="258C8CD5"/>
    <w:rsid w:val="258DF8E8"/>
    <w:rsid w:val="2598318B"/>
    <w:rsid w:val="259A0F6A"/>
    <w:rsid w:val="259DDD7B"/>
    <w:rsid w:val="25A4F7F2"/>
    <w:rsid w:val="25AC0B7F"/>
    <w:rsid w:val="25B2121D"/>
    <w:rsid w:val="25BD2821"/>
    <w:rsid w:val="25C43FF7"/>
    <w:rsid w:val="25C7D1B3"/>
    <w:rsid w:val="25D24D55"/>
    <w:rsid w:val="25E9A429"/>
    <w:rsid w:val="25EA1202"/>
    <w:rsid w:val="25F12361"/>
    <w:rsid w:val="25F29866"/>
    <w:rsid w:val="25F38DF4"/>
    <w:rsid w:val="2609CA41"/>
    <w:rsid w:val="26295875"/>
    <w:rsid w:val="262D6C55"/>
    <w:rsid w:val="262DF02C"/>
    <w:rsid w:val="26366739"/>
    <w:rsid w:val="265065DA"/>
    <w:rsid w:val="2654E323"/>
    <w:rsid w:val="266174A4"/>
    <w:rsid w:val="26693AA3"/>
    <w:rsid w:val="2669EE0F"/>
    <w:rsid w:val="268C26F3"/>
    <w:rsid w:val="268E30A0"/>
    <w:rsid w:val="269D93FC"/>
    <w:rsid w:val="26A40EAE"/>
    <w:rsid w:val="26A8BB82"/>
    <w:rsid w:val="26A9C966"/>
    <w:rsid w:val="26AA7D71"/>
    <w:rsid w:val="26AF6D09"/>
    <w:rsid w:val="26C07B65"/>
    <w:rsid w:val="26CC22A0"/>
    <w:rsid w:val="26D001C9"/>
    <w:rsid w:val="26D5128E"/>
    <w:rsid w:val="26D52010"/>
    <w:rsid w:val="26DFE77B"/>
    <w:rsid w:val="26E57FE7"/>
    <w:rsid w:val="26E99C5D"/>
    <w:rsid w:val="26ECFAE8"/>
    <w:rsid w:val="26F757BB"/>
    <w:rsid w:val="26FE843B"/>
    <w:rsid w:val="26FF83E3"/>
    <w:rsid w:val="2701101D"/>
    <w:rsid w:val="2706D199"/>
    <w:rsid w:val="270FC5D6"/>
    <w:rsid w:val="271ABB3D"/>
    <w:rsid w:val="271E1B5B"/>
    <w:rsid w:val="2723D903"/>
    <w:rsid w:val="273A1038"/>
    <w:rsid w:val="273E1A25"/>
    <w:rsid w:val="274D2E1D"/>
    <w:rsid w:val="2759597B"/>
    <w:rsid w:val="275B8AAF"/>
    <w:rsid w:val="2761CD8B"/>
    <w:rsid w:val="276475B7"/>
    <w:rsid w:val="276BB76C"/>
    <w:rsid w:val="277069E4"/>
    <w:rsid w:val="2770C5C5"/>
    <w:rsid w:val="2779950F"/>
    <w:rsid w:val="277A8A2A"/>
    <w:rsid w:val="2783EDAE"/>
    <w:rsid w:val="278BB1BD"/>
    <w:rsid w:val="279666BE"/>
    <w:rsid w:val="279D60FE"/>
    <w:rsid w:val="27A6C47A"/>
    <w:rsid w:val="27B8EE67"/>
    <w:rsid w:val="27BD8B23"/>
    <w:rsid w:val="27BE8D61"/>
    <w:rsid w:val="27DA40B8"/>
    <w:rsid w:val="27DCB626"/>
    <w:rsid w:val="27DD790C"/>
    <w:rsid w:val="27E01EED"/>
    <w:rsid w:val="27EA67E2"/>
    <w:rsid w:val="27F33644"/>
    <w:rsid w:val="27F9F7A5"/>
    <w:rsid w:val="27FBED18"/>
    <w:rsid w:val="27FFBCE4"/>
    <w:rsid w:val="280F6929"/>
    <w:rsid w:val="28260D31"/>
    <w:rsid w:val="282621DB"/>
    <w:rsid w:val="28273B3F"/>
    <w:rsid w:val="283683C7"/>
    <w:rsid w:val="285435D7"/>
    <w:rsid w:val="285B2441"/>
    <w:rsid w:val="286C9851"/>
    <w:rsid w:val="287194AF"/>
    <w:rsid w:val="28753FD1"/>
    <w:rsid w:val="28762419"/>
    <w:rsid w:val="287CE872"/>
    <w:rsid w:val="2887072C"/>
    <w:rsid w:val="289782C1"/>
    <w:rsid w:val="289ED1F8"/>
    <w:rsid w:val="289F1AE1"/>
    <w:rsid w:val="28AFF0C8"/>
    <w:rsid w:val="28B55F55"/>
    <w:rsid w:val="28B595FA"/>
    <w:rsid w:val="28B78211"/>
    <w:rsid w:val="28BCF012"/>
    <w:rsid w:val="28BD7C0A"/>
    <w:rsid w:val="28BE64A5"/>
    <w:rsid w:val="28C0D1D9"/>
    <w:rsid w:val="28C276D9"/>
    <w:rsid w:val="28CD6EFE"/>
    <w:rsid w:val="28DE52F5"/>
    <w:rsid w:val="28EBF2DB"/>
    <w:rsid w:val="28EF27FD"/>
    <w:rsid w:val="28FC0DDE"/>
    <w:rsid w:val="28FDA96C"/>
    <w:rsid w:val="28FE2B26"/>
    <w:rsid w:val="29004AD4"/>
    <w:rsid w:val="2906F055"/>
    <w:rsid w:val="290D48B5"/>
    <w:rsid w:val="2912BF46"/>
    <w:rsid w:val="29163A0B"/>
    <w:rsid w:val="2916D4FE"/>
    <w:rsid w:val="291D285F"/>
    <w:rsid w:val="291F7418"/>
    <w:rsid w:val="292A4EE1"/>
    <w:rsid w:val="29325F45"/>
    <w:rsid w:val="29416985"/>
    <w:rsid w:val="294329E2"/>
    <w:rsid w:val="2956EC48"/>
    <w:rsid w:val="29602188"/>
    <w:rsid w:val="2964E338"/>
    <w:rsid w:val="297B9F00"/>
    <w:rsid w:val="297E704F"/>
    <w:rsid w:val="298CEF63"/>
    <w:rsid w:val="298F08BA"/>
    <w:rsid w:val="29A118CE"/>
    <w:rsid w:val="29A4A232"/>
    <w:rsid w:val="29ADD9E3"/>
    <w:rsid w:val="29C7787D"/>
    <w:rsid w:val="29D00E8E"/>
    <w:rsid w:val="29D4AB37"/>
    <w:rsid w:val="29D726D7"/>
    <w:rsid w:val="29EBF701"/>
    <w:rsid w:val="29F387BE"/>
    <w:rsid w:val="29FEDB9A"/>
    <w:rsid w:val="2A07776E"/>
    <w:rsid w:val="2A1D416C"/>
    <w:rsid w:val="2A255591"/>
    <w:rsid w:val="2A280A3D"/>
    <w:rsid w:val="2A34B8A4"/>
    <w:rsid w:val="2A4D5FA1"/>
    <w:rsid w:val="2A4D918A"/>
    <w:rsid w:val="2A50CEE3"/>
    <w:rsid w:val="2A51EB42"/>
    <w:rsid w:val="2A5A1F7A"/>
    <w:rsid w:val="2A60333D"/>
    <w:rsid w:val="2A673EBD"/>
    <w:rsid w:val="2A6C9C85"/>
    <w:rsid w:val="2A6D8345"/>
    <w:rsid w:val="2A7AC797"/>
    <w:rsid w:val="2A83CDF1"/>
    <w:rsid w:val="2A89369C"/>
    <w:rsid w:val="2A8A4FBD"/>
    <w:rsid w:val="2A8B4B3D"/>
    <w:rsid w:val="2A974A02"/>
    <w:rsid w:val="2A9AF4DB"/>
    <w:rsid w:val="2AA14AD7"/>
    <w:rsid w:val="2AB09D71"/>
    <w:rsid w:val="2AB1D9A0"/>
    <w:rsid w:val="2AB4765F"/>
    <w:rsid w:val="2AD381E3"/>
    <w:rsid w:val="2AE4F101"/>
    <w:rsid w:val="2AE5616B"/>
    <w:rsid w:val="2AFA5F1E"/>
    <w:rsid w:val="2AFBF8D4"/>
    <w:rsid w:val="2AFE4EBD"/>
    <w:rsid w:val="2B03CB73"/>
    <w:rsid w:val="2B0A33CE"/>
    <w:rsid w:val="2B0A6ABC"/>
    <w:rsid w:val="2B0C2D07"/>
    <w:rsid w:val="2B1476F5"/>
    <w:rsid w:val="2B1F0CD1"/>
    <w:rsid w:val="2B2BE950"/>
    <w:rsid w:val="2B3394F4"/>
    <w:rsid w:val="2B339614"/>
    <w:rsid w:val="2B34C517"/>
    <w:rsid w:val="2B43F485"/>
    <w:rsid w:val="2B483621"/>
    <w:rsid w:val="2B4FEAC8"/>
    <w:rsid w:val="2B6E4942"/>
    <w:rsid w:val="2B739518"/>
    <w:rsid w:val="2B74232B"/>
    <w:rsid w:val="2B769994"/>
    <w:rsid w:val="2B7A6FCB"/>
    <w:rsid w:val="2B889476"/>
    <w:rsid w:val="2B8C350E"/>
    <w:rsid w:val="2B8C8BE2"/>
    <w:rsid w:val="2B8D6411"/>
    <w:rsid w:val="2B928E15"/>
    <w:rsid w:val="2BA1F7EC"/>
    <w:rsid w:val="2BB35008"/>
    <w:rsid w:val="2BB85992"/>
    <w:rsid w:val="2BB9578E"/>
    <w:rsid w:val="2BC11496"/>
    <w:rsid w:val="2BC28916"/>
    <w:rsid w:val="2BC56684"/>
    <w:rsid w:val="2BC63402"/>
    <w:rsid w:val="2BD09498"/>
    <w:rsid w:val="2BD7EA4A"/>
    <w:rsid w:val="2BD8D8C1"/>
    <w:rsid w:val="2BE100F6"/>
    <w:rsid w:val="2BE137F7"/>
    <w:rsid w:val="2BEE7D83"/>
    <w:rsid w:val="2BF03D27"/>
    <w:rsid w:val="2BFB9361"/>
    <w:rsid w:val="2C0A9A80"/>
    <w:rsid w:val="2C0E843E"/>
    <w:rsid w:val="2C0F8C46"/>
    <w:rsid w:val="2C18707D"/>
    <w:rsid w:val="2C1B95FF"/>
    <w:rsid w:val="2C1C4922"/>
    <w:rsid w:val="2C2256AE"/>
    <w:rsid w:val="2C33E248"/>
    <w:rsid w:val="2C39FBD4"/>
    <w:rsid w:val="2C551CF8"/>
    <w:rsid w:val="2C56004B"/>
    <w:rsid w:val="2C5E75DC"/>
    <w:rsid w:val="2C5F138C"/>
    <w:rsid w:val="2C618ED6"/>
    <w:rsid w:val="2C87EB63"/>
    <w:rsid w:val="2C8BDA33"/>
    <w:rsid w:val="2C8CA9FC"/>
    <w:rsid w:val="2C909B73"/>
    <w:rsid w:val="2C931D6D"/>
    <w:rsid w:val="2CA8E88B"/>
    <w:rsid w:val="2CAC6658"/>
    <w:rsid w:val="2CB0E612"/>
    <w:rsid w:val="2CB5E504"/>
    <w:rsid w:val="2CBB5A49"/>
    <w:rsid w:val="2CBDCF60"/>
    <w:rsid w:val="2CBE2106"/>
    <w:rsid w:val="2CC55E2F"/>
    <w:rsid w:val="2CC99F71"/>
    <w:rsid w:val="2CCFF729"/>
    <w:rsid w:val="2CD8100A"/>
    <w:rsid w:val="2CD9C034"/>
    <w:rsid w:val="2CE20DA5"/>
    <w:rsid w:val="2CE4B855"/>
    <w:rsid w:val="2CE86F85"/>
    <w:rsid w:val="2CEA92A3"/>
    <w:rsid w:val="2CF091DE"/>
    <w:rsid w:val="2D01CEBD"/>
    <w:rsid w:val="2D191CF8"/>
    <w:rsid w:val="2D30C073"/>
    <w:rsid w:val="2D347AFC"/>
    <w:rsid w:val="2D373C88"/>
    <w:rsid w:val="2D38A1CA"/>
    <w:rsid w:val="2D406207"/>
    <w:rsid w:val="2D40FB3E"/>
    <w:rsid w:val="2D67353E"/>
    <w:rsid w:val="2D72BDED"/>
    <w:rsid w:val="2D80DD29"/>
    <w:rsid w:val="2D842B82"/>
    <w:rsid w:val="2D918D6B"/>
    <w:rsid w:val="2D96A093"/>
    <w:rsid w:val="2DA63730"/>
    <w:rsid w:val="2DAB71D7"/>
    <w:rsid w:val="2DB1901F"/>
    <w:rsid w:val="2DC25D73"/>
    <w:rsid w:val="2DCC4D3B"/>
    <w:rsid w:val="2DCCF7AC"/>
    <w:rsid w:val="2DEC627B"/>
    <w:rsid w:val="2DEF49E2"/>
    <w:rsid w:val="2E0CB0A3"/>
    <w:rsid w:val="2E15C624"/>
    <w:rsid w:val="2E29F14E"/>
    <w:rsid w:val="2E2B734F"/>
    <w:rsid w:val="2E2CCC4B"/>
    <w:rsid w:val="2E35B6D2"/>
    <w:rsid w:val="2E52AE49"/>
    <w:rsid w:val="2E57E611"/>
    <w:rsid w:val="2E64D71E"/>
    <w:rsid w:val="2E715300"/>
    <w:rsid w:val="2E873121"/>
    <w:rsid w:val="2E9C0265"/>
    <w:rsid w:val="2EAAD948"/>
    <w:rsid w:val="2EAF2E52"/>
    <w:rsid w:val="2EB323CD"/>
    <w:rsid w:val="2EBFA703"/>
    <w:rsid w:val="2EC20F7B"/>
    <w:rsid w:val="2ECB03B8"/>
    <w:rsid w:val="2ECB98BF"/>
    <w:rsid w:val="2ED25250"/>
    <w:rsid w:val="2ED5552A"/>
    <w:rsid w:val="2EE40F86"/>
    <w:rsid w:val="2EF5F0FF"/>
    <w:rsid w:val="2EFC54E7"/>
    <w:rsid w:val="2EFDABDB"/>
    <w:rsid w:val="2F01EA12"/>
    <w:rsid w:val="2F03CFD5"/>
    <w:rsid w:val="2F1168EF"/>
    <w:rsid w:val="2F141DF4"/>
    <w:rsid w:val="2F3DE1A6"/>
    <w:rsid w:val="2F405215"/>
    <w:rsid w:val="2F41C44A"/>
    <w:rsid w:val="2F54F196"/>
    <w:rsid w:val="2F5C4456"/>
    <w:rsid w:val="2F85A5B4"/>
    <w:rsid w:val="2F8AD9B3"/>
    <w:rsid w:val="2F8C444B"/>
    <w:rsid w:val="2F8EA361"/>
    <w:rsid w:val="2F901AAB"/>
    <w:rsid w:val="2F90C83B"/>
    <w:rsid w:val="2FA0A24C"/>
    <w:rsid w:val="2FB26908"/>
    <w:rsid w:val="2FB2A0A8"/>
    <w:rsid w:val="2FC63490"/>
    <w:rsid w:val="2FCA959C"/>
    <w:rsid w:val="2FCBBB44"/>
    <w:rsid w:val="2FCFBF4A"/>
    <w:rsid w:val="2FD5B853"/>
    <w:rsid w:val="2FDA5AA2"/>
    <w:rsid w:val="2FDB9258"/>
    <w:rsid w:val="2FE0D756"/>
    <w:rsid w:val="2FE59277"/>
    <w:rsid w:val="2FE5B744"/>
    <w:rsid w:val="2FE8CFD0"/>
    <w:rsid w:val="2FECDCF2"/>
    <w:rsid w:val="2FECE78A"/>
    <w:rsid w:val="2FFE9E5E"/>
    <w:rsid w:val="30079EF2"/>
    <w:rsid w:val="3008ACDC"/>
    <w:rsid w:val="300DA5EC"/>
    <w:rsid w:val="301099AA"/>
    <w:rsid w:val="302245E0"/>
    <w:rsid w:val="302A05BB"/>
    <w:rsid w:val="3039D684"/>
    <w:rsid w:val="303B8CB0"/>
    <w:rsid w:val="304B347C"/>
    <w:rsid w:val="30596FBF"/>
    <w:rsid w:val="305F418A"/>
    <w:rsid w:val="306C102B"/>
    <w:rsid w:val="3074F91E"/>
    <w:rsid w:val="30753793"/>
    <w:rsid w:val="307A53B3"/>
    <w:rsid w:val="307DFB06"/>
    <w:rsid w:val="308C00D7"/>
    <w:rsid w:val="309D154F"/>
    <w:rsid w:val="30A339FC"/>
    <w:rsid w:val="30A48DDF"/>
    <w:rsid w:val="30AD7C9A"/>
    <w:rsid w:val="30B16172"/>
    <w:rsid w:val="30B8F0B3"/>
    <w:rsid w:val="30C2F658"/>
    <w:rsid w:val="30D19926"/>
    <w:rsid w:val="30D9295D"/>
    <w:rsid w:val="30F08828"/>
    <w:rsid w:val="310429CC"/>
    <w:rsid w:val="310E5172"/>
    <w:rsid w:val="311EA6DB"/>
    <w:rsid w:val="31200A82"/>
    <w:rsid w:val="313DB521"/>
    <w:rsid w:val="31614E2C"/>
    <w:rsid w:val="3170A2D3"/>
    <w:rsid w:val="3173C9A5"/>
    <w:rsid w:val="31786351"/>
    <w:rsid w:val="317CF2FE"/>
    <w:rsid w:val="317D4137"/>
    <w:rsid w:val="317F6EFA"/>
    <w:rsid w:val="3189F215"/>
    <w:rsid w:val="319ECF45"/>
    <w:rsid w:val="31A27304"/>
    <w:rsid w:val="31B95898"/>
    <w:rsid w:val="31C2E322"/>
    <w:rsid w:val="31C4A3B1"/>
    <w:rsid w:val="31D1C8E4"/>
    <w:rsid w:val="31D632DD"/>
    <w:rsid w:val="31E975A2"/>
    <w:rsid w:val="31FF5234"/>
    <w:rsid w:val="32117C34"/>
    <w:rsid w:val="32136808"/>
    <w:rsid w:val="321DD671"/>
    <w:rsid w:val="321F1DD1"/>
    <w:rsid w:val="322DA343"/>
    <w:rsid w:val="322F272A"/>
    <w:rsid w:val="3232A500"/>
    <w:rsid w:val="323EA72C"/>
    <w:rsid w:val="3240C7A3"/>
    <w:rsid w:val="3254B710"/>
    <w:rsid w:val="32677A63"/>
    <w:rsid w:val="3273EC9D"/>
    <w:rsid w:val="3277B151"/>
    <w:rsid w:val="327D0D87"/>
    <w:rsid w:val="327DD529"/>
    <w:rsid w:val="3280BEEE"/>
    <w:rsid w:val="328B9001"/>
    <w:rsid w:val="328E237E"/>
    <w:rsid w:val="328FAA32"/>
    <w:rsid w:val="329FAF42"/>
    <w:rsid w:val="329FE213"/>
    <w:rsid w:val="32A3D2D8"/>
    <w:rsid w:val="32AC9285"/>
    <w:rsid w:val="32B0BEAB"/>
    <w:rsid w:val="32C73633"/>
    <w:rsid w:val="32CBC055"/>
    <w:rsid w:val="32CCCE82"/>
    <w:rsid w:val="32CE2616"/>
    <w:rsid w:val="32D20823"/>
    <w:rsid w:val="32D42395"/>
    <w:rsid w:val="32D505F8"/>
    <w:rsid w:val="32DE916A"/>
    <w:rsid w:val="32F57831"/>
    <w:rsid w:val="330E029B"/>
    <w:rsid w:val="3314B09C"/>
    <w:rsid w:val="331800B6"/>
    <w:rsid w:val="3323908D"/>
    <w:rsid w:val="333369D8"/>
    <w:rsid w:val="33348825"/>
    <w:rsid w:val="3368ABAF"/>
    <w:rsid w:val="3373F847"/>
    <w:rsid w:val="33794A84"/>
    <w:rsid w:val="337C9516"/>
    <w:rsid w:val="337C96A5"/>
    <w:rsid w:val="338970C6"/>
    <w:rsid w:val="33931452"/>
    <w:rsid w:val="3395AB65"/>
    <w:rsid w:val="33A057E9"/>
    <w:rsid w:val="33A84FF4"/>
    <w:rsid w:val="33A93309"/>
    <w:rsid w:val="33AD09D1"/>
    <w:rsid w:val="33C1A230"/>
    <w:rsid w:val="33CD2E1A"/>
    <w:rsid w:val="33D28259"/>
    <w:rsid w:val="33D30EDD"/>
    <w:rsid w:val="33DF76D8"/>
    <w:rsid w:val="33E32158"/>
    <w:rsid w:val="33E385FF"/>
    <w:rsid w:val="33E68860"/>
    <w:rsid w:val="33EB3147"/>
    <w:rsid w:val="33EB3D8A"/>
    <w:rsid w:val="33F8FC63"/>
    <w:rsid w:val="3404C9C5"/>
    <w:rsid w:val="340810E7"/>
    <w:rsid w:val="340B0E23"/>
    <w:rsid w:val="340C4913"/>
    <w:rsid w:val="340D69FB"/>
    <w:rsid w:val="34109BC1"/>
    <w:rsid w:val="34214F2C"/>
    <w:rsid w:val="3422E4C5"/>
    <w:rsid w:val="3435DA71"/>
    <w:rsid w:val="34374F60"/>
    <w:rsid w:val="343D692F"/>
    <w:rsid w:val="3440D26C"/>
    <w:rsid w:val="3444420A"/>
    <w:rsid w:val="34487911"/>
    <w:rsid w:val="344D9ADB"/>
    <w:rsid w:val="344F6573"/>
    <w:rsid w:val="345C50A7"/>
    <w:rsid w:val="3477A79C"/>
    <w:rsid w:val="3483B3EB"/>
    <w:rsid w:val="348935AB"/>
    <w:rsid w:val="3490AAFB"/>
    <w:rsid w:val="3498E985"/>
    <w:rsid w:val="34A12DAA"/>
    <w:rsid w:val="34B9CCE8"/>
    <w:rsid w:val="34BD3009"/>
    <w:rsid w:val="34BF5C7B"/>
    <w:rsid w:val="34C454BC"/>
    <w:rsid w:val="34D11F76"/>
    <w:rsid w:val="34D9567E"/>
    <w:rsid w:val="34E28DBD"/>
    <w:rsid w:val="34EB83CC"/>
    <w:rsid w:val="34F24E5D"/>
    <w:rsid w:val="34F6353C"/>
    <w:rsid w:val="34FB61A1"/>
    <w:rsid w:val="3500EB12"/>
    <w:rsid w:val="35198E80"/>
    <w:rsid w:val="351EC6BE"/>
    <w:rsid w:val="352D231A"/>
    <w:rsid w:val="352DF961"/>
    <w:rsid w:val="3536318C"/>
    <w:rsid w:val="3536DE34"/>
    <w:rsid w:val="353BA72D"/>
    <w:rsid w:val="35504A88"/>
    <w:rsid w:val="35571C7C"/>
    <w:rsid w:val="3558B0B2"/>
    <w:rsid w:val="355DDB12"/>
    <w:rsid w:val="35607990"/>
    <w:rsid w:val="35784BAC"/>
    <w:rsid w:val="357D99CC"/>
    <w:rsid w:val="3583E0C5"/>
    <w:rsid w:val="358490F6"/>
    <w:rsid w:val="3588A330"/>
    <w:rsid w:val="3589165C"/>
    <w:rsid w:val="358C39F9"/>
    <w:rsid w:val="35949A4F"/>
    <w:rsid w:val="359587A6"/>
    <w:rsid w:val="359FA1FA"/>
    <w:rsid w:val="35AE6763"/>
    <w:rsid w:val="35B71515"/>
    <w:rsid w:val="35C43FFD"/>
    <w:rsid w:val="35C56CA2"/>
    <w:rsid w:val="35E27AD0"/>
    <w:rsid w:val="35E83FE8"/>
    <w:rsid w:val="35F64570"/>
    <w:rsid w:val="35F91233"/>
    <w:rsid w:val="35FCCC79"/>
    <w:rsid w:val="360C0BC4"/>
    <w:rsid w:val="3611FFF8"/>
    <w:rsid w:val="3616900F"/>
    <w:rsid w:val="361922AF"/>
    <w:rsid w:val="3624D259"/>
    <w:rsid w:val="362C2CF1"/>
    <w:rsid w:val="362FEEBE"/>
    <w:rsid w:val="3632737D"/>
    <w:rsid w:val="364BA8BD"/>
    <w:rsid w:val="364D1D63"/>
    <w:rsid w:val="36544E35"/>
    <w:rsid w:val="3659AF83"/>
    <w:rsid w:val="365AF88F"/>
    <w:rsid w:val="366FF5FC"/>
    <w:rsid w:val="367C975A"/>
    <w:rsid w:val="367C9975"/>
    <w:rsid w:val="36807BC2"/>
    <w:rsid w:val="368EEF29"/>
    <w:rsid w:val="36963CA4"/>
    <w:rsid w:val="3699E532"/>
    <w:rsid w:val="36AD381A"/>
    <w:rsid w:val="36B44513"/>
    <w:rsid w:val="36B7581A"/>
    <w:rsid w:val="36B7EE03"/>
    <w:rsid w:val="36B9181E"/>
    <w:rsid w:val="36CC5812"/>
    <w:rsid w:val="36CCE3F7"/>
    <w:rsid w:val="36F2E5C3"/>
    <w:rsid w:val="36F7DA73"/>
    <w:rsid w:val="36F9A07F"/>
    <w:rsid w:val="3704612A"/>
    <w:rsid w:val="370E5756"/>
    <w:rsid w:val="37158866"/>
    <w:rsid w:val="371A034B"/>
    <w:rsid w:val="371D39FC"/>
    <w:rsid w:val="372529E0"/>
    <w:rsid w:val="37294343"/>
    <w:rsid w:val="37381800"/>
    <w:rsid w:val="3738BB91"/>
    <w:rsid w:val="373ED159"/>
    <w:rsid w:val="37473708"/>
    <w:rsid w:val="3757D974"/>
    <w:rsid w:val="3762B503"/>
    <w:rsid w:val="3765F14D"/>
    <w:rsid w:val="377AEED4"/>
    <w:rsid w:val="377BF1C4"/>
    <w:rsid w:val="377E8F15"/>
    <w:rsid w:val="37869846"/>
    <w:rsid w:val="37890389"/>
    <w:rsid w:val="378DFFC3"/>
    <w:rsid w:val="3791877B"/>
    <w:rsid w:val="379DEF04"/>
    <w:rsid w:val="37AB6BD4"/>
    <w:rsid w:val="37B43A92"/>
    <w:rsid w:val="37C706A2"/>
    <w:rsid w:val="37E68CAF"/>
    <w:rsid w:val="37EA19E9"/>
    <w:rsid w:val="37EF8DE2"/>
    <w:rsid w:val="37FE7004"/>
    <w:rsid w:val="3800F93F"/>
    <w:rsid w:val="38052AAD"/>
    <w:rsid w:val="380F718F"/>
    <w:rsid w:val="380FB990"/>
    <w:rsid w:val="381A0823"/>
    <w:rsid w:val="381E4695"/>
    <w:rsid w:val="38238707"/>
    <w:rsid w:val="38295A21"/>
    <w:rsid w:val="38330A30"/>
    <w:rsid w:val="38361868"/>
    <w:rsid w:val="383CBE75"/>
    <w:rsid w:val="383E521F"/>
    <w:rsid w:val="3844AB13"/>
    <w:rsid w:val="386CAAFB"/>
    <w:rsid w:val="386D7ECD"/>
    <w:rsid w:val="3875346A"/>
    <w:rsid w:val="3888A587"/>
    <w:rsid w:val="388AE291"/>
    <w:rsid w:val="38900418"/>
    <w:rsid w:val="38901CCB"/>
    <w:rsid w:val="389139D9"/>
    <w:rsid w:val="389787F2"/>
    <w:rsid w:val="3898F9CB"/>
    <w:rsid w:val="38AB4658"/>
    <w:rsid w:val="38B09E2E"/>
    <w:rsid w:val="38B94A24"/>
    <w:rsid w:val="38C343B0"/>
    <w:rsid w:val="38D8EB83"/>
    <w:rsid w:val="38DB4976"/>
    <w:rsid w:val="38E1D552"/>
    <w:rsid w:val="38EACFF3"/>
    <w:rsid w:val="38F8C4C8"/>
    <w:rsid w:val="38FB10F6"/>
    <w:rsid w:val="38FC3612"/>
    <w:rsid w:val="390A5A0A"/>
    <w:rsid w:val="3913F676"/>
    <w:rsid w:val="391AB73A"/>
    <w:rsid w:val="3925F47C"/>
    <w:rsid w:val="392C8510"/>
    <w:rsid w:val="392DDF1B"/>
    <w:rsid w:val="393013CF"/>
    <w:rsid w:val="3933F76E"/>
    <w:rsid w:val="394E607E"/>
    <w:rsid w:val="395E0871"/>
    <w:rsid w:val="3963AC27"/>
    <w:rsid w:val="3965DB66"/>
    <w:rsid w:val="39705B9D"/>
    <w:rsid w:val="39718078"/>
    <w:rsid w:val="3976A65F"/>
    <w:rsid w:val="39773399"/>
    <w:rsid w:val="39798BF4"/>
    <w:rsid w:val="397A0898"/>
    <w:rsid w:val="397F1007"/>
    <w:rsid w:val="39832F93"/>
    <w:rsid w:val="39864FEA"/>
    <w:rsid w:val="398C44D6"/>
    <w:rsid w:val="398F85AD"/>
    <w:rsid w:val="3990B8CD"/>
    <w:rsid w:val="3994DC1A"/>
    <w:rsid w:val="399ABC9D"/>
    <w:rsid w:val="399EF615"/>
    <w:rsid w:val="39A44244"/>
    <w:rsid w:val="39AA49EE"/>
    <w:rsid w:val="39AEBAE0"/>
    <w:rsid w:val="39C76D5F"/>
    <w:rsid w:val="39C931F5"/>
    <w:rsid w:val="39CD96DB"/>
    <w:rsid w:val="39D23917"/>
    <w:rsid w:val="39D72D28"/>
    <w:rsid w:val="39DAD173"/>
    <w:rsid w:val="39DB68EB"/>
    <w:rsid w:val="39DBD886"/>
    <w:rsid w:val="39DF8619"/>
    <w:rsid w:val="39E76F7A"/>
    <w:rsid w:val="39F2720F"/>
    <w:rsid w:val="39F745F1"/>
    <w:rsid w:val="39FD823F"/>
    <w:rsid w:val="39FF042F"/>
    <w:rsid w:val="3A06F8B1"/>
    <w:rsid w:val="3A153A6F"/>
    <w:rsid w:val="3A1ADFF7"/>
    <w:rsid w:val="3A1E63C2"/>
    <w:rsid w:val="3A2CD098"/>
    <w:rsid w:val="3A3126B6"/>
    <w:rsid w:val="3A504188"/>
    <w:rsid w:val="3A607950"/>
    <w:rsid w:val="3A65E063"/>
    <w:rsid w:val="3A68F1F2"/>
    <w:rsid w:val="3A6AAEF5"/>
    <w:rsid w:val="3A6D7E72"/>
    <w:rsid w:val="3A744091"/>
    <w:rsid w:val="3A746446"/>
    <w:rsid w:val="3A759753"/>
    <w:rsid w:val="3A761711"/>
    <w:rsid w:val="3A7B66C0"/>
    <w:rsid w:val="3A7ED5EF"/>
    <w:rsid w:val="3A9DC8EA"/>
    <w:rsid w:val="3A9EBCCF"/>
    <w:rsid w:val="3AA76BAC"/>
    <w:rsid w:val="3ABEC549"/>
    <w:rsid w:val="3ADE2A4A"/>
    <w:rsid w:val="3ADEF8B3"/>
    <w:rsid w:val="3AE116B6"/>
    <w:rsid w:val="3AEA0CC5"/>
    <w:rsid w:val="3AF71669"/>
    <w:rsid w:val="3AF9B79F"/>
    <w:rsid w:val="3AFA4F17"/>
    <w:rsid w:val="3AFA6C40"/>
    <w:rsid w:val="3B07A1D6"/>
    <w:rsid w:val="3B0D6493"/>
    <w:rsid w:val="3B11AA24"/>
    <w:rsid w:val="3B138494"/>
    <w:rsid w:val="3B170A34"/>
    <w:rsid w:val="3B212B03"/>
    <w:rsid w:val="3B2C36EF"/>
    <w:rsid w:val="3B2ED47D"/>
    <w:rsid w:val="3B3E137C"/>
    <w:rsid w:val="3B46F517"/>
    <w:rsid w:val="3B5533D8"/>
    <w:rsid w:val="3B56DD51"/>
    <w:rsid w:val="3B5C2AD5"/>
    <w:rsid w:val="3B6C7425"/>
    <w:rsid w:val="3B74FE0C"/>
    <w:rsid w:val="3B77EB1F"/>
    <w:rsid w:val="3B81681D"/>
    <w:rsid w:val="3B822799"/>
    <w:rsid w:val="3B8476B1"/>
    <w:rsid w:val="3B8BB5AC"/>
    <w:rsid w:val="3B8D1D36"/>
    <w:rsid w:val="3B8FF546"/>
    <w:rsid w:val="3B95D933"/>
    <w:rsid w:val="3B9E5CDC"/>
    <w:rsid w:val="3BA2B29E"/>
    <w:rsid w:val="3BB80673"/>
    <w:rsid w:val="3BBEF223"/>
    <w:rsid w:val="3BC01473"/>
    <w:rsid w:val="3BCB7DC8"/>
    <w:rsid w:val="3BCE277D"/>
    <w:rsid w:val="3BD71BA7"/>
    <w:rsid w:val="3BDE4D18"/>
    <w:rsid w:val="3BE90C04"/>
    <w:rsid w:val="3BE93236"/>
    <w:rsid w:val="3BE952B0"/>
    <w:rsid w:val="3BEBDA2F"/>
    <w:rsid w:val="3BF06F72"/>
    <w:rsid w:val="3C051802"/>
    <w:rsid w:val="3C11DDA0"/>
    <w:rsid w:val="3C13A002"/>
    <w:rsid w:val="3C14C85E"/>
    <w:rsid w:val="3C1B3E67"/>
    <w:rsid w:val="3C1FF4B9"/>
    <w:rsid w:val="3C386139"/>
    <w:rsid w:val="3C3EBB28"/>
    <w:rsid w:val="3C4641A7"/>
    <w:rsid w:val="3C48DDF9"/>
    <w:rsid w:val="3C4C30DE"/>
    <w:rsid w:val="3C4CB4D2"/>
    <w:rsid w:val="3C58ACC0"/>
    <w:rsid w:val="3C5BEFF5"/>
    <w:rsid w:val="3C63CC1F"/>
    <w:rsid w:val="3C665FF2"/>
    <w:rsid w:val="3C6AC2C6"/>
    <w:rsid w:val="3C6B85D9"/>
    <w:rsid w:val="3C94BC68"/>
    <w:rsid w:val="3CA5BCB7"/>
    <w:rsid w:val="3CA972CA"/>
    <w:rsid w:val="3CAA8C15"/>
    <w:rsid w:val="3CB55D55"/>
    <w:rsid w:val="3CCDFAE7"/>
    <w:rsid w:val="3CCF6271"/>
    <w:rsid w:val="3CD26218"/>
    <w:rsid w:val="3CE2FA89"/>
    <w:rsid w:val="3CE5F1E3"/>
    <w:rsid w:val="3CF1B7B8"/>
    <w:rsid w:val="3CF2C86D"/>
    <w:rsid w:val="3CFEE941"/>
    <w:rsid w:val="3D07141D"/>
    <w:rsid w:val="3D185C46"/>
    <w:rsid w:val="3D1DDDB2"/>
    <w:rsid w:val="3D1FA4B9"/>
    <w:rsid w:val="3D2C522E"/>
    <w:rsid w:val="3D3152C5"/>
    <w:rsid w:val="3D3A30C6"/>
    <w:rsid w:val="3D3F540C"/>
    <w:rsid w:val="3D4177B8"/>
    <w:rsid w:val="3D55F13A"/>
    <w:rsid w:val="3D5C1706"/>
    <w:rsid w:val="3D5DAEBA"/>
    <w:rsid w:val="3D639A71"/>
    <w:rsid w:val="3D6AFB17"/>
    <w:rsid w:val="3D715B2B"/>
    <w:rsid w:val="3D73A2AE"/>
    <w:rsid w:val="3D7F91DC"/>
    <w:rsid w:val="3D813024"/>
    <w:rsid w:val="3D875BFE"/>
    <w:rsid w:val="3D8D400F"/>
    <w:rsid w:val="3D92A4FC"/>
    <w:rsid w:val="3D9CE9AD"/>
    <w:rsid w:val="3D9ED488"/>
    <w:rsid w:val="3DAA3A43"/>
    <w:rsid w:val="3DAAB9D1"/>
    <w:rsid w:val="3DB3D0D0"/>
    <w:rsid w:val="3DB5FC6B"/>
    <w:rsid w:val="3DB651D4"/>
    <w:rsid w:val="3DBD65A7"/>
    <w:rsid w:val="3DC430EA"/>
    <w:rsid w:val="3DC48A5A"/>
    <w:rsid w:val="3DC4911E"/>
    <w:rsid w:val="3DC71AF8"/>
    <w:rsid w:val="3DCADDCE"/>
    <w:rsid w:val="3DD2A35E"/>
    <w:rsid w:val="3DD2ED7A"/>
    <w:rsid w:val="3DE88791"/>
    <w:rsid w:val="3DE9F38E"/>
    <w:rsid w:val="3DF2B6B9"/>
    <w:rsid w:val="3DF5E217"/>
    <w:rsid w:val="3DF6A413"/>
    <w:rsid w:val="3E03F1A3"/>
    <w:rsid w:val="3E09B407"/>
    <w:rsid w:val="3E170494"/>
    <w:rsid w:val="3E26C824"/>
    <w:rsid w:val="3E2E29EC"/>
    <w:rsid w:val="3E2EFE01"/>
    <w:rsid w:val="3E2FAC5A"/>
    <w:rsid w:val="3E3A8094"/>
    <w:rsid w:val="3E4FBF9E"/>
    <w:rsid w:val="3E4FD9E6"/>
    <w:rsid w:val="3E51E30A"/>
    <w:rsid w:val="3E51F40C"/>
    <w:rsid w:val="3E5DCA81"/>
    <w:rsid w:val="3E5E7716"/>
    <w:rsid w:val="3E6F8D20"/>
    <w:rsid w:val="3E71929D"/>
    <w:rsid w:val="3E7D7FF3"/>
    <w:rsid w:val="3E7F1A61"/>
    <w:rsid w:val="3E8D6C23"/>
    <w:rsid w:val="3E9F5146"/>
    <w:rsid w:val="3EAF4A48"/>
    <w:rsid w:val="3EB30AC0"/>
    <w:rsid w:val="3EB38F3A"/>
    <w:rsid w:val="3EB3B596"/>
    <w:rsid w:val="3EB6497C"/>
    <w:rsid w:val="3EB64AA7"/>
    <w:rsid w:val="3EBBEF4D"/>
    <w:rsid w:val="3ECCD260"/>
    <w:rsid w:val="3ECE3F58"/>
    <w:rsid w:val="3ED0F362"/>
    <w:rsid w:val="3EDB1E5F"/>
    <w:rsid w:val="3EDB9BF9"/>
    <w:rsid w:val="3EDBDC4C"/>
    <w:rsid w:val="3EEA7572"/>
    <w:rsid w:val="3EEF9E5C"/>
    <w:rsid w:val="3EF0D7F7"/>
    <w:rsid w:val="3EFB3362"/>
    <w:rsid w:val="3EFE0E72"/>
    <w:rsid w:val="3F0CB8AB"/>
    <w:rsid w:val="3F0E42FF"/>
    <w:rsid w:val="3F21E882"/>
    <w:rsid w:val="3F331BFC"/>
    <w:rsid w:val="3F3896ED"/>
    <w:rsid w:val="3F38ED7E"/>
    <w:rsid w:val="3F3D67CA"/>
    <w:rsid w:val="3F3FF9F1"/>
    <w:rsid w:val="3F448ECD"/>
    <w:rsid w:val="3F48C075"/>
    <w:rsid w:val="3F4A2B3F"/>
    <w:rsid w:val="3F4A4B63"/>
    <w:rsid w:val="3F4D2793"/>
    <w:rsid w:val="3F540BEB"/>
    <w:rsid w:val="3F5FEB7C"/>
    <w:rsid w:val="3F6124F1"/>
    <w:rsid w:val="3F687AFF"/>
    <w:rsid w:val="3F68BC29"/>
    <w:rsid w:val="3F7D64CC"/>
    <w:rsid w:val="3F7E58C7"/>
    <w:rsid w:val="3F88022C"/>
    <w:rsid w:val="3F8DA7B4"/>
    <w:rsid w:val="3F946D94"/>
    <w:rsid w:val="3F94E956"/>
    <w:rsid w:val="3FA127E2"/>
    <w:rsid w:val="3FA97381"/>
    <w:rsid w:val="3FA9A398"/>
    <w:rsid w:val="3FB981D9"/>
    <w:rsid w:val="3FC2EC19"/>
    <w:rsid w:val="3FC4A314"/>
    <w:rsid w:val="3FDB0600"/>
    <w:rsid w:val="3FE2F9A5"/>
    <w:rsid w:val="3FE5B2BF"/>
    <w:rsid w:val="3FE6E402"/>
    <w:rsid w:val="3FF1423A"/>
    <w:rsid w:val="3FF6D5A4"/>
    <w:rsid w:val="3FF83921"/>
    <w:rsid w:val="40028878"/>
    <w:rsid w:val="4006AFB5"/>
    <w:rsid w:val="4009B408"/>
    <w:rsid w:val="400D6E35"/>
    <w:rsid w:val="401023C6"/>
    <w:rsid w:val="40107919"/>
    <w:rsid w:val="40141872"/>
    <w:rsid w:val="4021F778"/>
    <w:rsid w:val="40222A5F"/>
    <w:rsid w:val="40272019"/>
    <w:rsid w:val="4027682D"/>
    <w:rsid w:val="4028FF4D"/>
    <w:rsid w:val="4029E2B3"/>
    <w:rsid w:val="402FDDC4"/>
    <w:rsid w:val="403105F0"/>
    <w:rsid w:val="40434608"/>
    <w:rsid w:val="4047C308"/>
    <w:rsid w:val="405749C8"/>
    <w:rsid w:val="40589DF4"/>
    <w:rsid w:val="406317D7"/>
    <w:rsid w:val="4067768B"/>
    <w:rsid w:val="40765D56"/>
    <w:rsid w:val="407BDF1E"/>
    <w:rsid w:val="40866D6D"/>
    <w:rsid w:val="40A15B37"/>
    <w:rsid w:val="40B62A28"/>
    <w:rsid w:val="40BFBCC5"/>
    <w:rsid w:val="40C46F34"/>
    <w:rsid w:val="40DE90F6"/>
    <w:rsid w:val="40E326C8"/>
    <w:rsid w:val="40EFDC4C"/>
    <w:rsid w:val="40F1DF3B"/>
    <w:rsid w:val="40F1F302"/>
    <w:rsid w:val="40F577C0"/>
    <w:rsid w:val="40FD5E29"/>
    <w:rsid w:val="40FE565B"/>
    <w:rsid w:val="4109FD9B"/>
    <w:rsid w:val="410BA74A"/>
    <w:rsid w:val="410C6600"/>
    <w:rsid w:val="41134C17"/>
    <w:rsid w:val="411C0D83"/>
    <w:rsid w:val="41318B1D"/>
    <w:rsid w:val="41481600"/>
    <w:rsid w:val="415400CB"/>
    <w:rsid w:val="4155523A"/>
    <w:rsid w:val="416EA83D"/>
    <w:rsid w:val="417B1D18"/>
    <w:rsid w:val="417F5A64"/>
    <w:rsid w:val="418B0015"/>
    <w:rsid w:val="41A8513F"/>
    <w:rsid w:val="41B4782A"/>
    <w:rsid w:val="41B8DC7C"/>
    <w:rsid w:val="41BC370F"/>
    <w:rsid w:val="41C2FDCC"/>
    <w:rsid w:val="41C4798C"/>
    <w:rsid w:val="41C6AAA7"/>
    <w:rsid w:val="41C8DA9C"/>
    <w:rsid w:val="41C9ACB2"/>
    <w:rsid w:val="41D324AD"/>
    <w:rsid w:val="41E5FDB3"/>
    <w:rsid w:val="41EABEE0"/>
    <w:rsid w:val="41EBEB85"/>
    <w:rsid w:val="41EED1B9"/>
    <w:rsid w:val="41F810F4"/>
    <w:rsid w:val="41F9D76D"/>
    <w:rsid w:val="420192E8"/>
    <w:rsid w:val="421AC79F"/>
    <w:rsid w:val="422278C6"/>
    <w:rsid w:val="42291E39"/>
    <w:rsid w:val="422CAC85"/>
    <w:rsid w:val="4239494E"/>
    <w:rsid w:val="423DDD9B"/>
    <w:rsid w:val="423E7B7B"/>
    <w:rsid w:val="4242611C"/>
    <w:rsid w:val="424739D6"/>
    <w:rsid w:val="425CAE3E"/>
    <w:rsid w:val="425EB0BA"/>
    <w:rsid w:val="4268EBBE"/>
    <w:rsid w:val="426DAF86"/>
    <w:rsid w:val="426EA702"/>
    <w:rsid w:val="426FFF32"/>
    <w:rsid w:val="427216FA"/>
    <w:rsid w:val="42731927"/>
    <w:rsid w:val="4275414F"/>
    <w:rsid w:val="42894FF2"/>
    <w:rsid w:val="4290C310"/>
    <w:rsid w:val="429DCCA9"/>
    <w:rsid w:val="429DF45F"/>
    <w:rsid w:val="42AAF641"/>
    <w:rsid w:val="42AEB732"/>
    <w:rsid w:val="42AEC484"/>
    <w:rsid w:val="42B16130"/>
    <w:rsid w:val="42B1C259"/>
    <w:rsid w:val="42BD5B7C"/>
    <w:rsid w:val="42CB3E18"/>
    <w:rsid w:val="42CB8FFB"/>
    <w:rsid w:val="42CF763B"/>
    <w:rsid w:val="42D7D922"/>
    <w:rsid w:val="42E1BC4D"/>
    <w:rsid w:val="42E37CE5"/>
    <w:rsid w:val="42E9635A"/>
    <w:rsid w:val="42EEAD2D"/>
    <w:rsid w:val="42EF0B59"/>
    <w:rsid w:val="42FE0324"/>
    <w:rsid w:val="43030F32"/>
    <w:rsid w:val="4306B96C"/>
    <w:rsid w:val="43096826"/>
    <w:rsid w:val="430D3FAF"/>
    <w:rsid w:val="430DF05D"/>
    <w:rsid w:val="430E36A5"/>
    <w:rsid w:val="43119048"/>
    <w:rsid w:val="43175844"/>
    <w:rsid w:val="43209968"/>
    <w:rsid w:val="43306035"/>
    <w:rsid w:val="43325AE4"/>
    <w:rsid w:val="4337245E"/>
    <w:rsid w:val="433C7BA0"/>
    <w:rsid w:val="434EE567"/>
    <w:rsid w:val="434F0A8A"/>
    <w:rsid w:val="436BE3AF"/>
    <w:rsid w:val="436D1FDE"/>
    <w:rsid w:val="436D6177"/>
    <w:rsid w:val="436FA040"/>
    <w:rsid w:val="43712969"/>
    <w:rsid w:val="437F4944"/>
    <w:rsid w:val="4381EB03"/>
    <w:rsid w:val="43828CCA"/>
    <w:rsid w:val="4389D3DE"/>
    <w:rsid w:val="438DB6AE"/>
    <w:rsid w:val="4395B173"/>
    <w:rsid w:val="43A62E01"/>
    <w:rsid w:val="43A8BD04"/>
    <w:rsid w:val="43AD0629"/>
    <w:rsid w:val="43B0AA74"/>
    <w:rsid w:val="43B5A057"/>
    <w:rsid w:val="43BB19D2"/>
    <w:rsid w:val="43BB4BA8"/>
    <w:rsid w:val="43C8CEF3"/>
    <w:rsid w:val="43CA7F79"/>
    <w:rsid w:val="43D024AB"/>
    <w:rsid w:val="43E0DB8E"/>
    <w:rsid w:val="43E65DE5"/>
    <w:rsid w:val="43E85F55"/>
    <w:rsid w:val="43EFD592"/>
    <w:rsid w:val="43FE2FFE"/>
    <w:rsid w:val="44033F39"/>
    <w:rsid w:val="44041E6F"/>
    <w:rsid w:val="4404F8A0"/>
    <w:rsid w:val="440707F1"/>
    <w:rsid w:val="44176A77"/>
    <w:rsid w:val="4418B6D6"/>
    <w:rsid w:val="441A3012"/>
    <w:rsid w:val="44284B74"/>
    <w:rsid w:val="4455AB3F"/>
    <w:rsid w:val="4456E226"/>
    <w:rsid w:val="4458BA56"/>
    <w:rsid w:val="445D6852"/>
    <w:rsid w:val="44623860"/>
    <w:rsid w:val="44675A80"/>
    <w:rsid w:val="4468C8E1"/>
    <w:rsid w:val="446C758C"/>
    <w:rsid w:val="44763317"/>
    <w:rsid w:val="44794463"/>
    <w:rsid w:val="448582A9"/>
    <w:rsid w:val="448683CA"/>
    <w:rsid w:val="448F5916"/>
    <w:rsid w:val="44920FF7"/>
    <w:rsid w:val="449FAB2C"/>
    <w:rsid w:val="44A8E865"/>
    <w:rsid w:val="44AE4F38"/>
    <w:rsid w:val="44AE7B89"/>
    <w:rsid w:val="44AFB9E0"/>
    <w:rsid w:val="44C15438"/>
    <w:rsid w:val="44C1D935"/>
    <w:rsid w:val="44CCCA23"/>
    <w:rsid w:val="44DB33AB"/>
    <w:rsid w:val="44EFAD0E"/>
    <w:rsid w:val="44FF4758"/>
    <w:rsid w:val="45018151"/>
    <w:rsid w:val="4505822A"/>
    <w:rsid w:val="450B7FF5"/>
    <w:rsid w:val="450D1E24"/>
    <w:rsid w:val="450FA0F7"/>
    <w:rsid w:val="4517CFF0"/>
    <w:rsid w:val="4519F845"/>
    <w:rsid w:val="453045A5"/>
    <w:rsid w:val="45338FE1"/>
    <w:rsid w:val="45359494"/>
    <w:rsid w:val="453E8C0C"/>
    <w:rsid w:val="4545D69A"/>
    <w:rsid w:val="4546EA90"/>
    <w:rsid w:val="4550215F"/>
    <w:rsid w:val="4556C4A1"/>
    <w:rsid w:val="4561349E"/>
    <w:rsid w:val="45697708"/>
    <w:rsid w:val="4569CE70"/>
    <w:rsid w:val="456ED59C"/>
    <w:rsid w:val="457B4D87"/>
    <w:rsid w:val="457CD62A"/>
    <w:rsid w:val="459223F1"/>
    <w:rsid w:val="45932A3B"/>
    <w:rsid w:val="45A1F163"/>
    <w:rsid w:val="45A9C594"/>
    <w:rsid w:val="45C4AB08"/>
    <w:rsid w:val="45CE7671"/>
    <w:rsid w:val="45D5F62E"/>
    <w:rsid w:val="45E7F110"/>
    <w:rsid w:val="45EE3948"/>
    <w:rsid w:val="45F0157F"/>
    <w:rsid w:val="45F8ADA5"/>
    <w:rsid w:val="46020CC1"/>
    <w:rsid w:val="4604BA05"/>
    <w:rsid w:val="4609B3AC"/>
    <w:rsid w:val="460C776C"/>
    <w:rsid w:val="46142B39"/>
    <w:rsid w:val="46159237"/>
    <w:rsid w:val="461BF635"/>
    <w:rsid w:val="461E1C72"/>
    <w:rsid w:val="4626F25D"/>
    <w:rsid w:val="463D186C"/>
    <w:rsid w:val="463F6FA5"/>
    <w:rsid w:val="466B1B2F"/>
    <w:rsid w:val="466C0599"/>
    <w:rsid w:val="466E2DA8"/>
    <w:rsid w:val="466FDDE5"/>
    <w:rsid w:val="467819D4"/>
    <w:rsid w:val="468088BA"/>
    <w:rsid w:val="4682B752"/>
    <w:rsid w:val="468DFA53"/>
    <w:rsid w:val="46970B23"/>
    <w:rsid w:val="46994081"/>
    <w:rsid w:val="469BCC63"/>
    <w:rsid w:val="46CA1496"/>
    <w:rsid w:val="46D38144"/>
    <w:rsid w:val="46D5A555"/>
    <w:rsid w:val="46EF405E"/>
    <w:rsid w:val="46F2231C"/>
    <w:rsid w:val="46F50F6F"/>
    <w:rsid w:val="4701A0AD"/>
    <w:rsid w:val="470E447F"/>
    <w:rsid w:val="471977DB"/>
    <w:rsid w:val="47197B59"/>
    <w:rsid w:val="471FD74A"/>
    <w:rsid w:val="47246D6F"/>
    <w:rsid w:val="4731F9A4"/>
    <w:rsid w:val="4732179F"/>
    <w:rsid w:val="47393557"/>
    <w:rsid w:val="473C2339"/>
    <w:rsid w:val="474C94C2"/>
    <w:rsid w:val="474D9BD5"/>
    <w:rsid w:val="474F3D44"/>
    <w:rsid w:val="4751747A"/>
    <w:rsid w:val="4781D97D"/>
    <w:rsid w:val="47884F17"/>
    <w:rsid w:val="479AF095"/>
    <w:rsid w:val="479F782F"/>
    <w:rsid w:val="47A33249"/>
    <w:rsid w:val="47A8CAAF"/>
    <w:rsid w:val="47ABBA69"/>
    <w:rsid w:val="47C2C2BE"/>
    <w:rsid w:val="47C734D0"/>
    <w:rsid w:val="47C8C8BD"/>
    <w:rsid w:val="47CF1D3E"/>
    <w:rsid w:val="47D0D60B"/>
    <w:rsid w:val="47D1AB48"/>
    <w:rsid w:val="47D35AD3"/>
    <w:rsid w:val="47D7B9DD"/>
    <w:rsid w:val="47D8597C"/>
    <w:rsid w:val="47E214C7"/>
    <w:rsid w:val="47E964DB"/>
    <w:rsid w:val="47F66A6A"/>
    <w:rsid w:val="47F91D41"/>
    <w:rsid w:val="47FC5045"/>
    <w:rsid w:val="481B09B1"/>
    <w:rsid w:val="481E4D29"/>
    <w:rsid w:val="48200C1B"/>
    <w:rsid w:val="482857E0"/>
    <w:rsid w:val="482A7AE5"/>
    <w:rsid w:val="482EBE13"/>
    <w:rsid w:val="483631BA"/>
    <w:rsid w:val="4849CAF4"/>
    <w:rsid w:val="4849CCF6"/>
    <w:rsid w:val="4851018F"/>
    <w:rsid w:val="4853071F"/>
    <w:rsid w:val="4855C82A"/>
    <w:rsid w:val="485FCDCF"/>
    <w:rsid w:val="486A992B"/>
    <w:rsid w:val="486CC1EF"/>
    <w:rsid w:val="4873997E"/>
    <w:rsid w:val="4875A63C"/>
    <w:rsid w:val="487CBFF0"/>
    <w:rsid w:val="48881978"/>
    <w:rsid w:val="488A8AB6"/>
    <w:rsid w:val="4893667D"/>
    <w:rsid w:val="48947F2F"/>
    <w:rsid w:val="48950297"/>
    <w:rsid w:val="4895ADD6"/>
    <w:rsid w:val="48B256D1"/>
    <w:rsid w:val="48B2682D"/>
    <w:rsid w:val="48B8F650"/>
    <w:rsid w:val="48C3200B"/>
    <w:rsid w:val="48C4F10B"/>
    <w:rsid w:val="48DA742B"/>
    <w:rsid w:val="48DB5980"/>
    <w:rsid w:val="48F09ABD"/>
    <w:rsid w:val="48F9B3C7"/>
    <w:rsid w:val="49048D14"/>
    <w:rsid w:val="491655FE"/>
    <w:rsid w:val="491A0C9A"/>
    <w:rsid w:val="491B881A"/>
    <w:rsid w:val="4922BC27"/>
    <w:rsid w:val="49247065"/>
    <w:rsid w:val="493CDC27"/>
    <w:rsid w:val="49448270"/>
    <w:rsid w:val="49481D9C"/>
    <w:rsid w:val="49534AEA"/>
    <w:rsid w:val="495B44A0"/>
    <w:rsid w:val="4960E205"/>
    <w:rsid w:val="4961062F"/>
    <w:rsid w:val="496CFA5C"/>
    <w:rsid w:val="4973CA5F"/>
    <w:rsid w:val="497CA1CC"/>
    <w:rsid w:val="497F059B"/>
    <w:rsid w:val="4981B65D"/>
    <w:rsid w:val="4981BE97"/>
    <w:rsid w:val="49830C9E"/>
    <w:rsid w:val="4984AE56"/>
    <w:rsid w:val="498BFFE0"/>
    <w:rsid w:val="498C00C8"/>
    <w:rsid w:val="4990ADAF"/>
    <w:rsid w:val="499DB8CF"/>
    <w:rsid w:val="49ADA784"/>
    <w:rsid w:val="49B9CBC8"/>
    <w:rsid w:val="49BC0416"/>
    <w:rsid w:val="49BD0F9C"/>
    <w:rsid w:val="49D0603F"/>
    <w:rsid w:val="49D4839F"/>
    <w:rsid w:val="49D8A47B"/>
    <w:rsid w:val="49F3F6FF"/>
    <w:rsid w:val="49F8819A"/>
    <w:rsid w:val="49FABF67"/>
    <w:rsid w:val="4A07B660"/>
    <w:rsid w:val="4A07E4AD"/>
    <w:rsid w:val="4A1372A4"/>
    <w:rsid w:val="4A2FBAD2"/>
    <w:rsid w:val="4A300D6B"/>
    <w:rsid w:val="4A5C0EE1"/>
    <w:rsid w:val="4A6AC9F5"/>
    <w:rsid w:val="4A6AE228"/>
    <w:rsid w:val="4A7033AD"/>
    <w:rsid w:val="4A80884D"/>
    <w:rsid w:val="4A846353"/>
    <w:rsid w:val="4A8E6A20"/>
    <w:rsid w:val="4A9C4E38"/>
    <w:rsid w:val="4AADBC74"/>
    <w:rsid w:val="4AC45FB3"/>
    <w:rsid w:val="4AD4D2E8"/>
    <w:rsid w:val="4AD95FF4"/>
    <w:rsid w:val="4AEA197E"/>
    <w:rsid w:val="4AEE05DD"/>
    <w:rsid w:val="4AF74359"/>
    <w:rsid w:val="4AFAEBD4"/>
    <w:rsid w:val="4B0930E3"/>
    <w:rsid w:val="4B171BCF"/>
    <w:rsid w:val="4B280C34"/>
    <w:rsid w:val="4B2AB5D6"/>
    <w:rsid w:val="4B2D5FE7"/>
    <w:rsid w:val="4B307DD2"/>
    <w:rsid w:val="4B4957C4"/>
    <w:rsid w:val="4B4C0DAC"/>
    <w:rsid w:val="4B4E031F"/>
    <w:rsid w:val="4B4E727C"/>
    <w:rsid w:val="4B51FF2E"/>
    <w:rsid w:val="4B5FB9D4"/>
    <w:rsid w:val="4B6BC5A5"/>
    <w:rsid w:val="4B75893B"/>
    <w:rsid w:val="4B83B775"/>
    <w:rsid w:val="4B865434"/>
    <w:rsid w:val="4B86B8DB"/>
    <w:rsid w:val="4B929832"/>
    <w:rsid w:val="4B9CEE41"/>
    <w:rsid w:val="4BA63D16"/>
    <w:rsid w:val="4BABDB71"/>
    <w:rsid w:val="4BB23494"/>
    <w:rsid w:val="4BBEA3D3"/>
    <w:rsid w:val="4BC2B512"/>
    <w:rsid w:val="4BC68196"/>
    <w:rsid w:val="4BD4D6C5"/>
    <w:rsid w:val="4BDDAE86"/>
    <w:rsid w:val="4BDDE157"/>
    <w:rsid w:val="4BE1BFAE"/>
    <w:rsid w:val="4BEA4E3B"/>
    <w:rsid w:val="4BF01367"/>
    <w:rsid w:val="4BF0E7FF"/>
    <w:rsid w:val="4BF13FB0"/>
    <w:rsid w:val="4BF34110"/>
    <w:rsid w:val="4BF9EB3A"/>
    <w:rsid w:val="4C14A513"/>
    <w:rsid w:val="4C167C02"/>
    <w:rsid w:val="4C1963F5"/>
    <w:rsid w:val="4C2F6CEE"/>
    <w:rsid w:val="4C3680FE"/>
    <w:rsid w:val="4C3E1E60"/>
    <w:rsid w:val="4C44FDD2"/>
    <w:rsid w:val="4C491B25"/>
    <w:rsid w:val="4C4A9216"/>
    <w:rsid w:val="4C5ACA96"/>
    <w:rsid w:val="4C5D2BF4"/>
    <w:rsid w:val="4C84D170"/>
    <w:rsid w:val="4C92632D"/>
    <w:rsid w:val="4C9757CA"/>
    <w:rsid w:val="4C9F0BA8"/>
    <w:rsid w:val="4CA677C5"/>
    <w:rsid w:val="4CB2FD43"/>
    <w:rsid w:val="4CC857A6"/>
    <w:rsid w:val="4CCCCEB7"/>
    <w:rsid w:val="4CD57E84"/>
    <w:rsid w:val="4CE8BABB"/>
    <w:rsid w:val="4CEA7910"/>
    <w:rsid w:val="4CF4F442"/>
    <w:rsid w:val="4CF763D4"/>
    <w:rsid w:val="4CFD83D8"/>
    <w:rsid w:val="4CFE1D2B"/>
    <w:rsid w:val="4D04B60D"/>
    <w:rsid w:val="4D0785D3"/>
    <w:rsid w:val="4D07922F"/>
    <w:rsid w:val="4D13050A"/>
    <w:rsid w:val="4D172737"/>
    <w:rsid w:val="4D198E84"/>
    <w:rsid w:val="4D20CE67"/>
    <w:rsid w:val="4D2A5E7C"/>
    <w:rsid w:val="4D2ADDCA"/>
    <w:rsid w:val="4D2CC4DF"/>
    <w:rsid w:val="4D39095A"/>
    <w:rsid w:val="4D3A6556"/>
    <w:rsid w:val="4D40DE87"/>
    <w:rsid w:val="4D453D7E"/>
    <w:rsid w:val="4D45DCED"/>
    <w:rsid w:val="4D4D00F0"/>
    <w:rsid w:val="4D5364C4"/>
    <w:rsid w:val="4D6D18F3"/>
    <w:rsid w:val="4D7EECB8"/>
    <w:rsid w:val="4D8CFEEB"/>
    <w:rsid w:val="4D8D97D9"/>
    <w:rsid w:val="4D9CD69E"/>
    <w:rsid w:val="4DA2E4EA"/>
    <w:rsid w:val="4DA81D28"/>
    <w:rsid w:val="4DA87C60"/>
    <w:rsid w:val="4DAA225C"/>
    <w:rsid w:val="4DAB6DF2"/>
    <w:rsid w:val="4DACCCF9"/>
    <w:rsid w:val="4DBDD7CC"/>
    <w:rsid w:val="4DC05561"/>
    <w:rsid w:val="4DC07F10"/>
    <w:rsid w:val="4DC38745"/>
    <w:rsid w:val="4DC3FDEF"/>
    <w:rsid w:val="4DC6E126"/>
    <w:rsid w:val="4DC73DA6"/>
    <w:rsid w:val="4DCDC254"/>
    <w:rsid w:val="4DF59BEE"/>
    <w:rsid w:val="4DFB68FD"/>
    <w:rsid w:val="4E015AF7"/>
    <w:rsid w:val="4E02A50C"/>
    <w:rsid w:val="4E08B0E7"/>
    <w:rsid w:val="4E13EB1A"/>
    <w:rsid w:val="4E1EDFE2"/>
    <w:rsid w:val="4E2E289A"/>
    <w:rsid w:val="4E36EA62"/>
    <w:rsid w:val="4E3CF212"/>
    <w:rsid w:val="4E42CC81"/>
    <w:rsid w:val="4E49144F"/>
    <w:rsid w:val="4E5AFF3A"/>
    <w:rsid w:val="4E63D2B4"/>
    <w:rsid w:val="4E66C242"/>
    <w:rsid w:val="4E67BE74"/>
    <w:rsid w:val="4E6C8D79"/>
    <w:rsid w:val="4E6C8F51"/>
    <w:rsid w:val="4E6F7DE5"/>
    <w:rsid w:val="4E74880E"/>
    <w:rsid w:val="4E7A09D6"/>
    <w:rsid w:val="4E7A40C4"/>
    <w:rsid w:val="4E868965"/>
    <w:rsid w:val="4E869063"/>
    <w:rsid w:val="4E95863F"/>
    <w:rsid w:val="4E9B92E9"/>
    <w:rsid w:val="4E9D372B"/>
    <w:rsid w:val="4E9DB38A"/>
    <w:rsid w:val="4EA4592A"/>
    <w:rsid w:val="4EA69301"/>
    <w:rsid w:val="4EB0BCF2"/>
    <w:rsid w:val="4EBC984D"/>
    <w:rsid w:val="4ECD7915"/>
    <w:rsid w:val="4ECE3CE3"/>
    <w:rsid w:val="4ED4A991"/>
    <w:rsid w:val="4ED7D330"/>
    <w:rsid w:val="4EE76273"/>
    <w:rsid w:val="4EE855B9"/>
    <w:rsid w:val="4EFE99E4"/>
    <w:rsid w:val="4F0A6F99"/>
    <w:rsid w:val="4F0D1D44"/>
    <w:rsid w:val="4F12D7A8"/>
    <w:rsid w:val="4F132A9D"/>
    <w:rsid w:val="4F148114"/>
    <w:rsid w:val="4F1B5491"/>
    <w:rsid w:val="4F2236D4"/>
    <w:rsid w:val="4F22AA9F"/>
    <w:rsid w:val="4F3E2D70"/>
    <w:rsid w:val="4F42F10E"/>
    <w:rsid w:val="4F446F43"/>
    <w:rsid w:val="4F4F7550"/>
    <w:rsid w:val="4F676EBD"/>
    <w:rsid w:val="4F71918E"/>
    <w:rsid w:val="4F73B3F4"/>
    <w:rsid w:val="4F75E5AA"/>
    <w:rsid w:val="4F9CE6FF"/>
    <w:rsid w:val="4FA47CBB"/>
    <w:rsid w:val="4FA94A41"/>
    <w:rsid w:val="4FAB9B63"/>
    <w:rsid w:val="4FB0D655"/>
    <w:rsid w:val="4FB576E9"/>
    <w:rsid w:val="4FC8F13B"/>
    <w:rsid w:val="4FC973ED"/>
    <w:rsid w:val="4FDA31D7"/>
    <w:rsid w:val="4FF169DA"/>
    <w:rsid w:val="4FF8A2E6"/>
    <w:rsid w:val="4FFD50F8"/>
    <w:rsid w:val="50105EEA"/>
    <w:rsid w:val="50117564"/>
    <w:rsid w:val="5014F1D2"/>
    <w:rsid w:val="501E3FC2"/>
    <w:rsid w:val="501EE602"/>
    <w:rsid w:val="502BDD68"/>
    <w:rsid w:val="502D1EF2"/>
    <w:rsid w:val="50380A2F"/>
    <w:rsid w:val="503C35C9"/>
    <w:rsid w:val="503D11C4"/>
    <w:rsid w:val="5042AC5E"/>
    <w:rsid w:val="5044C142"/>
    <w:rsid w:val="5047F308"/>
    <w:rsid w:val="505697AE"/>
    <w:rsid w:val="505854CE"/>
    <w:rsid w:val="5062D348"/>
    <w:rsid w:val="506E2EBF"/>
    <w:rsid w:val="50859015"/>
    <w:rsid w:val="5088334F"/>
    <w:rsid w:val="508B9E61"/>
    <w:rsid w:val="508D349F"/>
    <w:rsid w:val="5093CCA7"/>
    <w:rsid w:val="509C53CE"/>
    <w:rsid w:val="50A386BB"/>
    <w:rsid w:val="50A486E4"/>
    <w:rsid w:val="50A6D10A"/>
    <w:rsid w:val="50B029EE"/>
    <w:rsid w:val="50B95B94"/>
    <w:rsid w:val="50BD1BA0"/>
    <w:rsid w:val="50D6D914"/>
    <w:rsid w:val="50DA7B14"/>
    <w:rsid w:val="50DFF48F"/>
    <w:rsid w:val="50F79E85"/>
    <w:rsid w:val="50FDABA4"/>
    <w:rsid w:val="5107E8E7"/>
    <w:rsid w:val="5116BB2F"/>
    <w:rsid w:val="5117540D"/>
    <w:rsid w:val="512F56AC"/>
    <w:rsid w:val="513DBDE9"/>
    <w:rsid w:val="514C5586"/>
    <w:rsid w:val="514FA14B"/>
    <w:rsid w:val="5157C76B"/>
    <w:rsid w:val="515B3F73"/>
    <w:rsid w:val="51689261"/>
    <w:rsid w:val="516B8089"/>
    <w:rsid w:val="516F22CC"/>
    <w:rsid w:val="5170E2CC"/>
    <w:rsid w:val="517622A5"/>
    <w:rsid w:val="517EE252"/>
    <w:rsid w:val="518DF3F7"/>
    <w:rsid w:val="51911E17"/>
    <w:rsid w:val="519324E3"/>
    <w:rsid w:val="51940786"/>
    <w:rsid w:val="51A23111"/>
    <w:rsid w:val="51A2B000"/>
    <w:rsid w:val="51A8581C"/>
    <w:rsid w:val="51A91229"/>
    <w:rsid w:val="51AE1F65"/>
    <w:rsid w:val="51B447D0"/>
    <w:rsid w:val="51B644CA"/>
    <w:rsid w:val="51BE39D7"/>
    <w:rsid w:val="51BEC19F"/>
    <w:rsid w:val="51C13360"/>
    <w:rsid w:val="51CD1BFA"/>
    <w:rsid w:val="51D0975B"/>
    <w:rsid w:val="51D39503"/>
    <w:rsid w:val="51D47B64"/>
    <w:rsid w:val="51D5E61A"/>
    <w:rsid w:val="51D7EC2B"/>
    <w:rsid w:val="51DEEF87"/>
    <w:rsid w:val="51E1BB68"/>
    <w:rsid w:val="51E9E370"/>
    <w:rsid w:val="51EF19E6"/>
    <w:rsid w:val="51F53B96"/>
    <w:rsid w:val="51F8F593"/>
    <w:rsid w:val="51F94F8F"/>
    <w:rsid w:val="5200EFFC"/>
    <w:rsid w:val="52032116"/>
    <w:rsid w:val="5203937F"/>
    <w:rsid w:val="52077387"/>
    <w:rsid w:val="5214F5EA"/>
    <w:rsid w:val="52236808"/>
    <w:rsid w:val="522502CC"/>
    <w:rsid w:val="5230A490"/>
    <w:rsid w:val="52356531"/>
    <w:rsid w:val="523B00FE"/>
    <w:rsid w:val="52479EC5"/>
    <w:rsid w:val="5251E3A8"/>
    <w:rsid w:val="52562199"/>
    <w:rsid w:val="52649955"/>
    <w:rsid w:val="5269C4E8"/>
    <w:rsid w:val="526DFD65"/>
    <w:rsid w:val="52770E8B"/>
    <w:rsid w:val="5282A638"/>
    <w:rsid w:val="5297D2B0"/>
    <w:rsid w:val="529CC14F"/>
    <w:rsid w:val="52A06936"/>
    <w:rsid w:val="52C7DDD0"/>
    <w:rsid w:val="52D94838"/>
    <w:rsid w:val="52DD2341"/>
    <w:rsid w:val="52E0DF40"/>
    <w:rsid w:val="52E857D0"/>
    <w:rsid w:val="52EB29AB"/>
    <w:rsid w:val="52F2B853"/>
    <w:rsid w:val="52F89B9E"/>
    <w:rsid w:val="52FA2BB7"/>
    <w:rsid w:val="52FC2F5E"/>
    <w:rsid w:val="52FE72EB"/>
    <w:rsid w:val="5304A395"/>
    <w:rsid w:val="530A4E7C"/>
    <w:rsid w:val="5312D4F0"/>
    <w:rsid w:val="53206F1C"/>
    <w:rsid w:val="532353FB"/>
    <w:rsid w:val="5327CE5A"/>
    <w:rsid w:val="5327EB9F"/>
    <w:rsid w:val="532FE5BF"/>
    <w:rsid w:val="5335818C"/>
    <w:rsid w:val="53361870"/>
    <w:rsid w:val="5343E8B6"/>
    <w:rsid w:val="53443453"/>
    <w:rsid w:val="534B7AF1"/>
    <w:rsid w:val="534CE86D"/>
    <w:rsid w:val="5350B465"/>
    <w:rsid w:val="5351B054"/>
    <w:rsid w:val="5352AEBE"/>
    <w:rsid w:val="536214E5"/>
    <w:rsid w:val="536CFC4A"/>
    <w:rsid w:val="536E5D10"/>
    <w:rsid w:val="536F80CC"/>
    <w:rsid w:val="536FC8D5"/>
    <w:rsid w:val="5381D66A"/>
    <w:rsid w:val="538BC97D"/>
    <w:rsid w:val="5393A8FF"/>
    <w:rsid w:val="5395F944"/>
    <w:rsid w:val="53994ED0"/>
    <w:rsid w:val="53B2A9A2"/>
    <w:rsid w:val="53B6005B"/>
    <w:rsid w:val="53B7A1D0"/>
    <w:rsid w:val="53D206EA"/>
    <w:rsid w:val="53D7D26A"/>
    <w:rsid w:val="53E3A2D7"/>
    <w:rsid w:val="53E4B27A"/>
    <w:rsid w:val="53F23A9D"/>
    <w:rsid w:val="53F60339"/>
    <w:rsid w:val="5404A60D"/>
    <w:rsid w:val="54094ED7"/>
    <w:rsid w:val="5411C46E"/>
    <w:rsid w:val="54124731"/>
    <w:rsid w:val="541EB45E"/>
    <w:rsid w:val="5437CB03"/>
    <w:rsid w:val="5438EDC1"/>
    <w:rsid w:val="544A2279"/>
    <w:rsid w:val="544EF828"/>
    <w:rsid w:val="54527F2B"/>
    <w:rsid w:val="5455599C"/>
    <w:rsid w:val="545DA0D5"/>
    <w:rsid w:val="5463AAAE"/>
    <w:rsid w:val="546D9D7B"/>
    <w:rsid w:val="5470CB24"/>
    <w:rsid w:val="54751192"/>
    <w:rsid w:val="54768870"/>
    <w:rsid w:val="547AD792"/>
    <w:rsid w:val="548FCB28"/>
    <w:rsid w:val="549AF33A"/>
    <w:rsid w:val="549DAC00"/>
    <w:rsid w:val="54A2F521"/>
    <w:rsid w:val="54A3215E"/>
    <w:rsid w:val="54B02A20"/>
    <w:rsid w:val="54B64D64"/>
    <w:rsid w:val="54D9EF05"/>
    <w:rsid w:val="54EC8CD0"/>
    <w:rsid w:val="54F74F53"/>
    <w:rsid w:val="5501264F"/>
    <w:rsid w:val="55057B88"/>
    <w:rsid w:val="5506482F"/>
    <w:rsid w:val="5509108F"/>
    <w:rsid w:val="551F22D1"/>
    <w:rsid w:val="5524BB99"/>
    <w:rsid w:val="5525B7B8"/>
    <w:rsid w:val="5542596C"/>
    <w:rsid w:val="5545009F"/>
    <w:rsid w:val="5548C654"/>
    <w:rsid w:val="5551D363"/>
    <w:rsid w:val="55570812"/>
    <w:rsid w:val="555AE863"/>
    <w:rsid w:val="555F10D6"/>
    <w:rsid w:val="5565BC0C"/>
    <w:rsid w:val="556A523A"/>
    <w:rsid w:val="556DA575"/>
    <w:rsid w:val="556FB9A7"/>
    <w:rsid w:val="5588391D"/>
    <w:rsid w:val="558B2676"/>
    <w:rsid w:val="558E2B0C"/>
    <w:rsid w:val="55907B9A"/>
    <w:rsid w:val="559725D7"/>
    <w:rsid w:val="55A240F3"/>
    <w:rsid w:val="55A2C0C4"/>
    <w:rsid w:val="55A680F9"/>
    <w:rsid w:val="55B536B2"/>
    <w:rsid w:val="55BCF313"/>
    <w:rsid w:val="55C6F078"/>
    <w:rsid w:val="55C9C758"/>
    <w:rsid w:val="55CD2DC1"/>
    <w:rsid w:val="55CFEB30"/>
    <w:rsid w:val="55E32EDD"/>
    <w:rsid w:val="55EA97BD"/>
    <w:rsid w:val="5617CBE4"/>
    <w:rsid w:val="56197C0E"/>
    <w:rsid w:val="561EF426"/>
    <w:rsid w:val="56203C1D"/>
    <w:rsid w:val="5623A9E6"/>
    <w:rsid w:val="562C7D60"/>
    <w:rsid w:val="563006C4"/>
    <w:rsid w:val="564EDDCB"/>
    <w:rsid w:val="564FB89B"/>
    <w:rsid w:val="56506C60"/>
    <w:rsid w:val="56539E3F"/>
    <w:rsid w:val="565EE0C0"/>
    <w:rsid w:val="566687D4"/>
    <w:rsid w:val="56759230"/>
    <w:rsid w:val="567A2D6E"/>
    <w:rsid w:val="5684B29B"/>
    <w:rsid w:val="56868E8F"/>
    <w:rsid w:val="56923DDD"/>
    <w:rsid w:val="569AB318"/>
    <w:rsid w:val="569D75B2"/>
    <w:rsid w:val="56A2F9C5"/>
    <w:rsid w:val="56A88DCB"/>
    <w:rsid w:val="56AD709D"/>
    <w:rsid w:val="56AF3705"/>
    <w:rsid w:val="56AF8FA9"/>
    <w:rsid w:val="56B8AE91"/>
    <w:rsid w:val="56BFC2BD"/>
    <w:rsid w:val="56C97B75"/>
    <w:rsid w:val="56CDAAB4"/>
    <w:rsid w:val="56D0FEE6"/>
    <w:rsid w:val="56D33829"/>
    <w:rsid w:val="56E01BBA"/>
    <w:rsid w:val="56E7CD93"/>
    <w:rsid w:val="56EB9043"/>
    <w:rsid w:val="56F26DF0"/>
    <w:rsid w:val="57008801"/>
    <w:rsid w:val="57058111"/>
    <w:rsid w:val="570B4A70"/>
    <w:rsid w:val="57193EEB"/>
    <w:rsid w:val="571DA179"/>
    <w:rsid w:val="571DB8C4"/>
    <w:rsid w:val="572895A2"/>
    <w:rsid w:val="572CFC3F"/>
    <w:rsid w:val="572E102F"/>
    <w:rsid w:val="57338189"/>
    <w:rsid w:val="5739CC5C"/>
    <w:rsid w:val="573E2ABF"/>
    <w:rsid w:val="573F153D"/>
    <w:rsid w:val="57409831"/>
    <w:rsid w:val="574E39F4"/>
    <w:rsid w:val="5755899B"/>
    <w:rsid w:val="575AF2A0"/>
    <w:rsid w:val="5762ABA9"/>
    <w:rsid w:val="5768115A"/>
    <w:rsid w:val="5770ED0B"/>
    <w:rsid w:val="577263FC"/>
    <w:rsid w:val="577F9F33"/>
    <w:rsid w:val="579FB0E2"/>
    <w:rsid w:val="57AB81EE"/>
    <w:rsid w:val="57B94F98"/>
    <w:rsid w:val="57C09E8C"/>
    <w:rsid w:val="57C4EBB8"/>
    <w:rsid w:val="57CEBE32"/>
    <w:rsid w:val="57DF03D2"/>
    <w:rsid w:val="57E3375B"/>
    <w:rsid w:val="57F42588"/>
    <w:rsid w:val="57F7A497"/>
    <w:rsid w:val="58176DA6"/>
    <w:rsid w:val="581DE80F"/>
    <w:rsid w:val="5829864A"/>
    <w:rsid w:val="584ABE53"/>
    <w:rsid w:val="5850EDAB"/>
    <w:rsid w:val="58562C1B"/>
    <w:rsid w:val="58571F91"/>
    <w:rsid w:val="585F5329"/>
    <w:rsid w:val="585F7CF5"/>
    <w:rsid w:val="58635CE4"/>
    <w:rsid w:val="5869870D"/>
    <w:rsid w:val="586C0511"/>
    <w:rsid w:val="587D79D6"/>
    <w:rsid w:val="5885991C"/>
    <w:rsid w:val="589386BA"/>
    <w:rsid w:val="589A08B6"/>
    <w:rsid w:val="589ACC95"/>
    <w:rsid w:val="58BD1B05"/>
    <w:rsid w:val="58BF3326"/>
    <w:rsid w:val="58BF72DA"/>
    <w:rsid w:val="58C52BD3"/>
    <w:rsid w:val="58D28744"/>
    <w:rsid w:val="58DB2C63"/>
    <w:rsid w:val="58E63623"/>
    <w:rsid w:val="58F13DE4"/>
    <w:rsid w:val="58FC815B"/>
    <w:rsid w:val="58FE76F2"/>
    <w:rsid w:val="59017A7C"/>
    <w:rsid w:val="59077ADF"/>
    <w:rsid w:val="590A6233"/>
    <w:rsid w:val="59194911"/>
    <w:rsid w:val="591E0E6E"/>
    <w:rsid w:val="59213123"/>
    <w:rsid w:val="59286876"/>
    <w:rsid w:val="592F8E7E"/>
    <w:rsid w:val="59449293"/>
    <w:rsid w:val="594495C2"/>
    <w:rsid w:val="59591B20"/>
    <w:rsid w:val="595E3A27"/>
    <w:rsid w:val="596E0D19"/>
    <w:rsid w:val="597D4812"/>
    <w:rsid w:val="597D6217"/>
    <w:rsid w:val="59891273"/>
    <w:rsid w:val="598CC586"/>
    <w:rsid w:val="5995B765"/>
    <w:rsid w:val="59AE25B5"/>
    <w:rsid w:val="59D2FBB7"/>
    <w:rsid w:val="59E0A91C"/>
    <w:rsid w:val="59EC4168"/>
    <w:rsid w:val="59EE9EA9"/>
    <w:rsid w:val="59F31CE7"/>
    <w:rsid w:val="5A096E21"/>
    <w:rsid w:val="5A1F36FD"/>
    <w:rsid w:val="5A26F639"/>
    <w:rsid w:val="5A2D16C9"/>
    <w:rsid w:val="5A4CFF32"/>
    <w:rsid w:val="5A56CC6D"/>
    <w:rsid w:val="5A60237F"/>
    <w:rsid w:val="5A626D06"/>
    <w:rsid w:val="5A62CD90"/>
    <w:rsid w:val="5A65553C"/>
    <w:rsid w:val="5A79D993"/>
    <w:rsid w:val="5A7C0D68"/>
    <w:rsid w:val="5A954F25"/>
    <w:rsid w:val="5A9C7262"/>
    <w:rsid w:val="5AB2571B"/>
    <w:rsid w:val="5AB787B3"/>
    <w:rsid w:val="5AC13064"/>
    <w:rsid w:val="5AD7EC43"/>
    <w:rsid w:val="5ADD7677"/>
    <w:rsid w:val="5ADDD139"/>
    <w:rsid w:val="5AE0C272"/>
    <w:rsid w:val="5AE8EC79"/>
    <w:rsid w:val="5AE9631B"/>
    <w:rsid w:val="5AECBA73"/>
    <w:rsid w:val="5AED6A61"/>
    <w:rsid w:val="5AED8B80"/>
    <w:rsid w:val="5AF1B12B"/>
    <w:rsid w:val="5AFA162A"/>
    <w:rsid w:val="5B026FB4"/>
    <w:rsid w:val="5B0FAF02"/>
    <w:rsid w:val="5B13FA96"/>
    <w:rsid w:val="5B161A71"/>
    <w:rsid w:val="5B2CB2B9"/>
    <w:rsid w:val="5B431B36"/>
    <w:rsid w:val="5B450CB0"/>
    <w:rsid w:val="5B4EAC06"/>
    <w:rsid w:val="5B57E1F5"/>
    <w:rsid w:val="5B5DB56C"/>
    <w:rsid w:val="5B67C6E1"/>
    <w:rsid w:val="5B6825C3"/>
    <w:rsid w:val="5B79719C"/>
    <w:rsid w:val="5B7CB620"/>
    <w:rsid w:val="5B80FBF1"/>
    <w:rsid w:val="5B8BBC16"/>
    <w:rsid w:val="5B8DE569"/>
    <w:rsid w:val="5B906826"/>
    <w:rsid w:val="5B9E7BCF"/>
    <w:rsid w:val="5BBCB1BA"/>
    <w:rsid w:val="5BD8D261"/>
    <w:rsid w:val="5BDB3907"/>
    <w:rsid w:val="5BDDDE8C"/>
    <w:rsid w:val="5BE2D33C"/>
    <w:rsid w:val="5BE325EE"/>
    <w:rsid w:val="5BFDFFFE"/>
    <w:rsid w:val="5BFE9DDE"/>
    <w:rsid w:val="5BFF7B0C"/>
    <w:rsid w:val="5C0A5F7D"/>
    <w:rsid w:val="5C0E69FE"/>
    <w:rsid w:val="5C17BE3C"/>
    <w:rsid w:val="5C238DC9"/>
    <w:rsid w:val="5C2D5F7D"/>
    <w:rsid w:val="5C36E1FD"/>
    <w:rsid w:val="5C3DA080"/>
    <w:rsid w:val="5C48D898"/>
    <w:rsid w:val="5C51B73E"/>
    <w:rsid w:val="5C593F22"/>
    <w:rsid w:val="5C6465FB"/>
    <w:rsid w:val="5C67EA43"/>
    <w:rsid w:val="5C6B638F"/>
    <w:rsid w:val="5C6C5C6B"/>
    <w:rsid w:val="5C7053AD"/>
    <w:rsid w:val="5C708BE7"/>
    <w:rsid w:val="5C756FD9"/>
    <w:rsid w:val="5C7BBE91"/>
    <w:rsid w:val="5C86645A"/>
    <w:rsid w:val="5C939F88"/>
    <w:rsid w:val="5C93B7FE"/>
    <w:rsid w:val="5C9771CF"/>
    <w:rsid w:val="5C9914D3"/>
    <w:rsid w:val="5CB01E78"/>
    <w:rsid w:val="5CBBFA1C"/>
    <w:rsid w:val="5CC3967F"/>
    <w:rsid w:val="5CC499E5"/>
    <w:rsid w:val="5CCA86EB"/>
    <w:rsid w:val="5CCB5402"/>
    <w:rsid w:val="5CD3FA47"/>
    <w:rsid w:val="5CD685B0"/>
    <w:rsid w:val="5CD6E63A"/>
    <w:rsid w:val="5CDA2B74"/>
    <w:rsid w:val="5CE593A6"/>
    <w:rsid w:val="5CE66C5B"/>
    <w:rsid w:val="5CE7EE40"/>
    <w:rsid w:val="5CF35CA7"/>
    <w:rsid w:val="5CF700F2"/>
    <w:rsid w:val="5CF7BF65"/>
    <w:rsid w:val="5D04F851"/>
    <w:rsid w:val="5D080A1D"/>
    <w:rsid w:val="5D202BD1"/>
    <w:rsid w:val="5D23B471"/>
    <w:rsid w:val="5D2CE77A"/>
    <w:rsid w:val="5D333CC0"/>
    <w:rsid w:val="5D34BC2E"/>
    <w:rsid w:val="5D3DE127"/>
    <w:rsid w:val="5D60753A"/>
    <w:rsid w:val="5D6D7699"/>
    <w:rsid w:val="5D70A9B0"/>
    <w:rsid w:val="5D77BF58"/>
    <w:rsid w:val="5D80022F"/>
    <w:rsid w:val="5D8005F2"/>
    <w:rsid w:val="5D897114"/>
    <w:rsid w:val="5D903586"/>
    <w:rsid w:val="5D93D84F"/>
    <w:rsid w:val="5D94C623"/>
    <w:rsid w:val="5DA022C5"/>
    <w:rsid w:val="5DA389CD"/>
    <w:rsid w:val="5DAC4765"/>
    <w:rsid w:val="5DAD1311"/>
    <w:rsid w:val="5DB80904"/>
    <w:rsid w:val="5DBAEBAF"/>
    <w:rsid w:val="5DCE3B6A"/>
    <w:rsid w:val="5DDC88FE"/>
    <w:rsid w:val="5DE46807"/>
    <w:rsid w:val="5DF19768"/>
    <w:rsid w:val="5E08A883"/>
    <w:rsid w:val="5E0A8B48"/>
    <w:rsid w:val="5E1A7507"/>
    <w:rsid w:val="5E21CDE0"/>
    <w:rsid w:val="5E22375C"/>
    <w:rsid w:val="5E24063E"/>
    <w:rsid w:val="5E27622C"/>
    <w:rsid w:val="5E2FA8D9"/>
    <w:rsid w:val="5E357E7E"/>
    <w:rsid w:val="5E3A13F4"/>
    <w:rsid w:val="5E4B6982"/>
    <w:rsid w:val="5E4BD491"/>
    <w:rsid w:val="5E4C48FB"/>
    <w:rsid w:val="5E58A7B6"/>
    <w:rsid w:val="5E5A4920"/>
    <w:rsid w:val="5E5B1105"/>
    <w:rsid w:val="5E648289"/>
    <w:rsid w:val="5E7E4CF6"/>
    <w:rsid w:val="5E818526"/>
    <w:rsid w:val="5E8360B8"/>
    <w:rsid w:val="5E905415"/>
    <w:rsid w:val="5E975F92"/>
    <w:rsid w:val="5E9C3018"/>
    <w:rsid w:val="5EA7013F"/>
    <w:rsid w:val="5EABB02B"/>
    <w:rsid w:val="5EB69102"/>
    <w:rsid w:val="5EB92F13"/>
    <w:rsid w:val="5EB9F070"/>
    <w:rsid w:val="5EBCF7CE"/>
    <w:rsid w:val="5EBEFF8F"/>
    <w:rsid w:val="5EC9D63B"/>
    <w:rsid w:val="5ED285C8"/>
    <w:rsid w:val="5EE12C76"/>
    <w:rsid w:val="5EE7C6A7"/>
    <w:rsid w:val="5EEDA719"/>
    <w:rsid w:val="5EEFD0D3"/>
    <w:rsid w:val="5EF2DB48"/>
    <w:rsid w:val="5EF42682"/>
    <w:rsid w:val="5EF8CF95"/>
    <w:rsid w:val="5F03550B"/>
    <w:rsid w:val="5F0BBBF8"/>
    <w:rsid w:val="5F303AFF"/>
    <w:rsid w:val="5F376CA8"/>
    <w:rsid w:val="5F3F5A2E"/>
    <w:rsid w:val="5F41AA0A"/>
    <w:rsid w:val="5F44B7A2"/>
    <w:rsid w:val="5F44C4E1"/>
    <w:rsid w:val="5F45C1C9"/>
    <w:rsid w:val="5F46C989"/>
    <w:rsid w:val="5F5F8D3F"/>
    <w:rsid w:val="5F70F172"/>
    <w:rsid w:val="5F72F9A0"/>
    <w:rsid w:val="5F766A8E"/>
    <w:rsid w:val="5F815BC5"/>
    <w:rsid w:val="5F81D267"/>
    <w:rsid w:val="5FA5F666"/>
    <w:rsid w:val="5FAA96CD"/>
    <w:rsid w:val="5FB1B0E8"/>
    <w:rsid w:val="5FB3438F"/>
    <w:rsid w:val="5FB5A08D"/>
    <w:rsid w:val="5FB5A8DA"/>
    <w:rsid w:val="5FB875F9"/>
    <w:rsid w:val="5FB97195"/>
    <w:rsid w:val="5FBA5F82"/>
    <w:rsid w:val="5FC53C96"/>
    <w:rsid w:val="5FD067FB"/>
    <w:rsid w:val="5FDF4C5D"/>
    <w:rsid w:val="5FF0CC13"/>
    <w:rsid w:val="5FF23A5B"/>
    <w:rsid w:val="5FFB6F92"/>
    <w:rsid w:val="60006442"/>
    <w:rsid w:val="600DEF84"/>
    <w:rsid w:val="601C1FC0"/>
    <w:rsid w:val="601F902D"/>
    <w:rsid w:val="60522A08"/>
    <w:rsid w:val="60612CED"/>
    <w:rsid w:val="60687FA2"/>
    <w:rsid w:val="6068D164"/>
    <w:rsid w:val="607B52A2"/>
    <w:rsid w:val="608D57EF"/>
    <w:rsid w:val="608F4334"/>
    <w:rsid w:val="60938DBF"/>
    <w:rsid w:val="609A3997"/>
    <w:rsid w:val="609E5D94"/>
    <w:rsid w:val="60A383C4"/>
    <w:rsid w:val="60AF73D4"/>
    <w:rsid w:val="60B406FF"/>
    <w:rsid w:val="60C5A94A"/>
    <w:rsid w:val="60C8E432"/>
    <w:rsid w:val="60CAB906"/>
    <w:rsid w:val="60D03988"/>
    <w:rsid w:val="60DCAE63"/>
    <w:rsid w:val="60ED01CA"/>
    <w:rsid w:val="60FF94A7"/>
    <w:rsid w:val="60FFEE5A"/>
    <w:rsid w:val="6119FCC1"/>
    <w:rsid w:val="611A674C"/>
    <w:rsid w:val="61250381"/>
    <w:rsid w:val="612A329D"/>
    <w:rsid w:val="61362EF1"/>
    <w:rsid w:val="6148F020"/>
    <w:rsid w:val="614BF470"/>
    <w:rsid w:val="614C1EB1"/>
    <w:rsid w:val="614ECB0D"/>
    <w:rsid w:val="61596F55"/>
    <w:rsid w:val="615C3E78"/>
    <w:rsid w:val="61636400"/>
    <w:rsid w:val="61638936"/>
    <w:rsid w:val="6165ED3B"/>
    <w:rsid w:val="616CD713"/>
    <w:rsid w:val="61805255"/>
    <w:rsid w:val="61823980"/>
    <w:rsid w:val="6188985B"/>
    <w:rsid w:val="619472D4"/>
    <w:rsid w:val="61A29CD8"/>
    <w:rsid w:val="61A9A58A"/>
    <w:rsid w:val="61B01FF3"/>
    <w:rsid w:val="61B08D1D"/>
    <w:rsid w:val="61B147F9"/>
    <w:rsid w:val="61BB2594"/>
    <w:rsid w:val="61CEC3BA"/>
    <w:rsid w:val="61DA51EE"/>
    <w:rsid w:val="61DACFA1"/>
    <w:rsid w:val="61DADA39"/>
    <w:rsid w:val="61E68867"/>
    <w:rsid w:val="61F67EC8"/>
    <w:rsid w:val="61F96D00"/>
    <w:rsid w:val="61FBB820"/>
    <w:rsid w:val="61FE090A"/>
    <w:rsid w:val="6200A199"/>
    <w:rsid w:val="6220623C"/>
    <w:rsid w:val="6222F439"/>
    <w:rsid w:val="622623A1"/>
    <w:rsid w:val="622B6DA4"/>
    <w:rsid w:val="6232C40C"/>
    <w:rsid w:val="623EC21B"/>
    <w:rsid w:val="62485A70"/>
    <w:rsid w:val="6262988F"/>
    <w:rsid w:val="62678EBB"/>
    <w:rsid w:val="62683329"/>
    <w:rsid w:val="62736388"/>
    <w:rsid w:val="6283BC88"/>
    <w:rsid w:val="6292F489"/>
    <w:rsid w:val="62A2A908"/>
    <w:rsid w:val="62B368B1"/>
    <w:rsid w:val="62B6C92B"/>
    <w:rsid w:val="62BAFEC9"/>
    <w:rsid w:val="62C52991"/>
    <w:rsid w:val="62CA2935"/>
    <w:rsid w:val="62CF625D"/>
    <w:rsid w:val="62E09D34"/>
    <w:rsid w:val="62E43489"/>
    <w:rsid w:val="62EA6682"/>
    <w:rsid w:val="62F4A612"/>
    <w:rsid w:val="63051455"/>
    <w:rsid w:val="631728CC"/>
    <w:rsid w:val="632D2BB7"/>
    <w:rsid w:val="63558096"/>
    <w:rsid w:val="635B1CC5"/>
    <w:rsid w:val="636975D6"/>
    <w:rsid w:val="636A9AC2"/>
    <w:rsid w:val="637C6D54"/>
    <w:rsid w:val="6380A878"/>
    <w:rsid w:val="63864B4C"/>
    <w:rsid w:val="6392278F"/>
    <w:rsid w:val="639E0BB0"/>
    <w:rsid w:val="63A226AA"/>
    <w:rsid w:val="63A65AF3"/>
    <w:rsid w:val="63AC596E"/>
    <w:rsid w:val="63BF5799"/>
    <w:rsid w:val="63C2414B"/>
    <w:rsid w:val="63D19D8D"/>
    <w:rsid w:val="63E0DED4"/>
    <w:rsid w:val="63E4A5A3"/>
    <w:rsid w:val="63F0FEBA"/>
    <w:rsid w:val="63F4E82F"/>
    <w:rsid w:val="63F6C6B1"/>
    <w:rsid w:val="64299968"/>
    <w:rsid w:val="64379F39"/>
    <w:rsid w:val="64382866"/>
    <w:rsid w:val="6442872A"/>
    <w:rsid w:val="64428B8A"/>
    <w:rsid w:val="6443F784"/>
    <w:rsid w:val="64455879"/>
    <w:rsid w:val="644A8E10"/>
    <w:rsid w:val="644D38C1"/>
    <w:rsid w:val="64524ED1"/>
    <w:rsid w:val="6455971E"/>
    <w:rsid w:val="6457C5DA"/>
    <w:rsid w:val="645FE19C"/>
    <w:rsid w:val="646EBE93"/>
    <w:rsid w:val="648C7E11"/>
    <w:rsid w:val="649BB506"/>
    <w:rsid w:val="64B2EC34"/>
    <w:rsid w:val="64BBFAA6"/>
    <w:rsid w:val="64CC36A4"/>
    <w:rsid w:val="64CC75EA"/>
    <w:rsid w:val="64DE97A5"/>
    <w:rsid w:val="64EBC7B8"/>
    <w:rsid w:val="64EE0423"/>
    <w:rsid w:val="64EFC827"/>
    <w:rsid w:val="64FC21DB"/>
    <w:rsid w:val="64FE66DE"/>
    <w:rsid w:val="6514E373"/>
    <w:rsid w:val="6518780E"/>
    <w:rsid w:val="651AA3E6"/>
    <w:rsid w:val="651EB0DE"/>
    <w:rsid w:val="65238819"/>
    <w:rsid w:val="652B4431"/>
    <w:rsid w:val="65346AE3"/>
    <w:rsid w:val="653C860F"/>
    <w:rsid w:val="65414C24"/>
    <w:rsid w:val="654D58C1"/>
    <w:rsid w:val="654F3F1D"/>
    <w:rsid w:val="656943B6"/>
    <w:rsid w:val="656AC072"/>
    <w:rsid w:val="656CCE3C"/>
    <w:rsid w:val="657769F0"/>
    <w:rsid w:val="658D709F"/>
    <w:rsid w:val="659AFAAE"/>
    <w:rsid w:val="65A21BA0"/>
    <w:rsid w:val="65B506A1"/>
    <w:rsid w:val="65C2F8E8"/>
    <w:rsid w:val="65C7C3FC"/>
    <w:rsid w:val="65D59524"/>
    <w:rsid w:val="65DC0BB9"/>
    <w:rsid w:val="65E02128"/>
    <w:rsid w:val="65E37B27"/>
    <w:rsid w:val="65E82509"/>
    <w:rsid w:val="65E9DD50"/>
    <w:rsid w:val="65F2CCBE"/>
    <w:rsid w:val="65F7E394"/>
    <w:rsid w:val="6600034C"/>
    <w:rsid w:val="660C1582"/>
    <w:rsid w:val="6620D695"/>
    <w:rsid w:val="6624E69B"/>
    <w:rsid w:val="663589A0"/>
    <w:rsid w:val="66359898"/>
    <w:rsid w:val="66365E81"/>
    <w:rsid w:val="663F0D4B"/>
    <w:rsid w:val="6645A107"/>
    <w:rsid w:val="6647A779"/>
    <w:rsid w:val="6648449D"/>
    <w:rsid w:val="664FBC4E"/>
    <w:rsid w:val="665999BC"/>
    <w:rsid w:val="6659ACAA"/>
    <w:rsid w:val="665A6AB0"/>
    <w:rsid w:val="665AC7B1"/>
    <w:rsid w:val="666DAA08"/>
    <w:rsid w:val="6670F1E8"/>
    <w:rsid w:val="667346E7"/>
    <w:rsid w:val="669A4555"/>
    <w:rsid w:val="66A2AD6A"/>
    <w:rsid w:val="66B00CAC"/>
    <w:rsid w:val="66BF777E"/>
    <w:rsid w:val="66C76F89"/>
    <w:rsid w:val="66C77102"/>
    <w:rsid w:val="66D451E4"/>
    <w:rsid w:val="66E5DA41"/>
    <w:rsid w:val="66EC8CD7"/>
    <w:rsid w:val="66EDB54C"/>
    <w:rsid w:val="66F7F28C"/>
    <w:rsid w:val="66FFA2AC"/>
    <w:rsid w:val="6707717F"/>
    <w:rsid w:val="6712F85C"/>
    <w:rsid w:val="671AE3F6"/>
    <w:rsid w:val="672885D3"/>
    <w:rsid w:val="673A6F83"/>
    <w:rsid w:val="673BA44C"/>
    <w:rsid w:val="674D3386"/>
    <w:rsid w:val="6753F47A"/>
    <w:rsid w:val="67581F32"/>
    <w:rsid w:val="6759242D"/>
    <w:rsid w:val="67800F6D"/>
    <w:rsid w:val="6783891D"/>
    <w:rsid w:val="67872B1D"/>
    <w:rsid w:val="678BAC96"/>
    <w:rsid w:val="678BCB9A"/>
    <w:rsid w:val="678FAB33"/>
    <w:rsid w:val="67A03502"/>
    <w:rsid w:val="67A5FE37"/>
    <w:rsid w:val="67A6C4F7"/>
    <w:rsid w:val="67AB5783"/>
    <w:rsid w:val="67B1C027"/>
    <w:rsid w:val="67CE11B7"/>
    <w:rsid w:val="67DB4E7A"/>
    <w:rsid w:val="67E51C84"/>
    <w:rsid w:val="67ED453F"/>
    <w:rsid w:val="67FA66F4"/>
    <w:rsid w:val="680847DF"/>
    <w:rsid w:val="6815A0EF"/>
    <w:rsid w:val="681B3EE0"/>
    <w:rsid w:val="681FF899"/>
    <w:rsid w:val="6823B782"/>
    <w:rsid w:val="6824A516"/>
    <w:rsid w:val="68257485"/>
    <w:rsid w:val="682CF61E"/>
    <w:rsid w:val="6834AC9D"/>
    <w:rsid w:val="6839C412"/>
    <w:rsid w:val="683A9FD8"/>
    <w:rsid w:val="6849F376"/>
    <w:rsid w:val="685DE22D"/>
    <w:rsid w:val="686AFCA1"/>
    <w:rsid w:val="686B02EC"/>
    <w:rsid w:val="68721CE1"/>
    <w:rsid w:val="687A97B4"/>
    <w:rsid w:val="68894FB2"/>
    <w:rsid w:val="688A402D"/>
    <w:rsid w:val="688E15F9"/>
    <w:rsid w:val="68961771"/>
    <w:rsid w:val="689E8687"/>
    <w:rsid w:val="689FA756"/>
    <w:rsid w:val="68A01A1E"/>
    <w:rsid w:val="68B416DD"/>
    <w:rsid w:val="68C73397"/>
    <w:rsid w:val="68D01033"/>
    <w:rsid w:val="68D1C72E"/>
    <w:rsid w:val="68D32C11"/>
    <w:rsid w:val="68D776F8"/>
    <w:rsid w:val="68E230FE"/>
    <w:rsid w:val="68E69D47"/>
    <w:rsid w:val="68EECB0F"/>
    <w:rsid w:val="68EF9545"/>
    <w:rsid w:val="68F9DFB0"/>
    <w:rsid w:val="69054B1A"/>
    <w:rsid w:val="690741F5"/>
    <w:rsid w:val="6910E7A9"/>
    <w:rsid w:val="6928F891"/>
    <w:rsid w:val="6938D960"/>
    <w:rsid w:val="693B53E6"/>
    <w:rsid w:val="693E0A0B"/>
    <w:rsid w:val="693E4129"/>
    <w:rsid w:val="6940CEDD"/>
    <w:rsid w:val="6949210A"/>
    <w:rsid w:val="694CF754"/>
    <w:rsid w:val="694F3F36"/>
    <w:rsid w:val="69514079"/>
    <w:rsid w:val="69548A16"/>
    <w:rsid w:val="69559EBE"/>
    <w:rsid w:val="69764966"/>
    <w:rsid w:val="69830358"/>
    <w:rsid w:val="6983A0F2"/>
    <w:rsid w:val="6984EDDA"/>
    <w:rsid w:val="698B65D7"/>
    <w:rsid w:val="699C84C9"/>
    <w:rsid w:val="69C81D55"/>
    <w:rsid w:val="69C8C5F6"/>
    <w:rsid w:val="69CA2FDB"/>
    <w:rsid w:val="69E1437E"/>
    <w:rsid w:val="69EB6F9D"/>
    <w:rsid w:val="6A03091F"/>
    <w:rsid w:val="6A075986"/>
    <w:rsid w:val="6A0B6139"/>
    <w:rsid w:val="6A19CB57"/>
    <w:rsid w:val="6A1E0DD8"/>
    <w:rsid w:val="6A2B7C31"/>
    <w:rsid w:val="6A2F94E6"/>
    <w:rsid w:val="6A3F6E9B"/>
    <w:rsid w:val="6A638790"/>
    <w:rsid w:val="6A7007A2"/>
    <w:rsid w:val="6A7239DE"/>
    <w:rsid w:val="6A73BF44"/>
    <w:rsid w:val="6A88C640"/>
    <w:rsid w:val="6A9BE89E"/>
    <w:rsid w:val="6AB9F461"/>
    <w:rsid w:val="6ABD9CEF"/>
    <w:rsid w:val="6ABDE849"/>
    <w:rsid w:val="6ABE5827"/>
    <w:rsid w:val="6AD13648"/>
    <w:rsid w:val="6AED069C"/>
    <w:rsid w:val="6AEED3F4"/>
    <w:rsid w:val="6AF0D1CB"/>
    <w:rsid w:val="6AF14C9D"/>
    <w:rsid w:val="6AF28A55"/>
    <w:rsid w:val="6AF9DC76"/>
    <w:rsid w:val="6B01C578"/>
    <w:rsid w:val="6B081245"/>
    <w:rsid w:val="6B0B06CE"/>
    <w:rsid w:val="6B0C16A7"/>
    <w:rsid w:val="6B101B8F"/>
    <w:rsid w:val="6B10FDEC"/>
    <w:rsid w:val="6B233A29"/>
    <w:rsid w:val="6B37649E"/>
    <w:rsid w:val="6B38D931"/>
    <w:rsid w:val="6B57B872"/>
    <w:rsid w:val="6B5813E4"/>
    <w:rsid w:val="6B63B47D"/>
    <w:rsid w:val="6B6485CD"/>
    <w:rsid w:val="6B72CC8A"/>
    <w:rsid w:val="6B806264"/>
    <w:rsid w:val="6B89A90A"/>
    <w:rsid w:val="6B96DF85"/>
    <w:rsid w:val="6B9BE0FB"/>
    <w:rsid w:val="6B9E32B4"/>
    <w:rsid w:val="6B9EE766"/>
    <w:rsid w:val="6BA51AC8"/>
    <w:rsid w:val="6BAC7C0D"/>
    <w:rsid w:val="6BB5DF40"/>
    <w:rsid w:val="6BBD2AA3"/>
    <w:rsid w:val="6BC2950D"/>
    <w:rsid w:val="6BCEF5EB"/>
    <w:rsid w:val="6BD4EDC1"/>
    <w:rsid w:val="6BD72F8F"/>
    <w:rsid w:val="6BDA2F7F"/>
    <w:rsid w:val="6BDB601B"/>
    <w:rsid w:val="6BE20FE3"/>
    <w:rsid w:val="6BE2FDE1"/>
    <w:rsid w:val="6BE42CD1"/>
    <w:rsid w:val="6BF388A9"/>
    <w:rsid w:val="6BF5B991"/>
    <w:rsid w:val="6BF65B1E"/>
    <w:rsid w:val="6BF6DAC5"/>
    <w:rsid w:val="6BFA3898"/>
    <w:rsid w:val="6C063DD8"/>
    <w:rsid w:val="6C064BF9"/>
    <w:rsid w:val="6C096D4B"/>
    <w:rsid w:val="6C1229FB"/>
    <w:rsid w:val="6C124735"/>
    <w:rsid w:val="6C19BD72"/>
    <w:rsid w:val="6C1D7631"/>
    <w:rsid w:val="6C2E9088"/>
    <w:rsid w:val="6C3CAA99"/>
    <w:rsid w:val="6C44E23B"/>
    <w:rsid w:val="6C4B5C4E"/>
    <w:rsid w:val="6C4F6CDA"/>
    <w:rsid w:val="6C4F922F"/>
    <w:rsid w:val="6C55BC9B"/>
    <w:rsid w:val="6C56A31B"/>
    <w:rsid w:val="6C58673B"/>
    <w:rsid w:val="6C5C9C0B"/>
    <w:rsid w:val="6C656C20"/>
    <w:rsid w:val="6C65AE27"/>
    <w:rsid w:val="6C6766B1"/>
    <w:rsid w:val="6C6E011D"/>
    <w:rsid w:val="6C8D534D"/>
    <w:rsid w:val="6C939D8C"/>
    <w:rsid w:val="6C950A52"/>
    <w:rsid w:val="6C9DE081"/>
    <w:rsid w:val="6CA7A329"/>
    <w:rsid w:val="6CC16052"/>
    <w:rsid w:val="6CC7DF0E"/>
    <w:rsid w:val="6CDDA7FD"/>
    <w:rsid w:val="6CDDC8EA"/>
    <w:rsid w:val="6CDE48B8"/>
    <w:rsid w:val="6CE08996"/>
    <w:rsid w:val="6CE3A58D"/>
    <w:rsid w:val="6CEBD6E4"/>
    <w:rsid w:val="6CF7E2FB"/>
    <w:rsid w:val="6CFCC3AC"/>
    <w:rsid w:val="6D053C4E"/>
    <w:rsid w:val="6D07C7A4"/>
    <w:rsid w:val="6D0BE1CF"/>
    <w:rsid w:val="6D0FCF83"/>
    <w:rsid w:val="6D1A2A4B"/>
    <w:rsid w:val="6D371BE6"/>
    <w:rsid w:val="6D39A906"/>
    <w:rsid w:val="6D3EF0CD"/>
    <w:rsid w:val="6D424CEA"/>
    <w:rsid w:val="6D48756B"/>
    <w:rsid w:val="6D5205DC"/>
    <w:rsid w:val="6D533BB4"/>
    <w:rsid w:val="6D59AD4A"/>
    <w:rsid w:val="6D5BDA9E"/>
    <w:rsid w:val="6D5E4E7F"/>
    <w:rsid w:val="6D6C6563"/>
    <w:rsid w:val="6D7BD9E5"/>
    <w:rsid w:val="6D7C868D"/>
    <w:rsid w:val="6D8EDAC8"/>
    <w:rsid w:val="6D99EEDD"/>
    <w:rsid w:val="6DAA6AEB"/>
    <w:rsid w:val="6DBF6D9D"/>
    <w:rsid w:val="6DC4D143"/>
    <w:rsid w:val="6DC62500"/>
    <w:rsid w:val="6DC9FFF0"/>
    <w:rsid w:val="6DD8C13C"/>
    <w:rsid w:val="6DDC86B6"/>
    <w:rsid w:val="6DDD3C53"/>
    <w:rsid w:val="6DDE2D35"/>
    <w:rsid w:val="6DE3D9CA"/>
    <w:rsid w:val="6DEEA7F6"/>
    <w:rsid w:val="6DF303ED"/>
    <w:rsid w:val="6DF6E502"/>
    <w:rsid w:val="6DFF939C"/>
    <w:rsid w:val="6E0957B5"/>
    <w:rsid w:val="6E1B402F"/>
    <w:rsid w:val="6E1D2242"/>
    <w:rsid w:val="6E25D02A"/>
    <w:rsid w:val="6E30CEF6"/>
    <w:rsid w:val="6E322D71"/>
    <w:rsid w:val="6E3D272B"/>
    <w:rsid w:val="6E44BAA2"/>
    <w:rsid w:val="6E503BB6"/>
    <w:rsid w:val="6E5249AA"/>
    <w:rsid w:val="6E5E2F1D"/>
    <w:rsid w:val="6E5F5E0D"/>
    <w:rsid w:val="6E5FF585"/>
    <w:rsid w:val="6E696D11"/>
    <w:rsid w:val="6E7C25F3"/>
    <w:rsid w:val="6E82CFED"/>
    <w:rsid w:val="6E84E16A"/>
    <w:rsid w:val="6E8766FD"/>
    <w:rsid w:val="6E8C689B"/>
    <w:rsid w:val="6E8D57C1"/>
    <w:rsid w:val="6E8DADA0"/>
    <w:rsid w:val="6E91ECF4"/>
    <w:rsid w:val="6E977675"/>
    <w:rsid w:val="6E9AF79F"/>
    <w:rsid w:val="6EA84EAD"/>
    <w:rsid w:val="6EB9C1E8"/>
    <w:rsid w:val="6EB9D3F6"/>
    <w:rsid w:val="6EC24164"/>
    <w:rsid w:val="6ED3E991"/>
    <w:rsid w:val="6ED86A3B"/>
    <w:rsid w:val="6ED8872A"/>
    <w:rsid w:val="6ED9764D"/>
    <w:rsid w:val="6EDF196A"/>
    <w:rsid w:val="6EE59E58"/>
    <w:rsid w:val="6EF26112"/>
    <w:rsid w:val="6EF3C128"/>
    <w:rsid w:val="6EF6181B"/>
    <w:rsid w:val="6EF6628D"/>
    <w:rsid w:val="6F00E429"/>
    <w:rsid w:val="6F08F71B"/>
    <w:rsid w:val="6F0EC0A1"/>
    <w:rsid w:val="6F14201D"/>
    <w:rsid w:val="6F1F2EDC"/>
    <w:rsid w:val="6F263CDE"/>
    <w:rsid w:val="6F26BA0E"/>
    <w:rsid w:val="6F33F1C7"/>
    <w:rsid w:val="6F3C6E6D"/>
    <w:rsid w:val="6F4EF422"/>
    <w:rsid w:val="6F4F345B"/>
    <w:rsid w:val="6F580DAE"/>
    <w:rsid w:val="6F64DAD9"/>
    <w:rsid w:val="6F662574"/>
    <w:rsid w:val="6F6F5611"/>
    <w:rsid w:val="6F779984"/>
    <w:rsid w:val="6F7D178E"/>
    <w:rsid w:val="6F884EF1"/>
    <w:rsid w:val="6F8DBFA6"/>
    <w:rsid w:val="6F8F5EBD"/>
    <w:rsid w:val="6F933C0B"/>
    <w:rsid w:val="6F9791E6"/>
    <w:rsid w:val="6FC30B38"/>
    <w:rsid w:val="6FCE9C6A"/>
    <w:rsid w:val="6FDC7968"/>
    <w:rsid w:val="6FE7BD08"/>
    <w:rsid w:val="6FF6F03A"/>
    <w:rsid w:val="700808FC"/>
    <w:rsid w:val="7013740C"/>
    <w:rsid w:val="7017C63D"/>
    <w:rsid w:val="701F83E4"/>
    <w:rsid w:val="7027948B"/>
    <w:rsid w:val="70352218"/>
    <w:rsid w:val="703B91E9"/>
    <w:rsid w:val="704094AF"/>
    <w:rsid w:val="70483C8D"/>
    <w:rsid w:val="704BCC71"/>
    <w:rsid w:val="705124CD"/>
    <w:rsid w:val="705670B9"/>
    <w:rsid w:val="708387CD"/>
    <w:rsid w:val="70984F18"/>
    <w:rsid w:val="70B4F94F"/>
    <w:rsid w:val="70B8CCE4"/>
    <w:rsid w:val="70BF469B"/>
    <w:rsid w:val="70C0D3B7"/>
    <w:rsid w:val="70CF0A6E"/>
    <w:rsid w:val="70D1684E"/>
    <w:rsid w:val="70E6B7BD"/>
    <w:rsid w:val="70EC667D"/>
    <w:rsid w:val="70F61C7C"/>
    <w:rsid w:val="7104DB7D"/>
    <w:rsid w:val="7108D8E1"/>
    <w:rsid w:val="710B562F"/>
    <w:rsid w:val="71126B68"/>
    <w:rsid w:val="7112B920"/>
    <w:rsid w:val="7118F72D"/>
    <w:rsid w:val="711C83FD"/>
    <w:rsid w:val="711FD85B"/>
    <w:rsid w:val="712354DC"/>
    <w:rsid w:val="71256D89"/>
    <w:rsid w:val="71396846"/>
    <w:rsid w:val="7139E279"/>
    <w:rsid w:val="714A846F"/>
    <w:rsid w:val="71515A50"/>
    <w:rsid w:val="7152FF99"/>
    <w:rsid w:val="715AC6EE"/>
    <w:rsid w:val="7162AB52"/>
    <w:rsid w:val="71654CBD"/>
    <w:rsid w:val="7179BC41"/>
    <w:rsid w:val="7196A004"/>
    <w:rsid w:val="71996747"/>
    <w:rsid w:val="719978F9"/>
    <w:rsid w:val="719BB659"/>
    <w:rsid w:val="71A37B47"/>
    <w:rsid w:val="71A4E3D7"/>
    <w:rsid w:val="71A51AC5"/>
    <w:rsid w:val="71A7B43C"/>
    <w:rsid w:val="71A99E08"/>
    <w:rsid w:val="71B028A5"/>
    <w:rsid w:val="71B09A18"/>
    <w:rsid w:val="71BCD458"/>
    <w:rsid w:val="71BF4B87"/>
    <w:rsid w:val="71D8A66A"/>
    <w:rsid w:val="71DB1189"/>
    <w:rsid w:val="71E014EE"/>
    <w:rsid w:val="71E0D7D4"/>
    <w:rsid w:val="71F66F31"/>
    <w:rsid w:val="7202677B"/>
    <w:rsid w:val="720A16B0"/>
    <w:rsid w:val="720A567A"/>
    <w:rsid w:val="721A8E02"/>
    <w:rsid w:val="72211E83"/>
    <w:rsid w:val="72228ADC"/>
    <w:rsid w:val="7223A358"/>
    <w:rsid w:val="7225F0EC"/>
    <w:rsid w:val="722AE7E4"/>
    <w:rsid w:val="723EDD08"/>
    <w:rsid w:val="7249BF7F"/>
    <w:rsid w:val="724FC14E"/>
    <w:rsid w:val="7255FE0B"/>
    <w:rsid w:val="725849DD"/>
    <w:rsid w:val="7259446D"/>
    <w:rsid w:val="7263835E"/>
    <w:rsid w:val="726C6642"/>
    <w:rsid w:val="726CD87B"/>
    <w:rsid w:val="72753F95"/>
    <w:rsid w:val="7275534F"/>
    <w:rsid w:val="727AB4E0"/>
    <w:rsid w:val="72853CB4"/>
    <w:rsid w:val="7296244D"/>
    <w:rsid w:val="72A1B61E"/>
    <w:rsid w:val="72A91A42"/>
    <w:rsid w:val="72B34E3F"/>
    <w:rsid w:val="72BBF1FB"/>
    <w:rsid w:val="72C01076"/>
    <w:rsid w:val="72CF2B88"/>
    <w:rsid w:val="72DA514F"/>
    <w:rsid w:val="72E28F59"/>
    <w:rsid w:val="72E4297E"/>
    <w:rsid w:val="72F4C864"/>
    <w:rsid w:val="7304DEAB"/>
    <w:rsid w:val="7311267D"/>
    <w:rsid w:val="7313E50E"/>
    <w:rsid w:val="7314136C"/>
    <w:rsid w:val="73370145"/>
    <w:rsid w:val="733BEABE"/>
    <w:rsid w:val="7340E2EC"/>
    <w:rsid w:val="73418B64"/>
    <w:rsid w:val="734C5B4C"/>
    <w:rsid w:val="7351BD7C"/>
    <w:rsid w:val="7351EE7B"/>
    <w:rsid w:val="735AD497"/>
    <w:rsid w:val="7369ED81"/>
    <w:rsid w:val="737659D9"/>
    <w:rsid w:val="737DB91A"/>
    <w:rsid w:val="738C5AAC"/>
    <w:rsid w:val="7392E5D2"/>
    <w:rsid w:val="739F01DC"/>
    <w:rsid w:val="73A1B4A0"/>
    <w:rsid w:val="73A7A4D0"/>
    <w:rsid w:val="73B8D642"/>
    <w:rsid w:val="73CD34B6"/>
    <w:rsid w:val="73E43595"/>
    <w:rsid w:val="73E802F0"/>
    <w:rsid w:val="73F64FE5"/>
    <w:rsid w:val="73F97713"/>
    <w:rsid w:val="73FE3439"/>
    <w:rsid w:val="74015208"/>
    <w:rsid w:val="7402AF34"/>
    <w:rsid w:val="740C05C5"/>
    <w:rsid w:val="740EC007"/>
    <w:rsid w:val="740FC548"/>
    <w:rsid w:val="742777BB"/>
    <w:rsid w:val="742C911B"/>
    <w:rsid w:val="7430E726"/>
    <w:rsid w:val="7433317C"/>
    <w:rsid w:val="7436610E"/>
    <w:rsid w:val="743BC821"/>
    <w:rsid w:val="743EBBEA"/>
    <w:rsid w:val="7449CC76"/>
    <w:rsid w:val="74538094"/>
    <w:rsid w:val="74556346"/>
    <w:rsid w:val="746B6090"/>
    <w:rsid w:val="74767A5F"/>
    <w:rsid w:val="7478CC0A"/>
    <w:rsid w:val="747969EA"/>
    <w:rsid w:val="74805A56"/>
    <w:rsid w:val="7484B087"/>
    <w:rsid w:val="748A9CCA"/>
    <w:rsid w:val="748ADFCC"/>
    <w:rsid w:val="748EF6C2"/>
    <w:rsid w:val="74ADAAEB"/>
    <w:rsid w:val="74B85863"/>
    <w:rsid w:val="74D69E2A"/>
    <w:rsid w:val="74D8A15C"/>
    <w:rsid w:val="74E0554D"/>
    <w:rsid w:val="74E55E8E"/>
    <w:rsid w:val="74E9918B"/>
    <w:rsid w:val="74F44718"/>
    <w:rsid w:val="750B4453"/>
    <w:rsid w:val="75189959"/>
    <w:rsid w:val="752A1ED8"/>
    <w:rsid w:val="752B7966"/>
    <w:rsid w:val="752DB4A8"/>
    <w:rsid w:val="753A6CF7"/>
    <w:rsid w:val="753B701D"/>
    <w:rsid w:val="754193BD"/>
    <w:rsid w:val="7548346F"/>
    <w:rsid w:val="754C4191"/>
    <w:rsid w:val="754CDADB"/>
    <w:rsid w:val="754D25C6"/>
    <w:rsid w:val="754E9193"/>
    <w:rsid w:val="754FAAA1"/>
    <w:rsid w:val="755884D9"/>
    <w:rsid w:val="75593A2A"/>
    <w:rsid w:val="755A23A7"/>
    <w:rsid w:val="756EF5F7"/>
    <w:rsid w:val="7573DB67"/>
    <w:rsid w:val="757D22AC"/>
    <w:rsid w:val="759C61C5"/>
    <w:rsid w:val="759CECE6"/>
    <w:rsid w:val="75AC48DF"/>
    <w:rsid w:val="75AFB450"/>
    <w:rsid w:val="75BB548A"/>
    <w:rsid w:val="75C6F192"/>
    <w:rsid w:val="75CCBBFA"/>
    <w:rsid w:val="75D2ED6D"/>
    <w:rsid w:val="75D80013"/>
    <w:rsid w:val="75DF8139"/>
    <w:rsid w:val="75E04F56"/>
    <w:rsid w:val="75E1D855"/>
    <w:rsid w:val="75E57DEF"/>
    <w:rsid w:val="75F2B206"/>
    <w:rsid w:val="75F2EBEE"/>
    <w:rsid w:val="75F96FA9"/>
    <w:rsid w:val="76013AA2"/>
    <w:rsid w:val="7605464E"/>
    <w:rsid w:val="7615FB03"/>
    <w:rsid w:val="761C5208"/>
    <w:rsid w:val="762488C8"/>
    <w:rsid w:val="762AD37A"/>
    <w:rsid w:val="763418A4"/>
    <w:rsid w:val="763CAEFE"/>
    <w:rsid w:val="7643922B"/>
    <w:rsid w:val="764AD82D"/>
    <w:rsid w:val="764BB68C"/>
    <w:rsid w:val="764F066E"/>
    <w:rsid w:val="7656F0E9"/>
    <w:rsid w:val="765741AF"/>
    <w:rsid w:val="76669B34"/>
    <w:rsid w:val="766DB327"/>
    <w:rsid w:val="76705DD7"/>
    <w:rsid w:val="7675B633"/>
    <w:rsid w:val="767E3A92"/>
    <w:rsid w:val="7688D796"/>
    <w:rsid w:val="768A5A1A"/>
    <w:rsid w:val="768D5753"/>
    <w:rsid w:val="7699E097"/>
    <w:rsid w:val="769EACFB"/>
    <w:rsid w:val="76A17A89"/>
    <w:rsid w:val="76A8E5B4"/>
    <w:rsid w:val="76A9C7E7"/>
    <w:rsid w:val="76AA468D"/>
    <w:rsid w:val="76C51622"/>
    <w:rsid w:val="76C85755"/>
    <w:rsid w:val="76C91B90"/>
    <w:rsid w:val="76D3EC71"/>
    <w:rsid w:val="76E4F182"/>
    <w:rsid w:val="77081662"/>
    <w:rsid w:val="772174B2"/>
    <w:rsid w:val="772FC557"/>
    <w:rsid w:val="7733F6A6"/>
    <w:rsid w:val="7736E06B"/>
    <w:rsid w:val="773ECBDC"/>
    <w:rsid w:val="7753E9F3"/>
    <w:rsid w:val="7758CE11"/>
    <w:rsid w:val="776CEF19"/>
    <w:rsid w:val="7772D16B"/>
    <w:rsid w:val="777D2DA4"/>
    <w:rsid w:val="7780B6C7"/>
    <w:rsid w:val="779E71B0"/>
    <w:rsid w:val="77B05271"/>
    <w:rsid w:val="77B5A680"/>
    <w:rsid w:val="77C4C843"/>
    <w:rsid w:val="77CB9C09"/>
    <w:rsid w:val="77D323ED"/>
    <w:rsid w:val="77E66D40"/>
    <w:rsid w:val="77F1E0EF"/>
    <w:rsid w:val="77F4ECF3"/>
    <w:rsid w:val="77FB1BAE"/>
    <w:rsid w:val="7806D490"/>
    <w:rsid w:val="78070A53"/>
    <w:rsid w:val="780C24F0"/>
    <w:rsid w:val="781444BB"/>
    <w:rsid w:val="781B421D"/>
    <w:rsid w:val="781CE864"/>
    <w:rsid w:val="7828D208"/>
    <w:rsid w:val="783BD19B"/>
    <w:rsid w:val="7845A79C"/>
    <w:rsid w:val="7850F8BE"/>
    <w:rsid w:val="7853C21C"/>
    <w:rsid w:val="7866293C"/>
    <w:rsid w:val="7878785F"/>
    <w:rsid w:val="78795404"/>
    <w:rsid w:val="788477DA"/>
    <w:rsid w:val="788A8FE7"/>
    <w:rsid w:val="788AC36B"/>
    <w:rsid w:val="788FDA9D"/>
    <w:rsid w:val="7892E069"/>
    <w:rsid w:val="7897BA88"/>
    <w:rsid w:val="78AA9CDA"/>
    <w:rsid w:val="78AC22B2"/>
    <w:rsid w:val="78AC5B5F"/>
    <w:rsid w:val="78AF7286"/>
    <w:rsid w:val="78B127D6"/>
    <w:rsid w:val="78B5FE4B"/>
    <w:rsid w:val="78B9DC5F"/>
    <w:rsid w:val="78BA907D"/>
    <w:rsid w:val="78BC6121"/>
    <w:rsid w:val="78C4E580"/>
    <w:rsid w:val="78C8C158"/>
    <w:rsid w:val="78CB56EA"/>
    <w:rsid w:val="78CC6990"/>
    <w:rsid w:val="78D861C1"/>
    <w:rsid w:val="78DA80A3"/>
    <w:rsid w:val="78DFF753"/>
    <w:rsid w:val="78E1D9C2"/>
    <w:rsid w:val="78F2D812"/>
    <w:rsid w:val="78FEBC73"/>
    <w:rsid w:val="7917FD11"/>
    <w:rsid w:val="793CB90E"/>
    <w:rsid w:val="7940AEB9"/>
    <w:rsid w:val="79419955"/>
    <w:rsid w:val="79428522"/>
    <w:rsid w:val="7943950E"/>
    <w:rsid w:val="794B1353"/>
    <w:rsid w:val="79685B93"/>
    <w:rsid w:val="7981BA95"/>
    <w:rsid w:val="7988CBC4"/>
    <w:rsid w:val="798ED8E3"/>
    <w:rsid w:val="798FFC53"/>
    <w:rsid w:val="799AF44E"/>
    <w:rsid w:val="79A0A412"/>
    <w:rsid w:val="79A16B69"/>
    <w:rsid w:val="79A33579"/>
    <w:rsid w:val="79AC2513"/>
    <w:rsid w:val="79AE87D4"/>
    <w:rsid w:val="79BB8DAC"/>
    <w:rsid w:val="79D1A884"/>
    <w:rsid w:val="79D8A496"/>
    <w:rsid w:val="79DB6CE6"/>
    <w:rsid w:val="79DDAC61"/>
    <w:rsid w:val="79F8FED2"/>
    <w:rsid w:val="79FA98F7"/>
    <w:rsid w:val="7A0072A3"/>
    <w:rsid w:val="7A05BEBE"/>
    <w:rsid w:val="7A0E8AC2"/>
    <w:rsid w:val="7A11D8C4"/>
    <w:rsid w:val="7A1F55FE"/>
    <w:rsid w:val="7A23F2EA"/>
    <w:rsid w:val="7A24D63D"/>
    <w:rsid w:val="7A2C5CE5"/>
    <w:rsid w:val="7A3783FE"/>
    <w:rsid w:val="7A4D47AE"/>
    <w:rsid w:val="7A53B80B"/>
    <w:rsid w:val="7A54A044"/>
    <w:rsid w:val="7A5C1392"/>
    <w:rsid w:val="7A64A40A"/>
    <w:rsid w:val="7A6E41C2"/>
    <w:rsid w:val="7A755B09"/>
    <w:rsid w:val="7A7ADE7A"/>
    <w:rsid w:val="7A957B11"/>
    <w:rsid w:val="7A9AB18D"/>
    <w:rsid w:val="7AB98FE9"/>
    <w:rsid w:val="7ACE722F"/>
    <w:rsid w:val="7ACF340C"/>
    <w:rsid w:val="7AD20AA3"/>
    <w:rsid w:val="7AD32E89"/>
    <w:rsid w:val="7AE2B721"/>
    <w:rsid w:val="7AE5EC94"/>
    <w:rsid w:val="7AEA0C47"/>
    <w:rsid w:val="7AF084CB"/>
    <w:rsid w:val="7AF0C234"/>
    <w:rsid w:val="7AFFD067"/>
    <w:rsid w:val="7B0D26AC"/>
    <w:rsid w:val="7B1FDAE5"/>
    <w:rsid w:val="7B23D952"/>
    <w:rsid w:val="7B2C63BD"/>
    <w:rsid w:val="7B2CFBD4"/>
    <w:rsid w:val="7B2E39D5"/>
    <w:rsid w:val="7B3AB1F0"/>
    <w:rsid w:val="7B4214C7"/>
    <w:rsid w:val="7B44C270"/>
    <w:rsid w:val="7B4F561A"/>
    <w:rsid w:val="7B53E15C"/>
    <w:rsid w:val="7B57CBBC"/>
    <w:rsid w:val="7B5C1068"/>
    <w:rsid w:val="7B6AE5F4"/>
    <w:rsid w:val="7B6FFE16"/>
    <w:rsid w:val="7B739522"/>
    <w:rsid w:val="7B7B9C51"/>
    <w:rsid w:val="7B7CE658"/>
    <w:rsid w:val="7B81DD5E"/>
    <w:rsid w:val="7B8764B4"/>
    <w:rsid w:val="7B95A255"/>
    <w:rsid w:val="7BA5B26C"/>
    <w:rsid w:val="7BB80DAE"/>
    <w:rsid w:val="7BBA84AB"/>
    <w:rsid w:val="7BC48DC0"/>
    <w:rsid w:val="7BD64743"/>
    <w:rsid w:val="7BDBEE77"/>
    <w:rsid w:val="7BDCC8DD"/>
    <w:rsid w:val="7BF00630"/>
    <w:rsid w:val="7BF95D9E"/>
    <w:rsid w:val="7C0C2578"/>
    <w:rsid w:val="7C0F5DD2"/>
    <w:rsid w:val="7C136B07"/>
    <w:rsid w:val="7C2D1094"/>
    <w:rsid w:val="7C31CBB3"/>
    <w:rsid w:val="7C4C8D29"/>
    <w:rsid w:val="7C4D0E1D"/>
    <w:rsid w:val="7C599292"/>
    <w:rsid w:val="7C5E6623"/>
    <w:rsid w:val="7C61EB0D"/>
    <w:rsid w:val="7C6A3647"/>
    <w:rsid w:val="7C6C450C"/>
    <w:rsid w:val="7C7E6F0C"/>
    <w:rsid w:val="7C88FCC7"/>
    <w:rsid w:val="7C8F5387"/>
    <w:rsid w:val="7C90F061"/>
    <w:rsid w:val="7C98423F"/>
    <w:rsid w:val="7C991EEA"/>
    <w:rsid w:val="7CA4D833"/>
    <w:rsid w:val="7CB52953"/>
    <w:rsid w:val="7CCA9C96"/>
    <w:rsid w:val="7CD0B87D"/>
    <w:rsid w:val="7CE06815"/>
    <w:rsid w:val="7CFE2BE8"/>
    <w:rsid w:val="7D00551C"/>
    <w:rsid w:val="7D145FFC"/>
    <w:rsid w:val="7D14F48A"/>
    <w:rsid w:val="7D32BF23"/>
    <w:rsid w:val="7D367331"/>
    <w:rsid w:val="7D40DBEE"/>
    <w:rsid w:val="7D4C6F48"/>
    <w:rsid w:val="7D529666"/>
    <w:rsid w:val="7D54C5DB"/>
    <w:rsid w:val="7D6AB711"/>
    <w:rsid w:val="7D6BA9FE"/>
    <w:rsid w:val="7D76ADCC"/>
    <w:rsid w:val="7D82D141"/>
    <w:rsid w:val="7D92818A"/>
    <w:rsid w:val="7D986A70"/>
    <w:rsid w:val="7D9A38FF"/>
    <w:rsid w:val="7D9D1A8A"/>
    <w:rsid w:val="7DA340CB"/>
    <w:rsid w:val="7DA38087"/>
    <w:rsid w:val="7DA4958B"/>
    <w:rsid w:val="7DAC5401"/>
    <w:rsid w:val="7DAE5B5B"/>
    <w:rsid w:val="7DDD8727"/>
    <w:rsid w:val="7DE4807F"/>
    <w:rsid w:val="7DF4E258"/>
    <w:rsid w:val="7DFA7D09"/>
    <w:rsid w:val="7DFF0314"/>
    <w:rsid w:val="7E1CFCDC"/>
    <w:rsid w:val="7E23D3E8"/>
    <w:rsid w:val="7E2A197E"/>
    <w:rsid w:val="7E2E2283"/>
    <w:rsid w:val="7E2F2FFE"/>
    <w:rsid w:val="7E35B389"/>
    <w:rsid w:val="7E3DC9C3"/>
    <w:rsid w:val="7E41298B"/>
    <w:rsid w:val="7E45A53B"/>
    <w:rsid w:val="7E602E8E"/>
    <w:rsid w:val="7E807011"/>
    <w:rsid w:val="7E88BF97"/>
    <w:rsid w:val="7E89C6ED"/>
    <w:rsid w:val="7E928DBA"/>
    <w:rsid w:val="7E989076"/>
    <w:rsid w:val="7EB1542C"/>
    <w:rsid w:val="7EB1E6D2"/>
    <w:rsid w:val="7EBA49A2"/>
    <w:rsid w:val="7EBE2BEC"/>
    <w:rsid w:val="7EC5CE18"/>
    <w:rsid w:val="7ECBB59F"/>
    <w:rsid w:val="7ECFCBF6"/>
    <w:rsid w:val="7EE9346E"/>
    <w:rsid w:val="7EEA9D89"/>
    <w:rsid w:val="7EF3698D"/>
    <w:rsid w:val="7EF97A80"/>
    <w:rsid w:val="7EFF1804"/>
    <w:rsid w:val="7F04BDE6"/>
    <w:rsid w:val="7F316B41"/>
    <w:rsid w:val="7F31A338"/>
    <w:rsid w:val="7F37FA46"/>
    <w:rsid w:val="7F5FBF47"/>
    <w:rsid w:val="7F60CD1E"/>
    <w:rsid w:val="7F670334"/>
    <w:rsid w:val="7F729CC6"/>
    <w:rsid w:val="7F84882A"/>
    <w:rsid w:val="7F85F8B3"/>
    <w:rsid w:val="7F99B4A2"/>
    <w:rsid w:val="7FA08F58"/>
    <w:rsid w:val="7FA2BA67"/>
    <w:rsid w:val="7FAD8741"/>
    <w:rsid w:val="7FAED249"/>
    <w:rsid w:val="7FAF62B2"/>
    <w:rsid w:val="7FB8D444"/>
    <w:rsid w:val="7FBA21F5"/>
    <w:rsid w:val="7FBCF7A4"/>
    <w:rsid w:val="7FBE7046"/>
    <w:rsid w:val="7FC46E75"/>
    <w:rsid w:val="7FCBE791"/>
    <w:rsid w:val="7FD0AE2C"/>
    <w:rsid w:val="7FD4AA3B"/>
    <w:rsid w:val="7FDB6B24"/>
    <w:rsid w:val="7FF50E83"/>
    <w:rsid w:val="7FF9DE4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39EDA"/>
  <w15:chartTrackingRefBased/>
  <w15:docId w15:val="{4F2A29A1-C40E-450F-9233-F2F3B80810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en-US" w:eastAsia="en-US" w:bidi="ar-SA"/>
      </w:rPr>
    </w:rPrDefault>
    <w:pPrDefault>
      <w:pPr>
        <w:spacing w:after="100" w:line="240" w:lineRule="atLeast"/>
        <w:ind w:left="446"/>
      </w:pPr>
    </w:pPrDefault>
  </w:docDefaults>
  <w:latentStyles w:defLockedState="0" w:defUIPriority="99" w:defSemiHidden="0" w:defUnhideWhenUsed="0" w:defQFormat="0" w:count="376">
    <w:lsdException w:name="Normal" w:uiPriority="1"/>
    <w:lsdException w:name="heading 1" w:uiPriority="9" w:qFormat="1"/>
    <w:lsdException w:name="heading 2" w:semiHidden="1" w:uiPriority="1" w:unhideWhenUsed="1" w:qFormat="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1C8D6E3A"/>
    <w:rPr>
      <w:lang w:val="es-HN"/>
    </w:rPr>
  </w:style>
  <w:style w:type="paragraph" w:styleId="Ttulo1">
    <w:name w:val="heading 1"/>
    <w:basedOn w:val="Normal"/>
    <w:next w:val="TextoPrincipal"/>
    <w:link w:val="Ttulo1Car"/>
    <w:uiPriority w:val="9"/>
    <w:qFormat/>
    <w:rsid w:val="00FD71BD"/>
    <w:pPr>
      <w:keepNext/>
      <w:keepLines/>
      <w:spacing w:after="120" w:line="360" w:lineRule="auto"/>
      <w:ind w:left="0"/>
      <w:jc w:val="center"/>
      <w:outlineLvl w:val="0"/>
    </w:pPr>
    <w:rPr>
      <w:rFonts w:eastAsiaTheme="majorEastAsia" w:cs="Times New Roman"/>
      <w:b/>
      <w:bCs/>
      <w:sz w:val="28"/>
      <w:szCs w:val="28"/>
    </w:rPr>
  </w:style>
  <w:style w:type="paragraph" w:styleId="Ttulo2">
    <w:name w:val="heading 2"/>
    <w:basedOn w:val="Normal"/>
    <w:next w:val="TextoPrincipal"/>
    <w:link w:val="Ttulo2Car"/>
    <w:uiPriority w:val="1"/>
    <w:qFormat/>
    <w:rsid w:val="1C8D6E3A"/>
    <w:pPr>
      <w:spacing w:after="120"/>
      <w:ind w:left="0"/>
      <w:outlineLvl w:val="1"/>
    </w:pPr>
    <w:rPr>
      <w:rFonts w:eastAsia="Times New Roman"/>
      <w:b/>
      <w:bCs/>
    </w:rPr>
  </w:style>
  <w:style w:type="paragraph" w:styleId="Ttulo3">
    <w:name w:val="heading 3"/>
    <w:basedOn w:val="Normal"/>
    <w:next w:val="Normal"/>
    <w:link w:val="Ttulo3Car"/>
    <w:uiPriority w:val="9"/>
    <w:unhideWhenUsed/>
    <w:rsid w:val="1C8D6E3A"/>
    <w:pPr>
      <w:keepNext/>
      <w:keepLines/>
      <w:spacing w:before="40"/>
      <w:outlineLvl w:val="2"/>
    </w:pPr>
    <w:rPr>
      <w:rFonts w:asciiTheme="majorHAnsi" w:eastAsiaTheme="majorEastAsia" w:hAnsiTheme="majorHAnsi" w:cstheme="majorBidi"/>
      <w:color w:val="1F3763"/>
    </w:rPr>
  </w:style>
  <w:style w:type="paragraph" w:styleId="Ttulo4">
    <w:name w:val="heading 4"/>
    <w:basedOn w:val="Normal"/>
    <w:next w:val="Normal"/>
    <w:link w:val="Ttulo4Car"/>
    <w:uiPriority w:val="9"/>
    <w:unhideWhenUsed/>
    <w:rsid w:val="1C8D6E3A"/>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unhideWhenUsed/>
    <w:rsid w:val="1C8D6E3A"/>
    <w:pPr>
      <w:keepNext/>
      <w:keepLines/>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unhideWhenUsed/>
    <w:rsid w:val="1C8D6E3A"/>
    <w:pPr>
      <w:keepNext/>
      <w:keepLines/>
      <w:spacing w:before="40" w:after="0"/>
      <w:outlineLvl w:val="5"/>
    </w:pPr>
    <w:rPr>
      <w:rFonts w:asciiTheme="majorHAnsi" w:eastAsiaTheme="majorEastAsia" w:hAnsiTheme="majorHAnsi" w:cstheme="majorBidi"/>
      <w:color w:val="1F3763"/>
    </w:rPr>
  </w:style>
  <w:style w:type="paragraph" w:styleId="Ttulo7">
    <w:name w:val="heading 7"/>
    <w:basedOn w:val="Normal"/>
    <w:next w:val="Normal"/>
    <w:link w:val="Ttulo7Car"/>
    <w:uiPriority w:val="9"/>
    <w:unhideWhenUsed/>
    <w:rsid w:val="1C8D6E3A"/>
    <w:pPr>
      <w:keepNext/>
      <w:keepLines/>
      <w:spacing w:before="40" w:after="0"/>
      <w:outlineLvl w:val="6"/>
    </w:pPr>
    <w:rPr>
      <w:rFonts w:asciiTheme="majorHAnsi" w:eastAsiaTheme="majorEastAsia" w:hAnsiTheme="majorHAnsi" w:cstheme="majorBidi"/>
      <w:i/>
      <w:iCs/>
      <w:color w:val="1F3763"/>
    </w:rPr>
  </w:style>
  <w:style w:type="paragraph" w:styleId="Ttulo8">
    <w:name w:val="heading 8"/>
    <w:basedOn w:val="Normal"/>
    <w:next w:val="Normal"/>
    <w:link w:val="Ttulo8Car"/>
    <w:uiPriority w:val="9"/>
    <w:unhideWhenUsed/>
    <w:rsid w:val="1C8D6E3A"/>
    <w:pPr>
      <w:keepNext/>
      <w:keepLines/>
      <w:spacing w:before="40" w:after="0"/>
      <w:outlineLvl w:val="7"/>
    </w:pPr>
    <w:rPr>
      <w:rFonts w:asciiTheme="majorHAnsi" w:eastAsiaTheme="majorEastAsia" w:hAnsiTheme="majorHAnsi" w:cstheme="majorBidi"/>
      <w:color w:val="272727"/>
      <w:sz w:val="21"/>
      <w:szCs w:val="21"/>
    </w:rPr>
  </w:style>
  <w:style w:type="paragraph" w:styleId="Ttulo9">
    <w:name w:val="heading 9"/>
    <w:basedOn w:val="Normal"/>
    <w:next w:val="Normal"/>
    <w:link w:val="Ttulo9Car"/>
    <w:uiPriority w:val="9"/>
    <w:unhideWhenUsed/>
    <w:rsid w:val="1C8D6E3A"/>
    <w:pPr>
      <w:keepNext/>
      <w:keepLines/>
      <w:spacing w:before="40" w:after="0"/>
      <w:outlineLvl w:val="8"/>
    </w:pPr>
    <w:rPr>
      <w:rFonts w:asciiTheme="majorHAnsi" w:eastAsiaTheme="majorEastAsia" w:hAnsiTheme="majorHAnsi" w:cstheme="majorBidi"/>
      <w:i/>
      <w:iCs/>
      <w:color w:val="272727"/>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extoPrincipal">
    <w:name w:val="Texto Principal"/>
    <w:basedOn w:val="Normal"/>
    <w:link w:val="TextoPrincipalCar"/>
    <w:uiPriority w:val="1"/>
    <w:qFormat/>
    <w:rsid w:val="00337E4E"/>
    <w:pPr>
      <w:spacing w:after="120" w:line="360" w:lineRule="auto"/>
      <w:ind w:left="0" w:firstLine="720"/>
      <w:jc w:val="both"/>
    </w:pPr>
    <w:rPr>
      <w:rFonts w:eastAsia="Calibri" w:cs="Times New Roman"/>
      <w:lang w:val="pt-PT"/>
    </w:rPr>
  </w:style>
  <w:style w:type="character" w:customStyle="1" w:styleId="TextoPrincipalCar">
    <w:name w:val="Texto Principal Car"/>
    <w:basedOn w:val="Fuentedeprrafopredeter"/>
    <w:link w:val="TextoPrincipal"/>
    <w:uiPriority w:val="1"/>
    <w:rsid w:val="00337E4E"/>
    <w:rPr>
      <w:rFonts w:eastAsia="Calibri" w:cs="Times New Roman"/>
      <w:lang w:val="pt-PT"/>
    </w:rPr>
  </w:style>
  <w:style w:type="character" w:customStyle="1" w:styleId="Ttulo1Car">
    <w:name w:val="Título 1 Car"/>
    <w:basedOn w:val="Fuentedeprrafopredeter"/>
    <w:link w:val="Ttulo1"/>
    <w:uiPriority w:val="9"/>
    <w:rsid w:val="00FD71BD"/>
    <w:rPr>
      <w:rFonts w:eastAsiaTheme="majorEastAsia" w:cs="Times New Roman"/>
      <w:b/>
      <w:bCs/>
      <w:sz w:val="28"/>
      <w:szCs w:val="28"/>
      <w:lang w:val="es-HN"/>
    </w:rPr>
  </w:style>
  <w:style w:type="character" w:customStyle="1" w:styleId="Ttulo2Car">
    <w:name w:val="Título 2 Car"/>
    <w:basedOn w:val="Fuentedeprrafopredeter"/>
    <w:link w:val="Ttulo2"/>
    <w:uiPriority w:val="1"/>
    <w:rsid w:val="1C8D6E3A"/>
    <w:rPr>
      <w:rFonts w:ascii="Times New Roman" w:eastAsia="Times New Roman" w:hAnsi="Times New Roman" w:cstheme="minorBidi"/>
      <w:b/>
      <w:bCs/>
      <w:noProof w:val="0"/>
      <w:lang w:val="es-HN"/>
    </w:rPr>
  </w:style>
  <w:style w:type="character" w:customStyle="1" w:styleId="Ttulo3Car">
    <w:name w:val="Título 3 Car"/>
    <w:basedOn w:val="Fuentedeprrafopredeter"/>
    <w:link w:val="Ttulo3"/>
    <w:uiPriority w:val="9"/>
    <w:rsid w:val="1C8D6E3A"/>
    <w:rPr>
      <w:rFonts w:asciiTheme="majorHAnsi" w:eastAsiaTheme="majorEastAsia" w:hAnsiTheme="majorHAnsi" w:cstheme="majorBidi"/>
      <w:noProof w:val="0"/>
      <w:color w:val="1F3763"/>
      <w:lang w:val="es-HN"/>
    </w:rPr>
  </w:style>
  <w:style w:type="character" w:customStyle="1" w:styleId="Ttulo4Car">
    <w:name w:val="Título 4 Car"/>
    <w:basedOn w:val="Fuentedeprrafopredeter"/>
    <w:link w:val="Ttulo4"/>
    <w:uiPriority w:val="9"/>
    <w:rsid w:val="1C8D6E3A"/>
    <w:rPr>
      <w:rFonts w:asciiTheme="majorHAnsi" w:eastAsiaTheme="majorEastAsia" w:hAnsiTheme="majorHAnsi" w:cstheme="majorBidi"/>
      <w:i/>
      <w:iCs/>
      <w:noProof w:val="0"/>
      <w:color w:val="2F5496" w:themeColor="accent1" w:themeShade="BF"/>
      <w:lang w:val="es-HN"/>
    </w:rPr>
  </w:style>
  <w:style w:type="character" w:customStyle="1" w:styleId="Ttulo5Car">
    <w:name w:val="Título 5 Car"/>
    <w:basedOn w:val="Fuentedeprrafopredeter"/>
    <w:link w:val="Ttulo5"/>
    <w:uiPriority w:val="9"/>
    <w:rsid w:val="1C8D6E3A"/>
    <w:rPr>
      <w:rFonts w:asciiTheme="majorHAnsi" w:eastAsiaTheme="majorEastAsia" w:hAnsiTheme="majorHAnsi" w:cstheme="majorBidi"/>
      <w:noProof w:val="0"/>
      <w:color w:val="2F5496" w:themeColor="accent1" w:themeShade="BF"/>
      <w:lang w:val="es-HN"/>
    </w:rPr>
  </w:style>
  <w:style w:type="character" w:customStyle="1" w:styleId="Ttulo6Car">
    <w:name w:val="Título 6 Car"/>
    <w:basedOn w:val="Fuentedeprrafopredeter"/>
    <w:link w:val="Ttulo6"/>
    <w:uiPriority w:val="9"/>
    <w:rsid w:val="1C8D6E3A"/>
    <w:rPr>
      <w:rFonts w:asciiTheme="majorHAnsi" w:eastAsiaTheme="majorEastAsia" w:hAnsiTheme="majorHAnsi" w:cstheme="majorBidi"/>
      <w:noProof w:val="0"/>
      <w:color w:val="1F3763"/>
      <w:lang w:val="es-HN"/>
    </w:rPr>
  </w:style>
  <w:style w:type="character" w:customStyle="1" w:styleId="Ttulo7Car">
    <w:name w:val="Título 7 Car"/>
    <w:basedOn w:val="Fuentedeprrafopredeter"/>
    <w:link w:val="Ttulo7"/>
    <w:uiPriority w:val="9"/>
    <w:rsid w:val="1C8D6E3A"/>
    <w:rPr>
      <w:rFonts w:asciiTheme="majorHAnsi" w:eastAsiaTheme="majorEastAsia" w:hAnsiTheme="majorHAnsi" w:cstheme="majorBidi"/>
      <w:i/>
      <w:iCs/>
      <w:noProof w:val="0"/>
      <w:color w:val="1F3763"/>
      <w:lang w:val="es-HN"/>
    </w:rPr>
  </w:style>
  <w:style w:type="character" w:customStyle="1" w:styleId="Ttulo8Car">
    <w:name w:val="Título 8 Car"/>
    <w:basedOn w:val="Fuentedeprrafopredeter"/>
    <w:link w:val="Ttulo8"/>
    <w:uiPriority w:val="9"/>
    <w:rsid w:val="1C8D6E3A"/>
    <w:rPr>
      <w:rFonts w:asciiTheme="majorHAnsi" w:eastAsiaTheme="majorEastAsia" w:hAnsiTheme="majorHAnsi" w:cstheme="majorBidi"/>
      <w:noProof w:val="0"/>
      <w:color w:val="272727"/>
      <w:sz w:val="21"/>
      <w:szCs w:val="21"/>
      <w:lang w:val="es-HN"/>
    </w:rPr>
  </w:style>
  <w:style w:type="character" w:customStyle="1" w:styleId="Ttulo9Car">
    <w:name w:val="Título 9 Car"/>
    <w:basedOn w:val="Fuentedeprrafopredeter"/>
    <w:link w:val="Ttulo9"/>
    <w:uiPriority w:val="9"/>
    <w:rsid w:val="1C8D6E3A"/>
    <w:rPr>
      <w:rFonts w:asciiTheme="majorHAnsi" w:eastAsiaTheme="majorEastAsia" w:hAnsiTheme="majorHAnsi" w:cstheme="majorBidi"/>
      <w:i/>
      <w:iCs/>
      <w:noProof w:val="0"/>
      <w:color w:val="272727"/>
      <w:sz w:val="21"/>
      <w:szCs w:val="21"/>
      <w:lang w:val="es-HN"/>
    </w:rPr>
  </w:style>
  <w:style w:type="character" w:styleId="Refdecomentario">
    <w:name w:val="annotation reference"/>
    <w:basedOn w:val="Fuentedeprrafopredeter"/>
    <w:uiPriority w:val="99"/>
    <w:semiHidden/>
    <w:unhideWhenUsed/>
    <w:rsid w:val="002C704B"/>
    <w:rPr>
      <w:sz w:val="16"/>
      <w:szCs w:val="16"/>
    </w:rPr>
  </w:style>
  <w:style w:type="paragraph" w:styleId="Textocomentario">
    <w:name w:val="annotation text"/>
    <w:basedOn w:val="Normal"/>
    <w:link w:val="TextocomentarioCar"/>
    <w:uiPriority w:val="99"/>
    <w:unhideWhenUsed/>
    <w:rsid w:val="1C8D6E3A"/>
    <w:rPr>
      <w:sz w:val="20"/>
      <w:szCs w:val="20"/>
    </w:rPr>
  </w:style>
  <w:style w:type="character" w:customStyle="1" w:styleId="TextocomentarioCar">
    <w:name w:val="Texto comentario Car"/>
    <w:basedOn w:val="Fuentedeprrafopredeter"/>
    <w:link w:val="Textocomentario"/>
    <w:uiPriority w:val="99"/>
    <w:rsid w:val="1C8D6E3A"/>
    <w:rPr>
      <w:noProof w:val="0"/>
      <w:sz w:val="20"/>
      <w:szCs w:val="20"/>
      <w:lang w:val="es-HN"/>
    </w:rPr>
  </w:style>
  <w:style w:type="paragraph" w:styleId="Bibliografa">
    <w:name w:val="Bibliography"/>
    <w:basedOn w:val="Normal"/>
    <w:next w:val="Normal"/>
    <w:uiPriority w:val="37"/>
    <w:unhideWhenUsed/>
    <w:rsid w:val="1C8D6E3A"/>
    <w:pPr>
      <w:spacing w:line="480" w:lineRule="auto"/>
      <w:ind w:left="720" w:hanging="720"/>
    </w:pPr>
  </w:style>
  <w:style w:type="character" w:styleId="Hipervnculo">
    <w:name w:val="Hyperlink"/>
    <w:basedOn w:val="Fuentedeprrafopredeter"/>
    <w:uiPriority w:val="99"/>
    <w:unhideWhenUsed/>
    <w:rsid w:val="00642CF3"/>
    <w:rPr>
      <w:color w:val="0563C1" w:themeColor="hyperlink"/>
      <w:u w:val="single"/>
    </w:rPr>
  </w:style>
  <w:style w:type="character" w:styleId="Hipervnculovisitado">
    <w:name w:val="FollowedHyperlink"/>
    <w:basedOn w:val="Fuentedeprrafopredeter"/>
    <w:uiPriority w:val="99"/>
    <w:semiHidden/>
    <w:unhideWhenUsed/>
    <w:rsid w:val="009E0163"/>
    <w:rPr>
      <w:color w:val="954F72" w:themeColor="followedHyperlink"/>
      <w:u w:val="single"/>
    </w:rPr>
  </w:style>
  <w:style w:type="paragraph" w:styleId="Prrafodelista">
    <w:name w:val="List Paragraph"/>
    <w:basedOn w:val="Normal"/>
    <w:uiPriority w:val="1"/>
    <w:rsid w:val="1C8D6E3A"/>
    <w:pPr>
      <w:ind w:left="720"/>
      <w:contextualSpacing/>
    </w:pPr>
  </w:style>
  <w:style w:type="paragraph" w:customStyle="1" w:styleId="CitaLarga">
    <w:name w:val="Cita Larga"/>
    <w:basedOn w:val="Normal"/>
    <w:link w:val="CitaLargaCar"/>
    <w:uiPriority w:val="1"/>
    <w:qFormat/>
    <w:rsid w:val="1C8D6E3A"/>
    <w:pPr>
      <w:spacing w:after="120"/>
      <w:ind w:left="720"/>
      <w:jc w:val="both"/>
    </w:pPr>
    <w:rPr>
      <w:rFonts w:eastAsiaTheme="minorEastAsia" w:cs="Times New Roman"/>
      <w:sz w:val="22"/>
    </w:rPr>
  </w:style>
  <w:style w:type="character" w:customStyle="1" w:styleId="CitaLargaCar">
    <w:name w:val="Cita Larga Car"/>
    <w:basedOn w:val="Fuentedeprrafopredeter"/>
    <w:link w:val="CitaLarga"/>
    <w:uiPriority w:val="1"/>
    <w:rsid w:val="1C8D6E3A"/>
    <w:rPr>
      <w:rFonts w:ascii="Times New Roman" w:eastAsiaTheme="minorEastAsia" w:hAnsi="Times New Roman" w:cs="Times New Roman"/>
      <w:noProof w:val="0"/>
      <w:sz w:val="22"/>
      <w:szCs w:val="22"/>
      <w:lang w:val="es-HN"/>
    </w:rPr>
  </w:style>
  <w:style w:type="paragraph" w:styleId="Asuntodelcomentario">
    <w:name w:val="annotation subject"/>
    <w:basedOn w:val="Textocomentario"/>
    <w:next w:val="Textocomentario"/>
    <w:link w:val="AsuntodelcomentarioCar"/>
    <w:uiPriority w:val="99"/>
    <w:semiHidden/>
    <w:unhideWhenUsed/>
    <w:rsid w:val="1C8D6E3A"/>
    <w:rPr>
      <w:b/>
      <w:bCs/>
    </w:rPr>
  </w:style>
  <w:style w:type="character" w:customStyle="1" w:styleId="AsuntodelcomentarioCar">
    <w:name w:val="Asunto del comentario Car"/>
    <w:basedOn w:val="TextocomentarioCar"/>
    <w:link w:val="Asuntodelcomentario"/>
    <w:uiPriority w:val="99"/>
    <w:semiHidden/>
    <w:rsid w:val="1C8D6E3A"/>
    <w:rPr>
      <w:b/>
      <w:bCs/>
      <w:noProof w:val="0"/>
      <w:sz w:val="20"/>
      <w:szCs w:val="20"/>
      <w:lang w:val="es-HN"/>
    </w:rPr>
  </w:style>
  <w:style w:type="paragraph" w:styleId="TtuloTDC">
    <w:name w:val="TOC Heading"/>
    <w:basedOn w:val="Ttulo1"/>
    <w:next w:val="Normal"/>
    <w:uiPriority w:val="39"/>
    <w:unhideWhenUsed/>
    <w:rsid w:val="1C8D6E3A"/>
    <w:pPr>
      <w:spacing w:after="0"/>
    </w:pPr>
    <w:rPr>
      <w:rFonts w:asciiTheme="majorHAnsi" w:hAnsiTheme="majorHAnsi" w:cstheme="majorBidi"/>
      <w:b w:val="0"/>
      <w:bCs w:val="0"/>
      <w:color w:val="2F5496" w:themeColor="accent1" w:themeShade="BF"/>
      <w:sz w:val="32"/>
      <w:szCs w:val="32"/>
      <w:lang w:val="en-US"/>
    </w:rPr>
  </w:style>
  <w:style w:type="paragraph" w:styleId="TDC1">
    <w:name w:val="toc 1"/>
    <w:basedOn w:val="Normal"/>
    <w:next w:val="Normal"/>
    <w:uiPriority w:val="39"/>
    <w:unhideWhenUsed/>
    <w:rsid w:val="1C8D6E3A"/>
    <w:pPr>
      <w:tabs>
        <w:tab w:val="right" w:leader="dot" w:pos="9350"/>
      </w:tabs>
      <w:spacing w:line="360" w:lineRule="auto"/>
    </w:pPr>
    <w:rPr>
      <w:rFonts w:eastAsia="Times New Roman" w:cs="Times New Roman"/>
      <w:b/>
      <w:bCs/>
      <w:noProof/>
    </w:rPr>
  </w:style>
  <w:style w:type="paragraph" w:styleId="TDC2">
    <w:name w:val="toc 2"/>
    <w:basedOn w:val="Normal"/>
    <w:next w:val="Normal"/>
    <w:uiPriority w:val="39"/>
    <w:unhideWhenUsed/>
    <w:rsid w:val="1C8D6E3A"/>
    <w:pPr>
      <w:tabs>
        <w:tab w:val="left" w:pos="880"/>
        <w:tab w:val="right" w:leader="dot" w:pos="9350"/>
      </w:tabs>
      <w:ind w:left="220"/>
    </w:pPr>
    <w:rPr>
      <w:rFonts w:eastAsia="Times New Roman" w:cs="Times New Roman"/>
      <w:b/>
      <w:bCs/>
      <w:noProof/>
    </w:rPr>
  </w:style>
  <w:style w:type="paragraph" w:styleId="TDC3">
    <w:name w:val="toc 3"/>
    <w:basedOn w:val="Normal"/>
    <w:next w:val="Normal"/>
    <w:uiPriority w:val="39"/>
    <w:unhideWhenUsed/>
    <w:rsid w:val="1C8D6E3A"/>
    <w:pPr>
      <w:tabs>
        <w:tab w:val="right" w:leader="dot" w:pos="9350"/>
      </w:tabs>
      <w:ind w:left="440"/>
    </w:pPr>
  </w:style>
  <w:style w:type="character" w:customStyle="1" w:styleId="UnresolvedMention1">
    <w:name w:val="Unresolved Mention1"/>
    <w:basedOn w:val="Fuentedeprrafopredeter"/>
    <w:uiPriority w:val="99"/>
    <w:semiHidden/>
    <w:unhideWhenUsed/>
    <w:rsid w:val="00554090"/>
    <w:rPr>
      <w:color w:val="605E5C"/>
      <w:shd w:val="clear" w:color="auto" w:fill="E1DFDD"/>
    </w:rPr>
  </w:style>
  <w:style w:type="paragraph" w:customStyle="1" w:styleId="Fuentes">
    <w:name w:val="Fuentes"/>
    <w:basedOn w:val="TextoPrincipal"/>
    <w:link w:val="FuentesCar"/>
    <w:uiPriority w:val="1"/>
    <w:qFormat/>
    <w:rsid w:val="1C8D6E3A"/>
    <w:pPr>
      <w:jc w:val="left"/>
    </w:pPr>
    <w:rPr>
      <w:sz w:val="20"/>
      <w:szCs w:val="20"/>
    </w:rPr>
  </w:style>
  <w:style w:type="character" w:customStyle="1" w:styleId="FuentesCar">
    <w:name w:val="Fuentes Car"/>
    <w:basedOn w:val="TextoPrincipalCar"/>
    <w:link w:val="Fuentes"/>
    <w:uiPriority w:val="1"/>
    <w:rsid w:val="72A91A42"/>
    <w:rPr>
      <w:rFonts w:ascii="Times New Roman" w:eastAsiaTheme="minorEastAsia" w:hAnsi="Times New Roman" w:cs="Times New Roman"/>
      <w:noProof w:val="0"/>
      <w:sz w:val="20"/>
      <w:szCs w:val="20"/>
      <w:lang w:val="es-HN"/>
    </w:rPr>
  </w:style>
  <w:style w:type="paragraph" w:styleId="Encabezado">
    <w:name w:val="header"/>
    <w:basedOn w:val="Normal"/>
    <w:link w:val="EncabezadoCar"/>
    <w:uiPriority w:val="99"/>
    <w:unhideWhenUsed/>
    <w:rsid w:val="1C8D6E3A"/>
    <w:pPr>
      <w:tabs>
        <w:tab w:val="center" w:pos="4680"/>
        <w:tab w:val="right" w:pos="9360"/>
      </w:tabs>
      <w:spacing w:after="0"/>
    </w:pPr>
  </w:style>
  <w:style w:type="character" w:customStyle="1" w:styleId="EncabezadoCar">
    <w:name w:val="Encabezado Car"/>
    <w:basedOn w:val="Fuentedeprrafopredeter"/>
    <w:link w:val="Encabezado"/>
    <w:uiPriority w:val="99"/>
    <w:rsid w:val="1C8D6E3A"/>
    <w:rPr>
      <w:noProof w:val="0"/>
      <w:lang w:val="es-HN"/>
    </w:rPr>
  </w:style>
  <w:style w:type="paragraph" w:styleId="Piedepgina">
    <w:name w:val="footer"/>
    <w:basedOn w:val="Normal"/>
    <w:link w:val="PiedepginaCar"/>
    <w:uiPriority w:val="99"/>
    <w:unhideWhenUsed/>
    <w:rsid w:val="1C8D6E3A"/>
    <w:pPr>
      <w:tabs>
        <w:tab w:val="center" w:pos="4680"/>
        <w:tab w:val="right" w:pos="9360"/>
      </w:tabs>
      <w:spacing w:after="0"/>
    </w:pPr>
  </w:style>
  <w:style w:type="character" w:customStyle="1" w:styleId="PiedepginaCar">
    <w:name w:val="Pie de página Car"/>
    <w:basedOn w:val="Fuentedeprrafopredeter"/>
    <w:link w:val="Piedepgina"/>
    <w:uiPriority w:val="99"/>
    <w:rsid w:val="1C8D6E3A"/>
    <w:rPr>
      <w:noProof w:val="0"/>
      <w:lang w:val="es-HN"/>
    </w:rPr>
  </w:style>
  <w:style w:type="character" w:customStyle="1" w:styleId="UnresolvedMention2">
    <w:name w:val="Unresolved Mention2"/>
    <w:basedOn w:val="Fuentedeprrafopredeter"/>
    <w:uiPriority w:val="99"/>
    <w:semiHidden/>
    <w:unhideWhenUsed/>
    <w:rsid w:val="00982A19"/>
    <w:rPr>
      <w:color w:val="605E5C"/>
      <w:shd w:val="clear" w:color="auto" w:fill="E1DFDD"/>
    </w:rPr>
  </w:style>
  <w:style w:type="table" w:styleId="Tablaconcuadrcula">
    <w:name w:val="Table Grid"/>
    <w:basedOn w:val="Tablanormal"/>
    <w:uiPriority w:val="59"/>
    <w:rsid w:val="003F376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Tabla">
    <w:name w:val="Tabla"/>
    <w:basedOn w:val="TextoPrincipal"/>
    <w:link w:val="TablaCar"/>
    <w:uiPriority w:val="1"/>
    <w:qFormat/>
    <w:rsid w:val="1C8D6E3A"/>
    <w:pPr>
      <w:spacing w:after="0"/>
      <w:ind w:firstLine="0"/>
    </w:pPr>
    <w:rPr>
      <w:sz w:val="18"/>
      <w:szCs w:val="18"/>
    </w:rPr>
  </w:style>
  <w:style w:type="character" w:customStyle="1" w:styleId="TablaCar">
    <w:name w:val="Tabla Car"/>
    <w:basedOn w:val="TextoPrincipalCar"/>
    <w:link w:val="Tabla"/>
    <w:uiPriority w:val="1"/>
    <w:rsid w:val="00DB2284"/>
    <w:rPr>
      <w:rFonts w:ascii="Times New Roman" w:eastAsia="Calibri" w:hAnsi="Times New Roman" w:cs="Times New Roman"/>
      <w:noProof w:val="0"/>
      <w:sz w:val="18"/>
      <w:szCs w:val="18"/>
      <w:lang w:val="pt-PT"/>
    </w:rPr>
  </w:style>
  <w:style w:type="paragraph" w:customStyle="1" w:styleId="Ttulonivel3">
    <w:name w:val="Título nivel 3"/>
    <w:basedOn w:val="Normal"/>
    <w:link w:val="Ttulonivel3Car"/>
    <w:uiPriority w:val="1"/>
    <w:qFormat/>
    <w:rsid w:val="00E72CC7"/>
    <w:pPr>
      <w:keepNext/>
      <w:keepLines/>
      <w:spacing w:after="120" w:line="360" w:lineRule="auto"/>
      <w:ind w:left="720"/>
      <w:outlineLvl w:val="2"/>
    </w:pPr>
    <w:rPr>
      <w:rFonts w:eastAsia="Times New Roman" w:cs="Times New Roman"/>
      <w:b/>
      <w:bCs/>
    </w:rPr>
  </w:style>
  <w:style w:type="character" w:customStyle="1" w:styleId="Ttulonivel3Car">
    <w:name w:val="Título nivel 3 Car"/>
    <w:basedOn w:val="Fuentedeprrafopredeter"/>
    <w:link w:val="Ttulonivel3"/>
    <w:uiPriority w:val="1"/>
    <w:rsid w:val="00E72CC7"/>
    <w:rPr>
      <w:rFonts w:eastAsia="Times New Roman" w:cs="Times New Roman"/>
      <w:b/>
      <w:bCs/>
      <w:lang w:val="es-HN"/>
    </w:rPr>
  </w:style>
  <w:style w:type="paragraph" w:customStyle="1" w:styleId="Ttulonivel4">
    <w:name w:val="Título nivel 4"/>
    <w:basedOn w:val="Normal"/>
    <w:link w:val="Ttulonivel4Car"/>
    <w:uiPriority w:val="1"/>
    <w:qFormat/>
    <w:rsid w:val="00BA1DF2"/>
    <w:pPr>
      <w:keepNext/>
      <w:keepLines/>
      <w:spacing w:after="120" w:line="360" w:lineRule="auto"/>
      <w:ind w:left="1440"/>
      <w:outlineLvl w:val="3"/>
    </w:pPr>
    <w:rPr>
      <w:rFonts w:eastAsia="Times New Roman" w:cs="Times New Roman"/>
      <w:b/>
      <w:bCs/>
    </w:rPr>
  </w:style>
  <w:style w:type="character" w:customStyle="1" w:styleId="Ttulonivel4Car">
    <w:name w:val="Título nivel 4 Car"/>
    <w:basedOn w:val="Fuentedeprrafopredeter"/>
    <w:link w:val="Ttulonivel4"/>
    <w:uiPriority w:val="1"/>
    <w:rsid w:val="00BA1DF2"/>
    <w:rPr>
      <w:rFonts w:eastAsia="Times New Roman" w:cs="Times New Roman"/>
      <w:b/>
      <w:bCs/>
      <w:lang w:val="es-HN"/>
    </w:rPr>
  </w:style>
  <w:style w:type="paragraph" w:customStyle="1" w:styleId="ImagenyTabla">
    <w:name w:val="Imagen y Tabla"/>
    <w:next w:val="TextoPrincipal"/>
    <w:link w:val="ImagenyTablaCar"/>
    <w:uiPriority w:val="1"/>
    <w:qFormat/>
    <w:rsid w:val="00FC4F85"/>
    <w:rPr>
      <w:rFonts w:eastAsia="Times New Roman" w:cs="Times New Roman"/>
      <w:b/>
      <w:bCs/>
      <w:noProof/>
      <w:sz w:val="20"/>
      <w:lang w:val="es-HN" w:eastAsia="es-HN"/>
    </w:rPr>
  </w:style>
  <w:style w:type="character" w:customStyle="1" w:styleId="ImagenyTablaCar">
    <w:name w:val="Imagen y Tabla Car"/>
    <w:basedOn w:val="Ttulonivel3Car"/>
    <w:link w:val="ImagenyTabla"/>
    <w:uiPriority w:val="1"/>
    <w:rsid w:val="1C8D6E3A"/>
    <w:rPr>
      <w:rFonts w:ascii="Times New Roman" w:eastAsia="Times New Roman" w:hAnsi="Times New Roman" w:cs="Times New Roman"/>
      <w:b/>
      <w:bCs/>
      <w:noProof/>
      <w:sz w:val="20"/>
      <w:szCs w:val="20"/>
      <w:lang w:val="es-HN" w:eastAsia="es-HN"/>
    </w:rPr>
  </w:style>
  <w:style w:type="character" w:customStyle="1" w:styleId="UnresolvedMention3">
    <w:name w:val="Unresolved Mention3"/>
    <w:basedOn w:val="Fuentedeprrafopredeter"/>
    <w:uiPriority w:val="99"/>
    <w:semiHidden/>
    <w:unhideWhenUsed/>
    <w:rsid w:val="00C75F15"/>
    <w:rPr>
      <w:color w:val="605E5C"/>
      <w:shd w:val="clear" w:color="auto" w:fill="E1DFDD"/>
    </w:rPr>
  </w:style>
  <w:style w:type="character" w:styleId="Textodelmarcadordeposicin">
    <w:name w:val="Placeholder Text"/>
    <w:basedOn w:val="Fuentedeprrafopredeter"/>
    <w:uiPriority w:val="99"/>
    <w:semiHidden/>
    <w:rsid w:val="00635A4E"/>
    <w:rPr>
      <w:color w:val="808080"/>
    </w:rPr>
  </w:style>
  <w:style w:type="paragraph" w:styleId="Revisin">
    <w:name w:val="Revision"/>
    <w:hidden/>
    <w:uiPriority w:val="99"/>
    <w:semiHidden/>
    <w:rsid w:val="00190550"/>
    <w:pPr>
      <w:spacing w:after="0" w:line="240" w:lineRule="auto"/>
      <w:ind w:left="0"/>
    </w:pPr>
  </w:style>
  <w:style w:type="paragraph" w:styleId="Descripcin">
    <w:name w:val="caption"/>
    <w:basedOn w:val="Normal"/>
    <w:next w:val="Normal"/>
    <w:uiPriority w:val="35"/>
    <w:unhideWhenUsed/>
    <w:rsid w:val="1C8D6E3A"/>
    <w:pPr>
      <w:spacing w:after="200"/>
      <w:ind w:left="0"/>
    </w:pPr>
    <w:rPr>
      <w:b/>
      <w:bCs/>
    </w:rPr>
  </w:style>
  <w:style w:type="paragraph" w:styleId="Tabladeilustraciones">
    <w:name w:val="table of figures"/>
    <w:basedOn w:val="Normal"/>
    <w:next w:val="Normal"/>
    <w:uiPriority w:val="99"/>
    <w:unhideWhenUsed/>
    <w:rsid w:val="1C8D6E3A"/>
    <w:pPr>
      <w:spacing w:after="0"/>
      <w:ind w:left="0"/>
    </w:pPr>
  </w:style>
  <w:style w:type="paragraph" w:styleId="Textodeglobo">
    <w:name w:val="Balloon Text"/>
    <w:basedOn w:val="Normal"/>
    <w:link w:val="TextodegloboCar"/>
    <w:uiPriority w:val="99"/>
    <w:semiHidden/>
    <w:unhideWhenUsed/>
    <w:rsid w:val="1C8D6E3A"/>
    <w:pPr>
      <w:spacing w:after="0"/>
    </w:pPr>
    <w:rPr>
      <w:rFonts w:ascii="Segoe UI" w:eastAsiaTheme="minorEastAsia" w:hAnsi="Segoe UI" w:cs="Segoe UI"/>
      <w:sz w:val="18"/>
      <w:szCs w:val="18"/>
    </w:rPr>
  </w:style>
  <w:style w:type="character" w:customStyle="1" w:styleId="TextodegloboCar">
    <w:name w:val="Texto de globo Car"/>
    <w:basedOn w:val="Fuentedeprrafopredeter"/>
    <w:link w:val="Textodeglobo"/>
    <w:uiPriority w:val="99"/>
    <w:semiHidden/>
    <w:rsid w:val="1C8D6E3A"/>
    <w:rPr>
      <w:rFonts w:ascii="Segoe UI" w:eastAsiaTheme="minorEastAsia" w:hAnsi="Segoe UI" w:cs="Segoe UI"/>
      <w:noProof w:val="0"/>
      <w:sz w:val="18"/>
      <w:szCs w:val="18"/>
      <w:lang w:val="es-HN"/>
    </w:rPr>
  </w:style>
  <w:style w:type="paragraph" w:styleId="Ttulo">
    <w:name w:val="Title"/>
    <w:basedOn w:val="Normal"/>
    <w:next w:val="Normal"/>
    <w:link w:val="TtuloCar"/>
    <w:uiPriority w:val="10"/>
    <w:rsid w:val="1C8D6E3A"/>
    <w:pPr>
      <w:spacing w:after="0"/>
      <w:contextualSpacing/>
    </w:pPr>
    <w:rPr>
      <w:rFonts w:asciiTheme="majorHAnsi" w:eastAsiaTheme="majorEastAsia" w:hAnsiTheme="majorHAnsi" w:cstheme="majorBidi"/>
      <w:sz w:val="56"/>
      <w:szCs w:val="56"/>
    </w:rPr>
  </w:style>
  <w:style w:type="character" w:customStyle="1" w:styleId="TtuloCar">
    <w:name w:val="Título Car"/>
    <w:basedOn w:val="Fuentedeprrafopredeter"/>
    <w:link w:val="Ttulo"/>
    <w:uiPriority w:val="10"/>
    <w:rsid w:val="1C8D6E3A"/>
    <w:rPr>
      <w:rFonts w:asciiTheme="majorHAnsi" w:eastAsiaTheme="majorEastAsia" w:hAnsiTheme="majorHAnsi" w:cstheme="majorBidi"/>
      <w:noProof w:val="0"/>
      <w:sz w:val="56"/>
      <w:szCs w:val="56"/>
      <w:lang w:val="es-HN"/>
    </w:rPr>
  </w:style>
  <w:style w:type="paragraph" w:styleId="Subttulo">
    <w:name w:val="Subtitle"/>
    <w:basedOn w:val="Normal"/>
    <w:next w:val="Normal"/>
    <w:link w:val="SubttuloCar"/>
    <w:uiPriority w:val="11"/>
    <w:rsid w:val="1C8D6E3A"/>
    <w:rPr>
      <w:rFonts w:eastAsiaTheme="minorEastAsia"/>
      <w:color w:val="5A5A5A"/>
    </w:rPr>
  </w:style>
  <w:style w:type="character" w:customStyle="1" w:styleId="SubttuloCar">
    <w:name w:val="Subtítulo Car"/>
    <w:basedOn w:val="Fuentedeprrafopredeter"/>
    <w:link w:val="Subttulo"/>
    <w:uiPriority w:val="11"/>
    <w:rsid w:val="1C8D6E3A"/>
    <w:rPr>
      <w:rFonts w:ascii="Times New Roman" w:eastAsiaTheme="minorEastAsia" w:hAnsi="Times New Roman" w:cstheme="minorBidi"/>
      <w:noProof w:val="0"/>
      <w:color w:val="5A5A5A"/>
      <w:lang w:val="es-HN"/>
    </w:rPr>
  </w:style>
  <w:style w:type="paragraph" w:styleId="Cita">
    <w:name w:val="Quote"/>
    <w:basedOn w:val="Normal"/>
    <w:next w:val="Normal"/>
    <w:link w:val="CitaCar"/>
    <w:uiPriority w:val="29"/>
    <w:rsid w:val="1C8D6E3A"/>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1C8D6E3A"/>
    <w:rPr>
      <w:i/>
      <w:iCs/>
      <w:noProof w:val="0"/>
      <w:color w:val="404040" w:themeColor="text1" w:themeTint="BF"/>
      <w:lang w:val="es-HN"/>
    </w:rPr>
  </w:style>
  <w:style w:type="paragraph" w:styleId="Citadestacada">
    <w:name w:val="Intense Quote"/>
    <w:basedOn w:val="Normal"/>
    <w:next w:val="Normal"/>
    <w:link w:val="CitadestacadaCar"/>
    <w:uiPriority w:val="30"/>
    <w:rsid w:val="1C8D6E3A"/>
    <w:pPr>
      <w:spacing w:before="360" w:after="360"/>
      <w:ind w:left="864" w:right="864"/>
      <w:jc w:val="center"/>
    </w:pPr>
    <w:rPr>
      <w:i/>
      <w:iCs/>
      <w:color w:val="4472C4" w:themeColor="accent1"/>
    </w:rPr>
  </w:style>
  <w:style w:type="character" w:customStyle="1" w:styleId="CitadestacadaCar">
    <w:name w:val="Cita destacada Car"/>
    <w:basedOn w:val="Fuentedeprrafopredeter"/>
    <w:link w:val="Citadestacada"/>
    <w:uiPriority w:val="30"/>
    <w:rsid w:val="1C8D6E3A"/>
    <w:rPr>
      <w:i/>
      <w:iCs/>
      <w:noProof w:val="0"/>
      <w:color w:val="4472C4" w:themeColor="accent1"/>
      <w:lang w:val="es-HN"/>
    </w:rPr>
  </w:style>
  <w:style w:type="paragraph" w:styleId="TDC4">
    <w:name w:val="toc 4"/>
    <w:basedOn w:val="Normal"/>
    <w:next w:val="Normal"/>
    <w:uiPriority w:val="39"/>
    <w:unhideWhenUsed/>
    <w:rsid w:val="1C8D6E3A"/>
    <w:pPr>
      <w:ind w:left="660"/>
    </w:pPr>
  </w:style>
  <w:style w:type="paragraph" w:styleId="TDC5">
    <w:name w:val="toc 5"/>
    <w:basedOn w:val="Normal"/>
    <w:next w:val="Normal"/>
    <w:uiPriority w:val="39"/>
    <w:unhideWhenUsed/>
    <w:rsid w:val="1C8D6E3A"/>
    <w:pPr>
      <w:ind w:left="880"/>
    </w:pPr>
  </w:style>
  <w:style w:type="paragraph" w:styleId="TDC6">
    <w:name w:val="toc 6"/>
    <w:basedOn w:val="Normal"/>
    <w:next w:val="Normal"/>
    <w:uiPriority w:val="39"/>
    <w:unhideWhenUsed/>
    <w:rsid w:val="1C8D6E3A"/>
    <w:pPr>
      <w:ind w:left="1100"/>
    </w:pPr>
  </w:style>
  <w:style w:type="paragraph" w:styleId="TDC7">
    <w:name w:val="toc 7"/>
    <w:basedOn w:val="Normal"/>
    <w:next w:val="Normal"/>
    <w:uiPriority w:val="39"/>
    <w:unhideWhenUsed/>
    <w:rsid w:val="1C8D6E3A"/>
    <w:pPr>
      <w:ind w:left="1320"/>
    </w:pPr>
  </w:style>
  <w:style w:type="paragraph" w:styleId="TDC8">
    <w:name w:val="toc 8"/>
    <w:basedOn w:val="Normal"/>
    <w:next w:val="Normal"/>
    <w:uiPriority w:val="39"/>
    <w:unhideWhenUsed/>
    <w:rsid w:val="1C8D6E3A"/>
    <w:pPr>
      <w:ind w:left="1540"/>
    </w:pPr>
  </w:style>
  <w:style w:type="paragraph" w:styleId="TDC9">
    <w:name w:val="toc 9"/>
    <w:basedOn w:val="Normal"/>
    <w:next w:val="Normal"/>
    <w:uiPriority w:val="39"/>
    <w:unhideWhenUsed/>
    <w:rsid w:val="1C8D6E3A"/>
    <w:pPr>
      <w:ind w:left="1760"/>
    </w:pPr>
  </w:style>
  <w:style w:type="paragraph" w:styleId="Textonotaalfinal">
    <w:name w:val="endnote text"/>
    <w:basedOn w:val="Normal"/>
    <w:link w:val="TextonotaalfinalCar"/>
    <w:uiPriority w:val="99"/>
    <w:semiHidden/>
    <w:unhideWhenUsed/>
    <w:rsid w:val="1C8D6E3A"/>
    <w:pPr>
      <w:spacing w:after="0"/>
    </w:pPr>
    <w:rPr>
      <w:sz w:val="20"/>
      <w:szCs w:val="20"/>
    </w:rPr>
  </w:style>
  <w:style w:type="character" w:customStyle="1" w:styleId="TextonotaalfinalCar">
    <w:name w:val="Texto nota al final Car"/>
    <w:basedOn w:val="Fuentedeprrafopredeter"/>
    <w:link w:val="Textonotaalfinal"/>
    <w:uiPriority w:val="99"/>
    <w:semiHidden/>
    <w:rsid w:val="1C8D6E3A"/>
    <w:rPr>
      <w:noProof w:val="0"/>
      <w:sz w:val="20"/>
      <w:szCs w:val="20"/>
      <w:lang w:val="es-HN"/>
    </w:rPr>
  </w:style>
  <w:style w:type="paragraph" w:styleId="Textonotapie">
    <w:name w:val="footnote text"/>
    <w:basedOn w:val="Normal"/>
    <w:link w:val="TextonotapieCar"/>
    <w:uiPriority w:val="99"/>
    <w:semiHidden/>
    <w:unhideWhenUsed/>
    <w:rsid w:val="1C8D6E3A"/>
    <w:pPr>
      <w:spacing w:after="0"/>
    </w:pPr>
    <w:rPr>
      <w:sz w:val="20"/>
      <w:szCs w:val="20"/>
    </w:rPr>
  </w:style>
  <w:style w:type="character" w:customStyle="1" w:styleId="TextonotapieCar">
    <w:name w:val="Texto nota pie Car"/>
    <w:basedOn w:val="Fuentedeprrafopredeter"/>
    <w:link w:val="Textonotapie"/>
    <w:uiPriority w:val="99"/>
    <w:semiHidden/>
    <w:rsid w:val="1C8D6E3A"/>
    <w:rPr>
      <w:noProof w:val="0"/>
      <w:sz w:val="20"/>
      <w:szCs w:val="20"/>
      <w:lang w:val="es-HN"/>
    </w:rPr>
  </w:style>
  <w:style w:type="character" w:customStyle="1" w:styleId="Mencinsinresolver1">
    <w:name w:val="Mención sin resolver1"/>
    <w:basedOn w:val="Fuentedeprrafopredeter"/>
    <w:uiPriority w:val="99"/>
    <w:semiHidden/>
    <w:unhideWhenUsed/>
    <w:rsid w:val="00CB6514"/>
    <w:rPr>
      <w:color w:val="605E5C"/>
      <w:shd w:val="clear" w:color="auto" w:fill="E1DFDD"/>
    </w:rPr>
  </w:style>
  <w:style w:type="paragraph" w:customStyle="1" w:styleId="Normal1">
    <w:name w:val="Normal1"/>
    <w:next w:val="Normal"/>
    <w:uiPriority w:val="1"/>
    <w:qFormat/>
    <w:rsid w:val="00E2033B"/>
    <w:pPr>
      <w:ind w:left="0"/>
    </w:pPr>
    <w:rPr>
      <w:rFonts w:eastAsia="Times New Roman" w:cs="Times New Roman"/>
      <w:bCs/>
      <w:lang w:val="es-HN"/>
    </w:rPr>
  </w:style>
  <w:style w:type="paragraph" w:customStyle="1" w:styleId="Nivel5">
    <w:name w:val="Nivel 5"/>
    <w:basedOn w:val="Ttulo5"/>
    <w:next w:val="Ttulo5"/>
    <w:link w:val="Nivel5Car"/>
    <w:uiPriority w:val="1"/>
    <w:qFormat/>
    <w:rsid w:val="0053775F"/>
    <w:pPr>
      <w:spacing w:before="120" w:after="120"/>
      <w:ind w:left="1440"/>
    </w:pPr>
    <w:rPr>
      <w:rFonts w:ascii="Times New Roman" w:hAnsi="Times New Roman"/>
      <w:b/>
      <w:bCs/>
      <w:color w:val="auto"/>
    </w:rPr>
  </w:style>
  <w:style w:type="character" w:customStyle="1" w:styleId="UnresolvedMention4">
    <w:name w:val="Unresolved Mention4"/>
    <w:basedOn w:val="Fuentedeprrafopredeter"/>
    <w:uiPriority w:val="99"/>
    <w:semiHidden/>
    <w:unhideWhenUsed/>
    <w:rsid w:val="00505CBF"/>
    <w:rPr>
      <w:color w:val="605E5C"/>
      <w:shd w:val="clear" w:color="auto" w:fill="E1DFDD"/>
    </w:rPr>
  </w:style>
  <w:style w:type="character" w:customStyle="1" w:styleId="Nivel5Car">
    <w:name w:val="Nivel 5 Car"/>
    <w:basedOn w:val="Ttulonivel4Car"/>
    <w:link w:val="Nivel5"/>
    <w:uiPriority w:val="1"/>
    <w:rsid w:val="0053775F"/>
    <w:rPr>
      <w:rFonts w:eastAsiaTheme="majorEastAsia" w:cstheme="majorBidi"/>
      <w:b/>
      <w:bCs/>
      <w:lang w:val="es-HN"/>
    </w:rPr>
  </w:style>
  <w:style w:type="character" w:customStyle="1" w:styleId="Mencinsinresolver2">
    <w:name w:val="Mención sin resolver2"/>
    <w:basedOn w:val="Fuentedeprrafopredeter"/>
    <w:uiPriority w:val="99"/>
    <w:semiHidden/>
    <w:unhideWhenUsed/>
    <w:rsid w:val="00C36FF7"/>
    <w:rPr>
      <w:color w:val="605E5C"/>
      <w:shd w:val="clear" w:color="auto" w:fill="E1DFDD"/>
    </w:rPr>
  </w:style>
  <w:style w:type="paragraph" w:styleId="Textoindependiente">
    <w:name w:val="Body Text"/>
    <w:basedOn w:val="Normal"/>
    <w:link w:val="TextoindependienteCar"/>
    <w:uiPriority w:val="1"/>
    <w:rsid w:val="00A84B9C"/>
    <w:pPr>
      <w:widowControl w:val="0"/>
      <w:spacing w:after="0" w:line="240" w:lineRule="auto"/>
      <w:ind w:left="100" w:firstLine="566"/>
    </w:pPr>
    <w:rPr>
      <w:rFonts w:eastAsia="Times New Roman"/>
      <w:szCs w:val="24"/>
    </w:rPr>
  </w:style>
  <w:style w:type="character" w:customStyle="1" w:styleId="TextoindependienteCar">
    <w:name w:val="Texto independiente Car"/>
    <w:basedOn w:val="Fuentedeprrafopredeter"/>
    <w:link w:val="Textoindependiente"/>
    <w:uiPriority w:val="1"/>
    <w:rsid w:val="00A84B9C"/>
    <w:rPr>
      <w:rFonts w:eastAsia="Times New Roman"/>
      <w:szCs w:val="24"/>
      <w:lang w:val="es-HN"/>
    </w:rPr>
  </w:style>
  <w:style w:type="character" w:customStyle="1" w:styleId="Mencinsinresolver3">
    <w:name w:val="Mención sin resolver3"/>
    <w:basedOn w:val="Fuentedeprrafopredeter"/>
    <w:uiPriority w:val="99"/>
    <w:semiHidden/>
    <w:unhideWhenUsed/>
    <w:rsid w:val="0020234C"/>
    <w:rPr>
      <w:color w:val="605E5C"/>
      <w:shd w:val="clear" w:color="auto" w:fill="E1DFDD"/>
    </w:rPr>
  </w:style>
  <w:style w:type="character" w:styleId="Mencinsinresolver">
    <w:name w:val="Unresolved Mention"/>
    <w:basedOn w:val="Fuentedeprrafopredeter"/>
    <w:uiPriority w:val="99"/>
    <w:semiHidden/>
    <w:unhideWhenUsed/>
    <w:rsid w:val="00D921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385957">
      <w:bodyDiv w:val="1"/>
      <w:marLeft w:val="0"/>
      <w:marRight w:val="0"/>
      <w:marTop w:val="0"/>
      <w:marBottom w:val="0"/>
      <w:divBdr>
        <w:top w:val="none" w:sz="0" w:space="0" w:color="auto"/>
        <w:left w:val="none" w:sz="0" w:space="0" w:color="auto"/>
        <w:bottom w:val="none" w:sz="0" w:space="0" w:color="auto"/>
        <w:right w:val="none" w:sz="0" w:space="0" w:color="auto"/>
      </w:divBdr>
    </w:div>
    <w:div w:id="45569262">
      <w:bodyDiv w:val="1"/>
      <w:marLeft w:val="0"/>
      <w:marRight w:val="0"/>
      <w:marTop w:val="0"/>
      <w:marBottom w:val="0"/>
      <w:divBdr>
        <w:top w:val="none" w:sz="0" w:space="0" w:color="auto"/>
        <w:left w:val="none" w:sz="0" w:space="0" w:color="auto"/>
        <w:bottom w:val="none" w:sz="0" w:space="0" w:color="auto"/>
        <w:right w:val="none" w:sz="0" w:space="0" w:color="auto"/>
      </w:divBdr>
    </w:div>
    <w:div w:id="47538630">
      <w:bodyDiv w:val="1"/>
      <w:marLeft w:val="0"/>
      <w:marRight w:val="0"/>
      <w:marTop w:val="0"/>
      <w:marBottom w:val="0"/>
      <w:divBdr>
        <w:top w:val="none" w:sz="0" w:space="0" w:color="auto"/>
        <w:left w:val="none" w:sz="0" w:space="0" w:color="auto"/>
        <w:bottom w:val="none" w:sz="0" w:space="0" w:color="auto"/>
        <w:right w:val="none" w:sz="0" w:space="0" w:color="auto"/>
      </w:divBdr>
    </w:div>
    <w:div w:id="57215634">
      <w:bodyDiv w:val="1"/>
      <w:marLeft w:val="0"/>
      <w:marRight w:val="0"/>
      <w:marTop w:val="0"/>
      <w:marBottom w:val="0"/>
      <w:divBdr>
        <w:top w:val="none" w:sz="0" w:space="0" w:color="auto"/>
        <w:left w:val="none" w:sz="0" w:space="0" w:color="auto"/>
        <w:bottom w:val="none" w:sz="0" w:space="0" w:color="auto"/>
        <w:right w:val="none" w:sz="0" w:space="0" w:color="auto"/>
      </w:divBdr>
    </w:div>
    <w:div w:id="69541639">
      <w:bodyDiv w:val="1"/>
      <w:marLeft w:val="0"/>
      <w:marRight w:val="0"/>
      <w:marTop w:val="0"/>
      <w:marBottom w:val="0"/>
      <w:divBdr>
        <w:top w:val="none" w:sz="0" w:space="0" w:color="auto"/>
        <w:left w:val="none" w:sz="0" w:space="0" w:color="auto"/>
        <w:bottom w:val="none" w:sz="0" w:space="0" w:color="auto"/>
        <w:right w:val="none" w:sz="0" w:space="0" w:color="auto"/>
      </w:divBdr>
    </w:div>
    <w:div w:id="138228021">
      <w:bodyDiv w:val="1"/>
      <w:marLeft w:val="0"/>
      <w:marRight w:val="0"/>
      <w:marTop w:val="0"/>
      <w:marBottom w:val="0"/>
      <w:divBdr>
        <w:top w:val="none" w:sz="0" w:space="0" w:color="auto"/>
        <w:left w:val="none" w:sz="0" w:space="0" w:color="auto"/>
        <w:bottom w:val="none" w:sz="0" w:space="0" w:color="auto"/>
        <w:right w:val="none" w:sz="0" w:space="0" w:color="auto"/>
      </w:divBdr>
    </w:div>
    <w:div w:id="139153817">
      <w:bodyDiv w:val="1"/>
      <w:marLeft w:val="0"/>
      <w:marRight w:val="0"/>
      <w:marTop w:val="0"/>
      <w:marBottom w:val="0"/>
      <w:divBdr>
        <w:top w:val="none" w:sz="0" w:space="0" w:color="auto"/>
        <w:left w:val="none" w:sz="0" w:space="0" w:color="auto"/>
        <w:bottom w:val="none" w:sz="0" w:space="0" w:color="auto"/>
        <w:right w:val="none" w:sz="0" w:space="0" w:color="auto"/>
      </w:divBdr>
    </w:div>
    <w:div w:id="143083940">
      <w:bodyDiv w:val="1"/>
      <w:marLeft w:val="0"/>
      <w:marRight w:val="0"/>
      <w:marTop w:val="0"/>
      <w:marBottom w:val="0"/>
      <w:divBdr>
        <w:top w:val="none" w:sz="0" w:space="0" w:color="auto"/>
        <w:left w:val="none" w:sz="0" w:space="0" w:color="auto"/>
        <w:bottom w:val="none" w:sz="0" w:space="0" w:color="auto"/>
        <w:right w:val="none" w:sz="0" w:space="0" w:color="auto"/>
      </w:divBdr>
    </w:div>
    <w:div w:id="150753996">
      <w:bodyDiv w:val="1"/>
      <w:marLeft w:val="0"/>
      <w:marRight w:val="0"/>
      <w:marTop w:val="0"/>
      <w:marBottom w:val="0"/>
      <w:divBdr>
        <w:top w:val="none" w:sz="0" w:space="0" w:color="auto"/>
        <w:left w:val="none" w:sz="0" w:space="0" w:color="auto"/>
        <w:bottom w:val="none" w:sz="0" w:space="0" w:color="auto"/>
        <w:right w:val="none" w:sz="0" w:space="0" w:color="auto"/>
      </w:divBdr>
    </w:div>
    <w:div w:id="151332044">
      <w:bodyDiv w:val="1"/>
      <w:marLeft w:val="0"/>
      <w:marRight w:val="0"/>
      <w:marTop w:val="0"/>
      <w:marBottom w:val="0"/>
      <w:divBdr>
        <w:top w:val="none" w:sz="0" w:space="0" w:color="auto"/>
        <w:left w:val="none" w:sz="0" w:space="0" w:color="auto"/>
        <w:bottom w:val="none" w:sz="0" w:space="0" w:color="auto"/>
        <w:right w:val="none" w:sz="0" w:space="0" w:color="auto"/>
      </w:divBdr>
    </w:div>
    <w:div w:id="177620386">
      <w:bodyDiv w:val="1"/>
      <w:marLeft w:val="0"/>
      <w:marRight w:val="0"/>
      <w:marTop w:val="0"/>
      <w:marBottom w:val="0"/>
      <w:divBdr>
        <w:top w:val="none" w:sz="0" w:space="0" w:color="auto"/>
        <w:left w:val="none" w:sz="0" w:space="0" w:color="auto"/>
        <w:bottom w:val="none" w:sz="0" w:space="0" w:color="auto"/>
        <w:right w:val="none" w:sz="0" w:space="0" w:color="auto"/>
      </w:divBdr>
    </w:div>
    <w:div w:id="247036118">
      <w:bodyDiv w:val="1"/>
      <w:marLeft w:val="0"/>
      <w:marRight w:val="0"/>
      <w:marTop w:val="0"/>
      <w:marBottom w:val="0"/>
      <w:divBdr>
        <w:top w:val="none" w:sz="0" w:space="0" w:color="auto"/>
        <w:left w:val="none" w:sz="0" w:space="0" w:color="auto"/>
        <w:bottom w:val="none" w:sz="0" w:space="0" w:color="auto"/>
        <w:right w:val="none" w:sz="0" w:space="0" w:color="auto"/>
      </w:divBdr>
    </w:div>
    <w:div w:id="265423832">
      <w:bodyDiv w:val="1"/>
      <w:marLeft w:val="0"/>
      <w:marRight w:val="0"/>
      <w:marTop w:val="0"/>
      <w:marBottom w:val="0"/>
      <w:divBdr>
        <w:top w:val="none" w:sz="0" w:space="0" w:color="auto"/>
        <w:left w:val="none" w:sz="0" w:space="0" w:color="auto"/>
        <w:bottom w:val="none" w:sz="0" w:space="0" w:color="auto"/>
        <w:right w:val="none" w:sz="0" w:space="0" w:color="auto"/>
      </w:divBdr>
    </w:div>
    <w:div w:id="288098428">
      <w:bodyDiv w:val="1"/>
      <w:marLeft w:val="0"/>
      <w:marRight w:val="0"/>
      <w:marTop w:val="0"/>
      <w:marBottom w:val="0"/>
      <w:divBdr>
        <w:top w:val="none" w:sz="0" w:space="0" w:color="auto"/>
        <w:left w:val="none" w:sz="0" w:space="0" w:color="auto"/>
        <w:bottom w:val="none" w:sz="0" w:space="0" w:color="auto"/>
        <w:right w:val="none" w:sz="0" w:space="0" w:color="auto"/>
      </w:divBdr>
    </w:div>
    <w:div w:id="358746808">
      <w:bodyDiv w:val="1"/>
      <w:marLeft w:val="0"/>
      <w:marRight w:val="0"/>
      <w:marTop w:val="0"/>
      <w:marBottom w:val="0"/>
      <w:divBdr>
        <w:top w:val="none" w:sz="0" w:space="0" w:color="auto"/>
        <w:left w:val="none" w:sz="0" w:space="0" w:color="auto"/>
        <w:bottom w:val="none" w:sz="0" w:space="0" w:color="auto"/>
        <w:right w:val="none" w:sz="0" w:space="0" w:color="auto"/>
      </w:divBdr>
    </w:div>
    <w:div w:id="373504511">
      <w:bodyDiv w:val="1"/>
      <w:marLeft w:val="0"/>
      <w:marRight w:val="0"/>
      <w:marTop w:val="0"/>
      <w:marBottom w:val="0"/>
      <w:divBdr>
        <w:top w:val="none" w:sz="0" w:space="0" w:color="auto"/>
        <w:left w:val="none" w:sz="0" w:space="0" w:color="auto"/>
        <w:bottom w:val="none" w:sz="0" w:space="0" w:color="auto"/>
        <w:right w:val="none" w:sz="0" w:space="0" w:color="auto"/>
      </w:divBdr>
    </w:div>
    <w:div w:id="386296142">
      <w:bodyDiv w:val="1"/>
      <w:marLeft w:val="0"/>
      <w:marRight w:val="0"/>
      <w:marTop w:val="0"/>
      <w:marBottom w:val="0"/>
      <w:divBdr>
        <w:top w:val="none" w:sz="0" w:space="0" w:color="auto"/>
        <w:left w:val="none" w:sz="0" w:space="0" w:color="auto"/>
        <w:bottom w:val="none" w:sz="0" w:space="0" w:color="auto"/>
        <w:right w:val="none" w:sz="0" w:space="0" w:color="auto"/>
      </w:divBdr>
    </w:div>
    <w:div w:id="447433556">
      <w:bodyDiv w:val="1"/>
      <w:marLeft w:val="0"/>
      <w:marRight w:val="0"/>
      <w:marTop w:val="0"/>
      <w:marBottom w:val="0"/>
      <w:divBdr>
        <w:top w:val="none" w:sz="0" w:space="0" w:color="auto"/>
        <w:left w:val="none" w:sz="0" w:space="0" w:color="auto"/>
        <w:bottom w:val="none" w:sz="0" w:space="0" w:color="auto"/>
        <w:right w:val="none" w:sz="0" w:space="0" w:color="auto"/>
      </w:divBdr>
    </w:div>
    <w:div w:id="460224978">
      <w:bodyDiv w:val="1"/>
      <w:marLeft w:val="0"/>
      <w:marRight w:val="0"/>
      <w:marTop w:val="0"/>
      <w:marBottom w:val="0"/>
      <w:divBdr>
        <w:top w:val="none" w:sz="0" w:space="0" w:color="auto"/>
        <w:left w:val="none" w:sz="0" w:space="0" w:color="auto"/>
        <w:bottom w:val="none" w:sz="0" w:space="0" w:color="auto"/>
        <w:right w:val="none" w:sz="0" w:space="0" w:color="auto"/>
      </w:divBdr>
    </w:div>
    <w:div w:id="515852045">
      <w:bodyDiv w:val="1"/>
      <w:marLeft w:val="0"/>
      <w:marRight w:val="0"/>
      <w:marTop w:val="0"/>
      <w:marBottom w:val="0"/>
      <w:divBdr>
        <w:top w:val="none" w:sz="0" w:space="0" w:color="auto"/>
        <w:left w:val="none" w:sz="0" w:space="0" w:color="auto"/>
        <w:bottom w:val="none" w:sz="0" w:space="0" w:color="auto"/>
        <w:right w:val="none" w:sz="0" w:space="0" w:color="auto"/>
      </w:divBdr>
    </w:div>
    <w:div w:id="609550671">
      <w:bodyDiv w:val="1"/>
      <w:marLeft w:val="0"/>
      <w:marRight w:val="0"/>
      <w:marTop w:val="0"/>
      <w:marBottom w:val="0"/>
      <w:divBdr>
        <w:top w:val="none" w:sz="0" w:space="0" w:color="auto"/>
        <w:left w:val="none" w:sz="0" w:space="0" w:color="auto"/>
        <w:bottom w:val="none" w:sz="0" w:space="0" w:color="auto"/>
        <w:right w:val="none" w:sz="0" w:space="0" w:color="auto"/>
      </w:divBdr>
    </w:div>
    <w:div w:id="630290397">
      <w:bodyDiv w:val="1"/>
      <w:marLeft w:val="0"/>
      <w:marRight w:val="0"/>
      <w:marTop w:val="0"/>
      <w:marBottom w:val="0"/>
      <w:divBdr>
        <w:top w:val="none" w:sz="0" w:space="0" w:color="auto"/>
        <w:left w:val="none" w:sz="0" w:space="0" w:color="auto"/>
        <w:bottom w:val="none" w:sz="0" w:space="0" w:color="auto"/>
        <w:right w:val="none" w:sz="0" w:space="0" w:color="auto"/>
      </w:divBdr>
    </w:div>
    <w:div w:id="642392124">
      <w:bodyDiv w:val="1"/>
      <w:marLeft w:val="0"/>
      <w:marRight w:val="0"/>
      <w:marTop w:val="0"/>
      <w:marBottom w:val="0"/>
      <w:divBdr>
        <w:top w:val="none" w:sz="0" w:space="0" w:color="auto"/>
        <w:left w:val="none" w:sz="0" w:space="0" w:color="auto"/>
        <w:bottom w:val="none" w:sz="0" w:space="0" w:color="auto"/>
        <w:right w:val="none" w:sz="0" w:space="0" w:color="auto"/>
      </w:divBdr>
    </w:div>
    <w:div w:id="702368661">
      <w:bodyDiv w:val="1"/>
      <w:marLeft w:val="0"/>
      <w:marRight w:val="0"/>
      <w:marTop w:val="0"/>
      <w:marBottom w:val="0"/>
      <w:divBdr>
        <w:top w:val="none" w:sz="0" w:space="0" w:color="auto"/>
        <w:left w:val="none" w:sz="0" w:space="0" w:color="auto"/>
        <w:bottom w:val="none" w:sz="0" w:space="0" w:color="auto"/>
        <w:right w:val="none" w:sz="0" w:space="0" w:color="auto"/>
      </w:divBdr>
    </w:div>
    <w:div w:id="707217869">
      <w:bodyDiv w:val="1"/>
      <w:marLeft w:val="0"/>
      <w:marRight w:val="0"/>
      <w:marTop w:val="0"/>
      <w:marBottom w:val="0"/>
      <w:divBdr>
        <w:top w:val="none" w:sz="0" w:space="0" w:color="auto"/>
        <w:left w:val="none" w:sz="0" w:space="0" w:color="auto"/>
        <w:bottom w:val="none" w:sz="0" w:space="0" w:color="auto"/>
        <w:right w:val="none" w:sz="0" w:space="0" w:color="auto"/>
      </w:divBdr>
    </w:div>
    <w:div w:id="714542614">
      <w:bodyDiv w:val="1"/>
      <w:marLeft w:val="0"/>
      <w:marRight w:val="0"/>
      <w:marTop w:val="0"/>
      <w:marBottom w:val="0"/>
      <w:divBdr>
        <w:top w:val="none" w:sz="0" w:space="0" w:color="auto"/>
        <w:left w:val="none" w:sz="0" w:space="0" w:color="auto"/>
        <w:bottom w:val="none" w:sz="0" w:space="0" w:color="auto"/>
        <w:right w:val="none" w:sz="0" w:space="0" w:color="auto"/>
      </w:divBdr>
    </w:div>
    <w:div w:id="735400052">
      <w:bodyDiv w:val="1"/>
      <w:marLeft w:val="0"/>
      <w:marRight w:val="0"/>
      <w:marTop w:val="0"/>
      <w:marBottom w:val="0"/>
      <w:divBdr>
        <w:top w:val="none" w:sz="0" w:space="0" w:color="auto"/>
        <w:left w:val="none" w:sz="0" w:space="0" w:color="auto"/>
        <w:bottom w:val="none" w:sz="0" w:space="0" w:color="auto"/>
        <w:right w:val="none" w:sz="0" w:space="0" w:color="auto"/>
      </w:divBdr>
    </w:div>
    <w:div w:id="741295692">
      <w:bodyDiv w:val="1"/>
      <w:marLeft w:val="0"/>
      <w:marRight w:val="0"/>
      <w:marTop w:val="0"/>
      <w:marBottom w:val="0"/>
      <w:divBdr>
        <w:top w:val="none" w:sz="0" w:space="0" w:color="auto"/>
        <w:left w:val="none" w:sz="0" w:space="0" w:color="auto"/>
        <w:bottom w:val="none" w:sz="0" w:space="0" w:color="auto"/>
        <w:right w:val="none" w:sz="0" w:space="0" w:color="auto"/>
      </w:divBdr>
    </w:div>
    <w:div w:id="778991558">
      <w:bodyDiv w:val="1"/>
      <w:marLeft w:val="0"/>
      <w:marRight w:val="0"/>
      <w:marTop w:val="0"/>
      <w:marBottom w:val="0"/>
      <w:divBdr>
        <w:top w:val="none" w:sz="0" w:space="0" w:color="auto"/>
        <w:left w:val="none" w:sz="0" w:space="0" w:color="auto"/>
        <w:bottom w:val="none" w:sz="0" w:space="0" w:color="auto"/>
        <w:right w:val="none" w:sz="0" w:space="0" w:color="auto"/>
      </w:divBdr>
    </w:div>
    <w:div w:id="786852928">
      <w:bodyDiv w:val="1"/>
      <w:marLeft w:val="0"/>
      <w:marRight w:val="0"/>
      <w:marTop w:val="0"/>
      <w:marBottom w:val="0"/>
      <w:divBdr>
        <w:top w:val="none" w:sz="0" w:space="0" w:color="auto"/>
        <w:left w:val="none" w:sz="0" w:space="0" w:color="auto"/>
        <w:bottom w:val="none" w:sz="0" w:space="0" w:color="auto"/>
        <w:right w:val="none" w:sz="0" w:space="0" w:color="auto"/>
      </w:divBdr>
    </w:div>
    <w:div w:id="813520615">
      <w:bodyDiv w:val="1"/>
      <w:marLeft w:val="0"/>
      <w:marRight w:val="0"/>
      <w:marTop w:val="0"/>
      <w:marBottom w:val="0"/>
      <w:divBdr>
        <w:top w:val="none" w:sz="0" w:space="0" w:color="auto"/>
        <w:left w:val="none" w:sz="0" w:space="0" w:color="auto"/>
        <w:bottom w:val="none" w:sz="0" w:space="0" w:color="auto"/>
        <w:right w:val="none" w:sz="0" w:space="0" w:color="auto"/>
      </w:divBdr>
    </w:div>
    <w:div w:id="821431954">
      <w:bodyDiv w:val="1"/>
      <w:marLeft w:val="0"/>
      <w:marRight w:val="0"/>
      <w:marTop w:val="0"/>
      <w:marBottom w:val="0"/>
      <w:divBdr>
        <w:top w:val="none" w:sz="0" w:space="0" w:color="auto"/>
        <w:left w:val="none" w:sz="0" w:space="0" w:color="auto"/>
        <w:bottom w:val="none" w:sz="0" w:space="0" w:color="auto"/>
        <w:right w:val="none" w:sz="0" w:space="0" w:color="auto"/>
      </w:divBdr>
    </w:div>
    <w:div w:id="869680466">
      <w:bodyDiv w:val="1"/>
      <w:marLeft w:val="0"/>
      <w:marRight w:val="0"/>
      <w:marTop w:val="0"/>
      <w:marBottom w:val="0"/>
      <w:divBdr>
        <w:top w:val="none" w:sz="0" w:space="0" w:color="auto"/>
        <w:left w:val="none" w:sz="0" w:space="0" w:color="auto"/>
        <w:bottom w:val="none" w:sz="0" w:space="0" w:color="auto"/>
        <w:right w:val="none" w:sz="0" w:space="0" w:color="auto"/>
      </w:divBdr>
    </w:div>
    <w:div w:id="881743506">
      <w:bodyDiv w:val="1"/>
      <w:marLeft w:val="0"/>
      <w:marRight w:val="0"/>
      <w:marTop w:val="0"/>
      <w:marBottom w:val="0"/>
      <w:divBdr>
        <w:top w:val="none" w:sz="0" w:space="0" w:color="auto"/>
        <w:left w:val="none" w:sz="0" w:space="0" w:color="auto"/>
        <w:bottom w:val="none" w:sz="0" w:space="0" w:color="auto"/>
        <w:right w:val="none" w:sz="0" w:space="0" w:color="auto"/>
      </w:divBdr>
    </w:div>
    <w:div w:id="938099048">
      <w:bodyDiv w:val="1"/>
      <w:marLeft w:val="0"/>
      <w:marRight w:val="0"/>
      <w:marTop w:val="0"/>
      <w:marBottom w:val="0"/>
      <w:divBdr>
        <w:top w:val="none" w:sz="0" w:space="0" w:color="auto"/>
        <w:left w:val="none" w:sz="0" w:space="0" w:color="auto"/>
        <w:bottom w:val="none" w:sz="0" w:space="0" w:color="auto"/>
        <w:right w:val="none" w:sz="0" w:space="0" w:color="auto"/>
      </w:divBdr>
    </w:div>
    <w:div w:id="960382105">
      <w:bodyDiv w:val="1"/>
      <w:marLeft w:val="0"/>
      <w:marRight w:val="0"/>
      <w:marTop w:val="0"/>
      <w:marBottom w:val="0"/>
      <w:divBdr>
        <w:top w:val="none" w:sz="0" w:space="0" w:color="auto"/>
        <w:left w:val="none" w:sz="0" w:space="0" w:color="auto"/>
        <w:bottom w:val="none" w:sz="0" w:space="0" w:color="auto"/>
        <w:right w:val="none" w:sz="0" w:space="0" w:color="auto"/>
      </w:divBdr>
    </w:div>
    <w:div w:id="979766743">
      <w:bodyDiv w:val="1"/>
      <w:marLeft w:val="0"/>
      <w:marRight w:val="0"/>
      <w:marTop w:val="0"/>
      <w:marBottom w:val="0"/>
      <w:divBdr>
        <w:top w:val="none" w:sz="0" w:space="0" w:color="auto"/>
        <w:left w:val="none" w:sz="0" w:space="0" w:color="auto"/>
        <w:bottom w:val="none" w:sz="0" w:space="0" w:color="auto"/>
        <w:right w:val="none" w:sz="0" w:space="0" w:color="auto"/>
      </w:divBdr>
    </w:div>
    <w:div w:id="1017542610">
      <w:bodyDiv w:val="1"/>
      <w:marLeft w:val="0"/>
      <w:marRight w:val="0"/>
      <w:marTop w:val="0"/>
      <w:marBottom w:val="0"/>
      <w:divBdr>
        <w:top w:val="none" w:sz="0" w:space="0" w:color="auto"/>
        <w:left w:val="none" w:sz="0" w:space="0" w:color="auto"/>
        <w:bottom w:val="none" w:sz="0" w:space="0" w:color="auto"/>
        <w:right w:val="none" w:sz="0" w:space="0" w:color="auto"/>
      </w:divBdr>
    </w:div>
    <w:div w:id="1026949206">
      <w:bodyDiv w:val="1"/>
      <w:marLeft w:val="0"/>
      <w:marRight w:val="0"/>
      <w:marTop w:val="0"/>
      <w:marBottom w:val="0"/>
      <w:divBdr>
        <w:top w:val="none" w:sz="0" w:space="0" w:color="auto"/>
        <w:left w:val="none" w:sz="0" w:space="0" w:color="auto"/>
        <w:bottom w:val="none" w:sz="0" w:space="0" w:color="auto"/>
        <w:right w:val="none" w:sz="0" w:space="0" w:color="auto"/>
      </w:divBdr>
    </w:div>
    <w:div w:id="1048071949">
      <w:bodyDiv w:val="1"/>
      <w:marLeft w:val="0"/>
      <w:marRight w:val="0"/>
      <w:marTop w:val="0"/>
      <w:marBottom w:val="0"/>
      <w:divBdr>
        <w:top w:val="none" w:sz="0" w:space="0" w:color="auto"/>
        <w:left w:val="none" w:sz="0" w:space="0" w:color="auto"/>
        <w:bottom w:val="none" w:sz="0" w:space="0" w:color="auto"/>
        <w:right w:val="none" w:sz="0" w:space="0" w:color="auto"/>
      </w:divBdr>
    </w:div>
    <w:div w:id="1104569645">
      <w:bodyDiv w:val="1"/>
      <w:marLeft w:val="0"/>
      <w:marRight w:val="0"/>
      <w:marTop w:val="0"/>
      <w:marBottom w:val="0"/>
      <w:divBdr>
        <w:top w:val="none" w:sz="0" w:space="0" w:color="auto"/>
        <w:left w:val="none" w:sz="0" w:space="0" w:color="auto"/>
        <w:bottom w:val="none" w:sz="0" w:space="0" w:color="auto"/>
        <w:right w:val="none" w:sz="0" w:space="0" w:color="auto"/>
      </w:divBdr>
    </w:div>
    <w:div w:id="1119107887">
      <w:bodyDiv w:val="1"/>
      <w:marLeft w:val="0"/>
      <w:marRight w:val="0"/>
      <w:marTop w:val="0"/>
      <w:marBottom w:val="0"/>
      <w:divBdr>
        <w:top w:val="none" w:sz="0" w:space="0" w:color="auto"/>
        <w:left w:val="none" w:sz="0" w:space="0" w:color="auto"/>
        <w:bottom w:val="none" w:sz="0" w:space="0" w:color="auto"/>
        <w:right w:val="none" w:sz="0" w:space="0" w:color="auto"/>
      </w:divBdr>
    </w:div>
    <w:div w:id="1125271448">
      <w:bodyDiv w:val="1"/>
      <w:marLeft w:val="0"/>
      <w:marRight w:val="0"/>
      <w:marTop w:val="0"/>
      <w:marBottom w:val="0"/>
      <w:divBdr>
        <w:top w:val="none" w:sz="0" w:space="0" w:color="auto"/>
        <w:left w:val="none" w:sz="0" w:space="0" w:color="auto"/>
        <w:bottom w:val="none" w:sz="0" w:space="0" w:color="auto"/>
        <w:right w:val="none" w:sz="0" w:space="0" w:color="auto"/>
      </w:divBdr>
    </w:div>
    <w:div w:id="1138568470">
      <w:bodyDiv w:val="1"/>
      <w:marLeft w:val="0"/>
      <w:marRight w:val="0"/>
      <w:marTop w:val="0"/>
      <w:marBottom w:val="0"/>
      <w:divBdr>
        <w:top w:val="none" w:sz="0" w:space="0" w:color="auto"/>
        <w:left w:val="none" w:sz="0" w:space="0" w:color="auto"/>
        <w:bottom w:val="none" w:sz="0" w:space="0" w:color="auto"/>
        <w:right w:val="none" w:sz="0" w:space="0" w:color="auto"/>
      </w:divBdr>
    </w:div>
    <w:div w:id="1168062286">
      <w:bodyDiv w:val="1"/>
      <w:marLeft w:val="0"/>
      <w:marRight w:val="0"/>
      <w:marTop w:val="0"/>
      <w:marBottom w:val="0"/>
      <w:divBdr>
        <w:top w:val="none" w:sz="0" w:space="0" w:color="auto"/>
        <w:left w:val="none" w:sz="0" w:space="0" w:color="auto"/>
        <w:bottom w:val="none" w:sz="0" w:space="0" w:color="auto"/>
        <w:right w:val="none" w:sz="0" w:space="0" w:color="auto"/>
      </w:divBdr>
    </w:div>
    <w:div w:id="1248347080">
      <w:bodyDiv w:val="1"/>
      <w:marLeft w:val="0"/>
      <w:marRight w:val="0"/>
      <w:marTop w:val="0"/>
      <w:marBottom w:val="0"/>
      <w:divBdr>
        <w:top w:val="none" w:sz="0" w:space="0" w:color="auto"/>
        <w:left w:val="none" w:sz="0" w:space="0" w:color="auto"/>
        <w:bottom w:val="none" w:sz="0" w:space="0" w:color="auto"/>
        <w:right w:val="none" w:sz="0" w:space="0" w:color="auto"/>
      </w:divBdr>
    </w:div>
    <w:div w:id="1275136886">
      <w:bodyDiv w:val="1"/>
      <w:marLeft w:val="0"/>
      <w:marRight w:val="0"/>
      <w:marTop w:val="0"/>
      <w:marBottom w:val="0"/>
      <w:divBdr>
        <w:top w:val="none" w:sz="0" w:space="0" w:color="auto"/>
        <w:left w:val="none" w:sz="0" w:space="0" w:color="auto"/>
        <w:bottom w:val="none" w:sz="0" w:space="0" w:color="auto"/>
        <w:right w:val="none" w:sz="0" w:space="0" w:color="auto"/>
      </w:divBdr>
    </w:div>
    <w:div w:id="1288273189">
      <w:bodyDiv w:val="1"/>
      <w:marLeft w:val="0"/>
      <w:marRight w:val="0"/>
      <w:marTop w:val="0"/>
      <w:marBottom w:val="0"/>
      <w:divBdr>
        <w:top w:val="none" w:sz="0" w:space="0" w:color="auto"/>
        <w:left w:val="none" w:sz="0" w:space="0" w:color="auto"/>
        <w:bottom w:val="none" w:sz="0" w:space="0" w:color="auto"/>
        <w:right w:val="none" w:sz="0" w:space="0" w:color="auto"/>
      </w:divBdr>
    </w:div>
    <w:div w:id="1350522770">
      <w:bodyDiv w:val="1"/>
      <w:marLeft w:val="0"/>
      <w:marRight w:val="0"/>
      <w:marTop w:val="0"/>
      <w:marBottom w:val="0"/>
      <w:divBdr>
        <w:top w:val="none" w:sz="0" w:space="0" w:color="auto"/>
        <w:left w:val="none" w:sz="0" w:space="0" w:color="auto"/>
        <w:bottom w:val="none" w:sz="0" w:space="0" w:color="auto"/>
        <w:right w:val="none" w:sz="0" w:space="0" w:color="auto"/>
      </w:divBdr>
    </w:div>
    <w:div w:id="1352609407">
      <w:bodyDiv w:val="1"/>
      <w:marLeft w:val="0"/>
      <w:marRight w:val="0"/>
      <w:marTop w:val="0"/>
      <w:marBottom w:val="0"/>
      <w:divBdr>
        <w:top w:val="none" w:sz="0" w:space="0" w:color="auto"/>
        <w:left w:val="none" w:sz="0" w:space="0" w:color="auto"/>
        <w:bottom w:val="none" w:sz="0" w:space="0" w:color="auto"/>
        <w:right w:val="none" w:sz="0" w:space="0" w:color="auto"/>
      </w:divBdr>
    </w:div>
    <w:div w:id="1381979495">
      <w:bodyDiv w:val="1"/>
      <w:marLeft w:val="0"/>
      <w:marRight w:val="0"/>
      <w:marTop w:val="0"/>
      <w:marBottom w:val="0"/>
      <w:divBdr>
        <w:top w:val="none" w:sz="0" w:space="0" w:color="auto"/>
        <w:left w:val="none" w:sz="0" w:space="0" w:color="auto"/>
        <w:bottom w:val="none" w:sz="0" w:space="0" w:color="auto"/>
        <w:right w:val="none" w:sz="0" w:space="0" w:color="auto"/>
      </w:divBdr>
    </w:div>
    <w:div w:id="1385182043">
      <w:bodyDiv w:val="1"/>
      <w:marLeft w:val="0"/>
      <w:marRight w:val="0"/>
      <w:marTop w:val="0"/>
      <w:marBottom w:val="0"/>
      <w:divBdr>
        <w:top w:val="none" w:sz="0" w:space="0" w:color="auto"/>
        <w:left w:val="none" w:sz="0" w:space="0" w:color="auto"/>
        <w:bottom w:val="none" w:sz="0" w:space="0" w:color="auto"/>
        <w:right w:val="none" w:sz="0" w:space="0" w:color="auto"/>
      </w:divBdr>
    </w:div>
    <w:div w:id="1464814667">
      <w:bodyDiv w:val="1"/>
      <w:marLeft w:val="0"/>
      <w:marRight w:val="0"/>
      <w:marTop w:val="0"/>
      <w:marBottom w:val="0"/>
      <w:divBdr>
        <w:top w:val="none" w:sz="0" w:space="0" w:color="auto"/>
        <w:left w:val="none" w:sz="0" w:space="0" w:color="auto"/>
        <w:bottom w:val="none" w:sz="0" w:space="0" w:color="auto"/>
        <w:right w:val="none" w:sz="0" w:space="0" w:color="auto"/>
      </w:divBdr>
    </w:div>
    <w:div w:id="1510869879">
      <w:bodyDiv w:val="1"/>
      <w:marLeft w:val="0"/>
      <w:marRight w:val="0"/>
      <w:marTop w:val="0"/>
      <w:marBottom w:val="0"/>
      <w:divBdr>
        <w:top w:val="none" w:sz="0" w:space="0" w:color="auto"/>
        <w:left w:val="none" w:sz="0" w:space="0" w:color="auto"/>
        <w:bottom w:val="none" w:sz="0" w:space="0" w:color="auto"/>
        <w:right w:val="none" w:sz="0" w:space="0" w:color="auto"/>
      </w:divBdr>
    </w:div>
    <w:div w:id="1512792298">
      <w:bodyDiv w:val="1"/>
      <w:marLeft w:val="0"/>
      <w:marRight w:val="0"/>
      <w:marTop w:val="0"/>
      <w:marBottom w:val="0"/>
      <w:divBdr>
        <w:top w:val="none" w:sz="0" w:space="0" w:color="auto"/>
        <w:left w:val="none" w:sz="0" w:space="0" w:color="auto"/>
        <w:bottom w:val="none" w:sz="0" w:space="0" w:color="auto"/>
        <w:right w:val="none" w:sz="0" w:space="0" w:color="auto"/>
      </w:divBdr>
    </w:div>
    <w:div w:id="1512839376">
      <w:bodyDiv w:val="1"/>
      <w:marLeft w:val="0"/>
      <w:marRight w:val="0"/>
      <w:marTop w:val="0"/>
      <w:marBottom w:val="0"/>
      <w:divBdr>
        <w:top w:val="none" w:sz="0" w:space="0" w:color="auto"/>
        <w:left w:val="none" w:sz="0" w:space="0" w:color="auto"/>
        <w:bottom w:val="none" w:sz="0" w:space="0" w:color="auto"/>
        <w:right w:val="none" w:sz="0" w:space="0" w:color="auto"/>
      </w:divBdr>
    </w:div>
    <w:div w:id="1540314343">
      <w:bodyDiv w:val="1"/>
      <w:marLeft w:val="0"/>
      <w:marRight w:val="0"/>
      <w:marTop w:val="0"/>
      <w:marBottom w:val="0"/>
      <w:divBdr>
        <w:top w:val="none" w:sz="0" w:space="0" w:color="auto"/>
        <w:left w:val="none" w:sz="0" w:space="0" w:color="auto"/>
        <w:bottom w:val="none" w:sz="0" w:space="0" w:color="auto"/>
        <w:right w:val="none" w:sz="0" w:space="0" w:color="auto"/>
      </w:divBdr>
    </w:div>
    <w:div w:id="1597320629">
      <w:bodyDiv w:val="1"/>
      <w:marLeft w:val="0"/>
      <w:marRight w:val="0"/>
      <w:marTop w:val="0"/>
      <w:marBottom w:val="0"/>
      <w:divBdr>
        <w:top w:val="none" w:sz="0" w:space="0" w:color="auto"/>
        <w:left w:val="none" w:sz="0" w:space="0" w:color="auto"/>
        <w:bottom w:val="none" w:sz="0" w:space="0" w:color="auto"/>
        <w:right w:val="none" w:sz="0" w:space="0" w:color="auto"/>
      </w:divBdr>
      <w:divsChild>
        <w:div w:id="339739741">
          <w:marLeft w:val="0"/>
          <w:marRight w:val="0"/>
          <w:marTop w:val="0"/>
          <w:marBottom w:val="0"/>
          <w:divBdr>
            <w:top w:val="single" w:sz="2" w:space="0" w:color="auto"/>
            <w:left w:val="single" w:sz="2" w:space="0" w:color="auto"/>
            <w:bottom w:val="single" w:sz="6" w:space="0" w:color="auto"/>
            <w:right w:val="single" w:sz="2" w:space="0" w:color="auto"/>
          </w:divBdr>
          <w:divsChild>
            <w:div w:id="754713010">
              <w:marLeft w:val="0"/>
              <w:marRight w:val="0"/>
              <w:marTop w:val="100"/>
              <w:marBottom w:val="100"/>
              <w:divBdr>
                <w:top w:val="single" w:sz="2" w:space="0" w:color="D9D9E3"/>
                <w:left w:val="single" w:sz="2" w:space="0" w:color="D9D9E3"/>
                <w:bottom w:val="single" w:sz="2" w:space="0" w:color="D9D9E3"/>
                <w:right w:val="single" w:sz="2" w:space="0" w:color="D9D9E3"/>
              </w:divBdr>
              <w:divsChild>
                <w:div w:id="1155756972">
                  <w:marLeft w:val="0"/>
                  <w:marRight w:val="0"/>
                  <w:marTop w:val="0"/>
                  <w:marBottom w:val="0"/>
                  <w:divBdr>
                    <w:top w:val="single" w:sz="2" w:space="0" w:color="D9D9E3"/>
                    <w:left w:val="single" w:sz="2" w:space="0" w:color="D9D9E3"/>
                    <w:bottom w:val="single" w:sz="2" w:space="0" w:color="D9D9E3"/>
                    <w:right w:val="single" w:sz="2" w:space="0" w:color="D9D9E3"/>
                  </w:divBdr>
                  <w:divsChild>
                    <w:div w:id="1275792787">
                      <w:marLeft w:val="0"/>
                      <w:marRight w:val="0"/>
                      <w:marTop w:val="0"/>
                      <w:marBottom w:val="0"/>
                      <w:divBdr>
                        <w:top w:val="single" w:sz="2" w:space="0" w:color="D9D9E3"/>
                        <w:left w:val="single" w:sz="2" w:space="0" w:color="D9D9E3"/>
                        <w:bottom w:val="single" w:sz="2" w:space="0" w:color="D9D9E3"/>
                        <w:right w:val="single" w:sz="2" w:space="0" w:color="D9D9E3"/>
                      </w:divBdr>
                      <w:divsChild>
                        <w:div w:id="961224995">
                          <w:marLeft w:val="0"/>
                          <w:marRight w:val="0"/>
                          <w:marTop w:val="0"/>
                          <w:marBottom w:val="0"/>
                          <w:divBdr>
                            <w:top w:val="single" w:sz="2" w:space="0" w:color="D9D9E3"/>
                            <w:left w:val="single" w:sz="2" w:space="0" w:color="D9D9E3"/>
                            <w:bottom w:val="single" w:sz="2" w:space="0" w:color="D9D9E3"/>
                            <w:right w:val="single" w:sz="2" w:space="0" w:color="D9D9E3"/>
                          </w:divBdr>
                          <w:divsChild>
                            <w:div w:id="9280036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706712641">
      <w:bodyDiv w:val="1"/>
      <w:marLeft w:val="0"/>
      <w:marRight w:val="0"/>
      <w:marTop w:val="0"/>
      <w:marBottom w:val="0"/>
      <w:divBdr>
        <w:top w:val="none" w:sz="0" w:space="0" w:color="auto"/>
        <w:left w:val="none" w:sz="0" w:space="0" w:color="auto"/>
        <w:bottom w:val="none" w:sz="0" w:space="0" w:color="auto"/>
        <w:right w:val="none" w:sz="0" w:space="0" w:color="auto"/>
      </w:divBdr>
    </w:div>
    <w:div w:id="1706754843">
      <w:bodyDiv w:val="1"/>
      <w:marLeft w:val="0"/>
      <w:marRight w:val="0"/>
      <w:marTop w:val="0"/>
      <w:marBottom w:val="0"/>
      <w:divBdr>
        <w:top w:val="none" w:sz="0" w:space="0" w:color="auto"/>
        <w:left w:val="none" w:sz="0" w:space="0" w:color="auto"/>
        <w:bottom w:val="none" w:sz="0" w:space="0" w:color="auto"/>
        <w:right w:val="none" w:sz="0" w:space="0" w:color="auto"/>
      </w:divBdr>
    </w:div>
    <w:div w:id="1709645233">
      <w:bodyDiv w:val="1"/>
      <w:marLeft w:val="0"/>
      <w:marRight w:val="0"/>
      <w:marTop w:val="0"/>
      <w:marBottom w:val="0"/>
      <w:divBdr>
        <w:top w:val="none" w:sz="0" w:space="0" w:color="auto"/>
        <w:left w:val="none" w:sz="0" w:space="0" w:color="auto"/>
        <w:bottom w:val="none" w:sz="0" w:space="0" w:color="auto"/>
        <w:right w:val="none" w:sz="0" w:space="0" w:color="auto"/>
      </w:divBdr>
    </w:div>
    <w:div w:id="1710914218">
      <w:bodyDiv w:val="1"/>
      <w:marLeft w:val="0"/>
      <w:marRight w:val="0"/>
      <w:marTop w:val="0"/>
      <w:marBottom w:val="0"/>
      <w:divBdr>
        <w:top w:val="none" w:sz="0" w:space="0" w:color="auto"/>
        <w:left w:val="none" w:sz="0" w:space="0" w:color="auto"/>
        <w:bottom w:val="none" w:sz="0" w:space="0" w:color="auto"/>
        <w:right w:val="none" w:sz="0" w:space="0" w:color="auto"/>
      </w:divBdr>
    </w:div>
    <w:div w:id="1765301250">
      <w:bodyDiv w:val="1"/>
      <w:marLeft w:val="0"/>
      <w:marRight w:val="0"/>
      <w:marTop w:val="0"/>
      <w:marBottom w:val="0"/>
      <w:divBdr>
        <w:top w:val="none" w:sz="0" w:space="0" w:color="auto"/>
        <w:left w:val="none" w:sz="0" w:space="0" w:color="auto"/>
        <w:bottom w:val="none" w:sz="0" w:space="0" w:color="auto"/>
        <w:right w:val="none" w:sz="0" w:space="0" w:color="auto"/>
      </w:divBdr>
    </w:div>
    <w:div w:id="1786582958">
      <w:bodyDiv w:val="1"/>
      <w:marLeft w:val="0"/>
      <w:marRight w:val="0"/>
      <w:marTop w:val="0"/>
      <w:marBottom w:val="0"/>
      <w:divBdr>
        <w:top w:val="none" w:sz="0" w:space="0" w:color="auto"/>
        <w:left w:val="none" w:sz="0" w:space="0" w:color="auto"/>
        <w:bottom w:val="none" w:sz="0" w:space="0" w:color="auto"/>
        <w:right w:val="none" w:sz="0" w:space="0" w:color="auto"/>
      </w:divBdr>
    </w:div>
    <w:div w:id="1791824172">
      <w:bodyDiv w:val="1"/>
      <w:marLeft w:val="0"/>
      <w:marRight w:val="0"/>
      <w:marTop w:val="0"/>
      <w:marBottom w:val="0"/>
      <w:divBdr>
        <w:top w:val="none" w:sz="0" w:space="0" w:color="auto"/>
        <w:left w:val="none" w:sz="0" w:space="0" w:color="auto"/>
        <w:bottom w:val="none" w:sz="0" w:space="0" w:color="auto"/>
        <w:right w:val="none" w:sz="0" w:space="0" w:color="auto"/>
      </w:divBdr>
    </w:div>
    <w:div w:id="1801193240">
      <w:bodyDiv w:val="1"/>
      <w:marLeft w:val="0"/>
      <w:marRight w:val="0"/>
      <w:marTop w:val="0"/>
      <w:marBottom w:val="0"/>
      <w:divBdr>
        <w:top w:val="none" w:sz="0" w:space="0" w:color="auto"/>
        <w:left w:val="none" w:sz="0" w:space="0" w:color="auto"/>
        <w:bottom w:val="none" w:sz="0" w:space="0" w:color="auto"/>
        <w:right w:val="none" w:sz="0" w:space="0" w:color="auto"/>
      </w:divBdr>
    </w:div>
    <w:div w:id="1879048512">
      <w:bodyDiv w:val="1"/>
      <w:marLeft w:val="0"/>
      <w:marRight w:val="0"/>
      <w:marTop w:val="0"/>
      <w:marBottom w:val="0"/>
      <w:divBdr>
        <w:top w:val="none" w:sz="0" w:space="0" w:color="auto"/>
        <w:left w:val="none" w:sz="0" w:space="0" w:color="auto"/>
        <w:bottom w:val="none" w:sz="0" w:space="0" w:color="auto"/>
        <w:right w:val="none" w:sz="0" w:space="0" w:color="auto"/>
      </w:divBdr>
    </w:div>
    <w:div w:id="1887254648">
      <w:bodyDiv w:val="1"/>
      <w:marLeft w:val="0"/>
      <w:marRight w:val="0"/>
      <w:marTop w:val="0"/>
      <w:marBottom w:val="0"/>
      <w:divBdr>
        <w:top w:val="none" w:sz="0" w:space="0" w:color="auto"/>
        <w:left w:val="none" w:sz="0" w:space="0" w:color="auto"/>
        <w:bottom w:val="none" w:sz="0" w:space="0" w:color="auto"/>
        <w:right w:val="none" w:sz="0" w:space="0" w:color="auto"/>
      </w:divBdr>
    </w:div>
    <w:div w:id="1919707280">
      <w:bodyDiv w:val="1"/>
      <w:marLeft w:val="0"/>
      <w:marRight w:val="0"/>
      <w:marTop w:val="0"/>
      <w:marBottom w:val="0"/>
      <w:divBdr>
        <w:top w:val="none" w:sz="0" w:space="0" w:color="auto"/>
        <w:left w:val="none" w:sz="0" w:space="0" w:color="auto"/>
        <w:bottom w:val="none" w:sz="0" w:space="0" w:color="auto"/>
        <w:right w:val="none" w:sz="0" w:space="0" w:color="auto"/>
      </w:divBdr>
    </w:div>
    <w:div w:id="1930501772">
      <w:bodyDiv w:val="1"/>
      <w:marLeft w:val="0"/>
      <w:marRight w:val="0"/>
      <w:marTop w:val="0"/>
      <w:marBottom w:val="0"/>
      <w:divBdr>
        <w:top w:val="none" w:sz="0" w:space="0" w:color="auto"/>
        <w:left w:val="none" w:sz="0" w:space="0" w:color="auto"/>
        <w:bottom w:val="none" w:sz="0" w:space="0" w:color="auto"/>
        <w:right w:val="none" w:sz="0" w:space="0" w:color="auto"/>
      </w:divBdr>
    </w:div>
    <w:div w:id="1938050553">
      <w:bodyDiv w:val="1"/>
      <w:marLeft w:val="0"/>
      <w:marRight w:val="0"/>
      <w:marTop w:val="0"/>
      <w:marBottom w:val="0"/>
      <w:divBdr>
        <w:top w:val="none" w:sz="0" w:space="0" w:color="auto"/>
        <w:left w:val="none" w:sz="0" w:space="0" w:color="auto"/>
        <w:bottom w:val="none" w:sz="0" w:space="0" w:color="auto"/>
        <w:right w:val="none" w:sz="0" w:space="0" w:color="auto"/>
      </w:divBdr>
    </w:div>
    <w:div w:id="1939177233">
      <w:bodyDiv w:val="1"/>
      <w:marLeft w:val="0"/>
      <w:marRight w:val="0"/>
      <w:marTop w:val="0"/>
      <w:marBottom w:val="0"/>
      <w:divBdr>
        <w:top w:val="none" w:sz="0" w:space="0" w:color="auto"/>
        <w:left w:val="none" w:sz="0" w:space="0" w:color="auto"/>
        <w:bottom w:val="none" w:sz="0" w:space="0" w:color="auto"/>
        <w:right w:val="none" w:sz="0" w:space="0" w:color="auto"/>
      </w:divBdr>
    </w:div>
    <w:div w:id="2011836161">
      <w:bodyDiv w:val="1"/>
      <w:marLeft w:val="0"/>
      <w:marRight w:val="0"/>
      <w:marTop w:val="0"/>
      <w:marBottom w:val="0"/>
      <w:divBdr>
        <w:top w:val="none" w:sz="0" w:space="0" w:color="auto"/>
        <w:left w:val="none" w:sz="0" w:space="0" w:color="auto"/>
        <w:bottom w:val="none" w:sz="0" w:space="0" w:color="auto"/>
        <w:right w:val="none" w:sz="0" w:space="0" w:color="auto"/>
      </w:divBdr>
    </w:div>
    <w:div w:id="2047557221">
      <w:bodyDiv w:val="1"/>
      <w:marLeft w:val="0"/>
      <w:marRight w:val="0"/>
      <w:marTop w:val="0"/>
      <w:marBottom w:val="0"/>
      <w:divBdr>
        <w:top w:val="none" w:sz="0" w:space="0" w:color="auto"/>
        <w:left w:val="none" w:sz="0" w:space="0" w:color="auto"/>
        <w:bottom w:val="none" w:sz="0" w:space="0" w:color="auto"/>
        <w:right w:val="none" w:sz="0" w:space="0" w:color="auto"/>
      </w:divBdr>
    </w:div>
    <w:div w:id="2055040916">
      <w:bodyDiv w:val="1"/>
      <w:marLeft w:val="0"/>
      <w:marRight w:val="0"/>
      <w:marTop w:val="0"/>
      <w:marBottom w:val="0"/>
      <w:divBdr>
        <w:top w:val="none" w:sz="0" w:space="0" w:color="auto"/>
        <w:left w:val="none" w:sz="0" w:space="0" w:color="auto"/>
        <w:bottom w:val="none" w:sz="0" w:space="0" w:color="auto"/>
        <w:right w:val="none" w:sz="0" w:space="0" w:color="auto"/>
      </w:divBdr>
    </w:div>
    <w:div w:id="2100061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7.png"/><Relationship Id="rId26" Type="http://schemas.openxmlformats.org/officeDocument/2006/relationships/chart" Target="charts/chart6.xml"/><Relationship Id="rId39" Type="http://schemas.openxmlformats.org/officeDocument/2006/relationships/image" Target="media/image16.jpeg"/><Relationship Id="rId21" Type="http://schemas.openxmlformats.org/officeDocument/2006/relationships/chart" Target="charts/chart1.xml"/><Relationship Id="rId34" Type="http://schemas.openxmlformats.org/officeDocument/2006/relationships/image" Target="media/image11.png"/><Relationship Id="rId42" Type="http://schemas.openxmlformats.org/officeDocument/2006/relationships/image" Target="media/image19.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chart" Target="charts/chart4.xml"/><Relationship Id="rId32" Type="http://schemas.openxmlformats.org/officeDocument/2006/relationships/chart" Target="charts/chart12.xml"/><Relationship Id="rId37" Type="http://schemas.openxmlformats.org/officeDocument/2006/relationships/image" Target="media/image14.jpeg"/><Relationship Id="rId40" Type="http://schemas.openxmlformats.org/officeDocument/2006/relationships/image" Target="media/image17.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chart" Target="charts/chart3.xml"/><Relationship Id="rId28" Type="http://schemas.openxmlformats.org/officeDocument/2006/relationships/chart" Target="charts/chart8.xml"/><Relationship Id="rId36" Type="http://schemas.openxmlformats.org/officeDocument/2006/relationships/image" Target="media/image13.png"/><Relationship Id="rId10" Type="http://schemas.openxmlformats.org/officeDocument/2006/relationships/image" Target="media/image3.png"/><Relationship Id="rId19" Type="http://schemas.openxmlformats.org/officeDocument/2006/relationships/image" Target="media/image8.png"/><Relationship Id="rId31" Type="http://schemas.openxmlformats.org/officeDocument/2006/relationships/chart" Target="charts/chart11.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4.xml"/><Relationship Id="rId22" Type="http://schemas.openxmlformats.org/officeDocument/2006/relationships/chart" Target="charts/chart2.xml"/><Relationship Id="rId27" Type="http://schemas.openxmlformats.org/officeDocument/2006/relationships/chart" Target="charts/chart7.xml"/><Relationship Id="rId30" Type="http://schemas.openxmlformats.org/officeDocument/2006/relationships/chart" Target="charts/chart10.xml"/><Relationship Id="rId35" Type="http://schemas.openxmlformats.org/officeDocument/2006/relationships/image" Target="media/image12.jpg"/><Relationship Id="rId43" Type="http://schemas.openxmlformats.org/officeDocument/2006/relationships/image" Target="media/image20.jpe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6.png"/><Relationship Id="rId25" Type="http://schemas.openxmlformats.org/officeDocument/2006/relationships/chart" Target="charts/chart5.xml"/><Relationship Id="rId33" Type="http://schemas.openxmlformats.org/officeDocument/2006/relationships/image" Target="media/image10.png"/><Relationship Id="rId38" Type="http://schemas.openxmlformats.org/officeDocument/2006/relationships/image" Target="media/image15.jpeg"/><Relationship Id="rId46" Type="http://schemas.microsoft.com/office/2020/10/relationships/intelligence" Target="intelligence2.xml"/><Relationship Id="rId20" Type="http://schemas.openxmlformats.org/officeDocument/2006/relationships/image" Target="media/image9.emf"/><Relationship Id="rId41" Type="http://schemas.openxmlformats.org/officeDocument/2006/relationships/image" Target="media/image18.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Maryori%20Zapata\Desktop\Maestria%20Unitec\Proyecto%20Final%20de%20Graduci&#243;n%202023\Base%20de%20datos\CALCULOS%20TESI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https://d.docs.live.net/6d1f94b2e7ce2f2c/Documentos/MAESTRIA%20EN%20FINANZAS/PROYECTO%20FINAL%20DE%20GRADUACI&#211;N/PROYECTO%20DE%20GRADUACI&#211;N%202.0/CALCULOS%20TESI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https://d.docs.live.net/6d1f94b2e7ce2f2c/Documentos/MAESTRIA%20EN%20FINANZAS/PROYECTO%20FINAL%20DE%20GRADUACI&#211;N/PROYECTO%20DE%20GRADUACI&#211;N%202.0/CALCULOS%20TESIS.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https://d.docs.live.net/6d1f94b2e7ce2f2c/Documentos/MAESTRIA%20EN%20FINANZAS/PROYECTO%20FINAL%20DE%20GRADUACI&#211;N/PROYECTO%20DE%20GRADUACI&#211;N%202.0/CALCULOS%20TESIS.xlsx" TargetMode="External"/><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https://d.docs.live.net/6d1f94b2e7ce2f2c/Documentos/MAESTRIA%20EN%20FINANZAS/PROYECTO%20FINAL%20DE%20GRADUACI&#211;N/PROYECTO%20DE%20GRADUACI&#211;N%202.0/CALCULOS%20TESI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d.docs.live.net/6d1f94b2e7ce2f2c/Documentos/MAESTRIA%20EN%20FINANZAS/PROYECTO%20FINAL%20DE%20GRADUACI&#211;N/PROYECTO%20DE%20GRADUACI&#211;N%202.0/CALCULOS%20TESI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d.docs.live.net/6d1f94b2e7ce2f2c/Documentos/MAESTRIA%20EN%20FINANZAS/PROYECTO%20FINAL%20DE%20GRADUACI&#211;N/PROYECTO%20DE%20GRADUACI&#211;N%202.0/CALCULOS%20TESI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d.docs.live.net/6d1f94b2e7ce2f2c/Documentos/MAESTRIA%20EN%20FINANZAS/PROYECTO%20FINAL%20DE%20GRADUACI&#211;N/DEFENSA%20DE%20TERNA%2003.02.2024/CALCULOS%20TESI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d.docs.live.net/6d1f94b2e7ce2f2c/Documentos/MAESTRIA%20EN%20FINANZAS/PROYECTO%20FINAL%20DE%20GRADUACI&#211;N/PROYECTO%20DE%20GRADUACI&#211;N%202.0/CALCULOS%20TESI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embeddings/oleObject3.bin"/><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Arial" panose="020B0604020202020204" pitchFamily="34" charset="0"/>
              </a:defRPr>
            </a:pPr>
            <a:r>
              <a:rPr lang="en-US" sz="1000" b="1" i="0" baseline="0">
                <a:effectLst/>
                <a:latin typeface="+mn-lt"/>
                <a:cs typeface="Arial" panose="020B0604020202020204" pitchFamily="34" charset="0"/>
              </a:rPr>
              <a:t>Tasa de crecimiento de la Cartera de Crédito con Respecto a sus ventas </a:t>
            </a:r>
            <a:endParaRPr lang="es-HN" sz="1000">
              <a:effectLst/>
              <a:latin typeface="+mn-lt"/>
              <a:cs typeface="Arial" panose="020B0604020202020204" pitchFamily="34" charset="0"/>
            </a:endParaRPr>
          </a:p>
          <a:p>
            <a:pPr>
              <a:defRPr sz="1000">
                <a:cs typeface="Arial" panose="020B0604020202020204" pitchFamily="34" charset="0"/>
              </a:defRPr>
            </a:pPr>
            <a:r>
              <a:rPr lang="en-US" sz="1000" b="1" i="0" baseline="0">
                <a:effectLst/>
                <a:latin typeface="+mn-lt"/>
                <a:cs typeface="Arial" panose="020B0604020202020204" pitchFamily="34" charset="0"/>
              </a:rPr>
              <a:t>2019-2022</a:t>
            </a:r>
            <a:endParaRPr lang="es-HN" sz="1000">
              <a:effectLst/>
              <a:latin typeface="+mn-lt"/>
              <a:cs typeface="Arial" panose="020B0604020202020204" pitchFamily="34" charset="0"/>
            </a:endParaRPr>
          </a:p>
        </c:rich>
      </c:tx>
      <c:layout>
        <c:manualLayout>
          <c:xMode val="edge"/>
          <c:yMode val="edge"/>
          <c:x val="0.17418566898790833"/>
          <c:y val="2.502606882168926E-2"/>
        </c:manualLayout>
      </c:layout>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Arial" panose="020B0604020202020204" pitchFamily="34" charset="0"/>
            </a:defRPr>
          </a:pPr>
          <a:endParaRPr lang="en-US"/>
        </a:p>
      </c:txPr>
    </c:title>
    <c:autoTitleDeleted val="0"/>
    <c:plotArea>
      <c:layout/>
      <c:barChart>
        <c:barDir val="col"/>
        <c:grouping val="clustered"/>
        <c:varyColors val="0"/>
        <c:ser>
          <c:idx val="0"/>
          <c:order val="0"/>
          <c:tx>
            <c:strRef>
              <c:f>'IN. CARTERA'!$B$4</c:f>
              <c:strCache>
                <c:ptCount val="1"/>
                <c:pt idx="0">
                  <c:v>Ventas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'IN. CARTERA'!$A$5:$A$8</c:f>
              <c:numCache>
                <c:formatCode>General</c:formatCode>
                <c:ptCount val="4"/>
                <c:pt idx="0">
                  <c:v>2019</c:v>
                </c:pt>
                <c:pt idx="1">
                  <c:v>2020</c:v>
                </c:pt>
                <c:pt idx="2">
                  <c:v>2021</c:v>
                </c:pt>
                <c:pt idx="3">
                  <c:v>2022</c:v>
                </c:pt>
              </c:numCache>
            </c:numRef>
          </c:cat>
          <c:val>
            <c:numRef>
              <c:f>'IN. CARTERA'!$B$5:$B$8</c:f>
              <c:numCache>
                <c:formatCode>_-[$L-480A]* #,##0.00_-;\-[$L-480A]* #,##0.00_-;_-[$L-480A]* "-"??_-;_-@_-</c:formatCode>
                <c:ptCount val="4"/>
                <c:pt idx="0">
                  <c:v>26105424.640000001</c:v>
                </c:pt>
                <c:pt idx="1">
                  <c:v>31891032.919999998</c:v>
                </c:pt>
                <c:pt idx="2">
                  <c:v>22321755.080000002</c:v>
                </c:pt>
                <c:pt idx="3" formatCode="_(&quot;L&quot;* #,##0.00_);_(&quot;L&quot;* \(#,##0.00\);_(&quot;L&quot;* &quot;-&quot;??_);_(@_)">
                  <c:v>29605010.66</c:v>
                </c:pt>
              </c:numCache>
            </c:numRef>
          </c:val>
          <c:extLst>
            <c:ext xmlns:c16="http://schemas.microsoft.com/office/drawing/2014/chart" uri="{C3380CC4-5D6E-409C-BE32-E72D297353CC}">
              <c16:uniqueId val="{00000000-150E-4C09-93C8-242D2507226A}"/>
            </c:ext>
          </c:extLst>
        </c:ser>
        <c:ser>
          <c:idx val="2"/>
          <c:order val="1"/>
          <c:tx>
            <c:strRef>
              <c:f>'IN. CARTERA'!$D$4</c:f>
              <c:strCache>
                <c:ptCount val="1"/>
                <c:pt idx="0">
                  <c:v>Cuentas por cobrar</c:v>
                </c:pt>
              </c:strCache>
            </c:strRef>
          </c:tx>
          <c:spPr>
            <a:solidFill>
              <a:srgbClr val="88BADC"/>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'IN. CARTERA'!$A$5:$A$8</c:f>
              <c:numCache>
                <c:formatCode>General</c:formatCode>
                <c:ptCount val="4"/>
                <c:pt idx="0">
                  <c:v>2019</c:v>
                </c:pt>
                <c:pt idx="1">
                  <c:v>2020</c:v>
                </c:pt>
                <c:pt idx="2">
                  <c:v>2021</c:v>
                </c:pt>
                <c:pt idx="3">
                  <c:v>2022</c:v>
                </c:pt>
              </c:numCache>
            </c:numRef>
          </c:cat>
          <c:val>
            <c:numRef>
              <c:f>'IN. CARTERA'!$D$5:$D$8</c:f>
              <c:numCache>
                <c:formatCode>_-[$L-480A]* #,##0.00_-;\-[$L-480A]* #,##0.00_-;_-[$L-480A]* "-"??_-;_-@_-</c:formatCode>
                <c:ptCount val="4"/>
                <c:pt idx="0">
                  <c:v>11548799.609999999</c:v>
                </c:pt>
                <c:pt idx="1">
                  <c:v>11385610.59</c:v>
                </c:pt>
                <c:pt idx="2">
                  <c:v>6185140.949</c:v>
                </c:pt>
                <c:pt idx="3">
                  <c:v>6783810.3099999996</c:v>
                </c:pt>
              </c:numCache>
            </c:numRef>
          </c:val>
          <c:extLst>
            <c:ext xmlns:c16="http://schemas.microsoft.com/office/drawing/2014/chart" uri="{C3380CC4-5D6E-409C-BE32-E72D297353CC}">
              <c16:uniqueId val="{00000001-150E-4C09-93C8-242D2507226A}"/>
            </c:ext>
          </c:extLst>
        </c:ser>
        <c:dLbls>
          <c:showLegendKey val="0"/>
          <c:showVal val="1"/>
          <c:showCatName val="0"/>
          <c:showSerName val="0"/>
          <c:showPercent val="0"/>
          <c:showBubbleSize val="0"/>
        </c:dLbls>
        <c:gapWidth val="219"/>
        <c:overlap val="-27"/>
        <c:axId val="1667594080"/>
        <c:axId val="1667589920"/>
      </c:barChart>
      <c:lineChart>
        <c:grouping val="standard"/>
        <c:varyColors val="0"/>
        <c:ser>
          <c:idx val="3"/>
          <c:order val="2"/>
          <c:tx>
            <c:strRef>
              <c:f>'IN. CARTERA'!$E$4</c:f>
              <c:strCache>
                <c:ptCount val="1"/>
                <c:pt idx="0">
                  <c:v>%  cuentas por cobrar según ventas</c:v>
                </c:pt>
              </c:strCache>
            </c:strRef>
          </c:tx>
          <c:spPr>
            <a:ln w="28575" cap="rnd">
              <a:solidFill>
                <a:schemeClr val="accent1">
                  <a:lumMod val="75000"/>
                </a:schemeClr>
              </a:solidFill>
              <a:round/>
            </a:ln>
            <a:effectLst/>
          </c:spPr>
          <c:marker>
            <c:symbol val="none"/>
          </c:marker>
          <c:dLbls>
            <c:dLbl>
              <c:idx val="0"/>
              <c:layout>
                <c:manualLayout>
                  <c:x val="1.7713510566736698E-2"/>
                  <c:y val="-5.38939786944143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50E-4C09-93C8-242D2507226A}"/>
                </c:ext>
              </c:extLst>
            </c:dLbl>
            <c:dLbl>
              <c:idx val="1"/>
              <c:layout>
                <c:manualLayout>
                  <c:x val="1.3917758302435976E-2"/>
                  <c:y val="-4.145690668801094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50E-4C09-93C8-242D2507226A}"/>
                </c:ext>
              </c:extLst>
            </c:dLbl>
            <c:dLbl>
              <c:idx val="2"/>
              <c:layout>
                <c:manualLayout>
                  <c:x val="2.530501509533814E-2"/>
                  <c:y val="-6.21853600320164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50E-4C09-93C8-242D2507226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'IN. CARTERA'!$A$5:$A$8</c:f>
              <c:numCache>
                <c:formatCode>General</c:formatCode>
                <c:ptCount val="4"/>
                <c:pt idx="0">
                  <c:v>2019</c:v>
                </c:pt>
                <c:pt idx="1">
                  <c:v>2020</c:v>
                </c:pt>
                <c:pt idx="2">
                  <c:v>2021</c:v>
                </c:pt>
                <c:pt idx="3">
                  <c:v>2022</c:v>
                </c:pt>
              </c:numCache>
            </c:numRef>
          </c:cat>
          <c:val>
            <c:numRef>
              <c:f>'IN. CARTERA'!$E$5:$E$8</c:f>
              <c:numCache>
                <c:formatCode>0%</c:formatCode>
                <c:ptCount val="4"/>
                <c:pt idx="0">
                  <c:v>0.44239079690373501</c:v>
                </c:pt>
                <c:pt idx="1">
                  <c:v>0.35701604957610761</c:v>
                </c:pt>
                <c:pt idx="2">
                  <c:v>0.27709026135412645</c:v>
                </c:pt>
                <c:pt idx="3">
                  <c:v>0.22914399146512585</c:v>
                </c:pt>
              </c:numCache>
            </c:numRef>
          </c:val>
          <c:smooth val="0"/>
          <c:extLst>
            <c:ext xmlns:c16="http://schemas.microsoft.com/office/drawing/2014/chart" uri="{C3380CC4-5D6E-409C-BE32-E72D297353CC}">
              <c16:uniqueId val="{00000005-150E-4C09-93C8-242D2507226A}"/>
            </c:ext>
          </c:extLst>
        </c:ser>
        <c:dLbls>
          <c:showLegendKey val="0"/>
          <c:showVal val="1"/>
          <c:showCatName val="0"/>
          <c:showSerName val="0"/>
          <c:showPercent val="0"/>
          <c:showBubbleSize val="0"/>
        </c:dLbls>
        <c:marker val="1"/>
        <c:smooth val="0"/>
        <c:axId val="1667598240"/>
        <c:axId val="1667595744"/>
      </c:lineChart>
      <c:catAx>
        <c:axId val="1667594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7589920"/>
        <c:crosses val="autoZero"/>
        <c:auto val="1"/>
        <c:lblAlgn val="ctr"/>
        <c:lblOffset val="100"/>
        <c:noMultiLvlLbl val="0"/>
      </c:catAx>
      <c:valAx>
        <c:axId val="1667589920"/>
        <c:scaling>
          <c:orientation val="minMax"/>
        </c:scaling>
        <c:delete val="0"/>
        <c:axPos val="l"/>
        <c:majorGridlines>
          <c:spPr>
            <a:ln w="9525" cap="flat" cmpd="sng" algn="ctr">
              <a:solidFill>
                <a:schemeClr val="tx1">
                  <a:lumMod val="15000"/>
                  <a:lumOff val="85000"/>
                </a:schemeClr>
              </a:solidFill>
              <a:round/>
            </a:ln>
            <a:effectLst/>
          </c:spPr>
        </c:majorGridlines>
        <c:numFmt formatCode="_-[$L-480A]* #,##0.00_-;\-[$L-480A]* #,##0.00_-;_-[$L-480A]*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7594080"/>
        <c:crosses val="autoZero"/>
        <c:crossBetween val="between"/>
      </c:valAx>
      <c:valAx>
        <c:axId val="1667595744"/>
        <c:scaling>
          <c:orientation val="minMax"/>
        </c:scaling>
        <c:delete val="0"/>
        <c:axPos val="r"/>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7598240"/>
        <c:crosses val="max"/>
        <c:crossBetween val="between"/>
      </c:valAx>
      <c:catAx>
        <c:axId val="1667598240"/>
        <c:scaling>
          <c:orientation val="minMax"/>
        </c:scaling>
        <c:delete val="1"/>
        <c:axPos val="b"/>
        <c:numFmt formatCode="General" sourceLinked="1"/>
        <c:majorTickMark val="none"/>
        <c:minorTickMark val="none"/>
        <c:tickLblPos val="nextTo"/>
        <c:crossAx val="166759574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mn-lt"/>
                <a:ea typeface="+mn-ea"/>
                <a:cs typeface="+mn-cs"/>
              </a:defRPr>
            </a:pPr>
            <a:r>
              <a:rPr lang="en-US" sz="1050" b="1"/>
              <a:t>Razón de efectivo </a:t>
            </a:r>
          </a:p>
          <a:p>
            <a:pPr>
              <a:defRPr sz="1050" b="1"/>
            </a:pPr>
            <a:r>
              <a:rPr lang="en-US" sz="1050" b="1"/>
              <a:t>IPRA 2019-2022</a:t>
            </a:r>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'[CALCULOS TESIS.xlsx]Indicadores Financieros'!$A$52</c:f>
              <c:strCache>
                <c:ptCount val="1"/>
                <c:pt idx="0">
                  <c:v>Razón de efectivo</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'[CALCULOS TESIS.xlsx]Indicadores Financieros'!$B$49:$E$49</c:f>
              <c:numCache>
                <c:formatCode>General</c:formatCode>
                <c:ptCount val="4"/>
                <c:pt idx="0">
                  <c:v>2019</c:v>
                </c:pt>
                <c:pt idx="1">
                  <c:v>2020</c:v>
                </c:pt>
                <c:pt idx="2">
                  <c:v>2021</c:v>
                </c:pt>
                <c:pt idx="3">
                  <c:v>2022</c:v>
                </c:pt>
              </c:numCache>
            </c:numRef>
          </c:cat>
          <c:val>
            <c:numRef>
              <c:f>'[CALCULOS TESIS.xlsx]Indicadores Financieros'!$B$52:$E$52</c:f>
              <c:numCache>
                <c:formatCode>0.00</c:formatCode>
                <c:ptCount val="4"/>
                <c:pt idx="0">
                  <c:v>0.96714394422130801</c:v>
                </c:pt>
                <c:pt idx="1">
                  <c:v>1.5575214500237704</c:v>
                </c:pt>
                <c:pt idx="2">
                  <c:v>1.3479296123856253</c:v>
                </c:pt>
                <c:pt idx="3">
                  <c:v>1.4564414197892945</c:v>
                </c:pt>
              </c:numCache>
            </c:numRef>
          </c:val>
          <c:smooth val="0"/>
          <c:extLst>
            <c:ext xmlns:c16="http://schemas.microsoft.com/office/drawing/2014/chart" uri="{C3380CC4-5D6E-409C-BE32-E72D297353CC}">
              <c16:uniqueId val="{00000000-0C3B-443D-8D25-84EF73DC7473}"/>
            </c:ext>
          </c:extLst>
        </c:ser>
        <c:dLbls>
          <c:dLblPos val="t"/>
          <c:showLegendKey val="0"/>
          <c:showVal val="1"/>
          <c:showCatName val="0"/>
          <c:showSerName val="0"/>
          <c:showPercent val="0"/>
          <c:showBubbleSize val="0"/>
        </c:dLbls>
        <c:marker val="1"/>
        <c:smooth val="0"/>
        <c:axId val="1216441664"/>
        <c:axId val="908895200"/>
      </c:lineChart>
      <c:catAx>
        <c:axId val="12164416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08895200"/>
        <c:crosses val="autoZero"/>
        <c:auto val="1"/>
        <c:lblAlgn val="ctr"/>
        <c:lblOffset val="100"/>
        <c:noMultiLvlLbl val="0"/>
      </c:catAx>
      <c:valAx>
        <c:axId val="9088952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Razón de efectivo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6441664"/>
        <c:crosses val="autoZero"/>
        <c:crossBetween val="between"/>
      </c:valAx>
      <c:spPr>
        <a:noFill/>
        <a:ln>
          <a:noFill/>
        </a:ln>
        <a:effectLst/>
      </c:spPr>
    </c:plotArea>
    <c:plotVisOnly val="1"/>
    <c:dispBlanksAs val="gap"/>
    <c:showDLblsOverMax val="0"/>
  </c:chart>
  <c:spPr>
    <a:solidFill>
      <a:schemeClr val="bg1"/>
    </a:solidFill>
    <a:ln w="19050" cap="flat" cmpd="sng" algn="ctr">
      <a:solidFill>
        <a:srgbClr val="85BADC"/>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mn-lt"/>
                <a:ea typeface="+mn-ea"/>
                <a:cs typeface="+mn-cs"/>
              </a:defRPr>
            </a:pPr>
            <a:r>
              <a:rPr lang="en-US" sz="1050" b="1"/>
              <a:t>Estructura de capital IPRA</a:t>
            </a:r>
          </a:p>
          <a:p>
            <a:pPr>
              <a:defRPr sz="1050" b="1"/>
            </a:pPr>
            <a:r>
              <a:rPr lang="en-US" sz="1050" b="1"/>
              <a:t>2019-2022</a:t>
            </a:r>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'[CALCULOS TESIS.xlsx]Indicadores Financieros'!$A$59</c:f>
              <c:strCache>
                <c:ptCount val="1"/>
                <c:pt idx="0">
                  <c:v>Estructura de capital</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'[CALCULOS TESIS.xlsx]Indicadores Financieros'!$B$56:$E$56</c:f>
              <c:numCache>
                <c:formatCode>General</c:formatCode>
                <c:ptCount val="4"/>
                <c:pt idx="0">
                  <c:v>2019</c:v>
                </c:pt>
                <c:pt idx="1">
                  <c:v>2020</c:v>
                </c:pt>
                <c:pt idx="2">
                  <c:v>2021</c:v>
                </c:pt>
                <c:pt idx="3">
                  <c:v>2022</c:v>
                </c:pt>
              </c:numCache>
            </c:numRef>
          </c:cat>
          <c:val>
            <c:numRef>
              <c:f>'[CALCULOS TESIS.xlsx]Indicadores Financieros'!$B$59:$E$59</c:f>
              <c:numCache>
                <c:formatCode>0.00</c:formatCode>
                <c:ptCount val="4"/>
                <c:pt idx="0">
                  <c:v>0.67555401273832016</c:v>
                </c:pt>
                <c:pt idx="1">
                  <c:v>0.28029991257032899</c:v>
                </c:pt>
                <c:pt idx="2">
                  <c:v>0.5281699207987911</c:v>
                </c:pt>
                <c:pt idx="3">
                  <c:v>0.55704548397719555</c:v>
                </c:pt>
              </c:numCache>
            </c:numRef>
          </c:val>
          <c:smooth val="0"/>
          <c:extLst>
            <c:ext xmlns:c16="http://schemas.microsoft.com/office/drawing/2014/chart" uri="{C3380CC4-5D6E-409C-BE32-E72D297353CC}">
              <c16:uniqueId val="{00000000-2069-4B4B-B253-8DDCEEB73CB5}"/>
            </c:ext>
          </c:extLst>
        </c:ser>
        <c:dLbls>
          <c:dLblPos val="t"/>
          <c:showLegendKey val="0"/>
          <c:showVal val="1"/>
          <c:showCatName val="0"/>
          <c:showSerName val="0"/>
          <c:showPercent val="0"/>
          <c:showBubbleSize val="0"/>
        </c:dLbls>
        <c:marker val="1"/>
        <c:smooth val="0"/>
        <c:axId val="1216453664"/>
        <c:axId val="1099657344"/>
      </c:lineChart>
      <c:catAx>
        <c:axId val="12164536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99657344"/>
        <c:crosses val="autoZero"/>
        <c:auto val="1"/>
        <c:lblAlgn val="ctr"/>
        <c:lblOffset val="100"/>
        <c:noMultiLvlLbl val="0"/>
      </c:catAx>
      <c:valAx>
        <c:axId val="10996573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Estructura</a:t>
                </a:r>
                <a:r>
                  <a:rPr lang="en-US" baseline="0"/>
                  <a:t> de capital</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6453664"/>
        <c:crosses val="autoZero"/>
        <c:crossBetween val="between"/>
      </c:valAx>
      <c:spPr>
        <a:noFill/>
        <a:ln>
          <a:noFill/>
        </a:ln>
        <a:effectLst/>
      </c:spPr>
    </c:plotArea>
    <c:plotVisOnly val="1"/>
    <c:dispBlanksAs val="gap"/>
    <c:showDLblsOverMax val="0"/>
  </c:chart>
  <c:spPr>
    <a:solidFill>
      <a:schemeClr val="bg1"/>
    </a:solidFill>
    <a:ln w="19050" cap="flat" cmpd="sng" algn="ctr">
      <a:solidFill>
        <a:srgbClr val="85BADC"/>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mn-lt"/>
                <a:ea typeface="+mn-ea"/>
                <a:cs typeface="+mn-cs"/>
              </a:defRPr>
            </a:pPr>
            <a:r>
              <a:rPr lang="en-US" sz="1050" b="1"/>
              <a:t>Indice de endeudamiento IPRA</a:t>
            </a:r>
          </a:p>
          <a:p>
            <a:pPr>
              <a:defRPr sz="1050" b="1"/>
            </a:pPr>
            <a:r>
              <a:rPr lang="en-US" sz="1050" b="1"/>
              <a:t>2019-2022</a:t>
            </a:r>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'[CALCULOS TESIS.xlsx]Indicadores Financieros'!$A$65</c:f>
              <c:strCache>
                <c:ptCount val="1"/>
                <c:pt idx="0">
                  <c:v>Indice de endeudamiento</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'[CALCULOS TESIS.xlsx]Indicadores Financieros'!$B$62:$E$62</c:f>
              <c:numCache>
                <c:formatCode>General</c:formatCode>
                <c:ptCount val="4"/>
                <c:pt idx="0">
                  <c:v>2019</c:v>
                </c:pt>
                <c:pt idx="1">
                  <c:v>2020</c:v>
                </c:pt>
                <c:pt idx="2">
                  <c:v>2021</c:v>
                </c:pt>
                <c:pt idx="3">
                  <c:v>2022</c:v>
                </c:pt>
              </c:numCache>
            </c:numRef>
          </c:cat>
          <c:val>
            <c:numRef>
              <c:f>'[CALCULOS TESIS.xlsx]Indicadores Financieros'!$B$65:$E$65</c:f>
              <c:numCache>
                <c:formatCode>0.00</c:formatCode>
                <c:ptCount val="4"/>
                <c:pt idx="0">
                  <c:v>0.403182474335326</c:v>
                </c:pt>
                <c:pt idx="1">
                  <c:v>0.35922074071111137</c:v>
                </c:pt>
                <c:pt idx="2">
                  <c:v>0.34562250809608852</c:v>
                </c:pt>
                <c:pt idx="3">
                  <c:v>0.35775800367393384</c:v>
                </c:pt>
              </c:numCache>
            </c:numRef>
          </c:val>
          <c:smooth val="0"/>
          <c:extLst>
            <c:ext xmlns:c16="http://schemas.microsoft.com/office/drawing/2014/chart" uri="{C3380CC4-5D6E-409C-BE32-E72D297353CC}">
              <c16:uniqueId val="{00000000-5D33-4351-8C42-A247977DA6B2}"/>
            </c:ext>
          </c:extLst>
        </c:ser>
        <c:dLbls>
          <c:dLblPos val="t"/>
          <c:showLegendKey val="0"/>
          <c:showVal val="1"/>
          <c:showCatName val="0"/>
          <c:showSerName val="0"/>
          <c:showPercent val="0"/>
          <c:showBubbleSize val="0"/>
        </c:dLbls>
        <c:marker val="1"/>
        <c:smooth val="0"/>
        <c:axId val="1041432304"/>
        <c:axId val="836073248"/>
      </c:lineChart>
      <c:catAx>
        <c:axId val="104143230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6073248"/>
        <c:crosses val="autoZero"/>
        <c:auto val="1"/>
        <c:lblAlgn val="ctr"/>
        <c:lblOffset val="100"/>
        <c:noMultiLvlLbl val="0"/>
      </c:catAx>
      <c:valAx>
        <c:axId val="8360732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Indice</a:t>
                </a:r>
                <a:r>
                  <a:rPr lang="en-US" baseline="0"/>
                  <a:t> endeudamiento</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1432304"/>
        <c:crosses val="autoZero"/>
        <c:crossBetween val="between"/>
      </c:valAx>
      <c:spPr>
        <a:noFill/>
        <a:ln>
          <a:noFill/>
        </a:ln>
        <a:effectLst/>
      </c:spPr>
    </c:plotArea>
    <c:plotVisOnly val="1"/>
    <c:dispBlanksAs val="gap"/>
    <c:showDLblsOverMax val="0"/>
  </c:chart>
  <c:spPr>
    <a:solidFill>
      <a:schemeClr val="bg1"/>
    </a:solidFill>
    <a:ln w="19050" cap="flat" cmpd="sng" algn="ctr">
      <a:solidFill>
        <a:srgbClr val="85BADC"/>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7"/>
    </mc:Choice>
    <mc:Fallback>
      <c:style val="7"/>
    </mc:Fallback>
  </mc:AlternateContent>
  <c:chart>
    <c:title>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'[CALCULOS TESIS.xlsx]ANT. CXC'!$A$65</c:f>
              <c:strCache>
                <c:ptCount val="1"/>
                <c:pt idx="0">
                  <c:v>PPC Días</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'[CALCULOS TESIS.xlsx]ANT. CXC'!$B$62:$E$62</c:f>
              <c:numCache>
                <c:formatCode>General</c:formatCode>
                <c:ptCount val="4"/>
                <c:pt idx="0">
                  <c:v>2019</c:v>
                </c:pt>
                <c:pt idx="1">
                  <c:v>2020</c:v>
                </c:pt>
                <c:pt idx="2">
                  <c:v>2021</c:v>
                </c:pt>
                <c:pt idx="3">
                  <c:v>2022</c:v>
                </c:pt>
              </c:numCache>
            </c:numRef>
          </c:cat>
          <c:val>
            <c:numRef>
              <c:f>'[CALCULOS TESIS.xlsx]ANT. CXC'!$B$65:$E$65</c:f>
              <c:numCache>
                <c:formatCode>0</c:formatCode>
                <c:ptCount val="4"/>
                <c:pt idx="0">
                  <c:v>165.05203662528893</c:v>
                </c:pt>
                <c:pt idx="1">
                  <c:v>131.24472550009835</c:v>
                </c:pt>
                <c:pt idx="2">
                  <c:v>143.65636323734361</c:v>
                </c:pt>
                <c:pt idx="3">
                  <c:v>79.947061392731825</c:v>
                </c:pt>
              </c:numCache>
            </c:numRef>
          </c:val>
          <c:smooth val="0"/>
          <c:extLst>
            <c:ext xmlns:c16="http://schemas.microsoft.com/office/drawing/2014/chart" uri="{C3380CC4-5D6E-409C-BE32-E72D297353CC}">
              <c16:uniqueId val="{00000000-DBA7-4E26-8B5B-A475E3ED6026}"/>
            </c:ext>
          </c:extLst>
        </c:ser>
        <c:dLbls>
          <c:dLblPos val="t"/>
          <c:showLegendKey val="0"/>
          <c:showVal val="1"/>
          <c:showCatName val="0"/>
          <c:showSerName val="0"/>
          <c:showPercent val="0"/>
          <c:showBubbleSize val="0"/>
        </c:dLbls>
        <c:marker val="1"/>
        <c:smooth val="0"/>
        <c:axId val="458170623"/>
        <c:axId val="458177695"/>
      </c:lineChart>
      <c:catAx>
        <c:axId val="4581706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8177695"/>
        <c:crosses val="autoZero"/>
        <c:auto val="1"/>
        <c:lblAlgn val="ctr"/>
        <c:lblOffset val="100"/>
        <c:noMultiLvlLbl val="0"/>
      </c:catAx>
      <c:valAx>
        <c:axId val="45817769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8170623"/>
        <c:crosses val="autoZero"/>
        <c:crossBetween val="between"/>
      </c:valAx>
      <c:spPr>
        <a:noFill/>
        <a:ln>
          <a:noFill/>
        </a:ln>
        <a:effectLst/>
      </c:spPr>
    </c:plotArea>
    <c:plotVisOnly val="1"/>
    <c:dispBlanksAs val="gap"/>
    <c:showDLblsOverMax val="0"/>
  </c:chart>
  <c:spPr>
    <a:solidFill>
      <a:schemeClr val="bg1"/>
    </a:solidFill>
    <a:ln w="19050" cap="flat" cmpd="sng" algn="ctr">
      <a:solidFill>
        <a:srgbClr val="85BADC"/>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mn-lt"/>
                <a:ea typeface="+mn-ea"/>
                <a:cs typeface="+mn-cs"/>
              </a:defRPr>
            </a:pPr>
            <a:r>
              <a:rPr lang="en-US" sz="1050" b="1"/>
              <a:t>Margen de utilidad bruta IPRA</a:t>
            </a:r>
          </a:p>
          <a:p>
            <a:pPr>
              <a:defRPr sz="1050" b="1"/>
            </a:pPr>
            <a:r>
              <a:rPr lang="en-US" sz="1050" b="1"/>
              <a:t>2019-2022</a:t>
            </a:r>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'[CALCULOS TESIS.xlsx]Indicadores Financieros'!$A$6</c:f>
              <c:strCache>
                <c:ptCount val="1"/>
                <c:pt idx="0">
                  <c:v>Margen de utilidad bruta</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'[CALCULOS TESIS.xlsx]Indicadores Financieros'!$B$3:$E$3</c:f>
              <c:numCache>
                <c:formatCode>General</c:formatCode>
                <c:ptCount val="4"/>
                <c:pt idx="0">
                  <c:v>2019</c:v>
                </c:pt>
                <c:pt idx="1">
                  <c:v>2020</c:v>
                </c:pt>
                <c:pt idx="2">
                  <c:v>2021</c:v>
                </c:pt>
                <c:pt idx="3">
                  <c:v>2022</c:v>
                </c:pt>
              </c:numCache>
            </c:numRef>
          </c:cat>
          <c:val>
            <c:numRef>
              <c:f>'[CALCULOS TESIS.xlsx]Indicadores Financieros'!$B$6:$E$6</c:f>
              <c:numCache>
                <c:formatCode>0%</c:formatCode>
                <c:ptCount val="4"/>
                <c:pt idx="0">
                  <c:v>0.36039551778001638</c:v>
                </c:pt>
                <c:pt idx="1">
                  <c:v>0.26476178213421131</c:v>
                </c:pt>
                <c:pt idx="2">
                  <c:v>0.35885592782877168</c:v>
                </c:pt>
                <c:pt idx="3">
                  <c:v>0.33809473453504912</c:v>
                </c:pt>
              </c:numCache>
            </c:numRef>
          </c:val>
          <c:smooth val="0"/>
          <c:extLst>
            <c:ext xmlns:c16="http://schemas.microsoft.com/office/drawing/2014/chart" uri="{C3380CC4-5D6E-409C-BE32-E72D297353CC}">
              <c16:uniqueId val="{00000000-AFE4-4F59-AD31-4679C8463724}"/>
            </c:ext>
          </c:extLst>
        </c:ser>
        <c:dLbls>
          <c:dLblPos val="t"/>
          <c:showLegendKey val="0"/>
          <c:showVal val="1"/>
          <c:showCatName val="0"/>
          <c:showSerName val="0"/>
          <c:showPercent val="0"/>
          <c:showBubbleSize val="0"/>
        </c:dLbls>
        <c:marker val="1"/>
        <c:smooth val="0"/>
        <c:axId val="923911232"/>
        <c:axId val="304115856"/>
      </c:lineChart>
      <c:catAx>
        <c:axId val="9239112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4115856"/>
        <c:crosses val="autoZero"/>
        <c:auto val="1"/>
        <c:lblAlgn val="ctr"/>
        <c:lblOffset val="100"/>
        <c:noMultiLvlLbl val="0"/>
      </c:catAx>
      <c:valAx>
        <c:axId val="3041158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Margen</a:t>
                </a:r>
                <a:r>
                  <a:rPr lang="en-US" baseline="0"/>
                  <a:t> de utilidad bruta</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23911232"/>
        <c:crosses val="autoZero"/>
        <c:crossBetween val="between"/>
      </c:valAx>
      <c:spPr>
        <a:noFill/>
        <a:ln>
          <a:noFill/>
        </a:ln>
        <a:effectLst/>
      </c:spPr>
    </c:plotArea>
    <c:plotVisOnly val="1"/>
    <c:dispBlanksAs val="gap"/>
    <c:showDLblsOverMax val="0"/>
  </c:chart>
  <c:spPr>
    <a:solidFill>
      <a:schemeClr val="bg1"/>
    </a:solidFill>
    <a:ln w="19050" cap="flat" cmpd="sng" algn="ctr">
      <a:solidFill>
        <a:srgbClr val="85BADC"/>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mn-ea"/>
                <a:cs typeface="+mn-cs"/>
              </a:defRPr>
            </a:pPr>
            <a:r>
              <a:rPr lang="en-US" sz="1050" b="1" i="0" u="none" strike="noStrike" kern="1200" spc="0" baseline="0">
                <a:solidFill>
                  <a:sysClr val="windowText" lastClr="000000">
                    <a:lumMod val="65000"/>
                    <a:lumOff val="35000"/>
                  </a:sysClr>
                </a:solidFill>
              </a:rPr>
              <a:t>Margen de utilidad neta IPRA</a:t>
            </a:r>
          </a:p>
          <a:p>
            <a:pPr>
              <a:defRPr sz="1050"/>
            </a:pPr>
            <a:r>
              <a:rPr lang="en-US" sz="1050" b="1" i="0" u="none" strike="noStrike" kern="1200" spc="0" baseline="0">
                <a:solidFill>
                  <a:sysClr val="windowText" lastClr="000000">
                    <a:lumMod val="65000"/>
                    <a:lumOff val="35000"/>
                  </a:sysClr>
                </a:solidFill>
              </a:rPr>
              <a:t>2019-2022</a:t>
            </a:r>
          </a:p>
        </c:rich>
      </c:tx>
      <c:overlay val="0"/>
      <c:spPr>
        <a:noFill/>
        <a:ln>
          <a:noFill/>
        </a:ln>
        <a:effectLst/>
      </c:spPr>
      <c:txPr>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'[CALCULOS TESIS.xlsx]Indicadores Financieros'!$A$12</c:f>
              <c:strCache>
                <c:ptCount val="1"/>
                <c:pt idx="0">
                  <c:v>Margen de utilidad neta</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'[CALCULOS TESIS.xlsx]Indicadores Financieros'!$B$9:$E$9</c:f>
              <c:numCache>
                <c:formatCode>General</c:formatCode>
                <c:ptCount val="4"/>
                <c:pt idx="0">
                  <c:v>2019</c:v>
                </c:pt>
                <c:pt idx="1">
                  <c:v>2020</c:v>
                </c:pt>
                <c:pt idx="2">
                  <c:v>2021</c:v>
                </c:pt>
                <c:pt idx="3">
                  <c:v>2022</c:v>
                </c:pt>
              </c:numCache>
            </c:numRef>
          </c:cat>
          <c:val>
            <c:numRef>
              <c:f>'[CALCULOS TESIS.xlsx]Indicadores Financieros'!$B$12:$E$12</c:f>
              <c:numCache>
                <c:formatCode>0%</c:formatCode>
                <c:ptCount val="4"/>
                <c:pt idx="0">
                  <c:v>7.3942020733971103E-2</c:v>
                </c:pt>
                <c:pt idx="1">
                  <c:v>2.7804062108126915E-2</c:v>
                </c:pt>
                <c:pt idx="2">
                  <c:v>7.8790780281242923E-2</c:v>
                </c:pt>
                <c:pt idx="3">
                  <c:v>6.3977747947887381E-2</c:v>
                </c:pt>
              </c:numCache>
            </c:numRef>
          </c:val>
          <c:smooth val="0"/>
          <c:extLst>
            <c:ext xmlns:c16="http://schemas.microsoft.com/office/drawing/2014/chart" uri="{C3380CC4-5D6E-409C-BE32-E72D297353CC}">
              <c16:uniqueId val="{00000000-D497-48A2-AE4A-B0D9749D14DC}"/>
            </c:ext>
          </c:extLst>
        </c:ser>
        <c:dLbls>
          <c:dLblPos val="t"/>
          <c:showLegendKey val="0"/>
          <c:showVal val="1"/>
          <c:showCatName val="0"/>
          <c:showSerName val="0"/>
          <c:showPercent val="0"/>
          <c:showBubbleSize val="0"/>
        </c:dLbls>
        <c:marker val="1"/>
        <c:smooth val="0"/>
        <c:axId val="923909312"/>
        <c:axId val="846101520"/>
      </c:lineChart>
      <c:catAx>
        <c:axId val="9239093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6101520"/>
        <c:crosses val="autoZero"/>
        <c:auto val="1"/>
        <c:lblAlgn val="ctr"/>
        <c:lblOffset val="100"/>
        <c:noMultiLvlLbl val="0"/>
      </c:catAx>
      <c:valAx>
        <c:axId val="8461015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Margen de utilidad neta</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23909312"/>
        <c:crosses val="autoZero"/>
        <c:crossBetween val="between"/>
      </c:valAx>
      <c:spPr>
        <a:noFill/>
        <a:ln>
          <a:noFill/>
        </a:ln>
        <a:effectLst/>
      </c:spPr>
    </c:plotArea>
    <c:plotVisOnly val="1"/>
    <c:dispBlanksAs val="gap"/>
    <c:showDLblsOverMax val="0"/>
  </c:chart>
  <c:spPr>
    <a:solidFill>
      <a:schemeClr val="bg1"/>
    </a:solidFill>
    <a:ln w="19050" cap="flat" cmpd="sng" algn="ctr">
      <a:solidFill>
        <a:srgbClr val="85BADC"/>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mn-lt"/>
                <a:ea typeface="+mn-ea"/>
                <a:cs typeface="+mn-cs"/>
              </a:defRPr>
            </a:pPr>
            <a:r>
              <a:rPr lang="en-US" sz="1050" b="1"/>
              <a:t>EBITDA IPRA</a:t>
            </a:r>
            <a:r>
              <a:rPr lang="en-US" sz="1050" b="1" baseline="0"/>
              <a:t> </a:t>
            </a:r>
            <a:r>
              <a:rPr lang="en-US" sz="1050" b="1"/>
              <a:t>2019-2022</a:t>
            </a:r>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'[CALCULOS TESIS.xlsx]Indicadores Financieros'!$A$19</c:f>
              <c:strCache>
                <c:ptCount val="1"/>
                <c:pt idx="0">
                  <c:v>EBITDA</c:v>
                </c:pt>
              </c:strCache>
            </c:strRef>
          </c:tx>
          <c:spPr>
            <a:solidFill>
              <a:srgbClr val="85BADC"/>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'[CALCULOS TESIS.xlsx]Indicadores Financieros'!$B$15:$E$15</c:f>
              <c:numCache>
                <c:formatCode>General</c:formatCode>
                <c:ptCount val="4"/>
                <c:pt idx="0">
                  <c:v>2019</c:v>
                </c:pt>
                <c:pt idx="1">
                  <c:v>2020</c:v>
                </c:pt>
                <c:pt idx="2">
                  <c:v>2021</c:v>
                </c:pt>
                <c:pt idx="3">
                  <c:v>2022</c:v>
                </c:pt>
              </c:numCache>
            </c:numRef>
          </c:cat>
          <c:val>
            <c:numRef>
              <c:f>'[CALCULOS TESIS.xlsx]Indicadores Financieros'!$B$19:$E$19</c:f>
              <c:numCache>
                <c:formatCode>_-[$L-480A]* #,##0.00_-;\-[$L-480A]* #,##0.00_-;_-[$L-480A]* "-"??_-;_-@_-</c:formatCode>
                <c:ptCount val="4"/>
                <c:pt idx="0">
                  <c:v>2686125.4999999981</c:v>
                </c:pt>
                <c:pt idx="1">
                  <c:v>1195286.080000001</c:v>
                </c:pt>
                <c:pt idx="2">
                  <c:v>2441069.2899999982</c:v>
                </c:pt>
                <c:pt idx="3">
                  <c:v>2634374.1599999992</c:v>
                </c:pt>
              </c:numCache>
            </c:numRef>
          </c:val>
          <c:extLst>
            <c:ext xmlns:c16="http://schemas.microsoft.com/office/drawing/2014/chart" uri="{C3380CC4-5D6E-409C-BE32-E72D297353CC}">
              <c16:uniqueId val="{00000000-83FF-47E4-B2C0-B7CB63567924}"/>
            </c:ext>
          </c:extLst>
        </c:ser>
        <c:dLbls>
          <c:dLblPos val="outEnd"/>
          <c:showLegendKey val="0"/>
          <c:showVal val="1"/>
          <c:showCatName val="0"/>
          <c:showSerName val="0"/>
          <c:showPercent val="0"/>
          <c:showBubbleSize val="0"/>
        </c:dLbls>
        <c:gapWidth val="219"/>
        <c:overlap val="-27"/>
        <c:axId val="923906912"/>
        <c:axId val="922561072"/>
      </c:barChart>
      <c:catAx>
        <c:axId val="9239069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22561072"/>
        <c:crosses val="autoZero"/>
        <c:auto val="1"/>
        <c:lblAlgn val="ctr"/>
        <c:lblOffset val="100"/>
        <c:noMultiLvlLbl val="0"/>
      </c:catAx>
      <c:valAx>
        <c:axId val="9225610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EBIRTDA</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_-[$L-480A]* #,##0.00_-;\-[$L-480A]* #,##0.00_-;_-[$L-480A]*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23906912"/>
        <c:crosses val="autoZero"/>
        <c:crossBetween val="between"/>
      </c:valAx>
      <c:spPr>
        <a:noFill/>
        <a:ln>
          <a:noFill/>
        </a:ln>
        <a:effectLst/>
      </c:spPr>
    </c:plotArea>
    <c:plotVisOnly val="1"/>
    <c:dispBlanksAs val="gap"/>
    <c:showDLblsOverMax val="0"/>
  </c:chart>
  <c:spPr>
    <a:solidFill>
      <a:schemeClr val="bg1"/>
    </a:solidFill>
    <a:ln w="19050" cap="flat" cmpd="sng" algn="ctr">
      <a:solidFill>
        <a:srgbClr val="85BADC"/>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mn-lt"/>
                <a:ea typeface="+mn-ea"/>
                <a:cs typeface="+mn-cs"/>
              </a:defRPr>
            </a:pPr>
            <a:r>
              <a:rPr lang="en-US" sz="1050" b="1"/>
              <a:t>ROA IPRA 2019-2022</a:t>
            </a:r>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'[CALCULOS TESIS.xlsx]Indicadores Financieros'!$A$26</c:f>
              <c:strCache>
                <c:ptCount val="1"/>
                <c:pt idx="0">
                  <c:v>ROA</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'[CALCULOS TESIS.xlsx]Indicadores Financieros'!$B$23:$E$23</c:f>
              <c:numCache>
                <c:formatCode>General</c:formatCode>
                <c:ptCount val="4"/>
                <c:pt idx="0">
                  <c:v>2019</c:v>
                </c:pt>
                <c:pt idx="1">
                  <c:v>2020</c:v>
                </c:pt>
                <c:pt idx="2">
                  <c:v>2021</c:v>
                </c:pt>
                <c:pt idx="3">
                  <c:v>2022</c:v>
                </c:pt>
              </c:numCache>
            </c:numRef>
          </c:cat>
          <c:val>
            <c:numRef>
              <c:f>'[CALCULOS TESIS.xlsx]Indicadores Financieros'!$B$26:$E$26</c:f>
              <c:numCache>
                <c:formatCode>0%</c:formatCode>
                <c:ptCount val="4"/>
                <c:pt idx="0">
                  <c:v>0.10146305366928184</c:v>
                </c:pt>
                <c:pt idx="1">
                  <c:v>4.6416531754843261E-2</c:v>
                </c:pt>
                <c:pt idx="2">
                  <c:v>8.2208291286342827E-2</c:v>
                </c:pt>
                <c:pt idx="3">
                  <c:v>7.7551387065179472E-2</c:v>
                </c:pt>
              </c:numCache>
            </c:numRef>
          </c:val>
          <c:smooth val="0"/>
          <c:extLst>
            <c:ext xmlns:c16="http://schemas.microsoft.com/office/drawing/2014/chart" uri="{C3380CC4-5D6E-409C-BE32-E72D297353CC}">
              <c16:uniqueId val="{00000000-79DD-42CE-9FDB-D470A1ACEED1}"/>
            </c:ext>
          </c:extLst>
        </c:ser>
        <c:dLbls>
          <c:dLblPos val="t"/>
          <c:showLegendKey val="0"/>
          <c:showVal val="1"/>
          <c:showCatName val="0"/>
          <c:showSerName val="0"/>
          <c:showPercent val="0"/>
          <c:showBubbleSize val="0"/>
        </c:dLbls>
        <c:marker val="1"/>
        <c:smooth val="0"/>
        <c:axId val="312574480"/>
        <c:axId val="922557600"/>
      </c:lineChart>
      <c:catAx>
        <c:axId val="3125744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22557600"/>
        <c:crosses val="autoZero"/>
        <c:auto val="1"/>
        <c:lblAlgn val="ctr"/>
        <c:lblOffset val="100"/>
        <c:noMultiLvlLbl val="0"/>
      </c:catAx>
      <c:valAx>
        <c:axId val="9225576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ROA</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2574480"/>
        <c:crosses val="autoZero"/>
        <c:crossBetween val="between"/>
      </c:valAx>
      <c:spPr>
        <a:noFill/>
        <a:ln>
          <a:noFill/>
        </a:ln>
        <a:effectLst/>
      </c:spPr>
    </c:plotArea>
    <c:plotVisOnly val="1"/>
    <c:dispBlanksAs val="gap"/>
    <c:showDLblsOverMax val="0"/>
  </c:chart>
  <c:spPr>
    <a:solidFill>
      <a:schemeClr val="bg1"/>
    </a:solidFill>
    <a:ln w="19050" cap="flat" cmpd="sng" algn="ctr">
      <a:solidFill>
        <a:srgbClr val="85BADC"/>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mn-lt"/>
                <a:ea typeface="+mn-ea"/>
                <a:cs typeface="+mn-cs"/>
              </a:defRPr>
            </a:pPr>
            <a:r>
              <a:rPr lang="en-US" sz="1050" b="1"/>
              <a:t>ROE IPRA</a:t>
            </a:r>
            <a:r>
              <a:rPr lang="en-US" sz="1050" b="1" baseline="0"/>
              <a:t> 2019-2022</a:t>
            </a:r>
            <a:endParaRPr lang="en-US" sz="1050" b="1"/>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'[CALCULOS TESIS.xlsx]Indicadores Financieros'!$A$31</c:f>
              <c:strCache>
                <c:ptCount val="1"/>
                <c:pt idx="0">
                  <c:v>ROE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dLbl>
              <c:idx val="1"/>
              <c:layout>
                <c:manualLayout>
                  <c:x val="-4.6541776027996501E-2"/>
                  <c:y val="5.79050014581509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670-49AE-9427-DE144E90DF7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'[CALCULOS TESIS.xlsx]Indicadores Financieros'!$B$28:$E$28</c:f>
              <c:numCache>
                <c:formatCode>General</c:formatCode>
                <c:ptCount val="4"/>
                <c:pt idx="0">
                  <c:v>2019</c:v>
                </c:pt>
                <c:pt idx="1">
                  <c:v>2020</c:v>
                </c:pt>
                <c:pt idx="2">
                  <c:v>2021</c:v>
                </c:pt>
                <c:pt idx="3">
                  <c:v>2022</c:v>
                </c:pt>
              </c:numCache>
            </c:numRef>
          </c:cat>
          <c:val>
            <c:numRef>
              <c:f>'[CALCULOS TESIS.xlsx]Indicadores Financieros'!$B$31:$E$31</c:f>
              <c:numCache>
                <c:formatCode>0.00%</c:formatCode>
                <c:ptCount val="4"/>
                <c:pt idx="0">
                  <c:v>0.17000682672024869</c:v>
                </c:pt>
                <c:pt idx="1">
                  <c:v>3.6218815670122091E-2</c:v>
                </c:pt>
                <c:pt idx="2">
                  <c:v>0.12562823797818226</c:v>
                </c:pt>
                <c:pt idx="3">
                  <c:v>0.12075103700600519</c:v>
                </c:pt>
              </c:numCache>
            </c:numRef>
          </c:val>
          <c:smooth val="0"/>
          <c:extLst>
            <c:ext xmlns:c16="http://schemas.microsoft.com/office/drawing/2014/chart" uri="{C3380CC4-5D6E-409C-BE32-E72D297353CC}">
              <c16:uniqueId val="{00000001-9670-49AE-9427-DE144E90DF7E}"/>
            </c:ext>
          </c:extLst>
        </c:ser>
        <c:dLbls>
          <c:dLblPos val="t"/>
          <c:showLegendKey val="0"/>
          <c:showVal val="1"/>
          <c:showCatName val="0"/>
          <c:showSerName val="0"/>
          <c:showPercent val="0"/>
          <c:showBubbleSize val="0"/>
        </c:dLbls>
        <c:marker val="1"/>
        <c:smooth val="0"/>
        <c:axId val="923905472"/>
        <c:axId val="1025600496"/>
      </c:lineChart>
      <c:catAx>
        <c:axId val="9239054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5600496"/>
        <c:crosses val="autoZero"/>
        <c:auto val="1"/>
        <c:lblAlgn val="ctr"/>
        <c:lblOffset val="100"/>
        <c:noMultiLvlLbl val="0"/>
      </c:catAx>
      <c:valAx>
        <c:axId val="10256004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ROE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239054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accent1"/>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mn-lt"/>
                <a:ea typeface="+mn-ea"/>
                <a:cs typeface="+mn-cs"/>
              </a:defRPr>
            </a:pPr>
            <a:r>
              <a:rPr lang="en-US" sz="1050" b="1"/>
              <a:t>Liquidez Corriente IPRA</a:t>
            </a:r>
            <a:r>
              <a:rPr lang="en-US" sz="1050" b="1" baseline="0"/>
              <a:t> 2019-2022</a:t>
            </a:r>
            <a:endParaRPr lang="en-US" sz="1050" b="1"/>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'[CALCULOS TESIS.xlsx]Indicadores Financieros'!$A$39</c:f>
              <c:strCache>
                <c:ptCount val="1"/>
                <c:pt idx="0">
                  <c:v>Liquidez corriente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'[CALCULOS TESIS.xlsx]Indicadores Financieros'!$B$36:$E$36</c:f>
              <c:numCache>
                <c:formatCode>General</c:formatCode>
                <c:ptCount val="4"/>
                <c:pt idx="0">
                  <c:v>2019</c:v>
                </c:pt>
                <c:pt idx="1">
                  <c:v>2020</c:v>
                </c:pt>
                <c:pt idx="2">
                  <c:v>2021</c:v>
                </c:pt>
                <c:pt idx="3">
                  <c:v>2022</c:v>
                </c:pt>
              </c:numCache>
            </c:numRef>
          </c:cat>
          <c:val>
            <c:numRef>
              <c:f>'[CALCULOS TESIS.xlsx]Indicadores Financieros'!$B$39:$E$39</c:f>
              <c:numCache>
                <c:formatCode>0.00</c:formatCode>
                <c:ptCount val="4"/>
                <c:pt idx="0">
                  <c:v>7.7210013313165158</c:v>
                </c:pt>
                <c:pt idx="1">
                  <c:v>13.286413406834567</c:v>
                </c:pt>
                <c:pt idx="2">
                  <c:v>10.397543799719172</c:v>
                </c:pt>
                <c:pt idx="3">
                  <c:v>6.8110714534135051</c:v>
                </c:pt>
              </c:numCache>
            </c:numRef>
          </c:val>
          <c:smooth val="0"/>
          <c:extLst>
            <c:ext xmlns:c16="http://schemas.microsoft.com/office/drawing/2014/chart" uri="{C3380CC4-5D6E-409C-BE32-E72D297353CC}">
              <c16:uniqueId val="{00000000-CD8D-4564-B53B-326BDA8E8EF8}"/>
            </c:ext>
          </c:extLst>
        </c:ser>
        <c:dLbls>
          <c:dLblPos val="t"/>
          <c:showLegendKey val="0"/>
          <c:showVal val="1"/>
          <c:showCatName val="0"/>
          <c:showSerName val="0"/>
          <c:showPercent val="0"/>
          <c:showBubbleSize val="0"/>
        </c:dLbls>
        <c:marker val="1"/>
        <c:smooth val="0"/>
        <c:axId val="652825824"/>
        <c:axId val="1071000960"/>
      </c:lineChart>
      <c:catAx>
        <c:axId val="652825824"/>
        <c:scaling>
          <c:orientation val="minMax"/>
        </c:scaling>
        <c:delete val="0"/>
        <c:axPos val="b"/>
        <c:title>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71000960"/>
        <c:crosses val="autoZero"/>
        <c:auto val="1"/>
        <c:lblAlgn val="ctr"/>
        <c:lblOffset val="100"/>
        <c:noMultiLvlLbl val="0"/>
      </c:catAx>
      <c:valAx>
        <c:axId val="1071000960"/>
        <c:scaling>
          <c:orientation val="minMax"/>
        </c:scaling>
        <c:delete val="0"/>
        <c:axPos val="l"/>
        <c:majorGridlines>
          <c:spPr>
            <a:ln w="9525" cap="flat" cmpd="sng" algn="ctr">
              <a:solidFill>
                <a:schemeClr val="tx1">
                  <a:lumMod val="15000"/>
                  <a:lumOff val="85000"/>
                </a:schemeClr>
              </a:solidFill>
              <a:round/>
            </a:ln>
            <a:effectLst/>
          </c:spPr>
        </c:majorGridlines>
        <c:title>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2825824"/>
        <c:crosses val="autoZero"/>
        <c:crossBetween val="between"/>
      </c:valAx>
      <c:spPr>
        <a:noFill/>
        <a:ln>
          <a:noFill/>
        </a:ln>
        <a:effectLst/>
      </c:spPr>
    </c:plotArea>
    <c:plotVisOnly val="1"/>
    <c:dispBlanksAs val="gap"/>
    <c:showDLblsOverMax val="0"/>
  </c:chart>
  <c:spPr>
    <a:solidFill>
      <a:schemeClr val="bg1"/>
    </a:solidFill>
    <a:ln w="19050" cap="flat" cmpd="sng" algn="ctr">
      <a:solidFill>
        <a:srgbClr val="85BADC"/>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050" b="1" i="0" u="none" strike="noStrike" kern="1200" spc="0" baseline="0">
                <a:solidFill>
                  <a:schemeClr val="tx1">
                    <a:lumMod val="65000"/>
                    <a:lumOff val="35000"/>
                  </a:schemeClr>
                </a:solidFill>
                <a:latin typeface="+mn-lt"/>
                <a:ea typeface="+mn-ea"/>
                <a:cs typeface="+mn-cs"/>
              </a:defRPr>
            </a:pPr>
            <a:r>
              <a:rPr lang="en-US" sz="1050" b="1"/>
              <a:t>Razón rápida IPRA</a:t>
            </a:r>
            <a:r>
              <a:rPr lang="en-US" sz="1050" b="1" baseline="0"/>
              <a:t> 2019-2022</a:t>
            </a:r>
            <a:endParaRPr lang="en-US" sz="1050" b="1"/>
          </a:p>
        </c:rich>
      </c:tx>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'[CALCULOS TESIS.xlsx]Indicadores Financieros'!$A$46</c:f>
              <c:strCache>
                <c:ptCount val="1"/>
                <c:pt idx="0">
                  <c:v>Razón rápida</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'[CALCULOS TESIS.xlsx]Indicadores Financieros'!$B$42:$E$42</c:f>
              <c:numCache>
                <c:formatCode>General</c:formatCode>
                <c:ptCount val="4"/>
                <c:pt idx="0">
                  <c:v>2019</c:v>
                </c:pt>
                <c:pt idx="1">
                  <c:v>2020</c:v>
                </c:pt>
                <c:pt idx="2">
                  <c:v>2021</c:v>
                </c:pt>
                <c:pt idx="3">
                  <c:v>2022</c:v>
                </c:pt>
              </c:numCache>
            </c:numRef>
          </c:cat>
          <c:val>
            <c:numRef>
              <c:f>'[CALCULOS TESIS.xlsx]Indicadores Financieros'!$B$46:$E$46</c:f>
              <c:numCache>
                <c:formatCode>0.00</c:formatCode>
                <c:ptCount val="4"/>
                <c:pt idx="0">
                  <c:v>6.4271836043564772</c:v>
                </c:pt>
                <c:pt idx="1">
                  <c:v>11.017627035184612</c:v>
                </c:pt>
                <c:pt idx="2">
                  <c:v>4.768377286768934</c:v>
                </c:pt>
                <c:pt idx="3">
                  <c:v>3.5115119497819833</c:v>
                </c:pt>
              </c:numCache>
            </c:numRef>
          </c:val>
          <c:smooth val="0"/>
          <c:extLst>
            <c:ext xmlns:c16="http://schemas.microsoft.com/office/drawing/2014/chart" uri="{C3380CC4-5D6E-409C-BE32-E72D297353CC}">
              <c16:uniqueId val="{00000000-F1ED-4128-8604-E4FF6A213092}"/>
            </c:ext>
          </c:extLst>
        </c:ser>
        <c:dLbls>
          <c:dLblPos val="t"/>
          <c:showLegendKey val="0"/>
          <c:showVal val="1"/>
          <c:showCatName val="0"/>
          <c:showSerName val="0"/>
          <c:showPercent val="0"/>
          <c:showBubbleSize val="0"/>
        </c:dLbls>
        <c:marker val="1"/>
        <c:smooth val="0"/>
        <c:axId val="1216434944"/>
        <c:axId val="786023456"/>
      </c:lineChart>
      <c:catAx>
        <c:axId val="12164349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86023456"/>
        <c:crosses val="autoZero"/>
        <c:auto val="1"/>
        <c:lblAlgn val="ctr"/>
        <c:lblOffset val="100"/>
        <c:noMultiLvlLbl val="0"/>
      </c:catAx>
      <c:valAx>
        <c:axId val="7860234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Razón rápida</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6434944"/>
        <c:crosses val="autoZero"/>
        <c:crossBetween val="between"/>
      </c:valAx>
      <c:spPr>
        <a:noFill/>
        <a:ln>
          <a:noFill/>
        </a:ln>
        <a:effectLst/>
      </c:spPr>
    </c:plotArea>
    <c:plotVisOnly val="1"/>
    <c:dispBlanksAs val="gap"/>
    <c:showDLblsOverMax val="0"/>
  </c:chart>
  <c:spPr>
    <a:solidFill>
      <a:schemeClr val="bg1"/>
    </a:solidFill>
    <a:ln w="19050" cap="flat" cmpd="sng" algn="ctr">
      <a:solidFill>
        <a:srgbClr val="85BADC"/>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withinLinearReversed" id="25">
  <a:schemeClr val="accent5"/>
</cs:colorStyle>
</file>

<file path=word/charts/colors11.xml><?xml version="1.0" encoding="utf-8"?>
<cs:colorStyle xmlns:cs="http://schemas.microsoft.com/office/drawing/2012/chartStyle" xmlns:a="http://schemas.openxmlformats.org/drawingml/2006/main" meth="withinLinearReversed" id="25">
  <a:schemeClr val="accent5"/>
</cs:colorStyle>
</file>

<file path=word/charts/colors12.xml><?xml version="1.0" encoding="utf-8"?>
<cs:colorStyle xmlns:cs="http://schemas.microsoft.com/office/drawing/2012/chartStyle" xmlns:a="http://schemas.openxmlformats.org/drawingml/2006/main" meth="withinLinearReversed" id="25">
  <a:schemeClr val="accent5"/>
</cs:colorStyle>
</file>

<file path=word/charts/colors2.xml><?xml version="1.0" encoding="utf-8"?>
<cs:colorStyle xmlns:cs="http://schemas.microsoft.com/office/drawing/2012/chartStyle" xmlns:a="http://schemas.openxmlformats.org/drawingml/2006/main" meth="withinLinear" id="18">
  <a:schemeClr val="accent5"/>
</cs:colorStyle>
</file>

<file path=word/charts/colors3.xml><?xml version="1.0" encoding="utf-8"?>
<cs:colorStyle xmlns:cs="http://schemas.microsoft.com/office/drawing/2012/chartStyle" xmlns:a="http://schemas.openxmlformats.org/drawingml/2006/main" meth="withinLinearReversed" id="25">
  <a:schemeClr val="accent5"/>
</cs:colorStyle>
</file>

<file path=word/charts/colors4.xml><?xml version="1.0" encoding="utf-8"?>
<cs:colorStyle xmlns:cs="http://schemas.microsoft.com/office/drawing/2012/chartStyle" xmlns:a="http://schemas.openxmlformats.org/drawingml/2006/main" meth="withinLinearReversed" id="25">
  <a:schemeClr val="accent5"/>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withinLinearReversed" id="25">
  <a:schemeClr val="accent5"/>
</cs:colorStyle>
</file>

<file path=word/charts/colors7.xml><?xml version="1.0" encoding="utf-8"?>
<cs:colorStyle xmlns:cs="http://schemas.microsoft.com/office/drawing/2012/chartStyle" xmlns:a="http://schemas.openxmlformats.org/drawingml/2006/main" meth="withinLinearReversed" id="25">
  <a:schemeClr val="accent5"/>
</cs:colorStyle>
</file>

<file path=word/charts/colors8.xml><?xml version="1.0" encoding="utf-8"?>
<cs:colorStyle xmlns:cs="http://schemas.microsoft.com/office/drawing/2012/chartStyle" xmlns:a="http://schemas.openxmlformats.org/drawingml/2006/main" meth="withinLinearReversed" id="25">
  <a:schemeClr val="accent5"/>
</cs:colorStyle>
</file>

<file path=word/charts/colors9.xml><?xml version="1.0" encoding="utf-8"?>
<cs:colorStyle xmlns:cs="http://schemas.microsoft.com/office/drawing/2012/chartStyle" xmlns:a="http://schemas.openxmlformats.org/drawingml/2006/main" meth="withinLinearReversed" id="25">
  <a:schemeClr val="accent5"/>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8F80A3-CFBF-47EE-8D33-6FFD355A7F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TotalTime>
  <Pages>207</Pages>
  <Words>94661</Words>
  <Characters>539572</Characters>
  <Application>Microsoft Office Word</Application>
  <DocSecurity>0</DocSecurity>
  <Lines>4496</Lines>
  <Paragraphs>1265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632968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Larissa Aceituno</dc:creator>
  <cp:keywords/>
  <dc:description/>
  <cp:lastModifiedBy>LARISSA NICOLL ACEITUNO CERRATO</cp:lastModifiedBy>
  <cp:revision>221</cp:revision>
  <cp:lastPrinted>2024-02-26T05:40:00Z</cp:lastPrinted>
  <dcterms:created xsi:type="dcterms:W3CDTF">2023-12-16T06:10:00Z</dcterms:created>
  <dcterms:modified xsi:type="dcterms:W3CDTF">2024-02-26T05:41:00Z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id="CsHtuMjx"/&gt;&lt;style id="http://www.zotero.org/styles/apa" locale="es-ES" hasBibliography="1" bibliographyStyleHasBeenSet="1"/&gt;&lt;prefs&gt;&lt;pref name="fieldType" value="Field"/&gt;&lt;/prefs&gt;&lt;/data&gt;</vt:lpwstr>
  </property>
</Properties>
</file>